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1EAB" w14:textId="365E2653" w:rsidR="005C1A2A" w:rsidRPr="00BD2EF1" w:rsidRDefault="0040189C" w:rsidP="005C1A2A">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14359D49" wp14:editId="180C9934">
                <wp:simplePos x="0" y="0"/>
                <wp:positionH relativeFrom="column">
                  <wp:posOffset>-394335</wp:posOffset>
                </wp:positionH>
                <wp:positionV relativeFrom="paragraph">
                  <wp:posOffset>6985</wp:posOffset>
                </wp:positionV>
                <wp:extent cx="6528435" cy="8867775"/>
                <wp:effectExtent l="0" t="0" r="24765" b="28575"/>
                <wp:wrapNone/>
                <wp:docPr id="4"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F1544" id="Rechthoek 2"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" filled="f"/>
            </w:pict>
          </mc:Fallback>
        </mc:AlternateContent>
      </w:r>
      <w:r w:rsidR="005C1A2A" w:rsidRPr="00BD2EF1">
        <w:rPr>
          <w:sz w:val="36"/>
          <w:szCs w:val="36"/>
        </w:rPr>
        <w:t>Regulation (EU) No 528/2012 concerning the making available on the market and use of biocidal products</w:t>
      </w:r>
    </w:p>
    <w:p w14:paraId="091F5207" w14:textId="77777777" w:rsidR="005C1A2A" w:rsidRPr="00BD2EF1" w:rsidRDefault="005C1A2A" w:rsidP="005C1A2A">
      <w:pPr>
        <w:tabs>
          <w:tab w:val="left" w:pos="8505"/>
        </w:tabs>
        <w:ind w:left="-142" w:right="-45"/>
      </w:pPr>
    </w:p>
    <w:p w14:paraId="119A8A19" w14:textId="77777777" w:rsidR="005C1A2A" w:rsidRPr="00BD2EF1" w:rsidRDefault="005C1A2A" w:rsidP="005C1A2A">
      <w:pPr>
        <w:tabs>
          <w:tab w:val="left" w:pos="8505"/>
        </w:tabs>
        <w:ind w:left="-142" w:right="-45"/>
        <w:jc w:val="center"/>
        <w:rPr>
          <w:b/>
          <w:bCs/>
          <w:sz w:val="22"/>
          <w:szCs w:val="36"/>
        </w:rPr>
      </w:pPr>
    </w:p>
    <w:p w14:paraId="70B0935B" w14:textId="77777777" w:rsidR="005C1A2A" w:rsidRPr="00BD2EF1" w:rsidRDefault="005C1A2A" w:rsidP="005C1A2A">
      <w:pPr>
        <w:jc w:val="center"/>
        <w:rPr>
          <w:b/>
          <w:bCs/>
          <w:sz w:val="36"/>
          <w:szCs w:val="36"/>
        </w:rPr>
      </w:pPr>
      <w:r w:rsidRPr="00BD2EF1">
        <w:rPr>
          <w:b/>
          <w:bCs/>
          <w:sz w:val="36"/>
          <w:szCs w:val="36"/>
        </w:rPr>
        <w:t>PRODUCT ASSESSMENT REPORT OF A BIOCIDAL PRODUCT FOR NATIONAL AUTHORISATION APPLICATIONS</w:t>
      </w:r>
    </w:p>
    <w:p w14:paraId="411205B1" w14:textId="77777777" w:rsidR="005C1A2A" w:rsidRPr="00BD2EF1" w:rsidRDefault="005C1A2A" w:rsidP="00943A25">
      <w:pPr>
        <w:jc w:val="center"/>
      </w:pPr>
    </w:p>
    <w:p w14:paraId="6B71260C" w14:textId="77777777" w:rsidR="005C1A2A" w:rsidRPr="00BD2EF1" w:rsidRDefault="005C1A2A" w:rsidP="00943A25"/>
    <w:p w14:paraId="6ECD96E3" w14:textId="77777777" w:rsidR="005C1A2A" w:rsidRPr="00BD2EF1" w:rsidRDefault="005C1A2A" w:rsidP="005C1A2A">
      <w:pPr>
        <w:tabs>
          <w:tab w:val="left" w:pos="8505"/>
        </w:tabs>
        <w:ind w:left="-142" w:right="-45"/>
        <w:jc w:val="center"/>
        <w:rPr>
          <w:b/>
          <w:sz w:val="36"/>
        </w:rPr>
      </w:pPr>
      <w:r w:rsidRPr="00BD2EF1">
        <w:rPr>
          <w:noProof/>
          <w:lang w:val="fr-FR" w:eastAsia="fr-FR"/>
        </w:rPr>
        <w:drawing>
          <wp:inline distT="0" distB="0" distL="0" distR="0" wp14:anchorId="67DFB35D" wp14:editId="0BF0D952">
            <wp:extent cx="1200150" cy="1247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60227E78" w14:textId="0CF2046E" w:rsidR="005C1A2A" w:rsidRPr="00BD2EF1" w:rsidRDefault="00EC2A96" w:rsidP="005C1A2A">
      <w:pPr>
        <w:keepNext/>
        <w:widowControl w:val="0"/>
        <w:tabs>
          <w:tab w:val="left" w:pos="1304"/>
        </w:tabs>
        <w:suppressAutoHyphens/>
        <w:autoSpaceDE w:val="0"/>
        <w:autoSpaceDN w:val="0"/>
        <w:adjustRightInd w:val="0"/>
        <w:spacing w:before="480" w:after="120" w:line="400" w:lineRule="atLeast"/>
        <w:jc w:val="center"/>
        <w:rPr>
          <w:bCs/>
          <w:sz w:val="32"/>
          <w:szCs w:val="32"/>
        </w:rPr>
      </w:pPr>
      <w:r>
        <w:rPr>
          <w:bCs/>
          <w:sz w:val="32"/>
          <w:szCs w:val="32"/>
        </w:rPr>
        <w:t>SPRAY REPULSIF IR200</w:t>
      </w:r>
    </w:p>
    <w:p w14:paraId="265AB31D" w14:textId="77777777" w:rsidR="005C1A2A" w:rsidRPr="00BD2EF1" w:rsidRDefault="005C1A2A" w:rsidP="005C1A2A">
      <w:pPr>
        <w:rPr>
          <w:bCs/>
        </w:rPr>
      </w:pPr>
    </w:p>
    <w:p w14:paraId="00961A22" w14:textId="77777777" w:rsidR="005C1A2A" w:rsidRPr="00BD2EF1" w:rsidRDefault="005C1A2A" w:rsidP="005C1A2A">
      <w:pPr>
        <w:tabs>
          <w:tab w:val="left" w:pos="8505"/>
        </w:tabs>
        <w:ind w:left="-142" w:right="-45"/>
        <w:jc w:val="center"/>
        <w:rPr>
          <w:bCs/>
          <w:sz w:val="32"/>
          <w:szCs w:val="32"/>
        </w:rPr>
      </w:pPr>
      <w:r w:rsidRPr="00BD2EF1">
        <w:rPr>
          <w:bCs/>
          <w:sz w:val="32"/>
          <w:szCs w:val="32"/>
        </w:rPr>
        <w:t xml:space="preserve">Product type </w:t>
      </w:r>
      <w:r w:rsidR="000034B7">
        <w:rPr>
          <w:bCs/>
          <w:sz w:val="32"/>
          <w:szCs w:val="32"/>
        </w:rPr>
        <w:t>19</w:t>
      </w:r>
    </w:p>
    <w:p w14:paraId="19753F7A" w14:textId="77777777" w:rsidR="005C1A2A" w:rsidRPr="00BD2EF1" w:rsidRDefault="005C1A2A" w:rsidP="005C1A2A">
      <w:pPr>
        <w:tabs>
          <w:tab w:val="left" w:pos="8505"/>
        </w:tabs>
        <w:ind w:right="-45"/>
        <w:rPr>
          <w:bCs/>
        </w:rPr>
      </w:pPr>
    </w:p>
    <w:p w14:paraId="4210FCD8" w14:textId="1B4BA5F8" w:rsidR="00A00435" w:rsidRPr="00BD2EF1" w:rsidRDefault="00A00435" w:rsidP="00A00435">
      <w:pPr>
        <w:tabs>
          <w:tab w:val="left" w:pos="8505"/>
        </w:tabs>
        <w:ind w:left="-142" w:right="-45"/>
        <w:jc w:val="center"/>
        <w:rPr>
          <w:bCs/>
          <w:sz w:val="32"/>
          <w:szCs w:val="32"/>
        </w:rPr>
      </w:pPr>
      <w:r>
        <w:rPr>
          <w:bCs/>
          <w:sz w:val="32"/>
          <w:szCs w:val="32"/>
        </w:rPr>
        <w:t xml:space="preserve">Ethyl butylacetylaminopropionate </w:t>
      </w:r>
      <w:r>
        <w:rPr>
          <w:bCs/>
          <w:sz w:val="32"/>
          <w:szCs w:val="32"/>
        </w:rPr>
        <w:br/>
      </w:r>
      <w:r w:rsidRPr="00053EC8">
        <w:rPr>
          <w:bCs/>
          <w:sz w:val="28"/>
          <w:szCs w:val="32"/>
        </w:rPr>
        <w:t>(Further referred to as IR3535</w:t>
      </w:r>
      <w:r w:rsidR="0023317C" w:rsidRPr="0023317C">
        <w:rPr>
          <w:bCs/>
          <w:sz w:val="28"/>
          <w:szCs w:val="32"/>
          <w:vertAlign w:val="superscript"/>
        </w:rPr>
        <w:t>®</w:t>
      </w:r>
      <w:r w:rsidRPr="00053EC8">
        <w:rPr>
          <w:bCs/>
          <w:sz w:val="28"/>
          <w:szCs w:val="32"/>
        </w:rPr>
        <w:t>)</w:t>
      </w:r>
    </w:p>
    <w:p w14:paraId="20C0C16D" w14:textId="77777777" w:rsidR="005C1A2A" w:rsidRPr="00BD2EF1" w:rsidRDefault="005C1A2A" w:rsidP="005C1A2A">
      <w:pPr>
        <w:tabs>
          <w:tab w:val="left" w:pos="8505"/>
        </w:tabs>
        <w:ind w:right="-45"/>
        <w:rPr>
          <w:bCs/>
        </w:rPr>
      </w:pPr>
    </w:p>
    <w:p w14:paraId="1DC93164" w14:textId="30132DE7" w:rsidR="005C1A2A" w:rsidRPr="00BD2EF1" w:rsidRDefault="005C1A2A" w:rsidP="005C1A2A">
      <w:pPr>
        <w:tabs>
          <w:tab w:val="left" w:pos="8505"/>
        </w:tabs>
        <w:ind w:right="-45"/>
        <w:jc w:val="center"/>
        <w:rPr>
          <w:bCs/>
          <w:sz w:val="32"/>
          <w:szCs w:val="32"/>
        </w:rPr>
      </w:pPr>
      <w:r w:rsidRPr="00BD2EF1">
        <w:rPr>
          <w:bCs/>
          <w:sz w:val="32"/>
          <w:szCs w:val="32"/>
        </w:rPr>
        <w:t xml:space="preserve">Case Number in R4BP: </w:t>
      </w:r>
      <w:r w:rsidR="00EC2A96">
        <w:rPr>
          <w:bCs/>
          <w:sz w:val="32"/>
          <w:szCs w:val="32"/>
        </w:rPr>
        <w:t>BC-</w:t>
      </w:r>
      <w:r w:rsidR="009B1335">
        <w:rPr>
          <w:bCs/>
          <w:sz w:val="32"/>
          <w:szCs w:val="32"/>
        </w:rPr>
        <w:t>FG069209-40</w:t>
      </w:r>
    </w:p>
    <w:p w14:paraId="4A78850C" w14:textId="77777777" w:rsidR="005C1A2A" w:rsidRPr="00BD2EF1" w:rsidRDefault="005C1A2A" w:rsidP="005C1A2A">
      <w:pPr>
        <w:tabs>
          <w:tab w:val="left" w:pos="8505"/>
        </w:tabs>
        <w:ind w:right="-45"/>
        <w:rPr>
          <w:bCs/>
        </w:rPr>
      </w:pPr>
    </w:p>
    <w:p w14:paraId="0C94EE49" w14:textId="11231770" w:rsidR="005C1A2A" w:rsidRPr="00BD2EF1" w:rsidRDefault="005C1A2A" w:rsidP="005C1A2A">
      <w:pPr>
        <w:tabs>
          <w:tab w:val="left" w:pos="8505"/>
        </w:tabs>
        <w:ind w:left="-142" w:right="-45"/>
        <w:jc w:val="center"/>
        <w:rPr>
          <w:bCs/>
          <w:sz w:val="32"/>
          <w:szCs w:val="32"/>
        </w:rPr>
      </w:pPr>
      <w:r w:rsidRPr="00BD2EF1">
        <w:rPr>
          <w:bCs/>
          <w:sz w:val="32"/>
          <w:szCs w:val="32"/>
        </w:rPr>
        <w:t xml:space="preserve">Evaluating Competent Authority: </w:t>
      </w:r>
      <w:r w:rsidR="00EC2A96">
        <w:rPr>
          <w:bCs/>
          <w:sz w:val="32"/>
          <w:szCs w:val="32"/>
        </w:rPr>
        <w:t>France</w:t>
      </w:r>
    </w:p>
    <w:p w14:paraId="48862097" w14:textId="77777777" w:rsidR="005C1A2A" w:rsidRPr="00BD2EF1" w:rsidRDefault="005C1A2A" w:rsidP="005C1A2A">
      <w:pPr>
        <w:tabs>
          <w:tab w:val="left" w:pos="8505"/>
        </w:tabs>
        <w:ind w:left="-142" w:right="-45"/>
        <w:jc w:val="center"/>
      </w:pPr>
      <w:r w:rsidRPr="00BD2EF1">
        <w:t xml:space="preserve"> </w:t>
      </w:r>
    </w:p>
    <w:p w14:paraId="5C9D11ED" w14:textId="21D0A2BB" w:rsidR="005C1A2A" w:rsidRPr="00BD2EF1" w:rsidRDefault="005C1A2A" w:rsidP="00943A25">
      <w:pPr>
        <w:jc w:val="center"/>
        <w:rPr>
          <w:bCs/>
          <w:sz w:val="32"/>
          <w:szCs w:val="32"/>
        </w:rPr>
      </w:pPr>
      <w:r w:rsidRPr="00BD2EF1">
        <w:rPr>
          <w:bCs/>
          <w:sz w:val="32"/>
          <w:szCs w:val="32"/>
        </w:rPr>
        <w:t xml:space="preserve">Date: </w:t>
      </w:r>
      <w:r w:rsidR="0089119C">
        <w:rPr>
          <w:bCs/>
          <w:sz w:val="32"/>
          <w:szCs w:val="32"/>
        </w:rPr>
        <w:t xml:space="preserve">finalised on </w:t>
      </w:r>
    </w:p>
    <w:p w14:paraId="10C59F78" w14:textId="77777777" w:rsidR="005C1A2A" w:rsidRDefault="005C1A2A">
      <w:pPr>
        <w:spacing w:after="160" w:line="259" w:lineRule="auto"/>
        <w:rPr>
          <w:bCs/>
          <w:sz w:val="32"/>
          <w:szCs w:val="32"/>
        </w:rPr>
      </w:pPr>
    </w:p>
    <w:p w14:paraId="0883876E" w14:textId="77777777" w:rsidR="002B4716" w:rsidRPr="00BD2EF1" w:rsidRDefault="002B4716">
      <w:pPr>
        <w:spacing w:after="160" w:line="259" w:lineRule="auto"/>
        <w:rPr>
          <w:bCs/>
          <w:sz w:val="32"/>
          <w:szCs w:val="32"/>
        </w:rPr>
        <w:sectPr w:rsidR="002B4716" w:rsidRPr="00BD2EF1" w:rsidSect="006456DE">
          <w:headerReference w:type="default" r:id="rId12"/>
          <w:footerReference w:type="default" r:id="rId13"/>
          <w:pgSz w:w="11906" w:h="16838"/>
          <w:pgMar w:top="1440" w:right="1440" w:bottom="1440" w:left="1440" w:header="709" w:footer="709" w:gutter="0"/>
          <w:cols w:space="708"/>
          <w:docGrid w:linePitch="360"/>
        </w:sectPr>
      </w:pPr>
    </w:p>
    <w:p w14:paraId="38EF295B" w14:textId="77777777" w:rsidR="00C5528E" w:rsidRPr="00BD2EF1" w:rsidRDefault="00DA3C10" w:rsidP="00DA3C10">
      <w:pPr>
        <w:pStyle w:val="Titre1"/>
        <w:numPr>
          <w:ilvl w:val="0"/>
          <w:numId w:val="0"/>
        </w:numPr>
      </w:pPr>
      <w:bookmarkStart w:id="0" w:name="_Toc93326456"/>
      <w:r w:rsidRPr="00BD2EF1">
        <w:lastRenderedPageBreak/>
        <w:t>Table of Contents</w:t>
      </w:r>
      <w:bookmarkEnd w:id="0"/>
    </w:p>
    <w:p w14:paraId="6E5D508D" w14:textId="6A17F6C2" w:rsidR="00236917" w:rsidRPr="00FB463E" w:rsidRDefault="00DE5D51">
      <w:pPr>
        <w:pStyle w:val="TM1"/>
        <w:tabs>
          <w:tab w:val="right" w:leader="dot" w:pos="9203"/>
        </w:tabs>
        <w:rPr>
          <w:rFonts w:asciiTheme="minorHAnsi" w:eastAsiaTheme="minorEastAsia" w:hAnsiTheme="minorHAnsi" w:cstheme="minorBidi"/>
          <w:b w:val="0"/>
          <w:caps w:val="0"/>
          <w:noProof/>
          <w:sz w:val="22"/>
          <w:szCs w:val="22"/>
          <w:lang w:val="fr-FR" w:eastAsia="fr-FR"/>
        </w:rPr>
      </w:pPr>
      <w:r w:rsidRPr="00FB463E">
        <w:rPr>
          <w:sz w:val="22"/>
        </w:rPr>
        <w:fldChar w:fldCharType="begin"/>
      </w:r>
      <w:r w:rsidR="00A14D85" w:rsidRPr="00FB463E">
        <w:rPr>
          <w:sz w:val="22"/>
        </w:rPr>
        <w:instrText xml:space="preserve"> TOC \o "1-5" \h \z \u </w:instrText>
      </w:r>
      <w:r w:rsidRPr="00FB463E">
        <w:rPr>
          <w:sz w:val="22"/>
        </w:rPr>
        <w:fldChar w:fldCharType="separate"/>
      </w:r>
      <w:hyperlink w:anchor="_Toc93326456" w:history="1">
        <w:r w:rsidR="00236917" w:rsidRPr="00FB463E">
          <w:rPr>
            <w:rStyle w:val="Lienhypertexte"/>
            <w:rFonts w:eastAsia="Calibri"/>
            <w:noProof/>
          </w:rPr>
          <w:t>Table of Contents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_Toc93326456 \h </w:instrText>
        </w:r>
        <w:r w:rsidR="00236917" w:rsidRPr="00FB463E">
          <w:rPr>
            <w:noProof/>
            <w:webHidden/>
          </w:rPr>
        </w:r>
        <w:r w:rsidR="00236917" w:rsidRPr="00FB463E">
          <w:rPr>
            <w:noProof/>
            <w:webHidden/>
          </w:rPr>
          <w:fldChar w:fldCharType="separate"/>
        </w:r>
        <w:r w:rsidR="00236917" w:rsidRPr="00FB463E">
          <w:rPr>
            <w:noProof/>
            <w:webHidden/>
          </w:rPr>
          <w:t>2</w:t>
        </w:r>
        <w:r w:rsidR="00236917" w:rsidRPr="00FB463E">
          <w:rPr>
            <w:noProof/>
            <w:webHidden/>
          </w:rPr>
          <w:fldChar w:fldCharType="end"/>
        </w:r>
      </w:hyperlink>
    </w:p>
    <w:p w14:paraId="0CE827C3" w14:textId="0ADC0FF6" w:rsidR="00236917" w:rsidRPr="00FB463E" w:rsidRDefault="000D0DA7">
      <w:pPr>
        <w:pStyle w:val="TM3"/>
        <w:tabs>
          <w:tab w:val="right" w:leader="dot" w:pos="9203"/>
        </w:tabs>
        <w:rPr>
          <w:rFonts w:asciiTheme="minorHAnsi" w:eastAsiaTheme="minorEastAsia" w:hAnsiTheme="minorHAnsi" w:cstheme="minorBidi"/>
          <w:i w:val="0"/>
          <w:noProof/>
          <w:sz w:val="22"/>
          <w:szCs w:val="22"/>
          <w:lang w:val="fr-FR" w:eastAsia="fr-FR"/>
        </w:rPr>
      </w:pPr>
      <w:hyperlink w:anchor="_Toc93326457" w:history="1">
        <w:r w:rsidR="00236917" w:rsidRPr="00FB463E">
          <w:rPr>
            <w:rStyle w:val="Lienhypertexte"/>
            <w:rFonts w:eastAsia="Calibri"/>
            <w:noProof/>
          </w:rPr>
          <w:t>History of the dossier</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_Toc93326457 \h </w:instrText>
        </w:r>
        <w:r w:rsidR="00236917" w:rsidRPr="00FB463E">
          <w:rPr>
            <w:noProof/>
            <w:webHidden/>
          </w:rPr>
        </w:r>
        <w:r w:rsidR="00236917" w:rsidRPr="00FB463E">
          <w:rPr>
            <w:noProof/>
            <w:webHidden/>
          </w:rPr>
          <w:fldChar w:fldCharType="separate"/>
        </w:r>
        <w:r w:rsidR="00236917" w:rsidRPr="00FB463E">
          <w:rPr>
            <w:noProof/>
            <w:webHidden/>
          </w:rPr>
          <w:t>8</w:t>
        </w:r>
        <w:r w:rsidR="00236917" w:rsidRPr="00FB463E">
          <w:rPr>
            <w:noProof/>
            <w:webHidden/>
          </w:rPr>
          <w:fldChar w:fldCharType="end"/>
        </w:r>
      </w:hyperlink>
    </w:p>
    <w:p w14:paraId="414A251A" w14:textId="53AB75B8" w:rsidR="00236917" w:rsidRPr="00FB463E" w:rsidRDefault="000D0DA7">
      <w:pPr>
        <w:pStyle w:val="TM1"/>
        <w:tabs>
          <w:tab w:val="left" w:pos="400"/>
          <w:tab w:val="right" w:leader="dot" w:pos="9203"/>
        </w:tabs>
        <w:rPr>
          <w:rFonts w:asciiTheme="minorHAnsi" w:eastAsiaTheme="minorEastAsia" w:hAnsiTheme="minorHAnsi" w:cstheme="minorBidi"/>
          <w:b w:val="0"/>
          <w:caps w:val="0"/>
          <w:noProof/>
          <w:sz w:val="22"/>
          <w:szCs w:val="22"/>
          <w:lang w:val="fr-FR" w:eastAsia="fr-FR"/>
        </w:rPr>
      </w:pPr>
      <w:hyperlink w:anchor="_Toc93326458" w:history="1">
        <w:r w:rsidR="00236917" w:rsidRPr="00FB463E">
          <w:rPr>
            <w:rStyle w:val="Lienhypertexte"/>
            <w:rFonts w:eastAsia="Calibri"/>
            <w:noProof/>
          </w:rPr>
          <w:t>1</w:t>
        </w:r>
        <w:r w:rsidR="00236917" w:rsidRPr="00FB463E">
          <w:rPr>
            <w:rFonts w:asciiTheme="minorHAnsi" w:eastAsiaTheme="minorEastAsia" w:hAnsiTheme="minorHAnsi" w:cstheme="minorBidi"/>
            <w:b w:val="0"/>
            <w:caps w:val="0"/>
            <w:noProof/>
            <w:sz w:val="22"/>
            <w:szCs w:val="22"/>
            <w:lang w:val="fr-FR" w:eastAsia="fr-FR"/>
          </w:rPr>
          <w:tab/>
        </w:r>
        <w:r w:rsidR="00236917" w:rsidRPr="00FB463E">
          <w:rPr>
            <w:rStyle w:val="Lienhypertexte"/>
            <w:rFonts w:eastAsia="Calibri"/>
            <w:noProof/>
          </w:rPr>
          <w:t>Conclusion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_Toc93326458 \h </w:instrText>
        </w:r>
        <w:r w:rsidR="00236917" w:rsidRPr="00FB463E">
          <w:rPr>
            <w:noProof/>
            <w:webHidden/>
          </w:rPr>
        </w:r>
        <w:r w:rsidR="00236917" w:rsidRPr="00FB463E">
          <w:rPr>
            <w:noProof/>
            <w:webHidden/>
          </w:rPr>
          <w:fldChar w:fldCharType="separate"/>
        </w:r>
        <w:r w:rsidR="00236917" w:rsidRPr="00FB463E">
          <w:rPr>
            <w:noProof/>
            <w:webHidden/>
          </w:rPr>
          <w:t>9</w:t>
        </w:r>
        <w:r w:rsidR="00236917" w:rsidRPr="00FB463E">
          <w:rPr>
            <w:noProof/>
            <w:webHidden/>
          </w:rPr>
          <w:fldChar w:fldCharType="end"/>
        </w:r>
      </w:hyperlink>
    </w:p>
    <w:p w14:paraId="547E384D" w14:textId="0F1751DC" w:rsidR="00236917" w:rsidRPr="00FB463E" w:rsidRDefault="000D0DA7">
      <w:pPr>
        <w:pStyle w:val="TM1"/>
        <w:tabs>
          <w:tab w:val="left" w:pos="400"/>
          <w:tab w:val="right" w:leader="dot" w:pos="9203"/>
        </w:tabs>
        <w:rPr>
          <w:rFonts w:asciiTheme="minorHAnsi" w:eastAsiaTheme="minorEastAsia" w:hAnsiTheme="minorHAnsi" w:cstheme="minorBidi"/>
          <w:b w:val="0"/>
          <w:caps w:val="0"/>
          <w:noProof/>
          <w:sz w:val="22"/>
          <w:szCs w:val="22"/>
          <w:lang w:val="fr-FR" w:eastAsia="fr-FR"/>
        </w:rPr>
      </w:pPr>
      <w:hyperlink w:anchor="_Toc93326459" w:history="1">
        <w:r w:rsidR="00236917" w:rsidRPr="00FB463E">
          <w:rPr>
            <w:rStyle w:val="Lienhypertexte"/>
            <w:rFonts w:ascii="Wingdings" w:eastAsia="Calibri" w:hAnsi="Wingdings"/>
            <w:noProof/>
          </w:rPr>
          <w:t></w:t>
        </w:r>
        <w:r w:rsidR="00236917" w:rsidRPr="00FB463E">
          <w:rPr>
            <w:rFonts w:asciiTheme="minorHAnsi" w:eastAsiaTheme="minorEastAsia" w:hAnsiTheme="minorHAnsi" w:cstheme="minorBidi"/>
            <w:b w:val="0"/>
            <w:caps w:val="0"/>
            <w:noProof/>
            <w:sz w:val="22"/>
            <w:szCs w:val="22"/>
            <w:lang w:val="fr-FR" w:eastAsia="fr-FR"/>
          </w:rPr>
          <w:tab/>
        </w:r>
        <w:r w:rsidR="00236917" w:rsidRPr="00FB463E">
          <w:rPr>
            <w:rStyle w:val="Lienhypertexte"/>
            <w:rFonts w:eastAsia="Calibri"/>
            <w:noProof/>
          </w:rPr>
          <w:t>MINOR CHANGE 2021</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_Toc93326459 \h </w:instrText>
        </w:r>
        <w:r w:rsidR="00236917" w:rsidRPr="00FB463E">
          <w:rPr>
            <w:noProof/>
            <w:webHidden/>
          </w:rPr>
        </w:r>
        <w:r w:rsidR="00236917" w:rsidRPr="00FB463E">
          <w:rPr>
            <w:noProof/>
            <w:webHidden/>
          </w:rPr>
          <w:fldChar w:fldCharType="separate"/>
        </w:r>
        <w:r w:rsidR="00236917" w:rsidRPr="00FB463E">
          <w:rPr>
            <w:noProof/>
            <w:webHidden/>
          </w:rPr>
          <w:t>9</w:t>
        </w:r>
        <w:r w:rsidR="00236917" w:rsidRPr="00FB463E">
          <w:rPr>
            <w:noProof/>
            <w:webHidden/>
          </w:rPr>
          <w:fldChar w:fldCharType="end"/>
        </w:r>
      </w:hyperlink>
    </w:p>
    <w:p w14:paraId="0942C45B" w14:textId="1DF706BB" w:rsidR="00236917" w:rsidRPr="00FB463E" w:rsidRDefault="000D0DA7">
      <w:pPr>
        <w:pStyle w:val="TM1"/>
        <w:tabs>
          <w:tab w:val="right" w:leader="dot" w:pos="9203"/>
        </w:tabs>
        <w:rPr>
          <w:rFonts w:asciiTheme="minorHAnsi" w:eastAsiaTheme="minorEastAsia" w:hAnsiTheme="minorHAnsi" w:cstheme="minorBidi"/>
          <w:b w:val="0"/>
          <w:caps w:val="0"/>
          <w:noProof/>
          <w:sz w:val="22"/>
          <w:szCs w:val="22"/>
          <w:lang w:val="fr-FR" w:eastAsia="fr-FR"/>
        </w:rPr>
      </w:pPr>
      <w:hyperlink w:anchor="_Toc93326460" w:history="1">
        <w:r w:rsidR="00236917" w:rsidRPr="00FB463E">
          <w:rPr>
            <w:rStyle w:val="Lienhypertexte"/>
            <w:rFonts w:eastAsia="Calibri"/>
            <w:noProof/>
          </w:rPr>
          <w:sym w:font="Wingdings" w:char="F0E8"/>
        </w:r>
        <w:r w:rsidR="00236917" w:rsidRPr="00FB463E">
          <w:rPr>
            <w:rStyle w:val="Lienhypertexte"/>
            <w:rFonts w:eastAsia="Calibri"/>
            <w:noProof/>
          </w:rPr>
          <w:t xml:space="preserve"> Major change 2019</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_Toc93326460 \h </w:instrText>
        </w:r>
        <w:r w:rsidR="00236917" w:rsidRPr="00FB463E">
          <w:rPr>
            <w:noProof/>
            <w:webHidden/>
          </w:rPr>
        </w:r>
        <w:r w:rsidR="00236917" w:rsidRPr="00FB463E">
          <w:rPr>
            <w:noProof/>
            <w:webHidden/>
          </w:rPr>
          <w:fldChar w:fldCharType="separate"/>
        </w:r>
        <w:r w:rsidR="00236917" w:rsidRPr="00FB463E">
          <w:rPr>
            <w:noProof/>
            <w:webHidden/>
          </w:rPr>
          <w:t>9</w:t>
        </w:r>
        <w:r w:rsidR="00236917" w:rsidRPr="00FB463E">
          <w:rPr>
            <w:noProof/>
            <w:webHidden/>
          </w:rPr>
          <w:fldChar w:fldCharType="end"/>
        </w:r>
      </w:hyperlink>
    </w:p>
    <w:p w14:paraId="61739D7D" w14:textId="5D11C92C" w:rsidR="00236917" w:rsidRPr="00FB463E" w:rsidRDefault="000D0DA7">
      <w:pPr>
        <w:pStyle w:val="TM2"/>
        <w:tabs>
          <w:tab w:val="right" w:leader="dot" w:pos="9203"/>
        </w:tabs>
        <w:rPr>
          <w:rFonts w:asciiTheme="minorHAnsi" w:eastAsiaTheme="minorEastAsia" w:hAnsiTheme="minorHAnsi" w:cstheme="minorBidi"/>
          <w:caps w:val="0"/>
          <w:noProof/>
          <w:sz w:val="22"/>
          <w:szCs w:val="22"/>
          <w:lang w:val="fr-FR" w:eastAsia="fr-FR"/>
        </w:rPr>
      </w:pPr>
      <w:hyperlink w:anchor="_Toc93326461" w:history="1">
        <w:r w:rsidR="00236917" w:rsidRPr="00FB463E">
          <w:rPr>
            <w:rStyle w:val="Lienhypertexte"/>
            <w:rFonts w:ascii="Arial" w:eastAsia="Calibri" w:hAnsi="Arial" w:cs="Arial"/>
            <w:b/>
            <w:noProof/>
            <w:lang w:val="sv-SE" w:eastAsia="sv-SE"/>
          </w:rPr>
          <w:t>Target organisms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_Toc93326461 \h </w:instrText>
        </w:r>
        <w:r w:rsidR="00236917" w:rsidRPr="00FB463E">
          <w:rPr>
            <w:noProof/>
            <w:webHidden/>
          </w:rPr>
        </w:r>
        <w:r w:rsidR="00236917" w:rsidRPr="00FB463E">
          <w:rPr>
            <w:noProof/>
            <w:webHidden/>
          </w:rPr>
          <w:fldChar w:fldCharType="separate"/>
        </w:r>
        <w:r w:rsidR="00236917" w:rsidRPr="00FB463E">
          <w:rPr>
            <w:noProof/>
            <w:webHidden/>
          </w:rPr>
          <w:t>15</w:t>
        </w:r>
        <w:r w:rsidR="00236917" w:rsidRPr="00FB463E">
          <w:rPr>
            <w:noProof/>
            <w:webHidden/>
          </w:rPr>
          <w:fldChar w:fldCharType="end"/>
        </w:r>
      </w:hyperlink>
    </w:p>
    <w:p w14:paraId="2B6DBAB9" w14:textId="2F8241BD" w:rsidR="00236917" w:rsidRPr="00FB463E" w:rsidRDefault="000D0DA7">
      <w:pPr>
        <w:pStyle w:val="TM1"/>
        <w:tabs>
          <w:tab w:val="left" w:pos="400"/>
          <w:tab w:val="right" w:leader="dot" w:pos="9203"/>
        </w:tabs>
        <w:rPr>
          <w:rFonts w:asciiTheme="minorHAnsi" w:eastAsiaTheme="minorEastAsia" w:hAnsiTheme="minorHAnsi" w:cstheme="minorBidi"/>
          <w:b w:val="0"/>
          <w:caps w:val="0"/>
          <w:noProof/>
          <w:sz w:val="22"/>
          <w:szCs w:val="22"/>
          <w:lang w:val="fr-FR" w:eastAsia="fr-FR"/>
        </w:rPr>
      </w:pPr>
      <w:hyperlink w:anchor="_Toc93326462" w:history="1">
        <w:r w:rsidR="00236917" w:rsidRPr="00FB463E">
          <w:rPr>
            <w:rStyle w:val="Lienhypertexte"/>
            <w:rFonts w:eastAsia="Calibri"/>
            <w:noProof/>
          </w:rPr>
          <w:t>2</w:t>
        </w:r>
        <w:r w:rsidR="00236917" w:rsidRPr="00FB463E">
          <w:rPr>
            <w:rFonts w:asciiTheme="minorHAnsi" w:eastAsiaTheme="minorEastAsia" w:hAnsiTheme="minorHAnsi" w:cstheme="minorBidi"/>
            <w:b w:val="0"/>
            <w:caps w:val="0"/>
            <w:noProof/>
            <w:sz w:val="22"/>
            <w:szCs w:val="22"/>
            <w:lang w:val="fr-FR" w:eastAsia="fr-FR"/>
          </w:rPr>
          <w:tab/>
        </w:r>
        <w:r w:rsidR="00236917" w:rsidRPr="00FB463E">
          <w:rPr>
            <w:rStyle w:val="Lienhypertexte"/>
            <w:rFonts w:eastAsia="Calibri"/>
            <w:noProof/>
          </w:rPr>
          <w:t>Assessment Report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_Toc93326462 \h </w:instrText>
        </w:r>
        <w:r w:rsidR="00236917" w:rsidRPr="00FB463E">
          <w:rPr>
            <w:noProof/>
            <w:webHidden/>
          </w:rPr>
        </w:r>
        <w:r w:rsidR="00236917" w:rsidRPr="00FB463E">
          <w:rPr>
            <w:noProof/>
            <w:webHidden/>
          </w:rPr>
          <w:fldChar w:fldCharType="separate"/>
        </w:r>
        <w:r w:rsidR="00236917" w:rsidRPr="00FB463E">
          <w:rPr>
            <w:noProof/>
            <w:webHidden/>
          </w:rPr>
          <w:t>17</w:t>
        </w:r>
        <w:r w:rsidR="00236917" w:rsidRPr="00FB463E">
          <w:rPr>
            <w:noProof/>
            <w:webHidden/>
          </w:rPr>
          <w:fldChar w:fldCharType="end"/>
        </w:r>
      </w:hyperlink>
    </w:p>
    <w:p w14:paraId="2BA11DC8" w14:textId="5D725AEE" w:rsidR="00236917" w:rsidRPr="00FB463E" w:rsidRDefault="000D0DA7">
      <w:pPr>
        <w:pStyle w:val="TM2"/>
        <w:tabs>
          <w:tab w:val="left" w:pos="800"/>
          <w:tab w:val="right" w:leader="dot" w:pos="9203"/>
        </w:tabs>
        <w:rPr>
          <w:rFonts w:asciiTheme="minorHAnsi" w:eastAsiaTheme="minorEastAsia" w:hAnsiTheme="minorHAnsi" w:cstheme="minorBidi"/>
          <w:caps w:val="0"/>
          <w:noProof/>
          <w:sz w:val="22"/>
          <w:szCs w:val="22"/>
          <w:lang w:val="fr-FR" w:eastAsia="fr-FR"/>
        </w:rPr>
      </w:pPr>
      <w:hyperlink w:anchor="_Toc93326463" w:history="1">
        <w:r w:rsidR="00236917" w:rsidRPr="00FB463E">
          <w:rPr>
            <w:rStyle w:val="Lienhypertexte"/>
            <w:rFonts w:eastAsia="Calibri"/>
            <w:noProof/>
          </w:rPr>
          <w:t>2.1</w:t>
        </w:r>
        <w:r w:rsidR="00236917" w:rsidRPr="00FB463E">
          <w:rPr>
            <w:rFonts w:asciiTheme="minorHAnsi" w:eastAsiaTheme="minorEastAsia" w:hAnsiTheme="minorHAnsi" w:cstheme="minorBidi"/>
            <w:caps w:val="0"/>
            <w:noProof/>
            <w:sz w:val="22"/>
            <w:szCs w:val="22"/>
            <w:lang w:val="fr-FR" w:eastAsia="fr-FR"/>
          </w:rPr>
          <w:tab/>
        </w:r>
        <w:r w:rsidR="00236917" w:rsidRPr="00FB463E">
          <w:rPr>
            <w:rStyle w:val="Lienhypertexte"/>
            <w:rFonts w:eastAsia="Calibri"/>
            <w:noProof/>
          </w:rPr>
          <w:t>Summary of the product assessment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_Toc93326463 \h </w:instrText>
        </w:r>
        <w:r w:rsidR="00236917" w:rsidRPr="00FB463E">
          <w:rPr>
            <w:noProof/>
            <w:webHidden/>
          </w:rPr>
        </w:r>
        <w:r w:rsidR="00236917" w:rsidRPr="00FB463E">
          <w:rPr>
            <w:noProof/>
            <w:webHidden/>
          </w:rPr>
          <w:fldChar w:fldCharType="separate"/>
        </w:r>
        <w:r w:rsidR="00236917" w:rsidRPr="00FB463E">
          <w:rPr>
            <w:noProof/>
            <w:webHidden/>
          </w:rPr>
          <w:t>17</w:t>
        </w:r>
        <w:r w:rsidR="00236917" w:rsidRPr="00FB463E">
          <w:rPr>
            <w:noProof/>
            <w:webHidden/>
          </w:rPr>
          <w:fldChar w:fldCharType="end"/>
        </w:r>
      </w:hyperlink>
    </w:p>
    <w:p w14:paraId="5F003B93" w14:textId="49DF9753"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464" w:history="1">
        <w:r w:rsidR="00236917" w:rsidRPr="00FB463E">
          <w:rPr>
            <w:rStyle w:val="Lienhypertexte"/>
            <w:rFonts w:eastAsia="Calibri"/>
            <w:noProof/>
          </w:rPr>
          <w:t>1.1.1</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Administrative information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_Toc93326464 \h </w:instrText>
        </w:r>
        <w:r w:rsidR="00236917" w:rsidRPr="00FB463E">
          <w:rPr>
            <w:noProof/>
            <w:webHidden/>
          </w:rPr>
        </w:r>
        <w:r w:rsidR="00236917" w:rsidRPr="00FB463E">
          <w:rPr>
            <w:noProof/>
            <w:webHidden/>
          </w:rPr>
          <w:fldChar w:fldCharType="separate"/>
        </w:r>
        <w:r w:rsidR="00236917" w:rsidRPr="00FB463E">
          <w:rPr>
            <w:noProof/>
            <w:webHidden/>
          </w:rPr>
          <w:t>17</w:t>
        </w:r>
        <w:r w:rsidR="00236917" w:rsidRPr="00FB463E">
          <w:rPr>
            <w:noProof/>
            <w:webHidden/>
          </w:rPr>
          <w:fldChar w:fldCharType="end"/>
        </w:r>
      </w:hyperlink>
    </w:p>
    <w:p w14:paraId="26FA5FE7" w14:textId="6CA9C00F"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65" w:history="1">
        <w:r w:rsidR="00236917" w:rsidRPr="00FB463E">
          <w:rPr>
            <w:rStyle w:val="Lienhypertexte"/>
            <w:rFonts w:eastAsia="Calibri"/>
            <w:b/>
            <w:bCs/>
            <w:noProof/>
            <w:lang w:eastAsia="en-GB"/>
          </w:rPr>
          <w:t>1.1.1.1</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Identifier of the product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_Toc93326465 \h </w:instrText>
        </w:r>
        <w:r w:rsidR="00236917" w:rsidRPr="00FB463E">
          <w:rPr>
            <w:noProof/>
            <w:webHidden/>
          </w:rPr>
        </w:r>
        <w:r w:rsidR="00236917" w:rsidRPr="00FB463E">
          <w:rPr>
            <w:noProof/>
            <w:webHidden/>
          </w:rPr>
          <w:fldChar w:fldCharType="separate"/>
        </w:r>
        <w:r w:rsidR="00236917" w:rsidRPr="00FB463E">
          <w:rPr>
            <w:noProof/>
            <w:webHidden/>
          </w:rPr>
          <w:t>17</w:t>
        </w:r>
        <w:r w:rsidR="00236917" w:rsidRPr="00FB463E">
          <w:rPr>
            <w:noProof/>
            <w:webHidden/>
          </w:rPr>
          <w:fldChar w:fldCharType="end"/>
        </w:r>
      </w:hyperlink>
    </w:p>
    <w:p w14:paraId="6E3DF12A" w14:textId="63E0A7A5"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66" w:history="1">
        <w:r w:rsidR="00236917" w:rsidRPr="00FB463E">
          <w:rPr>
            <w:rStyle w:val="Lienhypertexte"/>
            <w:rFonts w:eastAsia="Calibri"/>
            <w:b/>
            <w:bCs/>
            <w:noProof/>
            <w:lang w:eastAsia="en-GB"/>
          </w:rPr>
          <w:t>1.1.1.2</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Authorisation holder</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_Toc93326466 \h </w:instrText>
        </w:r>
        <w:r w:rsidR="00236917" w:rsidRPr="00FB463E">
          <w:rPr>
            <w:noProof/>
            <w:webHidden/>
          </w:rPr>
        </w:r>
        <w:r w:rsidR="00236917" w:rsidRPr="00FB463E">
          <w:rPr>
            <w:noProof/>
            <w:webHidden/>
          </w:rPr>
          <w:fldChar w:fldCharType="separate"/>
        </w:r>
        <w:r w:rsidR="00236917" w:rsidRPr="00FB463E">
          <w:rPr>
            <w:noProof/>
            <w:webHidden/>
          </w:rPr>
          <w:t>21</w:t>
        </w:r>
        <w:r w:rsidR="00236917" w:rsidRPr="00FB463E">
          <w:rPr>
            <w:noProof/>
            <w:webHidden/>
          </w:rPr>
          <w:fldChar w:fldCharType="end"/>
        </w:r>
      </w:hyperlink>
    </w:p>
    <w:p w14:paraId="5959C6B3" w14:textId="41B55287"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67" w:history="1">
        <w:r w:rsidR="00236917" w:rsidRPr="00FB463E">
          <w:rPr>
            <w:rStyle w:val="Lienhypertexte"/>
            <w:rFonts w:eastAsia="Calibri"/>
            <w:b/>
            <w:bCs/>
            <w:noProof/>
            <w:lang w:eastAsia="en-GB"/>
          </w:rPr>
          <w:t>1.1.1.3</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Manufacturer(s) of the products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_Toc93326467 \h </w:instrText>
        </w:r>
        <w:r w:rsidR="00236917" w:rsidRPr="00FB463E">
          <w:rPr>
            <w:noProof/>
            <w:webHidden/>
          </w:rPr>
        </w:r>
        <w:r w:rsidR="00236917" w:rsidRPr="00FB463E">
          <w:rPr>
            <w:noProof/>
            <w:webHidden/>
          </w:rPr>
          <w:fldChar w:fldCharType="separate"/>
        </w:r>
        <w:r w:rsidR="00236917" w:rsidRPr="00FB463E">
          <w:rPr>
            <w:noProof/>
            <w:webHidden/>
          </w:rPr>
          <w:t>21</w:t>
        </w:r>
        <w:r w:rsidR="00236917" w:rsidRPr="00FB463E">
          <w:rPr>
            <w:noProof/>
            <w:webHidden/>
          </w:rPr>
          <w:fldChar w:fldCharType="end"/>
        </w:r>
      </w:hyperlink>
    </w:p>
    <w:p w14:paraId="6428B756" w14:textId="027FCC83"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68" w:history="1">
        <w:r w:rsidR="00236917" w:rsidRPr="00FB463E">
          <w:rPr>
            <w:rStyle w:val="Lienhypertexte"/>
            <w:rFonts w:eastAsia="Calibri"/>
            <w:b/>
            <w:bCs/>
            <w:noProof/>
            <w:lang w:eastAsia="en-GB"/>
          </w:rPr>
          <w:t>1.1.1.4</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Manufacturer(s) of the active substance(s)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_Toc93326468 \h </w:instrText>
        </w:r>
        <w:r w:rsidR="00236917" w:rsidRPr="00FB463E">
          <w:rPr>
            <w:noProof/>
            <w:webHidden/>
          </w:rPr>
        </w:r>
        <w:r w:rsidR="00236917" w:rsidRPr="00FB463E">
          <w:rPr>
            <w:noProof/>
            <w:webHidden/>
          </w:rPr>
          <w:fldChar w:fldCharType="separate"/>
        </w:r>
        <w:r w:rsidR="00236917" w:rsidRPr="00FB463E">
          <w:rPr>
            <w:noProof/>
            <w:webHidden/>
          </w:rPr>
          <w:t>22</w:t>
        </w:r>
        <w:r w:rsidR="00236917" w:rsidRPr="00FB463E">
          <w:rPr>
            <w:noProof/>
            <w:webHidden/>
          </w:rPr>
          <w:fldChar w:fldCharType="end"/>
        </w:r>
      </w:hyperlink>
    </w:p>
    <w:p w14:paraId="090E572E" w14:textId="6AC77598"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469" w:history="1">
        <w:r w:rsidR="00236917" w:rsidRPr="00FB463E">
          <w:rPr>
            <w:rStyle w:val="Lienhypertexte"/>
            <w:rFonts w:eastAsia="Calibri"/>
            <w:noProof/>
            <w:lang w:eastAsia="en-US"/>
          </w:rPr>
          <w:t>1.1.2</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Product composition and formulation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_Toc93326469 \h </w:instrText>
        </w:r>
        <w:r w:rsidR="00236917" w:rsidRPr="00FB463E">
          <w:rPr>
            <w:noProof/>
            <w:webHidden/>
          </w:rPr>
        </w:r>
        <w:r w:rsidR="00236917" w:rsidRPr="00FB463E">
          <w:rPr>
            <w:noProof/>
            <w:webHidden/>
          </w:rPr>
          <w:fldChar w:fldCharType="separate"/>
        </w:r>
        <w:r w:rsidR="00236917" w:rsidRPr="00FB463E">
          <w:rPr>
            <w:noProof/>
            <w:webHidden/>
          </w:rPr>
          <w:t>24</w:t>
        </w:r>
        <w:r w:rsidR="00236917" w:rsidRPr="00FB463E">
          <w:rPr>
            <w:noProof/>
            <w:webHidden/>
          </w:rPr>
          <w:fldChar w:fldCharType="end"/>
        </w:r>
      </w:hyperlink>
    </w:p>
    <w:p w14:paraId="063339A2" w14:textId="0073BFFE"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70" w:history="1">
        <w:r w:rsidR="00236917" w:rsidRPr="00FB463E">
          <w:rPr>
            <w:rStyle w:val="Lienhypertexte"/>
            <w:rFonts w:eastAsia="Calibri"/>
            <w:b/>
            <w:noProof/>
          </w:rPr>
          <w:t>1.1.2.1</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Identity of the active substance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_Toc93326470 \h </w:instrText>
        </w:r>
        <w:r w:rsidR="00236917" w:rsidRPr="00FB463E">
          <w:rPr>
            <w:noProof/>
            <w:webHidden/>
          </w:rPr>
        </w:r>
        <w:r w:rsidR="00236917" w:rsidRPr="00FB463E">
          <w:rPr>
            <w:noProof/>
            <w:webHidden/>
          </w:rPr>
          <w:fldChar w:fldCharType="separate"/>
        </w:r>
        <w:r w:rsidR="00236917" w:rsidRPr="00FB463E">
          <w:rPr>
            <w:noProof/>
            <w:webHidden/>
          </w:rPr>
          <w:t>24</w:t>
        </w:r>
        <w:r w:rsidR="00236917" w:rsidRPr="00FB463E">
          <w:rPr>
            <w:noProof/>
            <w:webHidden/>
          </w:rPr>
          <w:fldChar w:fldCharType="end"/>
        </w:r>
      </w:hyperlink>
    </w:p>
    <w:p w14:paraId="7636BEFC" w14:textId="78679A2B"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71" w:history="1">
        <w:r w:rsidR="00236917" w:rsidRPr="00FB463E">
          <w:rPr>
            <w:rStyle w:val="Lienhypertexte"/>
            <w:rFonts w:eastAsia="Calibri"/>
            <w:b/>
            <w:noProof/>
            <w:lang w:eastAsia="fr-FR"/>
          </w:rPr>
          <w:t>1.1.2.2</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Candidate(s) for substitution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_Toc93326471 \h </w:instrText>
        </w:r>
        <w:r w:rsidR="00236917" w:rsidRPr="00FB463E">
          <w:rPr>
            <w:noProof/>
            <w:webHidden/>
          </w:rPr>
        </w:r>
        <w:r w:rsidR="00236917" w:rsidRPr="00FB463E">
          <w:rPr>
            <w:noProof/>
            <w:webHidden/>
          </w:rPr>
          <w:fldChar w:fldCharType="separate"/>
        </w:r>
        <w:r w:rsidR="00236917" w:rsidRPr="00FB463E">
          <w:rPr>
            <w:noProof/>
            <w:webHidden/>
          </w:rPr>
          <w:t>24</w:t>
        </w:r>
        <w:r w:rsidR="00236917" w:rsidRPr="00FB463E">
          <w:rPr>
            <w:noProof/>
            <w:webHidden/>
          </w:rPr>
          <w:fldChar w:fldCharType="end"/>
        </w:r>
      </w:hyperlink>
    </w:p>
    <w:p w14:paraId="2D49C029" w14:textId="6FC5917E"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72" w:history="1">
        <w:r w:rsidR="00236917" w:rsidRPr="00FB463E">
          <w:rPr>
            <w:rStyle w:val="Lienhypertexte"/>
            <w:rFonts w:eastAsia="Calibri"/>
            <w:b/>
            <w:bCs/>
            <w:noProof/>
            <w:lang w:eastAsia="en-GB"/>
          </w:rPr>
          <w:t>1.1.2.3</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Qualitative and quantitative information on the composition of the biocidal product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_Toc93326472 \h </w:instrText>
        </w:r>
        <w:r w:rsidR="00236917" w:rsidRPr="00FB463E">
          <w:rPr>
            <w:noProof/>
            <w:webHidden/>
          </w:rPr>
        </w:r>
        <w:r w:rsidR="00236917" w:rsidRPr="00FB463E">
          <w:rPr>
            <w:noProof/>
            <w:webHidden/>
          </w:rPr>
          <w:fldChar w:fldCharType="separate"/>
        </w:r>
        <w:r w:rsidR="00236917" w:rsidRPr="00FB463E">
          <w:rPr>
            <w:noProof/>
            <w:webHidden/>
          </w:rPr>
          <w:t>25</w:t>
        </w:r>
        <w:r w:rsidR="00236917" w:rsidRPr="00FB463E">
          <w:rPr>
            <w:noProof/>
            <w:webHidden/>
          </w:rPr>
          <w:fldChar w:fldCharType="end"/>
        </w:r>
      </w:hyperlink>
    </w:p>
    <w:p w14:paraId="015DAD0E" w14:textId="60E8ADC1"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73" w:history="1">
        <w:r w:rsidR="00236917" w:rsidRPr="00FB463E">
          <w:rPr>
            <w:rStyle w:val="Lienhypertexte"/>
            <w:rFonts w:eastAsia="Calibri"/>
            <w:b/>
            <w:noProof/>
            <w:lang w:eastAsia="fr-FR"/>
          </w:rPr>
          <w:t>1.1.2.4</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Information on technical equivalence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_Toc93326473 \h </w:instrText>
        </w:r>
        <w:r w:rsidR="00236917" w:rsidRPr="00FB463E">
          <w:rPr>
            <w:noProof/>
            <w:webHidden/>
          </w:rPr>
        </w:r>
        <w:r w:rsidR="00236917" w:rsidRPr="00FB463E">
          <w:rPr>
            <w:noProof/>
            <w:webHidden/>
          </w:rPr>
          <w:fldChar w:fldCharType="separate"/>
        </w:r>
        <w:r w:rsidR="00236917" w:rsidRPr="00FB463E">
          <w:rPr>
            <w:noProof/>
            <w:webHidden/>
          </w:rPr>
          <w:t>25</w:t>
        </w:r>
        <w:r w:rsidR="00236917" w:rsidRPr="00FB463E">
          <w:rPr>
            <w:noProof/>
            <w:webHidden/>
          </w:rPr>
          <w:fldChar w:fldCharType="end"/>
        </w:r>
      </w:hyperlink>
    </w:p>
    <w:p w14:paraId="01C4A27E" w14:textId="70EEB332"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74" w:history="1">
        <w:r w:rsidR="00236917" w:rsidRPr="00FB463E">
          <w:rPr>
            <w:rStyle w:val="Lienhypertexte"/>
            <w:rFonts w:eastAsia="Calibri"/>
            <w:b/>
            <w:noProof/>
          </w:rPr>
          <w:t>1.1.2.5</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Type of formulation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_Toc93326474 \h </w:instrText>
        </w:r>
        <w:r w:rsidR="00236917" w:rsidRPr="00FB463E">
          <w:rPr>
            <w:noProof/>
            <w:webHidden/>
          </w:rPr>
        </w:r>
        <w:r w:rsidR="00236917" w:rsidRPr="00FB463E">
          <w:rPr>
            <w:noProof/>
            <w:webHidden/>
          </w:rPr>
          <w:fldChar w:fldCharType="separate"/>
        </w:r>
        <w:r w:rsidR="00236917" w:rsidRPr="00FB463E">
          <w:rPr>
            <w:noProof/>
            <w:webHidden/>
          </w:rPr>
          <w:t>25</w:t>
        </w:r>
        <w:r w:rsidR="00236917" w:rsidRPr="00FB463E">
          <w:rPr>
            <w:noProof/>
            <w:webHidden/>
          </w:rPr>
          <w:fldChar w:fldCharType="end"/>
        </w:r>
      </w:hyperlink>
    </w:p>
    <w:p w14:paraId="6F9A7C49" w14:textId="006FCD57"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475" w:history="1">
        <w:r w:rsidR="00236917" w:rsidRPr="00FB463E">
          <w:rPr>
            <w:rStyle w:val="Lienhypertexte"/>
            <w:rFonts w:eastAsia="Calibri"/>
            <w:noProof/>
          </w:rPr>
          <w:t>1.1.3</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Hazard and precautionary statements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_Toc93326475 \h </w:instrText>
        </w:r>
        <w:r w:rsidR="00236917" w:rsidRPr="00FB463E">
          <w:rPr>
            <w:noProof/>
            <w:webHidden/>
          </w:rPr>
        </w:r>
        <w:r w:rsidR="00236917" w:rsidRPr="00FB463E">
          <w:rPr>
            <w:noProof/>
            <w:webHidden/>
          </w:rPr>
          <w:fldChar w:fldCharType="separate"/>
        </w:r>
        <w:r w:rsidR="00236917" w:rsidRPr="00FB463E">
          <w:rPr>
            <w:noProof/>
            <w:webHidden/>
          </w:rPr>
          <w:t>25</w:t>
        </w:r>
        <w:r w:rsidR="00236917" w:rsidRPr="00FB463E">
          <w:rPr>
            <w:noProof/>
            <w:webHidden/>
          </w:rPr>
          <w:fldChar w:fldCharType="end"/>
        </w:r>
      </w:hyperlink>
    </w:p>
    <w:p w14:paraId="149EF0EC" w14:textId="77FC56C1"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476" w:history="1">
        <w:r w:rsidR="00236917" w:rsidRPr="00FB463E">
          <w:rPr>
            <w:rStyle w:val="Lienhypertexte"/>
            <w:rFonts w:eastAsia="Calibri"/>
            <w:noProof/>
          </w:rPr>
          <w:t>1.1.4</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Authorised use(s)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_Toc93326476 \h </w:instrText>
        </w:r>
        <w:r w:rsidR="00236917" w:rsidRPr="00FB463E">
          <w:rPr>
            <w:noProof/>
            <w:webHidden/>
          </w:rPr>
        </w:r>
        <w:r w:rsidR="00236917" w:rsidRPr="00FB463E">
          <w:rPr>
            <w:noProof/>
            <w:webHidden/>
          </w:rPr>
          <w:fldChar w:fldCharType="separate"/>
        </w:r>
        <w:r w:rsidR="00236917" w:rsidRPr="00FB463E">
          <w:rPr>
            <w:noProof/>
            <w:webHidden/>
          </w:rPr>
          <w:t>26</w:t>
        </w:r>
        <w:r w:rsidR="00236917" w:rsidRPr="00FB463E">
          <w:rPr>
            <w:noProof/>
            <w:webHidden/>
          </w:rPr>
          <w:fldChar w:fldCharType="end"/>
        </w:r>
      </w:hyperlink>
    </w:p>
    <w:p w14:paraId="308D445C" w14:textId="35147E27"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77" w:history="1">
        <w:r w:rsidR="00236917" w:rsidRPr="00FB463E">
          <w:rPr>
            <w:rStyle w:val="Lienhypertexte"/>
            <w:rFonts w:eastAsia="Calibri"/>
            <w:b/>
            <w:noProof/>
          </w:rPr>
          <w:t>1.1.4.1</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Use description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_Toc93326477 \h </w:instrText>
        </w:r>
        <w:r w:rsidR="00236917" w:rsidRPr="00FB463E">
          <w:rPr>
            <w:noProof/>
            <w:webHidden/>
          </w:rPr>
        </w:r>
        <w:r w:rsidR="00236917" w:rsidRPr="00FB463E">
          <w:rPr>
            <w:noProof/>
            <w:webHidden/>
          </w:rPr>
          <w:fldChar w:fldCharType="separate"/>
        </w:r>
        <w:r w:rsidR="00236917" w:rsidRPr="00FB463E">
          <w:rPr>
            <w:noProof/>
            <w:webHidden/>
          </w:rPr>
          <w:t>26</w:t>
        </w:r>
        <w:r w:rsidR="00236917" w:rsidRPr="00FB463E">
          <w:rPr>
            <w:noProof/>
            <w:webHidden/>
          </w:rPr>
          <w:fldChar w:fldCharType="end"/>
        </w:r>
      </w:hyperlink>
    </w:p>
    <w:p w14:paraId="368440DC" w14:textId="4ACE3269"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78" w:history="1">
        <w:r w:rsidR="00236917" w:rsidRPr="00FB463E">
          <w:rPr>
            <w:rStyle w:val="Lienhypertexte"/>
            <w:rFonts w:eastAsia="Calibri" w:cs="Times"/>
            <w:bCs/>
            <w:noProof/>
          </w:rPr>
          <w:t>1.1.4.1.1</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instructions for use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_Toc93326478 \h </w:instrText>
        </w:r>
        <w:r w:rsidR="00236917" w:rsidRPr="00FB463E">
          <w:rPr>
            <w:noProof/>
            <w:webHidden/>
          </w:rPr>
        </w:r>
        <w:r w:rsidR="00236917" w:rsidRPr="00FB463E">
          <w:rPr>
            <w:noProof/>
            <w:webHidden/>
          </w:rPr>
          <w:fldChar w:fldCharType="separate"/>
        </w:r>
        <w:r w:rsidR="00236917" w:rsidRPr="00FB463E">
          <w:rPr>
            <w:noProof/>
            <w:webHidden/>
          </w:rPr>
          <w:t>27</w:t>
        </w:r>
        <w:r w:rsidR="00236917" w:rsidRPr="00FB463E">
          <w:rPr>
            <w:noProof/>
            <w:webHidden/>
          </w:rPr>
          <w:fldChar w:fldCharType="end"/>
        </w:r>
      </w:hyperlink>
    </w:p>
    <w:p w14:paraId="0AB8FDAF" w14:textId="7738B08C"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79" w:history="1">
        <w:r w:rsidR="00236917" w:rsidRPr="00FB463E">
          <w:rPr>
            <w:rStyle w:val="Lienhypertexte"/>
            <w:rFonts w:eastAsia="Calibri" w:cs="Times"/>
            <w:bCs/>
            <w:noProof/>
          </w:rPr>
          <w:t>1.1.4.1.2</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risk mitigation measures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_Toc93326479 \h </w:instrText>
        </w:r>
        <w:r w:rsidR="00236917" w:rsidRPr="00FB463E">
          <w:rPr>
            <w:noProof/>
            <w:webHidden/>
          </w:rPr>
        </w:r>
        <w:r w:rsidR="00236917" w:rsidRPr="00FB463E">
          <w:rPr>
            <w:noProof/>
            <w:webHidden/>
          </w:rPr>
          <w:fldChar w:fldCharType="separate"/>
        </w:r>
        <w:r w:rsidR="00236917" w:rsidRPr="00FB463E">
          <w:rPr>
            <w:noProof/>
            <w:webHidden/>
          </w:rPr>
          <w:t>27</w:t>
        </w:r>
        <w:r w:rsidR="00236917" w:rsidRPr="00FB463E">
          <w:rPr>
            <w:noProof/>
            <w:webHidden/>
          </w:rPr>
          <w:fldChar w:fldCharType="end"/>
        </w:r>
      </w:hyperlink>
    </w:p>
    <w:p w14:paraId="75E8DA2B" w14:textId="1C111FD8"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80" w:history="1">
        <w:r w:rsidR="00236917" w:rsidRPr="00FB463E">
          <w:rPr>
            <w:rStyle w:val="Lienhypertexte"/>
            <w:rFonts w:eastAsia="Calibri" w:cs="Times"/>
            <w:bCs/>
            <w:noProof/>
          </w:rPr>
          <w:t>1.1.4.1.3</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particulars of likely direct or indirect effects, first aid instructions and emergency measures to protect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_Toc93326480 \h </w:instrText>
        </w:r>
        <w:r w:rsidR="00236917" w:rsidRPr="00FB463E">
          <w:rPr>
            <w:noProof/>
            <w:webHidden/>
          </w:rPr>
        </w:r>
        <w:r w:rsidR="00236917" w:rsidRPr="00FB463E">
          <w:rPr>
            <w:noProof/>
            <w:webHidden/>
          </w:rPr>
          <w:fldChar w:fldCharType="separate"/>
        </w:r>
        <w:r w:rsidR="00236917" w:rsidRPr="00FB463E">
          <w:rPr>
            <w:noProof/>
            <w:webHidden/>
          </w:rPr>
          <w:t>28</w:t>
        </w:r>
        <w:r w:rsidR="00236917" w:rsidRPr="00FB463E">
          <w:rPr>
            <w:noProof/>
            <w:webHidden/>
          </w:rPr>
          <w:fldChar w:fldCharType="end"/>
        </w:r>
      </w:hyperlink>
    </w:p>
    <w:p w14:paraId="01069B49" w14:textId="4AA4955F"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81" w:history="1">
        <w:r w:rsidR="00236917" w:rsidRPr="00FB463E">
          <w:rPr>
            <w:rStyle w:val="Lienhypertexte"/>
            <w:rFonts w:eastAsia="Calibri" w:cs="Times"/>
            <w:bCs/>
            <w:noProof/>
          </w:rPr>
          <w:t>1.1.4.1.4</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instructions for safe disposal of the product and its packaging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_Toc93326481 \h </w:instrText>
        </w:r>
        <w:r w:rsidR="00236917" w:rsidRPr="00FB463E">
          <w:rPr>
            <w:noProof/>
            <w:webHidden/>
          </w:rPr>
        </w:r>
        <w:r w:rsidR="00236917" w:rsidRPr="00FB463E">
          <w:rPr>
            <w:noProof/>
            <w:webHidden/>
          </w:rPr>
          <w:fldChar w:fldCharType="separate"/>
        </w:r>
        <w:r w:rsidR="00236917" w:rsidRPr="00FB463E">
          <w:rPr>
            <w:noProof/>
            <w:webHidden/>
          </w:rPr>
          <w:t>28</w:t>
        </w:r>
        <w:r w:rsidR="00236917" w:rsidRPr="00FB463E">
          <w:rPr>
            <w:noProof/>
            <w:webHidden/>
          </w:rPr>
          <w:fldChar w:fldCharType="end"/>
        </w:r>
      </w:hyperlink>
    </w:p>
    <w:p w14:paraId="757FF624" w14:textId="671B7BD8"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82" w:history="1">
        <w:r w:rsidR="00236917" w:rsidRPr="00FB463E">
          <w:rPr>
            <w:rStyle w:val="Lienhypertexte"/>
            <w:rFonts w:eastAsia="Calibri" w:cs="Times"/>
            <w:bCs/>
            <w:noProof/>
          </w:rPr>
          <w:t>1.1.4.1.5</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conditions of storage and shelf-life of the product under normal conditions of storage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_Toc93326482 \h </w:instrText>
        </w:r>
        <w:r w:rsidR="00236917" w:rsidRPr="00FB463E">
          <w:rPr>
            <w:noProof/>
            <w:webHidden/>
          </w:rPr>
        </w:r>
        <w:r w:rsidR="00236917" w:rsidRPr="00FB463E">
          <w:rPr>
            <w:noProof/>
            <w:webHidden/>
          </w:rPr>
          <w:fldChar w:fldCharType="separate"/>
        </w:r>
        <w:r w:rsidR="00236917" w:rsidRPr="00FB463E">
          <w:rPr>
            <w:noProof/>
            <w:webHidden/>
          </w:rPr>
          <w:t>28</w:t>
        </w:r>
        <w:r w:rsidR="00236917" w:rsidRPr="00FB463E">
          <w:rPr>
            <w:noProof/>
            <w:webHidden/>
          </w:rPr>
          <w:fldChar w:fldCharType="end"/>
        </w:r>
      </w:hyperlink>
    </w:p>
    <w:p w14:paraId="4912ACE1" w14:textId="564684A0"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83" w:history="1">
        <w:r w:rsidR="00236917" w:rsidRPr="00FB463E">
          <w:rPr>
            <w:rStyle w:val="Lienhypertexte"/>
            <w:rFonts w:eastAsia="Calibri"/>
            <w:b/>
            <w:noProof/>
          </w:rPr>
          <w:t>1.1.4.2</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Use description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_Toc93326483 \h </w:instrText>
        </w:r>
        <w:r w:rsidR="00236917" w:rsidRPr="00FB463E">
          <w:rPr>
            <w:noProof/>
            <w:webHidden/>
          </w:rPr>
        </w:r>
        <w:r w:rsidR="00236917" w:rsidRPr="00FB463E">
          <w:rPr>
            <w:noProof/>
            <w:webHidden/>
          </w:rPr>
          <w:fldChar w:fldCharType="separate"/>
        </w:r>
        <w:r w:rsidR="00236917" w:rsidRPr="00FB463E">
          <w:rPr>
            <w:noProof/>
            <w:webHidden/>
          </w:rPr>
          <w:t>28</w:t>
        </w:r>
        <w:r w:rsidR="00236917" w:rsidRPr="00FB463E">
          <w:rPr>
            <w:noProof/>
            <w:webHidden/>
          </w:rPr>
          <w:fldChar w:fldCharType="end"/>
        </w:r>
      </w:hyperlink>
    </w:p>
    <w:p w14:paraId="6C7F0508" w14:textId="2C26D7AD"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84" w:history="1">
        <w:r w:rsidR="00236917" w:rsidRPr="00FB463E">
          <w:rPr>
            <w:rStyle w:val="Lienhypertexte"/>
            <w:rFonts w:eastAsia="Calibri" w:cs="Times"/>
            <w:bCs/>
            <w:noProof/>
          </w:rPr>
          <w:t>1.1.4.2.1</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instructions for use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_Toc93326484 \h </w:instrText>
        </w:r>
        <w:r w:rsidR="00236917" w:rsidRPr="00FB463E">
          <w:rPr>
            <w:noProof/>
            <w:webHidden/>
          </w:rPr>
        </w:r>
        <w:r w:rsidR="00236917" w:rsidRPr="00FB463E">
          <w:rPr>
            <w:noProof/>
            <w:webHidden/>
          </w:rPr>
          <w:fldChar w:fldCharType="separate"/>
        </w:r>
        <w:r w:rsidR="00236917" w:rsidRPr="00FB463E">
          <w:rPr>
            <w:noProof/>
            <w:webHidden/>
          </w:rPr>
          <w:t>28</w:t>
        </w:r>
        <w:r w:rsidR="00236917" w:rsidRPr="00FB463E">
          <w:rPr>
            <w:noProof/>
            <w:webHidden/>
          </w:rPr>
          <w:fldChar w:fldCharType="end"/>
        </w:r>
      </w:hyperlink>
    </w:p>
    <w:p w14:paraId="5FF1072E" w14:textId="11A79880"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85" w:history="1">
        <w:r w:rsidR="00236917" w:rsidRPr="00FB463E">
          <w:rPr>
            <w:rStyle w:val="Lienhypertexte"/>
            <w:rFonts w:eastAsia="Calibri" w:cs="Times"/>
            <w:bCs/>
            <w:noProof/>
          </w:rPr>
          <w:t>1.1.4.2.2</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risk mitigation measures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_Toc93326485 \h </w:instrText>
        </w:r>
        <w:r w:rsidR="00236917" w:rsidRPr="00FB463E">
          <w:rPr>
            <w:noProof/>
            <w:webHidden/>
          </w:rPr>
        </w:r>
        <w:r w:rsidR="00236917" w:rsidRPr="00FB463E">
          <w:rPr>
            <w:noProof/>
            <w:webHidden/>
          </w:rPr>
          <w:fldChar w:fldCharType="separate"/>
        </w:r>
        <w:r w:rsidR="00236917" w:rsidRPr="00FB463E">
          <w:rPr>
            <w:noProof/>
            <w:webHidden/>
          </w:rPr>
          <w:t>29</w:t>
        </w:r>
        <w:r w:rsidR="00236917" w:rsidRPr="00FB463E">
          <w:rPr>
            <w:noProof/>
            <w:webHidden/>
          </w:rPr>
          <w:fldChar w:fldCharType="end"/>
        </w:r>
      </w:hyperlink>
    </w:p>
    <w:p w14:paraId="3CAD528B" w14:textId="3655D4C1"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86" w:history="1">
        <w:r w:rsidR="00236917" w:rsidRPr="00FB463E">
          <w:rPr>
            <w:rStyle w:val="Lienhypertexte"/>
            <w:rFonts w:eastAsia="Calibri" w:cs="Times"/>
            <w:bCs/>
            <w:noProof/>
          </w:rPr>
          <w:t>1.1.4.2.3</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particulars of likely direct or indirect effects, first aid instructions and emergency measures to protect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_Toc93326486 \h </w:instrText>
        </w:r>
        <w:r w:rsidR="00236917" w:rsidRPr="00FB463E">
          <w:rPr>
            <w:noProof/>
            <w:webHidden/>
          </w:rPr>
        </w:r>
        <w:r w:rsidR="00236917" w:rsidRPr="00FB463E">
          <w:rPr>
            <w:noProof/>
            <w:webHidden/>
          </w:rPr>
          <w:fldChar w:fldCharType="separate"/>
        </w:r>
        <w:r w:rsidR="00236917" w:rsidRPr="00FB463E">
          <w:rPr>
            <w:noProof/>
            <w:webHidden/>
          </w:rPr>
          <w:t>29</w:t>
        </w:r>
        <w:r w:rsidR="00236917" w:rsidRPr="00FB463E">
          <w:rPr>
            <w:noProof/>
            <w:webHidden/>
          </w:rPr>
          <w:fldChar w:fldCharType="end"/>
        </w:r>
      </w:hyperlink>
    </w:p>
    <w:p w14:paraId="60446860" w14:textId="67FDD78C"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87" w:history="1">
        <w:r w:rsidR="00236917" w:rsidRPr="00FB463E">
          <w:rPr>
            <w:rStyle w:val="Lienhypertexte"/>
            <w:rFonts w:eastAsia="Calibri" w:cs="Times"/>
            <w:bCs/>
            <w:noProof/>
          </w:rPr>
          <w:t>1.1.4.2.4</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instructions for safe disposal of the product and its packaging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_Toc93326487 \h </w:instrText>
        </w:r>
        <w:r w:rsidR="00236917" w:rsidRPr="00FB463E">
          <w:rPr>
            <w:noProof/>
            <w:webHidden/>
          </w:rPr>
        </w:r>
        <w:r w:rsidR="00236917" w:rsidRPr="00FB463E">
          <w:rPr>
            <w:noProof/>
            <w:webHidden/>
          </w:rPr>
          <w:fldChar w:fldCharType="separate"/>
        </w:r>
        <w:r w:rsidR="00236917" w:rsidRPr="00FB463E">
          <w:rPr>
            <w:noProof/>
            <w:webHidden/>
          </w:rPr>
          <w:t>29</w:t>
        </w:r>
        <w:r w:rsidR="00236917" w:rsidRPr="00FB463E">
          <w:rPr>
            <w:noProof/>
            <w:webHidden/>
          </w:rPr>
          <w:fldChar w:fldCharType="end"/>
        </w:r>
      </w:hyperlink>
    </w:p>
    <w:p w14:paraId="3B650876" w14:textId="78A38479"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88" w:history="1">
        <w:r w:rsidR="00236917" w:rsidRPr="00FB463E">
          <w:rPr>
            <w:rStyle w:val="Lienhypertexte"/>
            <w:rFonts w:eastAsia="Calibri" w:cs="Times"/>
            <w:bCs/>
            <w:noProof/>
          </w:rPr>
          <w:t>1.1.4.2.5</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conditions of storage and shelf-life of the product under normal conditions of storage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_Toc93326488 \h </w:instrText>
        </w:r>
        <w:r w:rsidR="00236917" w:rsidRPr="00FB463E">
          <w:rPr>
            <w:noProof/>
            <w:webHidden/>
          </w:rPr>
        </w:r>
        <w:r w:rsidR="00236917" w:rsidRPr="00FB463E">
          <w:rPr>
            <w:noProof/>
            <w:webHidden/>
          </w:rPr>
          <w:fldChar w:fldCharType="separate"/>
        </w:r>
        <w:r w:rsidR="00236917" w:rsidRPr="00FB463E">
          <w:rPr>
            <w:noProof/>
            <w:webHidden/>
          </w:rPr>
          <w:t>29</w:t>
        </w:r>
        <w:r w:rsidR="00236917" w:rsidRPr="00FB463E">
          <w:rPr>
            <w:noProof/>
            <w:webHidden/>
          </w:rPr>
          <w:fldChar w:fldCharType="end"/>
        </w:r>
      </w:hyperlink>
    </w:p>
    <w:p w14:paraId="2E026BB0" w14:textId="725D4DDC"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89" w:history="1">
        <w:r w:rsidR="00236917" w:rsidRPr="00FB463E">
          <w:rPr>
            <w:rStyle w:val="Lienhypertexte"/>
            <w:rFonts w:eastAsia="Calibri"/>
            <w:b/>
            <w:noProof/>
          </w:rPr>
          <w:t>1.1.4.3</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Use description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_Toc93326489 \h </w:instrText>
        </w:r>
        <w:r w:rsidR="00236917" w:rsidRPr="00FB463E">
          <w:rPr>
            <w:noProof/>
            <w:webHidden/>
          </w:rPr>
        </w:r>
        <w:r w:rsidR="00236917" w:rsidRPr="00FB463E">
          <w:rPr>
            <w:noProof/>
            <w:webHidden/>
          </w:rPr>
          <w:fldChar w:fldCharType="separate"/>
        </w:r>
        <w:r w:rsidR="00236917" w:rsidRPr="00FB463E">
          <w:rPr>
            <w:noProof/>
            <w:webHidden/>
          </w:rPr>
          <w:t>30</w:t>
        </w:r>
        <w:r w:rsidR="00236917" w:rsidRPr="00FB463E">
          <w:rPr>
            <w:noProof/>
            <w:webHidden/>
          </w:rPr>
          <w:fldChar w:fldCharType="end"/>
        </w:r>
      </w:hyperlink>
    </w:p>
    <w:p w14:paraId="2DEA0A18" w14:textId="34AB076B"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90" w:history="1">
        <w:r w:rsidR="00236917" w:rsidRPr="00FB463E">
          <w:rPr>
            <w:rStyle w:val="Lienhypertexte"/>
            <w:rFonts w:eastAsia="Calibri" w:cs="Times"/>
            <w:bCs/>
            <w:noProof/>
          </w:rPr>
          <w:t>1.1.4.3.1</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instructions for use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_Toc93326490 \h </w:instrText>
        </w:r>
        <w:r w:rsidR="00236917" w:rsidRPr="00FB463E">
          <w:rPr>
            <w:noProof/>
            <w:webHidden/>
          </w:rPr>
        </w:r>
        <w:r w:rsidR="00236917" w:rsidRPr="00FB463E">
          <w:rPr>
            <w:noProof/>
            <w:webHidden/>
          </w:rPr>
          <w:fldChar w:fldCharType="separate"/>
        </w:r>
        <w:r w:rsidR="00236917" w:rsidRPr="00FB463E">
          <w:rPr>
            <w:noProof/>
            <w:webHidden/>
          </w:rPr>
          <w:t>30</w:t>
        </w:r>
        <w:r w:rsidR="00236917" w:rsidRPr="00FB463E">
          <w:rPr>
            <w:noProof/>
            <w:webHidden/>
          </w:rPr>
          <w:fldChar w:fldCharType="end"/>
        </w:r>
      </w:hyperlink>
    </w:p>
    <w:p w14:paraId="0691F551" w14:textId="667A6216"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91" w:history="1">
        <w:r w:rsidR="00236917" w:rsidRPr="00FB463E">
          <w:rPr>
            <w:rStyle w:val="Lienhypertexte"/>
            <w:rFonts w:eastAsia="Calibri" w:cs="Times"/>
            <w:bCs/>
            <w:noProof/>
          </w:rPr>
          <w:t>1.1.4.3.2</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risk mitigation measures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_Toc93326491 \h </w:instrText>
        </w:r>
        <w:r w:rsidR="00236917" w:rsidRPr="00FB463E">
          <w:rPr>
            <w:noProof/>
            <w:webHidden/>
          </w:rPr>
        </w:r>
        <w:r w:rsidR="00236917" w:rsidRPr="00FB463E">
          <w:rPr>
            <w:noProof/>
            <w:webHidden/>
          </w:rPr>
          <w:fldChar w:fldCharType="separate"/>
        </w:r>
        <w:r w:rsidR="00236917" w:rsidRPr="00FB463E">
          <w:rPr>
            <w:noProof/>
            <w:webHidden/>
          </w:rPr>
          <w:t>31</w:t>
        </w:r>
        <w:r w:rsidR="00236917" w:rsidRPr="00FB463E">
          <w:rPr>
            <w:noProof/>
            <w:webHidden/>
          </w:rPr>
          <w:fldChar w:fldCharType="end"/>
        </w:r>
      </w:hyperlink>
    </w:p>
    <w:p w14:paraId="287CD98D" w14:textId="1259F46B"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92" w:history="1">
        <w:r w:rsidR="00236917" w:rsidRPr="00FB463E">
          <w:rPr>
            <w:rStyle w:val="Lienhypertexte"/>
            <w:rFonts w:eastAsia="Calibri" w:cs="Times"/>
            <w:bCs/>
            <w:noProof/>
          </w:rPr>
          <w:t>1.1.4.3.3</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particulars of likely direct or indirect effects, first aid instructions and emergency measures to protect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_Toc93326492 \h </w:instrText>
        </w:r>
        <w:r w:rsidR="00236917" w:rsidRPr="00FB463E">
          <w:rPr>
            <w:noProof/>
            <w:webHidden/>
          </w:rPr>
        </w:r>
        <w:r w:rsidR="00236917" w:rsidRPr="00FB463E">
          <w:rPr>
            <w:noProof/>
            <w:webHidden/>
          </w:rPr>
          <w:fldChar w:fldCharType="separate"/>
        </w:r>
        <w:r w:rsidR="00236917" w:rsidRPr="00FB463E">
          <w:rPr>
            <w:noProof/>
            <w:webHidden/>
          </w:rPr>
          <w:t>31</w:t>
        </w:r>
        <w:r w:rsidR="00236917" w:rsidRPr="00FB463E">
          <w:rPr>
            <w:noProof/>
            <w:webHidden/>
          </w:rPr>
          <w:fldChar w:fldCharType="end"/>
        </w:r>
      </w:hyperlink>
    </w:p>
    <w:p w14:paraId="58B2C7BE" w14:textId="05B2BEE1"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93" w:history="1">
        <w:r w:rsidR="00236917" w:rsidRPr="00FB463E">
          <w:rPr>
            <w:rStyle w:val="Lienhypertexte"/>
            <w:rFonts w:eastAsia="Calibri" w:cs="Times"/>
            <w:bCs/>
            <w:noProof/>
          </w:rPr>
          <w:t>1.1.4.3.4</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instructions for safe disposal of the product and its packaging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_Toc93326493 \h </w:instrText>
        </w:r>
        <w:r w:rsidR="00236917" w:rsidRPr="00FB463E">
          <w:rPr>
            <w:noProof/>
            <w:webHidden/>
          </w:rPr>
        </w:r>
        <w:r w:rsidR="00236917" w:rsidRPr="00FB463E">
          <w:rPr>
            <w:noProof/>
            <w:webHidden/>
          </w:rPr>
          <w:fldChar w:fldCharType="separate"/>
        </w:r>
        <w:r w:rsidR="00236917" w:rsidRPr="00FB463E">
          <w:rPr>
            <w:noProof/>
            <w:webHidden/>
          </w:rPr>
          <w:t>31</w:t>
        </w:r>
        <w:r w:rsidR="00236917" w:rsidRPr="00FB463E">
          <w:rPr>
            <w:noProof/>
            <w:webHidden/>
          </w:rPr>
          <w:fldChar w:fldCharType="end"/>
        </w:r>
      </w:hyperlink>
    </w:p>
    <w:p w14:paraId="5DA5B5D7" w14:textId="68DE3619"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94" w:history="1">
        <w:r w:rsidR="00236917" w:rsidRPr="00FB463E">
          <w:rPr>
            <w:rStyle w:val="Lienhypertexte"/>
            <w:rFonts w:eastAsia="Calibri" w:cs="Times"/>
            <w:bCs/>
            <w:noProof/>
          </w:rPr>
          <w:t>1.1.4.3.5</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conditions of storage and shelf-life of the product under normal conditions of storage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_Toc93326494 \h </w:instrText>
        </w:r>
        <w:r w:rsidR="00236917" w:rsidRPr="00FB463E">
          <w:rPr>
            <w:noProof/>
            <w:webHidden/>
          </w:rPr>
        </w:r>
        <w:r w:rsidR="00236917" w:rsidRPr="00FB463E">
          <w:rPr>
            <w:noProof/>
            <w:webHidden/>
          </w:rPr>
          <w:fldChar w:fldCharType="separate"/>
        </w:r>
        <w:r w:rsidR="00236917" w:rsidRPr="00FB463E">
          <w:rPr>
            <w:noProof/>
            <w:webHidden/>
          </w:rPr>
          <w:t>31</w:t>
        </w:r>
        <w:r w:rsidR="00236917" w:rsidRPr="00FB463E">
          <w:rPr>
            <w:noProof/>
            <w:webHidden/>
          </w:rPr>
          <w:fldChar w:fldCharType="end"/>
        </w:r>
      </w:hyperlink>
    </w:p>
    <w:p w14:paraId="393DCF93" w14:textId="115C0A67"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495" w:history="1">
        <w:r w:rsidR="00236917" w:rsidRPr="00FB463E">
          <w:rPr>
            <w:rStyle w:val="Lienhypertexte"/>
            <w:rFonts w:eastAsia="Calibri"/>
            <w:b/>
            <w:noProof/>
          </w:rPr>
          <w:t>1.1.4.4</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Use description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_Toc93326495 \h </w:instrText>
        </w:r>
        <w:r w:rsidR="00236917" w:rsidRPr="00FB463E">
          <w:rPr>
            <w:noProof/>
            <w:webHidden/>
          </w:rPr>
        </w:r>
        <w:r w:rsidR="00236917" w:rsidRPr="00FB463E">
          <w:rPr>
            <w:noProof/>
            <w:webHidden/>
          </w:rPr>
          <w:fldChar w:fldCharType="separate"/>
        </w:r>
        <w:r w:rsidR="00236917" w:rsidRPr="00FB463E">
          <w:rPr>
            <w:noProof/>
            <w:webHidden/>
          </w:rPr>
          <w:t>31</w:t>
        </w:r>
        <w:r w:rsidR="00236917" w:rsidRPr="00FB463E">
          <w:rPr>
            <w:noProof/>
            <w:webHidden/>
          </w:rPr>
          <w:fldChar w:fldCharType="end"/>
        </w:r>
      </w:hyperlink>
    </w:p>
    <w:p w14:paraId="13510569" w14:textId="07CE1938"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96" w:history="1">
        <w:r w:rsidR="00236917" w:rsidRPr="00FB463E">
          <w:rPr>
            <w:rStyle w:val="Lienhypertexte"/>
            <w:rFonts w:eastAsia="Calibri" w:cs="Times"/>
            <w:bCs/>
            <w:noProof/>
          </w:rPr>
          <w:t>1.1.4.4.1</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instructions for use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_Toc93326496 \h </w:instrText>
        </w:r>
        <w:r w:rsidR="00236917" w:rsidRPr="00FB463E">
          <w:rPr>
            <w:noProof/>
            <w:webHidden/>
          </w:rPr>
        </w:r>
        <w:r w:rsidR="00236917" w:rsidRPr="00FB463E">
          <w:rPr>
            <w:noProof/>
            <w:webHidden/>
          </w:rPr>
          <w:fldChar w:fldCharType="separate"/>
        </w:r>
        <w:r w:rsidR="00236917" w:rsidRPr="00FB463E">
          <w:rPr>
            <w:noProof/>
            <w:webHidden/>
          </w:rPr>
          <w:t>32</w:t>
        </w:r>
        <w:r w:rsidR="00236917" w:rsidRPr="00FB463E">
          <w:rPr>
            <w:noProof/>
            <w:webHidden/>
          </w:rPr>
          <w:fldChar w:fldCharType="end"/>
        </w:r>
      </w:hyperlink>
    </w:p>
    <w:p w14:paraId="264939CE" w14:textId="52783998"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97" w:history="1">
        <w:r w:rsidR="00236917" w:rsidRPr="00FB463E">
          <w:rPr>
            <w:rStyle w:val="Lienhypertexte"/>
            <w:rFonts w:eastAsia="Calibri" w:cs="Times"/>
            <w:bCs/>
            <w:noProof/>
          </w:rPr>
          <w:t>1.1.4.4.2</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risk mitigation measures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_Toc93326497 \h </w:instrText>
        </w:r>
        <w:r w:rsidR="00236917" w:rsidRPr="00FB463E">
          <w:rPr>
            <w:noProof/>
            <w:webHidden/>
          </w:rPr>
        </w:r>
        <w:r w:rsidR="00236917" w:rsidRPr="00FB463E">
          <w:rPr>
            <w:noProof/>
            <w:webHidden/>
          </w:rPr>
          <w:fldChar w:fldCharType="separate"/>
        </w:r>
        <w:r w:rsidR="00236917" w:rsidRPr="00FB463E">
          <w:rPr>
            <w:noProof/>
            <w:webHidden/>
          </w:rPr>
          <w:t>33</w:t>
        </w:r>
        <w:r w:rsidR="00236917" w:rsidRPr="00FB463E">
          <w:rPr>
            <w:noProof/>
            <w:webHidden/>
          </w:rPr>
          <w:fldChar w:fldCharType="end"/>
        </w:r>
      </w:hyperlink>
    </w:p>
    <w:p w14:paraId="623B5133" w14:textId="68FB8DBA"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98" w:history="1">
        <w:r w:rsidR="00236917" w:rsidRPr="00FB463E">
          <w:rPr>
            <w:rStyle w:val="Lienhypertexte"/>
            <w:rFonts w:eastAsia="Calibri" w:cs="Times"/>
            <w:bCs/>
            <w:noProof/>
          </w:rPr>
          <w:t>1.1.4.4.3</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particulars of likely direct or indirect effects, first aid instructions and emergency measures to protect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_Toc93326498 \h </w:instrText>
        </w:r>
        <w:r w:rsidR="00236917" w:rsidRPr="00FB463E">
          <w:rPr>
            <w:noProof/>
            <w:webHidden/>
          </w:rPr>
        </w:r>
        <w:r w:rsidR="00236917" w:rsidRPr="00FB463E">
          <w:rPr>
            <w:noProof/>
            <w:webHidden/>
          </w:rPr>
          <w:fldChar w:fldCharType="separate"/>
        </w:r>
        <w:r w:rsidR="00236917" w:rsidRPr="00FB463E">
          <w:rPr>
            <w:noProof/>
            <w:webHidden/>
          </w:rPr>
          <w:t>34</w:t>
        </w:r>
        <w:r w:rsidR="00236917" w:rsidRPr="00FB463E">
          <w:rPr>
            <w:noProof/>
            <w:webHidden/>
          </w:rPr>
          <w:fldChar w:fldCharType="end"/>
        </w:r>
      </w:hyperlink>
    </w:p>
    <w:p w14:paraId="18A708AB" w14:textId="164D7727"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499" w:history="1">
        <w:r w:rsidR="00236917" w:rsidRPr="00FB463E">
          <w:rPr>
            <w:rStyle w:val="Lienhypertexte"/>
            <w:rFonts w:eastAsia="Calibri" w:cs="Times"/>
            <w:bCs/>
            <w:noProof/>
          </w:rPr>
          <w:t>1.1.4.4.4</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instructions for safe disposal of the product and its packaging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_Toc93326499 \h </w:instrText>
        </w:r>
        <w:r w:rsidR="00236917" w:rsidRPr="00FB463E">
          <w:rPr>
            <w:noProof/>
            <w:webHidden/>
          </w:rPr>
        </w:r>
        <w:r w:rsidR="00236917" w:rsidRPr="00FB463E">
          <w:rPr>
            <w:noProof/>
            <w:webHidden/>
          </w:rPr>
          <w:fldChar w:fldCharType="separate"/>
        </w:r>
        <w:r w:rsidR="00236917" w:rsidRPr="00FB463E">
          <w:rPr>
            <w:noProof/>
            <w:webHidden/>
          </w:rPr>
          <w:t>34</w:t>
        </w:r>
        <w:r w:rsidR="00236917" w:rsidRPr="00FB463E">
          <w:rPr>
            <w:noProof/>
            <w:webHidden/>
          </w:rPr>
          <w:fldChar w:fldCharType="end"/>
        </w:r>
      </w:hyperlink>
    </w:p>
    <w:p w14:paraId="5B043441" w14:textId="5A01479A"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00" w:history="1">
        <w:r w:rsidR="00236917" w:rsidRPr="00FB463E">
          <w:rPr>
            <w:rStyle w:val="Lienhypertexte"/>
            <w:rFonts w:eastAsia="Calibri" w:cs="Times"/>
            <w:bCs/>
            <w:noProof/>
          </w:rPr>
          <w:t>1.1.4.4.5</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conditions of storage and shelf-life of the product under normal conditions of storage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_Toc93326500 \h </w:instrText>
        </w:r>
        <w:r w:rsidR="00236917" w:rsidRPr="00FB463E">
          <w:rPr>
            <w:noProof/>
            <w:webHidden/>
          </w:rPr>
        </w:r>
        <w:r w:rsidR="00236917" w:rsidRPr="00FB463E">
          <w:rPr>
            <w:noProof/>
            <w:webHidden/>
          </w:rPr>
          <w:fldChar w:fldCharType="separate"/>
        </w:r>
        <w:r w:rsidR="00236917" w:rsidRPr="00FB463E">
          <w:rPr>
            <w:noProof/>
            <w:webHidden/>
          </w:rPr>
          <w:t>34</w:t>
        </w:r>
        <w:r w:rsidR="00236917" w:rsidRPr="00FB463E">
          <w:rPr>
            <w:noProof/>
            <w:webHidden/>
          </w:rPr>
          <w:fldChar w:fldCharType="end"/>
        </w:r>
      </w:hyperlink>
    </w:p>
    <w:p w14:paraId="4B557AED" w14:textId="5B3D4F3E"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01" w:history="1">
        <w:r w:rsidR="00236917" w:rsidRPr="00FB463E">
          <w:rPr>
            <w:rStyle w:val="Lienhypertexte"/>
            <w:rFonts w:eastAsia="Calibri"/>
            <w:b/>
            <w:noProof/>
          </w:rPr>
          <w:t>1.1.4.5</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Use description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_Toc93326501 \h </w:instrText>
        </w:r>
        <w:r w:rsidR="00236917" w:rsidRPr="00FB463E">
          <w:rPr>
            <w:noProof/>
            <w:webHidden/>
          </w:rPr>
        </w:r>
        <w:r w:rsidR="00236917" w:rsidRPr="00FB463E">
          <w:rPr>
            <w:noProof/>
            <w:webHidden/>
          </w:rPr>
          <w:fldChar w:fldCharType="separate"/>
        </w:r>
        <w:r w:rsidR="00236917" w:rsidRPr="00FB463E">
          <w:rPr>
            <w:noProof/>
            <w:webHidden/>
          </w:rPr>
          <w:t>34</w:t>
        </w:r>
        <w:r w:rsidR="00236917" w:rsidRPr="00FB463E">
          <w:rPr>
            <w:noProof/>
            <w:webHidden/>
          </w:rPr>
          <w:fldChar w:fldCharType="end"/>
        </w:r>
      </w:hyperlink>
    </w:p>
    <w:p w14:paraId="2959C3B8" w14:textId="063BE36F"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02" w:history="1">
        <w:r w:rsidR="00236917" w:rsidRPr="00FB463E">
          <w:rPr>
            <w:rStyle w:val="Lienhypertexte"/>
            <w:rFonts w:eastAsia="Calibri" w:cs="Times"/>
            <w:bCs/>
            <w:noProof/>
          </w:rPr>
          <w:t>1.1.4.5.1</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instructions for use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_Toc93326502 \h </w:instrText>
        </w:r>
        <w:r w:rsidR="00236917" w:rsidRPr="00FB463E">
          <w:rPr>
            <w:noProof/>
            <w:webHidden/>
          </w:rPr>
        </w:r>
        <w:r w:rsidR="00236917" w:rsidRPr="00FB463E">
          <w:rPr>
            <w:noProof/>
            <w:webHidden/>
          </w:rPr>
          <w:fldChar w:fldCharType="separate"/>
        </w:r>
        <w:r w:rsidR="00236917" w:rsidRPr="00FB463E">
          <w:rPr>
            <w:noProof/>
            <w:webHidden/>
          </w:rPr>
          <w:t>34</w:t>
        </w:r>
        <w:r w:rsidR="00236917" w:rsidRPr="00FB463E">
          <w:rPr>
            <w:noProof/>
            <w:webHidden/>
          </w:rPr>
          <w:fldChar w:fldCharType="end"/>
        </w:r>
      </w:hyperlink>
    </w:p>
    <w:p w14:paraId="73B639B7" w14:textId="68511DB6"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03" w:history="1">
        <w:r w:rsidR="00236917" w:rsidRPr="00FB463E">
          <w:rPr>
            <w:rStyle w:val="Lienhypertexte"/>
            <w:rFonts w:eastAsia="Calibri" w:cs="Times"/>
            <w:bCs/>
            <w:noProof/>
          </w:rPr>
          <w:t>1.1.4.5.2</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risk mitigation measures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_Toc93326503 \h </w:instrText>
        </w:r>
        <w:r w:rsidR="00236917" w:rsidRPr="00FB463E">
          <w:rPr>
            <w:noProof/>
            <w:webHidden/>
          </w:rPr>
        </w:r>
        <w:r w:rsidR="00236917" w:rsidRPr="00FB463E">
          <w:rPr>
            <w:noProof/>
            <w:webHidden/>
          </w:rPr>
          <w:fldChar w:fldCharType="separate"/>
        </w:r>
        <w:r w:rsidR="00236917" w:rsidRPr="00FB463E">
          <w:rPr>
            <w:noProof/>
            <w:webHidden/>
          </w:rPr>
          <w:t>36</w:t>
        </w:r>
        <w:r w:rsidR="00236917" w:rsidRPr="00FB463E">
          <w:rPr>
            <w:noProof/>
            <w:webHidden/>
          </w:rPr>
          <w:fldChar w:fldCharType="end"/>
        </w:r>
      </w:hyperlink>
    </w:p>
    <w:p w14:paraId="30D11373" w14:textId="62BF9A5D"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04" w:history="1">
        <w:r w:rsidR="00236917" w:rsidRPr="00FB463E">
          <w:rPr>
            <w:rStyle w:val="Lienhypertexte"/>
            <w:rFonts w:eastAsia="Calibri" w:cs="Times"/>
            <w:bCs/>
            <w:noProof/>
          </w:rPr>
          <w:t>1.1.4.5.3</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particulars of likely direct or indirect effects, first aid instructions and emergency measures to protect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_Toc93326504 \h </w:instrText>
        </w:r>
        <w:r w:rsidR="00236917" w:rsidRPr="00FB463E">
          <w:rPr>
            <w:noProof/>
            <w:webHidden/>
          </w:rPr>
        </w:r>
        <w:r w:rsidR="00236917" w:rsidRPr="00FB463E">
          <w:rPr>
            <w:noProof/>
            <w:webHidden/>
          </w:rPr>
          <w:fldChar w:fldCharType="separate"/>
        </w:r>
        <w:r w:rsidR="00236917" w:rsidRPr="00FB463E">
          <w:rPr>
            <w:noProof/>
            <w:webHidden/>
          </w:rPr>
          <w:t>36</w:t>
        </w:r>
        <w:r w:rsidR="00236917" w:rsidRPr="00FB463E">
          <w:rPr>
            <w:noProof/>
            <w:webHidden/>
          </w:rPr>
          <w:fldChar w:fldCharType="end"/>
        </w:r>
      </w:hyperlink>
    </w:p>
    <w:p w14:paraId="5FE3E0E4" w14:textId="7E99D08E"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05" w:history="1">
        <w:r w:rsidR="00236917" w:rsidRPr="00FB463E">
          <w:rPr>
            <w:rStyle w:val="Lienhypertexte"/>
            <w:rFonts w:eastAsia="Calibri" w:cs="Times"/>
            <w:bCs/>
            <w:noProof/>
          </w:rPr>
          <w:t>1.1.4.5.4</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instructions for safe disposal of the product and its packaging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_Toc93326505 \h </w:instrText>
        </w:r>
        <w:r w:rsidR="00236917" w:rsidRPr="00FB463E">
          <w:rPr>
            <w:noProof/>
            <w:webHidden/>
          </w:rPr>
        </w:r>
        <w:r w:rsidR="00236917" w:rsidRPr="00FB463E">
          <w:rPr>
            <w:noProof/>
            <w:webHidden/>
          </w:rPr>
          <w:fldChar w:fldCharType="separate"/>
        </w:r>
        <w:r w:rsidR="00236917" w:rsidRPr="00FB463E">
          <w:rPr>
            <w:noProof/>
            <w:webHidden/>
          </w:rPr>
          <w:t>37</w:t>
        </w:r>
        <w:r w:rsidR="00236917" w:rsidRPr="00FB463E">
          <w:rPr>
            <w:noProof/>
            <w:webHidden/>
          </w:rPr>
          <w:fldChar w:fldCharType="end"/>
        </w:r>
      </w:hyperlink>
    </w:p>
    <w:p w14:paraId="44377AEC" w14:textId="78D7335C"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06" w:history="1">
        <w:r w:rsidR="00236917" w:rsidRPr="00FB463E">
          <w:rPr>
            <w:rStyle w:val="Lienhypertexte"/>
            <w:rFonts w:eastAsia="Calibri" w:cs="Times"/>
            <w:bCs/>
            <w:noProof/>
          </w:rPr>
          <w:t>1.1.4.5.5</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conditions of storage and shelf-life of the product under normal conditions of storage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_Toc93326506 \h </w:instrText>
        </w:r>
        <w:r w:rsidR="00236917" w:rsidRPr="00FB463E">
          <w:rPr>
            <w:noProof/>
            <w:webHidden/>
          </w:rPr>
        </w:r>
        <w:r w:rsidR="00236917" w:rsidRPr="00FB463E">
          <w:rPr>
            <w:noProof/>
            <w:webHidden/>
          </w:rPr>
          <w:fldChar w:fldCharType="separate"/>
        </w:r>
        <w:r w:rsidR="00236917" w:rsidRPr="00FB463E">
          <w:rPr>
            <w:noProof/>
            <w:webHidden/>
          </w:rPr>
          <w:t>37</w:t>
        </w:r>
        <w:r w:rsidR="00236917" w:rsidRPr="00FB463E">
          <w:rPr>
            <w:noProof/>
            <w:webHidden/>
          </w:rPr>
          <w:fldChar w:fldCharType="end"/>
        </w:r>
      </w:hyperlink>
    </w:p>
    <w:p w14:paraId="1F737F63" w14:textId="584E0F4A"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07" w:history="1">
        <w:r w:rsidR="00236917" w:rsidRPr="00FB463E">
          <w:rPr>
            <w:rStyle w:val="Lienhypertexte"/>
            <w:rFonts w:eastAsia="Calibri"/>
            <w:b/>
            <w:noProof/>
          </w:rPr>
          <w:t>1.1.4.6</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Use description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_Toc93326507 \h </w:instrText>
        </w:r>
        <w:r w:rsidR="00236917" w:rsidRPr="00FB463E">
          <w:rPr>
            <w:noProof/>
            <w:webHidden/>
          </w:rPr>
        </w:r>
        <w:r w:rsidR="00236917" w:rsidRPr="00FB463E">
          <w:rPr>
            <w:noProof/>
            <w:webHidden/>
          </w:rPr>
          <w:fldChar w:fldCharType="separate"/>
        </w:r>
        <w:r w:rsidR="00236917" w:rsidRPr="00FB463E">
          <w:rPr>
            <w:noProof/>
            <w:webHidden/>
          </w:rPr>
          <w:t>37</w:t>
        </w:r>
        <w:r w:rsidR="00236917" w:rsidRPr="00FB463E">
          <w:rPr>
            <w:noProof/>
            <w:webHidden/>
          </w:rPr>
          <w:fldChar w:fldCharType="end"/>
        </w:r>
      </w:hyperlink>
    </w:p>
    <w:p w14:paraId="2CEAAFAA" w14:textId="483DE2EE"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08" w:history="1">
        <w:r w:rsidR="00236917" w:rsidRPr="00FB463E">
          <w:rPr>
            <w:rStyle w:val="Lienhypertexte"/>
            <w:rFonts w:eastAsia="Calibri" w:cs="Times"/>
            <w:bCs/>
            <w:noProof/>
          </w:rPr>
          <w:t>1.1.4.6.1</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instructions for use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_Toc93326508 \h </w:instrText>
        </w:r>
        <w:r w:rsidR="00236917" w:rsidRPr="00FB463E">
          <w:rPr>
            <w:noProof/>
            <w:webHidden/>
          </w:rPr>
        </w:r>
        <w:r w:rsidR="00236917" w:rsidRPr="00FB463E">
          <w:rPr>
            <w:noProof/>
            <w:webHidden/>
          </w:rPr>
          <w:fldChar w:fldCharType="separate"/>
        </w:r>
        <w:r w:rsidR="00236917" w:rsidRPr="00FB463E">
          <w:rPr>
            <w:noProof/>
            <w:webHidden/>
          </w:rPr>
          <w:t>37</w:t>
        </w:r>
        <w:r w:rsidR="00236917" w:rsidRPr="00FB463E">
          <w:rPr>
            <w:noProof/>
            <w:webHidden/>
          </w:rPr>
          <w:fldChar w:fldCharType="end"/>
        </w:r>
      </w:hyperlink>
    </w:p>
    <w:p w14:paraId="4261D729" w14:textId="6AE8427F"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09" w:history="1">
        <w:r w:rsidR="00236917" w:rsidRPr="00FB463E">
          <w:rPr>
            <w:rStyle w:val="Lienhypertexte"/>
            <w:rFonts w:eastAsia="Calibri" w:cs="Times"/>
            <w:bCs/>
            <w:noProof/>
          </w:rPr>
          <w:t>1.1.4.6.2</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risk mitigation measures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_Toc93326509 \h </w:instrText>
        </w:r>
        <w:r w:rsidR="00236917" w:rsidRPr="00FB463E">
          <w:rPr>
            <w:noProof/>
            <w:webHidden/>
          </w:rPr>
        </w:r>
        <w:r w:rsidR="00236917" w:rsidRPr="00FB463E">
          <w:rPr>
            <w:noProof/>
            <w:webHidden/>
          </w:rPr>
          <w:fldChar w:fldCharType="separate"/>
        </w:r>
        <w:r w:rsidR="00236917" w:rsidRPr="00FB463E">
          <w:rPr>
            <w:noProof/>
            <w:webHidden/>
          </w:rPr>
          <w:t>38</w:t>
        </w:r>
        <w:r w:rsidR="00236917" w:rsidRPr="00FB463E">
          <w:rPr>
            <w:noProof/>
            <w:webHidden/>
          </w:rPr>
          <w:fldChar w:fldCharType="end"/>
        </w:r>
      </w:hyperlink>
    </w:p>
    <w:p w14:paraId="3E8827E5" w14:textId="406E0E54"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10" w:history="1">
        <w:r w:rsidR="00236917" w:rsidRPr="00FB463E">
          <w:rPr>
            <w:rStyle w:val="Lienhypertexte"/>
            <w:rFonts w:eastAsia="Calibri" w:cs="Times"/>
            <w:bCs/>
            <w:noProof/>
          </w:rPr>
          <w:t>1.1.4.6.3</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particulars of likely direct or indirect effects, first aid instructions and emergency measures to protect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_Toc93326510 \h </w:instrText>
        </w:r>
        <w:r w:rsidR="00236917" w:rsidRPr="00FB463E">
          <w:rPr>
            <w:noProof/>
            <w:webHidden/>
          </w:rPr>
        </w:r>
        <w:r w:rsidR="00236917" w:rsidRPr="00FB463E">
          <w:rPr>
            <w:noProof/>
            <w:webHidden/>
          </w:rPr>
          <w:fldChar w:fldCharType="separate"/>
        </w:r>
        <w:r w:rsidR="00236917" w:rsidRPr="00FB463E">
          <w:rPr>
            <w:noProof/>
            <w:webHidden/>
          </w:rPr>
          <w:t>38</w:t>
        </w:r>
        <w:r w:rsidR="00236917" w:rsidRPr="00FB463E">
          <w:rPr>
            <w:noProof/>
            <w:webHidden/>
          </w:rPr>
          <w:fldChar w:fldCharType="end"/>
        </w:r>
      </w:hyperlink>
    </w:p>
    <w:p w14:paraId="086F5A88" w14:textId="46E7211C"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11" w:history="1">
        <w:r w:rsidR="00236917" w:rsidRPr="00FB463E">
          <w:rPr>
            <w:rStyle w:val="Lienhypertexte"/>
            <w:rFonts w:eastAsia="Calibri" w:cs="Times"/>
            <w:bCs/>
            <w:noProof/>
          </w:rPr>
          <w:t>1.1.4.6.4</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instructions for safe disposal of the product and its packaging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_Toc93326511 \h </w:instrText>
        </w:r>
        <w:r w:rsidR="00236917" w:rsidRPr="00FB463E">
          <w:rPr>
            <w:noProof/>
            <w:webHidden/>
          </w:rPr>
        </w:r>
        <w:r w:rsidR="00236917" w:rsidRPr="00FB463E">
          <w:rPr>
            <w:noProof/>
            <w:webHidden/>
          </w:rPr>
          <w:fldChar w:fldCharType="separate"/>
        </w:r>
        <w:r w:rsidR="00236917" w:rsidRPr="00FB463E">
          <w:rPr>
            <w:noProof/>
            <w:webHidden/>
          </w:rPr>
          <w:t>38</w:t>
        </w:r>
        <w:r w:rsidR="00236917" w:rsidRPr="00FB463E">
          <w:rPr>
            <w:noProof/>
            <w:webHidden/>
          </w:rPr>
          <w:fldChar w:fldCharType="end"/>
        </w:r>
      </w:hyperlink>
    </w:p>
    <w:p w14:paraId="32F0BAD2" w14:textId="330D14BC"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12" w:history="1">
        <w:r w:rsidR="00236917" w:rsidRPr="00FB463E">
          <w:rPr>
            <w:rStyle w:val="Lienhypertexte"/>
            <w:rFonts w:eastAsia="Calibri" w:cs="Times"/>
            <w:bCs/>
            <w:noProof/>
          </w:rPr>
          <w:t>1.1.4.6.5</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conditions of storage and shelf-life of the product under normal conditions of storage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_Toc93326512 \h </w:instrText>
        </w:r>
        <w:r w:rsidR="00236917" w:rsidRPr="00FB463E">
          <w:rPr>
            <w:noProof/>
            <w:webHidden/>
          </w:rPr>
        </w:r>
        <w:r w:rsidR="00236917" w:rsidRPr="00FB463E">
          <w:rPr>
            <w:noProof/>
            <w:webHidden/>
          </w:rPr>
          <w:fldChar w:fldCharType="separate"/>
        </w:r>
        <w:r w:rsidR="00236917" w:rsidRPr="00FB463E">
          <w:rPr>
            <w:noProof/>
            <w:webHidden/>
          </w:rPr>
          <w:t>38</w:t>
        </w:r>
        <w:r w:rsidR="00236917" w:rsidRPr="00FB463E">
          <w:rPr>
            <w:noProof/>
            <w:webHidden/>
          </w:rPr>
          <w:fldChar w:fldCharType="end"/>
        </w:r>
      </w:hyperlink>
    </w:p>
    <w:p w14:paraId="583BD298" w14:textId="73A4775E"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13" w:history="1">
        <w:r w:rsidR="00236917" w:rsidRPr="00FB463E">
          <w:rPr>
            <w:rStyle w:val="Lienhypertexte"/>
            <w:rFonts w:eastAsia="Calibri"/>
            <w:b/>
            <w:noProof/>
          </w:rPr>
          <w:t>1.1.4.7</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Use description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_Toc93326513 \h </w:instrText>
        </w:r>
        <w:r w:rsidR="00236917" w:rsidRPr="00FB463E">
          <w:rPr>
            <w:noProof/>
            <w:webHidden/>
          </w:rPr>
        </w:r>
        <w:r w:rsidR="00236917" w:rsidRPr="00FB463E">
          <w:rPr>
            <w:noProof/>
            <w:webHidden/>
          </w:rPr>
          <w:fldChar w:fldCharType="separate"/>
        </w:r>
        <w:r w:rsidR="00236917" w:rsidRPr="00FB463E">
          <w:rPr>
            <w:noProof/>
            <w:webHidden/>
          </w:rPr>
          <w:t>38</w:t>
        </w:r>
        <w:r w:rsidR="00236917" w:rsidRPr="00FB463E">
          <w:rPr>
            <w:noProof/>
            <w:webHidden/>
          </w:rPr>
          <w:fldChar w:fldCharType="end"/>
        </w:r>
      </w:hyperlink>
    </w:p>
    <w:p w14:paraId="0A0AF5ED" w14:textId="7FCD2343"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14" w:history="1">
        <w:r w:rsidR="00236917" w:rsidRPr="00FB463E">
          <w:rPr>
            <w:rStyle w:val="Lienhypertexte"/>
            <w:rFonts w:eastAsia="Calibri" w:cs="Times"/>
            <w:bCs/>
            <w:noProof/>
          </w:rPr>
          <w:t>1.1.4.7.1</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instructions for use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_Toc93326514 \h </w:instrText>
        </w:r>
        <w:r w:rsidR="00236917" w:rsidRPr="00FB463E">
          <w:rPr>
            <w:noProof/>
            <w:webHidden/>
          </w:rPr>
        </w:r>
        <w:r w:rsidR="00236917" w:rsidRPr="00FB463E">
          <w:rPr>
            <w:noProof/>
            <w:webHidden/>
          </w:rPr>
          <w:fldChar w:fldCharType="separate"/>
        </w:r>
        <w:r w:rsidR="00236917" w:rsidRPr="00FB463E">
          <w:rPr>
            <w:noProof/>
            <w:webHidden/>
          </w:rPr>
          <w:t>39</w:t>
        </w:r>
        <w:r w:rsidR="00236917" w:rsidRPr="00FB463E">
          <w:rPr>
            <w:noProof/>
            <w:webHidden/>
          </w:rPr>
          <w:fldChar w:fldCharType="end"/>
        </w:r>
      </w:hyperlink>
    </w:p>
    <w:p w14:paraId="61893D5E" w14:textId="55C45A7A"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15" w:history="1">
        <w:r w:rsidR="00236917" w:rsidRPr="00FB463E">
          <w:rPr>
            <w:rStyle w:val="Lienhypertexte"/>
            <w:rFonts w:eastAsia="Calibri" w:cs="Times"/>
            <w:bCs/>
            <w:noProof/>
          </w:rPr>
          <w:t>1.1.4.7.2</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Use-specific risk mitigation measures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_Toc93326515 \h </w:instrText>
        </w:r>
        <w:r w:rsidR="00236917" w:rsidRPr="00FB463E">
          <w:rPr>
            <w:noProof/>
            <w:webHidden/>
          </w:rPr>
        </w:r>
        <w:r w:rsidR="00236917" w:rsidRPr="00FB463E">
          <w:rPr>
            <w:noProof/>
            <w:webHidden/>
          </w:rPr>
          <w:fldChar w:fldCharType="separate"/>
        </w:r>
        <w:r w:rsidR="00236917" w:rsidRPr="00FB463E">
          <w:rPr>
            <w:noProof/>
            <w:webHidden/>
          </w:rPr>
          <w:t>40</w:t>
        </w:r>
        <w:r w:rsidR="00236917" w:rsidRPr="00FB463E">
          <w:rPr>
            <w:noProof/>
            <w:webHidden/>
          </w:rPr>
          <w:fldChar w:fldCharType="end"/>
        </w:r>
      </w:hyperlink>
    </w:p>
    <w:p w14:paraId="690428CC" w14:textId="1AA8C25C"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16" w:history="1">
        <w:r w:rsidR="00236917" w:rsidRPr="00FB463E">
          <w:rPr>
            <w:rStyle w:val="Lienhypertexte"/>
            <w:rFonts w:eastAsia="Calibri" w:cs="Times"/>
            <w:bCs/>
            <w:noProof/>
          </w:rPr>
          <w:t>1.1.4.7.3</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particulars of likely direct or indirect effects, first aid instructions and emergency measures to protect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_Toc93326516 \h </w:instrText>
        </w:r>
        <w:r w:rsidR="00236917" w:rsidRPr="00FB463E">
          <w:rPr>
            <w:noProof/>
            <w:webHidden/>
          </w:rPr>
        </w:r>
        <w:r w:rsidR="00236917" w:rsidRPr="00FB463E">
          <w:rPr>
            <w:noProof/>
            <w:webHidden/>
          </w:rPr>
          <w:fldChar w:fldCharType="separate"/>
        </w:r>
        <w:r w:rsidR="00236917" w:rsidRPr="00FB463E">
          <w:rPr>
            <w:noProof/>
            <w:webHidden/>
          </w:rPr>
          <w:t>41</w:t>
        </w:r>
        <w:r w:rsidR="00236917" w:rsidRPr="00FB463E">
          <w:rPr>
            <w:noProof/>
            <w:webHidden/>
          </w:rPr>
          <w:fldChar w:fldCharType="end"/>
        </w:r>
      </w:hyperlink>
    </w:p>
    <w:p w14:paraId="5F9DF84B" w14:textId="67B9CD7D"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17" w:history="1">
        <w:r w:rsidR="00236917" w:rsidRPr="00FB463E">
          <w:rPr>
            <w:rStyle w:val="Lienhypertexte"/>
            <w:rFonts w:eastAsia="Calibri" w:cs="Times"/>
            <w:bCs/>
            <w:noProof/>
          </w:rPr>
          <w:t>1.1.4.7.4</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instructions for safe disposal of the product and its packaging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_Toc93326517 \h </w:instrText>
        </w:r>
        <w:r w:rsidR="00236917" w:rsidRPr="00FB463E">
          <w:rPr>
            <w:noProof/>
            <w:webHidden/>
          </w:rPr>
        </w:r>
        <w:r w:rsidR="00236917" w:rsidRPr="00FB463E">
          <w:rPr>
            <w:noProof/>
            <w:webHidden/>
          </w:rPr>
          <w:fldChar w:fldCharType="separate"/>
        </w:r>
        <w:r w:rsidR="00236917" w:rsidRPr="00FB463E">
          <w:rPr>
            <w:noProof/>
            <w:webHidden/>
          </w:rPr>
          <w:t>41</w:t>
        </w:r>
        <w:r w:rsidR="00236917" w:rsidRPr="00FB463E">
          <w:rPr>
            <w:noProof/>
            <w:webHidden/>
          </w:rPr>
          <w:fldChar w:fldCharType="end"/>
        </w:r>
      </w:hyperlink>
    </w:p>
    <w:p w14:paraId="4A4B3B73" w14:textId="5506A676" w:rsidR="00236917" w:rsidRPr="00FB463E" w:rsidRDefault="000D0DA7">
      <w:pPr>
        <w:pStyle w:val="TM5"/>
        <w:tabs>
          <w:tab w:val="left" w:pos="1854"/>
          <w:tab w:val="right" w:leader="dot" w:pos="9203"/>
        </w:tabs>
        <w:rPr>
          <w:rFonts w:asciiTheme="minorHAnsi" w:eastAsiaTheme="minorEastAsia" w:hAnsiTheme="minorHAnsi" w:cstheme="minorBidi"/>
          <w:i w:val="0"/>
          <w:noProof/>
          <w:color w:val="auto"/>
          <w:sz w:val="22"/>
          <w:szCs w:val="22"/>
          <w:lang w:val="fr-FR" w:eastAsia="fr-FR"/>
        </w:rPr>
      </w:pPr>
      <w:hyperlink w:anchor="_Toc93326518" w:history="1">
        <w:r w:rsidR="00236917" w:rsidRPr="00FB463E">
          <w:rPr>
            <w:rStyle w:val="Lienhypertexte"/>
            <w:rFonts w:eastAsia="Calibri" w:cs="Times"/>
            <w:bCs/>
            <w:noProof/>
          </w:rPr>
          <w:t>1.1.4.7.5</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Where specific to the use, the conditions of storage and shelf-life of the product under normal conditions of storage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_Toc93326518 \h </w:instrText>
        </w:r>
        <w:r w:rsidR="00236917" w:rsidRPr="00FB463E">
          <w:rPr>
            <w:noProof/>
            <w:webHidden/>
          </w:rPr>
        </w:r>
        <w:r w:rsidR="00236917" w:rsidRPr="00FB463E">
          <w:rPr>
            <w:noProof/>
            <w:webHidden/>
          </w:rPr>
          <w:fldChar w:fldCharType="separate"/>
        </w:r>
        <w:r w:rsidR="00236917" w:rsidRPr="00FB463E">
          <w:rPr>
            <w:noProof/>
            <w:webHidden/>
          </w:rPr>
          <w:t>41</w:t>
        </w:r>
        <w:r w:rsidR="00236917" w:rsidRPr="00FB463E">
          <w:rPr>
            <w:noProof/>
            <w:webHidden/>
          </w:rPr>
          <w:fldChar w:fldCharType="end"/>
        </w:r>
      </w:hyperlink>
    </w:p>
    <w:p w14:paraId="43347B53" w14:textId="5630D3B9"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19" w:history="1">
        <w:r w:rsidR="00236917" w:rsidRPr="00FB463E">
          <w:rPr>
            <w:rStyle w:val="Lienhypertexte"/>
            <w:rFonts w:eastAsia="Calibri"/>
            <w:noProof/>
          </w:rPr>
          <w:t>1.1.5</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General directions for use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_Toc93326519 \h </w:instrText>
        </w:r>
        <w:r w:rsidR="00236917" w:rsidRPr="00FB463E">
          <w:rPr>
            <w:noProof/>
            <w:webHidden/>
          </w:rPr>
        </w:r>
        <w:r w:rsidR="00236917" w:rsidRPr="00FB463E">
          <w:rPr>
            <w:noProof/>
            <w:webHidden/>
          </w:rPr>
          <w:fldChar w:fldCharType="separate"/>
        </w:r>
        <w:r w:rsidR="00236917" w:rsidRPr="00FB463E">
          <w:rPr>
            <w:noProof/>
            <w:webHidden/>
          </w:rPr>
          <w:t>42</w:t>
        </w:r>
        <w:r w:rsidR="00236917" w:rsidRPr="00FB463E">
          <w:rPr>
            <w:noProof/>
            <w:webHidden/>
          </w:rPr>
          <w:fldChar w:fldCharType="end"/>
        </w:r>
      </w:hyperlink>
    </w:p>
    <w:p w14:paraId="4F6C031B" w14:textId="021170D7"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20" w:history="1">
        <w:r w:rsidR="00236917" w:rsidRPr="00FB463E">
          <w:rPr>
            <w:rStyle w:val="Lienhypertexte"/>
            <w:rFonts w:eastAsia="Calibri"/>
            <w:b/>
            <w:noProof/>
          </w:rPr>
          <w:t>1.1.5.1</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Instructions for use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_Toc93326520 \h </w:instrText>
        </w:r>
        <w:r w:rsidR="00236917" w:rsidRPr="00FB463E">
          <w:rPr>
            <w:noProof/>
            <w:webHidden/>
          </w:rPr>
        </w:r>
        <w:r w:rsidR="00236917" w:rsidRPr="00FB463E">
          <w:rPr>
            <w:noProof/>
            <w:webHidden/>
          </w:rPr>
          <w:fldChar w:fldCharType="separate"/>
        </w:r>
        <w:r w:rsidR="00236917" w:rsidRPr="00FB463E">
          <w:rPr>
            <w:noProof/>
            <w:webHidden/>
          </w:rPr>
          <w:t>42</w:t>
        </w:r>
        <w:r w:rsidR="00236917" w:rsidRPr="00FB463E">
          <w:rPr>
            <w:noProof/>
            <w:webHidden/>
          </w:rPr>
          <w:fldChar w:fldCharType="end"/>
        </w:r>
      </w:hyperlink>
    </w:p>
    <w:p w14:paraId="7DC0087C" w14:textId="67992F52"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21" w:history="1">
        <w:r w:rsidR="00236917" w:rsidRPr="00FB463E">
          <w:rPr>
            <w:rStyle w:val="Lienhypertexte"/>
            <w:rFonts w:eastAsia="Calibri"/>
            <w:b/>
            <w:noProof/>
          </w:rPr>
          <w:t>1.1.5.2</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Risk mitigation measures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_Toc93326521 \h </w:instrText>
        </w:r>
        <w:r w:rsidR="00236917" w:rsidRPr="00FB463E">
          <w:rPr>
            <w:noProof/>
            <w:webHidden/>
          </w:rPr>
        </w:r>
        <w:r w:rsidR="00236917" w:rsidRPr="00FB463E">
          <w:rPr>
            <w:noProof/>
            <w:webHidden/>
          </w:rPr>
          <w:fldChar w:fldCharType="separate"/>
        </w:r>
        <w:r w:rsidR="00236917" w:rsidRPr="00FB463E">
          <w:rPr>
            <w:noProof/>
            <w:webHidden/>
          </w:rPr>
          <w:t>42</w:t>
        </w:r>
        <w:r w:rsidR="00236917" w:rsidRPr="00FB463E">
          <w:rPr>
            <w:noProof/>
            <w:webHidden/>
          </w:rPr>
          <w:fldChar w:fldCharType="end"/>
        </w:r>
      </w:hyperlink>
    </w:p>
    <w:p w14:paraId="4B12698B" w14:textId="685E12C7"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22" w:history="1">
        <w:r w:rsidR="00236917" w:rsidRPr="00FB463E">
          <w:rPr>
            <w:rStyle w:val="Lienhypertexte"/>
            <w:rFonts w:eastAsia="Calibri"/>
            <w:b/>
            <w:noProof/>
          </w:rPr>
          <w:t>1.1.5.3</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Particulars of likely direct or indirect effects, first aid instructions and emergency measures to protect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_Toc93326522 \h </w:instrText>
        </w:r>
        <w:r w:rsidR="00236917" w:rsidRPr="00FB463E">
          <w:rPr>
            <w:noProof/>
            <w:webHidden/>
          </w:rPr>
        </w:r>
        <w:r w:rsidR="00236917" w:rsidRPr="00FB463E">
          <w:rPr>
            <w:noProof/>
            <w:webHidden/>
          </w:rPr>
          <w:fldChar w:fldCharType="separate"/>
        </w:r>
        <w:r w:rsidR="00236917" w:rsidRPr="00FB463E">
          <w:rPr>
            <w:noProof/>
            <w:webHidden/>
          </w:rPr>
          <w:t>42</w:t>
        </w:r>
        <w:r w:rsidR="00236917" w:rsidRPr="00FB463E">
          <w:rPr>
            <w:noProof/>
            <w:webHidden/>
          </w:rPr>
          <w:fldChar w:fldCharType="end"/>
        </w:r>
      </w:hyperlink>
    </w:p>
    <w:p w14:paraId="1C67D3F0" w14:textId="0F4247D4"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23" w:history="1">
        <w:r w:rsidR="00236917" w:rsidRPr="00FB463E">
          <w:rPr>
            <w:rStyle w:val="Lienhypertexte"/>
            <w:rFonts w:eastAsia="Calibri"/>
            <w:b/>
            <w:noProof/>
          </w:rPr>
          <w:t>1.1.5.4</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Instructions for safe disposal of the product and its packaging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_Toc93326523 \h </w:instrText>
        </w:r>
        <w:r w:rsidR="00236917" w:rsidRPr="00FB463E">
          <w:rPr>
            <w:noProof/>
            <w:webHidden/>
          </w:rPr>
        </w:r>
        <w:r w:rsidR="00236917" w:rsidRPr="00FB463E">
          <w:rPr>
            <w:noProof/>
            <w:webHidden/>
          </w:rPr>
          <w:fldChar w:fldCharType="separate"/>
        </w:r>
        <w:r w:rsidR="00236917" w:rsidRPr="00FB463E">
          <w:rPr>
            <w:noProof/>
            <w:webHidden/>
          </w:rPr>
          <w:t>42</w:t>
        </w:r>
        <w:r w:rsidR="00236917" w:rsidRPr="00FB463E">
          <w:rPr>
            <w:noProof/>
            <w:webHidden/>
          </w:rPr>
          <w:fldChar w:fldCharType="end"/>
        </w:r>
      </w:hyperlink>
    </w:p>
    <w:p w14:paraId="563A5AE1" w14:textId="1207BA07"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24" w:history="1">
        <w:r w:rsidR="00236917" w:rsidRPr="00FB463E">
          <w:rPr>
            <w:rStyle w:val="Lienhypertexte"/>
            <w:rFonts w:eastAsia="Calibri"/>
            <w:b/>
            <w:noProof/>
          </w:rPr>
          <w:t>1.1.5.5</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Conditions of storage and shelf-life of the product under normal conditions of storage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_Toc93326524 \h </w:instrText>
        </w:r>
        <w:r w:rsidR="00236917" w:rsidRPr="00FB463E">
          <w:rPr>
            <w:noProof/>
            <w:webHidden/>
          </w:rPr>
        </w:r>
        <w:r w:rsidR="00236917" w:rsidRPr="00FB463E">
          <w:rPr>
            <w:noProof/>
            <w:webHidden/>
          </w:rPr>
          <w:fldChar w:fldCharType="separate"/>
        </w:r>
        <w:r w:rsidR="00236917" w:rsidRPr="00FB463E">
          <w:rPr>
            <w:noProof/>
            <w:webHidden/>
          </w:rPr>
          <w:t>42</w:t>
        </w:r>
        <w:r w:rsidR="00236917" w:rsidRPr="00FB463E">
          <w:rPr>
            <w:noProof/>
            <w:webHidden/>
          </w:rPr>
          <w:fldChar w:fldCharType="end"/>
        </w:r>
      </w:hyperlink>
    </w:p>
    <w:p w14:paraId="17BD4886" w14:textId="548BC26A"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25" w:history="1">
        <w:r w:rsidR="00236917" w:rsidRPr="00FB463E">
          <w:rPr>
            <w:rStyle w:val="Lienhypertexte"/>
            <w:rFonts w:eastAsia="Calibri"/>
            <w:noProof/>
          </w:rPr>
          <w:t>1.1.6</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Other information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_Toc93326525 \h </w:instrText>
        </w:r>
        <w:r w:rsidR="00236917" w:rsidRPr="00FB463E">
          <w:rPr>
            <w:noProof/>
            <w:webHidden/>
          </w:rPr>
        </w:r>
        <w:r w:rsidR="00236917" w:rsidRPr="00FB463E">
          <w:rPr>
            <w:noProof/>
            <w:webHidden/>
          </w:rPr>
          <w:fldChar w:fldCharType="separate"/>
        </w:r>
        <w:r w:rsidR="00236917" w:rsidRPr="00FB463E">
          <w:rPr>
            <w:noProof/>
            <w:webHidden/>
          </w:rPr>
          <w:t>43</w:t>
        </w:r>
        <w:r w:rsidR="00236917" w:rsidRPr="00FB463E">
          <w:rPr>
            <w:noProof/>
            <w:webHidden/>
          </w:rPr>
          <w:fldChar w:fldCharType="end"/>
        </w:r>
      </w:hyperlink>
    </w:p>
    <w:p w14:paraId="53940DE7" w14:textId="273AE98C"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26" w:history="1">
        <w:r w:rsidR="00236917" w:rsidRPr="00FB463E">
          <w:rPr>
            <w:rStyle w:val="Lienhypertexte"/>
            <w:rFonts w:eastAsia="Calibri"/>
            <w:noProof/>
          </w:rPr>
          <w:t>2.1.1</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Packaging of the biocidal product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_Toc93326526 \h </w:instrText>
        </w:r>
        <w:r w:rsidR="00236917" w:rsidRPr="00FB463E">
          <w:rPr>
            <w:noProof/>
            <w:webHidden/>
          </w:rPr>
        </w:r>
        <w:r w:rsidR="00236917" w:rsidRPr="00FB463E">
          <w:rPr>
            <w:noProof/>
            <w:webHidden/>
          </w:rPr>
          <w:fldChar w:fldCharType="separate"/>
        </w:r>
        <w:r w:rsidR="00236917" w:rsidRPr="00FB463E">
          <w:rPr>
            <w:noProof/>
            <w:webHidden/>
          </w:rPr>
          <w:t>43</w:t>
        </w:r>
        <w:r w:rsidR="00236917" w:rsidRPr="00FB463E">
          <w:rPr>
            <w:noProof/>
            <w:webHidden/>
          </w:rPr>
          <w:fldChar w:fldCharType="end"/>
        </w:r>
      </w:hyperlink>
    </w:p>
    <w:p w14:paraId="71E62CDC" w14:textId="441DE1F4"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27" w:history="1">
        <w:r w:rsidR="00236917" w:rsidRPr="00FB463E">
          <w:rPr>
            <w:rStyle w:val="Lienhypertexte"/>
            <w:rFonts w:eastAsia="Calibri"/>
            <w:noProof/>
          </w:rPr>
          <w:t>2.1.2</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Documentation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_Toc93326527 \h </w:instrText>
        </w:r>
        <w:r w:rsidR="00236917" w:rsidRPr="00FB463E">
          <w:rPr>
            <w:noProof/>
            <w:webHidden/>
          </w:rPr>
        </w:r>
        <w:r w:rsidR="00236917" w:rsidRPr="00FB463E">
          <w:rPr>
            <w:noProof/>
            <w:webHidden/>
          </w:rPr>
          <w:fldChar w:fldCharType="separate"/>
        </w:r>
        <w:r w:rsidR="00236917" w:rsidRPr="00FB463E">
          <w:rPr>
            <w:noProof/>
            <w:webHidden/>
          </w:rPr>
          <w:t>44</w:t>
        </w:r>
        <w:r w:rsidR="00236917" w:rsidRPr="00FB463E">
          <w:rPr>
            <w:noProof/>
            <w:webHidden/>
          </w:rPr>
          <w:fldChar w:fldCharType="end"/>
        </w:r>
      </w:hyperlink>
    </w:p>
    <w:p w14:paraId="2653DAE0" w14:textId="50DAC9CC"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28" w:history="1">
        <w:r w:rsidR="00236917" w:rsidRPr="00FB463E">
          <w:rPr>
            <w:rStyle w:val="Lienhypertexte"/>
            <w:rFonts w:eastAsia="Calibri"/>
            <w:noProof/>
          </w:rPr>
          <w:t>2.1.2.1</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Data submitted in relation to product application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_Toc93326528 \h </w:instrText>
        </w:r>
        <w:r w:rsidR="00236917" w:rsidRPr="00FB463E">
          <w:rPr>
            <w:noProof/>
            <w:webHidden/>
          </w:rPr>
        </w:r>
        <w:r w:rsidR="00236917" w:rsidRPr="00FB463E">
          <w:rPr>
            <w:noProof/>
            <w:webHidden/>
          </w:rPr>
          <w:fldChar w:fldCharType="separate"/>
        </w:r>
        <w:r w:rsidR="00236917" w:rsidRPr="00FB463E">
          <w:rPr>
            <w:noProof/>
            <w:webHidden/>
          </w:rPr>
          <w:t>44</w:t>
        </w:r>
        <w:r w:rsidR="00236917" w:rsidRPr="00FB463E">
          <w:rPr>
            <w:noProof/>
            <w:webHidden/>
          </w:rPr>
          <w:fldChar w:fldCharType="end"/>
        </w:r>
      </w:hyperlink>
    </w:p>
    <w:p w14:paraId="7A008D07" w14:textId="7CFC5B85"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29" w:history="1">
        <w:r w:rsidR="00236917" w:rsidRPr="00FB463E">
          <w:rPr>
            <w:rStyle w:val="Lienhypertexte"/>
            <w:rFonts w:eastAsia="Calibri"/>
            <w:noProof/>
          </w:rPr>
          <w:t>2.1.2.2</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Access to documentation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_Toc93326529 \h </w:instrText>
        </w:r>
        <w:r w:rsidR="00236917" w:rsidRPr="00FB463E">
          <w:rPr>
            <w:noProof/>
            <w:webHidden/>
          </w:rPr>
        </w:r>
        <w:r w:rsidR="00236917" w:rsidRPr="00FB463E">
          <w:rPr>
            <w:noProof/>
            <w:webHidden/>
          </w:rPr>
          <w:fldChar w:fldCharType="separate"/>
        </w:r>
        <w:r w:rsidR="00236917" w:rsidRPr="00FB463E">
          <w:rPr>
            <w:noProof/>
            <w:webHidden/>
          </w:rPr>
          <w:t>45</w:t>
        </w:r>
        <w:r w:rsidR="00236917" w:rsidRPr="00FB463E">
          <w:rPr>
            <w:noProof/>
            <w:webHidden/>
          </w:rPr>
          <w:fldChar w:fldCharType="end"/>
        </w:r>
      </w:hyperlink>
    </w:p>
    <w:p w14:paraId="022F3497" w14:textId="593464CB" w:rsidR="00236917" w:rsidRPr="00FB463E" w:rsidRDefault="000D0DA7">
      <w:pPr>
        <w:pStyle w:val="TM2"/>
        <w:tabs>
          <w:tab w:val="left" w:pos="800"/>
          <w:tab w:val="right" w:leader="dot" w:pos="9203"/>
        </w:tabs>
        <w:rPr>
          <w:rFonts w:asciiTheme="minorHAnsi" w:eastAsiaTheme="minorEastAsia" w:hAnsiTheme="minorHAnsi" w:cstheme="minorBidi"/>
          <w:caps w:val="0"/>
          <w:noProof/>
          <w:sz w:val="22"/>
          <w:szCs w:val="22"/>
          <w:lang w:val="fr-FR" w:eastAsia="fr-FR"/>
        </w:rPr>
      </w:pPr>
      <w:hyperlink w:anchor="_Toc93326530" w:history="1">
        <w:r w:rsidR="00236917" w:rsidRPr="00FB463E">
          <w:rPr>
            <w:rStyle w:val="Lienhypertexte"/>
            <w:rFonts w:eastAsia="Calibri"/>
            <w:noProof/>
          </w:rPr>
          <w:t>2.2</w:t>
        </w:r>
        <w:r w:rsidR="00236917" w:rsidRPr="00FB463E">
          <w:rPr>
            <w:rFonts w:asciiTheme="minorHAnsi" w:eastAsiaTheme="minorEastAsia" w:hAnsiTheme="minorHAnsi" w:cstheme="minorBidi"/>
            <w:caps w:val="0"/>
            <w:noProof/>
            <w:sz w:val="22"/>
            <w:szCs w:val="22"/>
            <w:lang w:val="fr-FR" w:eastAsia="fr-FR"/>
          </w:rPr>
          <w:tab/>
        </w:r>
        <w:r w:rsidR="00236917" w:rsidRPr="00FB463E">
          <w:rPr>
            <w:rStyle w:val="Lienhypertexte"/>
            <w:rFonts w:eastAsia="Calibri"/>
            <w:noProof/>
          </w:rPr>
          <w:t>Assessment of the biocidal product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_Toc93326530 \h </w:instrText>
        </w:r>
        <w:r w:rsidR="00236917" w:rsidRPr="00FB463E">
          <w:rPr>
            <w:noProof/>
            <w:webHidden/>
          </w:rPr>
        </w:r>
        <w:r w:rsidR="00236917" w:rsidRPr="00FB463E">
          <w:rPr>
            <w:noProof/>
            <w:webHidden/>
          </w:rPr>
          <w:fldChar w:fldCharType="separate"/>
        </w:r>
        <w:r w:rsidR="00236917" w:rsidRPr="00FB463E">
          <w:rPr>
            <w:noProof/>
            <w:webHidden/>
          </w:rPr>
          <w:t>46</w:t>
        </w:r>
        <w:r w:rsidR="00236917" w:rsidRPr="00FB463E">
          <w:rPr>
            <w:noProof/>
            <w:webHidden/>
          </w:rPr>
          <w:fldChar w:fldCharType="end"/>
        </w:r>
      </w:hyperlink>
    </w:p>
    <w:p w14:paraId="68013FD2" w14:textId="19615546"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31" w:history="1">
        <w:r w:rsidR="00236917" w:rsidRPr="00FB463E">
          <w:rPr>
            <w:rStyle w:val="Lienhypertexte"/>
            <w:rFonts w:eastAsia="Calibri"/>
            <w:noProof/>
          </w:rPr>
          <w:t>2.2.1</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Intended use(s) as applied for by the applicant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_Toc93326531 \h </w:instrText>
        </w:r>
        <w:r w:rsidR="00236917" w:rsidRPr="00FB463E">
          <w:rPr>
            <w:noProof/>
            <w:webHidden/>
          </w:rPr>
        </w:r>
        <w:r w:rsidR="00236917" w:rsidRPr="00FB463E">
          <w:rPr>
            <w:noProof/>
            <w:webHidden/>
          </w:rPr>
          <w:fldChar w:fldCharType="separate"/>
        </w:r>
        <w:r w:rsidR="00236917" w:rsidRPr="00FB463E">
          <w:rPr>
            <w:noProof/>
            <w:webHidden/>
          </w:rPr>
          <w:t>46</w:t>
        </w:r>
        <w:r w:rsidR="00236917" w:rsidRPr="00FB463E">
          <w:rPr>
            <w:noProof/>
            <w:webHidden/>
          </w:rPr>
          <w:fldChar w:fldCharType="end"/>
        </w:r>
      </w:hyperlink>
    </w:p>
    <w:p w14:paraId="12FA59A0" w14:textId="69231510"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32" w:history="1">
        <w:r w:rsidR="00236917" w:rsidRPr="00FB463E">
          <w:rPr>
            <w:rStyle w:val="Lienhypertexte"/>
            <w:rFonts w:eastAsia="Calibri"/>
            <w:noProof/>
            <w:lang w:eastAsia="en-US"/>
          </w:rPr>
          <w:t>2.2.2</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lang w:eastAsia="en-US"/>
          </w:rPr>
          <w:t>Clarification on product composition and compositions tested</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_Toc93326532 \h </w:instrText>
        </w:r>
        <w:r w:rsidR="00236917" w:rsidRPr="00FB463E">
          <w:rPr>
            <w:noProof/>
            <w:webHidden/>
          </w:rPr>
        </w:r>
        <w:r w:rsidR="00236917" w:rsidRPr="00FB463E">
          <w:rPr>
            <w:noProof/>
            <w:webHidden/>
          </w:rPr>
          <w:fldChar w:fldCharType="separate"/>
        </w:r>
        <w:r w:rsidR="00236917" w:rsidRPr="00FB463E">
          <w:rPr>
            <w:noProof/>
            <w:webHidden/>
          </w:rPr>
          <w:t>56</w:t>
        </w:r>
        <w:r w:rsidR="00236917" w:rsidRPr="00FB463E">
          <w:rPr>
            <w:noProof/>
            <w:webHidden/>
          </w:rPr>
          <w:fldChar w:fldCharType="end"/>
        </w:r>
      </w:hyperlink>
    </w:p>
    <w:p w14:paraId="294CFCAF" w14:textId="4A91589A"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33" w:history="1">
        <w:r w:rsidR="00236917" w:rsidRPr="00FB463E">
          <w:rPr>
            <w:rStyle w:val="Lienhypertexte"/>
            <w:rFonts w:eastAsia="Calibri"/>
            <w:noProof/>
            <w:lang w:eastAsia="en-US"/>
          </w:rPr>
          <w:t>2.2.3</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lang w:eastAsia="en-US"/>
          </w:rPr>
          <w:t>Physical, chemical and technical properties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_Toc93326533 \h </w:instrText>
        </w:r>
        <w:r w:rsidR="00236917" w:rsidRPr="00FB463E">
          <w:rPr>
            <w:noProof/>
            <w:webHidden/>
          </w:rPr>
        </w:r>
        <w:r w:rsidR="00236917" w:rsidRPr="00FB463E">
          <w:rPr>
            <w:noProof/>
            <w:webHidden/>
          </w:rPr>
          <w:fldChar w:fldCharType="separate"/>
        </w:r>
        <w:r w:rsidR="00236917" w:rsidRPr="00FB463E">
          <w:rPr>
            <w:noProof/>
            <w:webHidden/>
          </w:rPr>
          <w:t>57</w:t>
        </w:r>
        <w:r w:rsidR="00236917" w:rsidRPr="00FB463E">
          <w:rPr>
            <w:noProof/>
            <w:webHidden/>
          </w:rPr>
          <w:fldChar w:fldCharType="end"/>
        </w:r>
      </w:hyperlink>
    </w:p>
    <w:p w14:paraId="098689D6" w14:textId="45562106"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34" w:history="1">
        <w:r w:rsidR="00236917" w:rsidRPr="00FB463E">
          <w:rPr>
            <w:rStyle w:val="Lienhypertexte"/>
            <w:rFonts w:eastAsia="Calibri"/>
            <w:noProof/>
            <w:lang w:eastAsia="en-US"/>
          </w:rPr>
          <w:t>2.2.4</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lang w:eastAsia="en-US"/>
          </w:rPr>
          <w:t>Physical hazards and respective characteristics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_Toc93326534 \h </w:instrText>
        </w:r>
        <w:r w:rsidR="00236917" w:rsidRPr="00FB463E">
          <w:rPr>
            <w:noProof/>
            <w:webHidden/>
          </w:rPr>
        </w:r>
        <w:r w:rsidR="00236917" w:rsidRPr="00FB463E">
          <w:rPr>
            <w:noProof/>
            <w:webHidden/>
          </w:rPr>
          <w:fldChar w:fldCharType="separate"/>
        </w:r>
        <w:r w:rsidR="00236917" w:rsidRPr="00FB463E">
          <w:rPr>
            <w:noProof/>
            <w:webHidden/>
          </w:rPr>
          <w:t>71</w:t>
        </w:r>
        <w:r w:rsidR="00236917" w:rsidRPr="00FB463E">
          <w:rPr>
            <w:noProof/>
            <w:webHidden/>
          </w:rPr>
          <w:fldChar w:fldCharType="end"/>
        </w:r>
      </w:hyperlink>
    </w:p>
    <w:p w14:paraId="09629C6E" w14:textId="18070BFB"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35" w:history="1">
        <w:r w:rsidR="00236917" w:rsidRPr="00FB463E">
          <w:rPr>
            <w:rStyle w:val="Lienhypertexte"/>
            <w:rFonts w:eastAsia="Calibri"/>
            <w:noProof/>
          </w:rPr>
          <w:t>2.2.5</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Methods for detection and identification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_Toc93326535 \h </w:instrText>
        </w:r>
        <w:r w:rsidR="00236917" w:rsidRPr="00FB463E">
          <w:rPr>
            <w:noProof/>
            <w:webHidden/>
          </w:rPr>
        </w:r>
        <w:r w:rsidR="00236917" w:rsidRPr="00FB463E">
          <w:rPr>
            <w:noProof/>
            <w:webHidden/>
          </w:rPr>
          <w:fldChar w:fldCharType="separate"/>
        </w:r>
        <w:r w:rsidR="00236917" w:rsidRPr="00FB463E">
          <w:rPr>
            <w:noProof/>
            <w:webHidden/>
          </w:rPr>
          <w:t>73</w:t>
        </w:r>
        <w:r w:rsidR="00236917" w:rsidRPr="00FB463E">
          <w:rPr>
            <w:noProof/>
            <w:webHidden/>
          </w:rPr>
          <w:fldChar w:fldCharType="end"/>
        </w:r>
      </w:hyperlink>
    </w:p>
    <w:p w14:paraId="2717D897" w14:textId="7F7DC856"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36" w:history="1">
        <w:r w:rsidR="00236917" w:rsidRPr="00FB463E">
          <w:rPr>
            <w:rStyle w:val="Lienhypertexte"/>
            <w:rFonts w:eastAsia="Calibri"/>
            <w:noProof/>
            <w:lang w:eastAsia="en-US"/>
          </w:rPr>
          <w:t>2.2.6</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lang w:eastAsia="en-US"/>
          </w:rPr>
          <w:t>Efficacy against target organisms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_Toc93326536 \h </w:instrText>
        </w:r>
        <w:r w:rsidR="00236917" w:rsidRPr="00FB463E">
          <w:rPr>
            <w:noProof/>
            <w:webHidden/>
          </w:rPr>
        </w:r>
        <w:r w:rsidR="00236917" w:rsidRPr="00FB463E">
          <w:rPr>
            <w:noProof/>
            <w:webHidden/>
          </w:rPr>
          <w:fldChar w:fldCharType="separate"/>
        </w:r>
        <w:r w:rsidR="00236917" w:rsidRPr="00FB463E">
          <w:rPr>
            <w:noProof/>
            <w:webHidden/>
          </w:rPr>
          <w:t>76</w:t>
        </w:r>
        <w:r w:rsidR="00236917" w:rsidRPr="00FB463E">
          <w:rPr>
            <w:noProof/>
            <w:webHidden/>
          </w:rPr>
          <w:fldChar w:fldCharType="end"/>
        </w:r>
      </w:hyperlink>
    </w:p>
    <w:p w14:paraId="58DCEE46" w14:textId="197F9509"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37" w:history="1">
        <w:r w:rsidR="00236917" w:rsidRPr="00FB463E">
          <w:rPr>
            <w:rStyle w:val="Lienhypertexte"/>
            <w:rFonts w:eastAsia="Calibri"/>
            <w:noProof/>
          </w:rPr>
          <w:t>2.2.6.1</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Function and field of use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_Toc93326537 \h </w:instrText>
        </w:r>
        <w:r w:rsidR="00236917" w:rsidRPr="00FB463E">
          <w:rPr>
            <w:noProof/>
            <w:webHidden/>
          </w:rPr>
        </w:r>
        <w:r w:rsidR="00236917" w:rsidRPr="00FB463E">
          <w:rPr>
            <w:noProof/>
            <w:webHidden/>
          </w:rPr>
          <w:fldChar w:fldCharType="separate"/>
        </w:r>
        <w:r w:rsidR="00236917" w:rsidRPr="00FB463E">
          <w:rPr>
            <w:noProof/>
            <w:webHidden/>
          </w:rPr>
          <w:t>76</w:t>
        </w:r>
        <w:r w:rsidR="00236917" w:rsidRPr="00FB463E">
          <w:rPr>
            <w:noProof/>
            <w:webHidden/>
          </w:rPr>
          <w:fldChar w:fldCharType="end"/>
        </w:r>
      </w:hyperlink>
    </w:p>
    <w:p w14:paraId="2EADCFF8" w14:textId="7FDB9CCC"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38" w:history="1">
        <w:r w:rsidR="00236917" w:rsidRPr="00FB463E">
          <w:rPr>
            <w:rStyle w:val="Lienhypertexte"/>
            <w:rFonts w:eastAsia="Calibri"/>
            <w:noProof/>
          </w:rPr>
          <w:t>2.2.6.2</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Organisms to be controlled and products, organisms or objects to be protected</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_Toc93326538 \h </w:instrText>
        </w:r>
        <w:r w:rsidR="00236917" w:rsidRPr="00FB463E">
          <w:rPr>
            <w:noProof/>
            <w:webHidden/>
          </w:rPr>
        </w:r>
        <w:r w:rsidR="00236917" w:rsidRPr="00FB463E">
          <w:rPr>
            <w:noProof/>
            <w:webHidden/>
          </w:rPr>
          <w:fldChar w:fldCharType="separate"/>
        </w:r>
        <w:r w:rsidR="00236917" w:rsidRPr="00FB463E">
          <w:rPr>
            <w:noProof/>
            <w:webHidden/>
          </w:rPr>
          <w:t>76</w:t>
        </w:r>
        <w:r w:rsidR="00236917" w:rsidRPr="00FB463E">
          <w:rPr>
            <w:noProof/>
            <w:webHidden/>
          </w:rPr>
          <w:fldChar w:fldCharType="end"/>
        </w:r>
      </w:hyperlink>
    </w:p>
    <w:p w14:paraId="5D101D15" w14:textId="17AA29A9"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39" w:history="1">
        <w:r w:rsidR="00236917" w:rsidRPr="00FB463E">
          <w:rPr>
            <w:rStyle w:val="Lienhypertexte"/>
            <w:rFonts w:eastAsia="Calibri"/>
            <w:noProof/>
          </w:rPr>
          <w:t>2.2.6.3</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Effects on target organisms, including unacceptable suffering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_Toc93326539 \h </w:instrText>
        </w:r>
        <w:r w:rsidR="00236917" w:rsidRPr="00FB463E">
          <w:rPr>
            <w:noProof/>
            <w:webHidden/>
          </w:rPr>
        </w:r>
        <w:r w:rsidR="00236917" w:rsidRPr="00FB463E">
          <w:rPr>
            <w:noProof/>
            <w:webHidden/>
          </w:rPr>
          <w:fldChar w:fldCharType="separate"/>
        </w:r>
        <w:r w:rsidR="00236917" w:rsidRPr="00FB463E">
          <w:rPr>
            <w:noProof/>
            <w:webHidden/>
          </w:rPr>
          <w:t>77</w:t>
        </w:r>
        <w:r w:rsidR="00236917" w:rsidRPr="00FB463E">
          <w:rPr>
            <w:noProof/>
            <w:webHidden/>
          </w:rPr>
          <w:fldChar w:fldCharType="end"/>
        </w:r>
      </w:hyperlink>
    </w:p>
    <w:p w14:paraId="4E388D1D" w14:textId="7C4E9AE9"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40" w:history="1">
        <w:r w:rsidR="00236917" w:rsidRPr="00FB463E">
          <w:rPr>
            <w:rStyle w:val="Lienhypertexte"/>
            <w:rFonts w:eastAsia="Calibri"/>
            <w:noProof/>
          </w:rPr>
          <w:t>2.2.6.4</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Mode of action, including time delay</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_Toc93326540 \h </w:instrText>
        </w:r>
        <w:r w:rsidR="00236917" w:rsidRPr="00FB463E">
          <w:rPr>
            <w:noProof/>
            <w:webHidden/>
          </w:rPr>
        </w:r>
        <w:r w:rsidR="00236917" w:rsidRPr="00FB463E">
          <w:rPr>
            <w:noProof/>
            <w:webHidden/>
          </w:rPr>
          <w:fldChar w:fldCharType="separate"/>
        </w:r>
        <w:r w:rsidR="00236917" w:rsidRPr="00FB463E">
          <w:rPr>
            <w:noProof/>
            <w:webHidden/>
          </w:rPr>
          <w:t>79</w:t>
        </w:r>
        <w:r w:rsidR="00236917" w:rsidRPr="00FB463E">
          <w:rPr>
            <w:noProof/>
            <w:webHidden/>
          </w:rPr>
          <w:fldChar w:fldCharType="end"/>
        </w:r>
      </w:hyperlink>
    </w:p>
    <w:p w14:paraId="6A8A6D3F" w14:textId="3322EA7E"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41" w:history="1">
        <w:r w:rsidR="00236917" w:rsidRPr="00FB463E">
          <w:rPr>
            <w:rStyle w:val="Lienhypertexte"/>
            <w:rFonts w:eastAsia="Calibri"/>
            <w:noProof/>
          </w:rPr>
          <w:t>2.2.6.5</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Efficacy data</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_Toc93326541 \h </w:instrText>
        </w:r>
        <w:r w:rsidR="00236917" w:rsidRPr="00FB463E">
          <w:rPr>
            <w:noProof/>
            <w:webHidden/>
          </w:rPr>
        </w:r>
        <w:r w:rsidR="00236917" w:rsidRPr="00FB463E">
          <w:rPr>
            <w:noProof/>
            <w:webHidden/>
          </w:rPr>
          <w:fldChar w:fldCharType="separate"/>
        </w:r>
        <w:r w:rsidR="00236917" w:rsidRPr="00FB463E">
          <w:rPr>
            <w:noProof/>
            <w:webHidden/>
          </w:rPr>
          <w:t>80</w:t>
        </w:r>
        <w:r w:rsidR="00236917" w:rsidRPr="00FB463E">
          <w:rPr>
            <w:noProof/>
            <w:webHidden/>
          </w:rPr>
          <w:fldChar w:fldCharType="end"/>
        </w:r>
      </w:hyperlink>
    </w:p>
    <w:p w14:paraId="5B8DF050" w14:textId="662FD586"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42" w:history="1">
        <w:r w:rsidR="00236917" w:rsidRPr="00FB463E">
          <w:rPr>
            <w:rStyle w:val="Lienhypertexte"/>
            <w:rFonts w:eastAsia="Calibri"/>
            <w:noProof/>
          </w:rPr>
          <w:t>2.2.6.6</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Occurrence of resistance and resistance management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_Toc93326542 \h </w:instrText>
        </w:r>
        <w:r w:rsidR="00236917" w:rsidRPr="00FB463E">
          <w:rPr>
            <w:noProof/>
            <w:webHidden/>
          </w:rPr>
        </w:r>
        <w:r w:rsidR="00236917" w:rsidRPr="00FB463E">
          <w:rPr>
            <w:noProof/>
            <w:webHidden/>
          </w:rPr>
          <w:fldChar w:fldCharType="separate"/>
        </w:r>
        <w:r w:rsidR="00236917" w:rsidRPr="00FB463E">
          <w:rPr>
            <w:noProof/>
            <w:webHidden/>
          </w:rPr>
          <w:t>91</w:t>
        </w:r>
        <w:r w:rsidR="00236917" w:rsidRPr="00FB463E">
          <w:rPr>
            <w:noProof/>
            <w:webHidden/>
          </w:rPr>
          <w:fldChar w:fldCharType="end"/>
        </w:r>
      </w:hyperlink>
    </w:p>
    <w:p w14:paraId="6F491283" w14:textId="13791495"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43" w:history="1">
        <w:r w:rsidR="00236917" w:rsidRPr="00FB463E">
          <w:rPr>
            <w:rStyle w:val="Lienhypertexte"/>
            <w:rFonts w:eastAsia="Calibri"/>
            <w:noProof/>
          </w:rPr>
          <w:t>2.2.6.7</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Known limitations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_Toc93326543 \h </w:instrText>
        </w:r>
        <w:r w:rsidR="00236917" w:rsidRPr="00FB463E">
          <w:rPr>
            <w:noProof/>
            <w:webHidden/>
          </w:rPr>
        </w:r>
        <w:r w:rsidR="00236917" w:rsidRPr="00FB463E">
          <w:rPr>
            <w:noProof/>
            <w:webHidden/>
          </w:rPr>
          <w:fldChar w:fldCharType="separate"/>
        </w:r>
        <w:r w:rsidR="00236917" w:rsidRPr="00FB463E">
          <w:rPr>
            <w:noProof/>
            <w:webHidden/>
          </w:rPr>
          <w:t>91</w:t>
        </w:r>
        <w:r w:rsidR="00236917" w:rsidRPr="00FB463E">
          <w:rPr>
            <w:noProof/>
            <w:webHidden/>
          </w:rPr>
          <w:fldChar w:fldCharType="end"/>
        </w:r>
      </w:hyperlink>
    </w:p>
    <w:p w14:paraId="6158298B" w14:textId="7AD00483"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44" w:history="1">
        <w:r w:rsidR="00236917" w:rsidRPr="00FB463E">
          <w:rPr>
            <w:rStyle w:val="Lienhypertexte"/>
            <w:rFonts w:eastAsia="Calibri"/>
            <w:noProof/>
          </w:rPr>
          <w:t>2.2.6.8</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Evaluation of the label claims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_Toc93326544 \h </w:instrText>
        </w:r>
        <w:r w:rsidR="00236917" w:rsidRPr="00FB463E">
          <w:rPr>
            <w:noProof/>
            <w:webHidden/>
          </w:rPr>
        </w:r>
        <w:r w:rsidR="00236917" w:rsidRPr="00FB463E">
          <w:rPr>
            <w:noProof/>
            <w:webHidden/>
          </w:rPr>
          <w:fldChar w:fldCharType="separate"/>
        </w:r>
        <w:r w:rsidR="00236917" w:rsidRPr="00FB463E">
          <w:rPr>
            <w:noProof/>
            <w:webHidden/>
          </w:rPr>
          <w:t>92</w:t>
        </w:r>
        <w:r w:rsidR="00236917" w:rsidRPr="00FB463E">
          <w:rPr>
            <w:noProof/>
            <w:webHidden/>
          </w:rPr>
          <w:fldChar w:fldCharType="end"/>
        </w:r>
      </w:hyperlink>
    </w:p>
    <w:p w14:paraId="0E3EA060" w14:textId="1B42B6CC"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45" w:history="1">
        <w:r w:rsidR="00236917" w:rsidRPr="00FB463E">
          <w:rPr>
            <w:rStyle w:val="Lienhypertexte"/>
            <w:rFonts w:eastAsia="Calibri"/>
            <w:noProof/>
          </w:rPr>
          <w:t>2.2.6.9</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Relevant information if the product is intended to be authorised for use with other biocidal product(s)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_Toc93326545 \h </w:instrText>
        </w:r>
        <w:r w:rsidR="00236917" w:rsidRPr="00FB463E">
          <w:rPr>
            <w:noProof/>
            <w:webHidden/>
          </w:rPr>
        </w:r>
        <w:r w:rsidR="00236917" w:rsidRPr="00FB463E">
          <w:rPr>
            <w:noProof/>
            <w:webHidden/>
          </w:rPr>
          <w:fldChar w:fldCharType="separate"/>
        </w:r>
        <w:r w:rsidR="00236917" w:rsidRPr="00FB463E">
          <w:rPr>
            <w:noProof/>
            <w:webHidden/>
          </w:rPr>
          <w:t>93</w:t>
        </w:r>
        <w:r w:rsidR="00236917" w:rsidRPr="00FB463E">
          <w:rPr>
            <w:noProof/>
            <w:webHidden/>
          </w:rPr>
          <w:fldChar w:fldCharType="end"/>
        </w:r>
      </w:hyperlink>
    </w:p>
    <w:p w14:paraId="139B456A" w14:textId="3605EF2B"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46" w:history="1">
        <w:r w:rsidR="00236917" w:rsidRPr="00FB463E">
          <w:rPr>
            <w:rStyle w:val="Lienhypertexte"/>
            <w:rFonts w:eastAsia="Calibri"/>
            <w:noProof/>
          </w:rPr>
          <w:t>2.2.7</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Risk assessment for human health</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_Toc93326546 \h </w:instrText>
        </w:r>
        <w:r w:rsidR="00236917" w:rsidRPr="00FB463E">
          <w:rPr>
            <w:noProof/>
            <w:webHidden/>
          </w:rPr>
        </w:r>
        <w:r w:rsidR="00236917" w:rsidRPr="00FB463E">
          <w:rPr>
            <w:noProof/>
            <w:webHidden/>
          </w:rPr>
          <w:fldChar w:fldCharType="separate"/>
        </w:r>
        <w:r w:rsidR="00236917" w:rsidRPr="00FB463E">
          <w:rPr>
            <w:noProof/>
            <w:webHidden/>
          </w:rPr>
          <w:t>94</w:t>
        </w:r>
        <w:r w:rsidR="00236917" w:rsidRPr="00FB463E">
          <w:rPr>
            <w:noProof/>
            <w:webHidden/>
          </w:rPr>
          <w:fldChar w:fldCharType="end"/>
        </w:r>
      </w:hyperlink>
    </w:p>
    <w:p w14:paraId="46C2B25F" w14:textId="679EA6DC"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47" w:history="1">
        <w:r w:rsidR="00236917" w:rsidRPr="00FB463E">
          <w:rPr>
            <w:rStyle w:val="Lienhypertexte"/>
            <w:rFonts w:eastAsia="Calibri"/>
            <w:noProof/>
          </w:rPr>
          <w:t>2.2.7.1</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Assessment of effects on Human Health</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_Toc93326547 \h </w:instrText>
        </w:r>
        <w:r w:rsidR="00236917" w:rsidRPr="00FB463E">
          <w:rPr>
            <w:noProof/>
            <w:webHidden/>
          </w:rPr>
        </w:r>
        <w:r w:rsidR="00236917" w:rsidRPr="00FB463E">
          <w:rPr>
            <w:noProof/>
            <w:webHidden/>
          </w:rPr>
          <w:fldChar w:fldCharType="separate"/>
        </w:r>
        <w:r w:rsidR="00236917" w:rsidRPr="00FB463E">
          <w:rPr>
            <w:noProof/>
            <w:webHidden/>
          </w:rPr>
          <w:t>94</w:t>
        </w:r>
        <w:r w:rsidR="00236917" w:rsidRPr="00FB463E">
          <w:rPr>
            <w:noProof/>
            <w:webHidden/>
          </w:rPr>
          <w:fldChar w:fldCharType="end"/>
        </w:r>
      </w:hyperlink>
    </w:p>
    <w:p w14:paraId="3641CF90" w14:textId="1F853540"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48" w:history="1">
        <w:r w:rsidR="00236917" w:rsidRPr="00FB463E">
          <w:rPr>
            <w:rStyle w:val="Lienhypertexte"/>
            <w:rFonts w:eastAsia="Calibri"/>
            <w:noProof/>
          </w:rPr>
          <w:t>(I)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Skin corrosion and irritation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_Toc93326548 \h </w:instrText>
        </w:r>
        <w:r w:rsidR="00236917" w:rsidRPr="00FB463E">
          <w:rPr>
            <w:noProof/>
            <w:webHidden/>
          </w:rPr>
        </w:r>
        <w:r w:rsidR="00236917" w:rsidRPr="00FB463E">
          <w:rPr>
            <w:noProof/>
            <w:webHidden/>
          </w:rPr>
          <w:fldChar w:fldCharType="separate"/>
        </w:r>
        <w:r w:rsidR="00236917" w:rsidRPr="00FB463E">
          <w:rPr>
            <w:noProof/>
            <w:webHidden/>
          </w:rPr>
          <w:t>94</w:t>
        </w:r>
        <w:r w:rsidR="00236917" w:rsidRPr="00FB463E">
          <w:rPr>
            <w:noProof/>
            <w:webHidden/>
          </w:rPr>
          <w:fldChar w:fldCharType="end"/>
        </w:r>
      </w:hyperlink>
    </w:p>
    <w:p w14:paraId="15C4941E" w14:textId="44A6CB1B"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49" w:history="1">
        <w:r w:rsidR="00236917" w:rsidRPr="00FB463E">
          <w:rPr>
            <w:rStyle w:val="Lienhypertexte"/>
            <w:rFonts w:eastAsia="Calibri"/>
            <w:noProof/>
          </w:rPr>
          <w:t>(II)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Eye Irritation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_Toc93326549 \h </w:instrText>
        </w:r>
        <w:r w:rsidR="00236917" w:rsidRPr="00FB463E">
          <w:rPr>
            <w:noProof/>
            <w:webHidden/>
          </w:rPr>
        </w:r>
        <w:r w:rsidR="00236917" w:rsidRPr="00FB463E">
          <w:rPr>
            <w:noProof/>
            <w:webHidden/>
          </w:rPr>
          <w:fldChar w:fldCharType="separate"/>
        </w:r>
        <w:r w:rsidR="00236917" w:rsidRPr="00FB463E">
          <w:rPr>
            <w:noProof/>
            <w:webHidden/>
          </w:rPr>
          <w:t>96</w:t>
        </w:r>
        <w:r w:rsidR="00236917" w:rsidRPr="00FB463E">
          <w:rPr>
            <w:noProof/>
            <w:webHidden/>
          </w:rPr>
          <w:fldChar w:fldCharType="end"/>
        </w:r>
      </w:hyperlink>
    </w:p>
    <w:p w14:paraId="3172FD58" w14:textId="08FDC888"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50" w:history="1">
        <w:r w:rsidR="00236917" w:rsidRPr="00FB463E">
          <w:rPr>
            <w:rStyle w:val="Lienhypertexte"/>
            <w:rFonts w:eastAsia="Calibri"/>
            <w:noProof/>
          </w:rPr>
          <w:t>(III)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Respiratory tract irritation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_Toc93326550 \h </w:instrText>
        </w:r>
        <w:r w:rsidR="00236917" w:rsidRPr="00FB463E">
          <w:rPr>
            <w:noProof/>
            <w:webHidden/>
          </w:rPr>
        </w:r>
        <w:r w:rsidR="00236917" w:rsidRPr="00FB463E">
          <w:rPr>
            <w:noProof/>
            <w:webHidden/>
          </w:rPr>
          <w:fldChar w:fldCharType="separate"/>
        </w:r>
        <w:r w:rsidR="00236917" w:rsidRPr="00FB463E">
          <w:rPr>
            <w:noProof/>
            <w:webHidden/>
          </w:rPr>
          <w:t>98</w:t>
        </w:r>
        <w:r w:rsidR="00236917" w:rsidRPr="00FB463E">
          <w:rPr>
            <w:noProof/>
            <w:webHidden/>
          </w:rPr>
          <w:fldChar w:fldCharType="end"/>
        </w:r>
      </w:hyperlink>
    </w:p>
    <w:p w14:paraId="236DE686" w14:textId="6950F013"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51" w:history="1">
        <w:r w:rsidR="00236917" w:rsidRPr="00FB463E">
          <w:rPr>
            <w:rStyle w:val="Lienhypertexte"/>
            <w:rFonts w:eastAsia="Calibri"/>
            <w:noProof/>
          </w:rPr>
          <w:t>(IV)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Skin sensitization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_Toc93326551 \h </w:instrText>
        </w:r>
        <w:r w:rsidR="00236917" w:rsidRPr="00FB463E">
          <w:rPr>
            <w:noProof/>
            <w:webHidden/>
          </w:rPr>
        </w:r>
        <w:r w:rsidR="00236917" w:rsidRPr="00FB463E">
          <w:rPr>
            <w:noProof/>
            <w:webHidden/>
          </w:rPr>
          <w:fldChar w:fldCharType="separate"/>
        </w:r>
        <w:r w:rsidR="00236917" w:rsidRPr="00FB463E">
          <w:rPr>
            <w:noProof/>
            <w:webHidden/>
          </w:rPr>
          <w:t>99</w:t>
        </w:r>
        <w:r w:rsidR="00236917" w:rsidRPr="00FB463E">
          <w:rPr>
            <w:noProof/>
            <w:webHidden/>
          </w:rPr>
          <w:fldChar w:fldCharType="end"/>
        </w:r>
      </w:hyperlink>
    </w:p>
    <w:p w14:paraId="4A315615" w14:textId="05EB4BBF"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52" w:history="1">
        <w:r w:rsidR="00236917" w:rsidRPr="00FB463E">
          <w:rPr>
            <w:rStyle w:val="Lienhypertexte"/>
            <w:rFonts w:eastAsia="Calibri"/>
            <w:noProof/>
          </w:rPr>
          <w:t>(V)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Respiratory sensitization (ADS)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_Toc93326552 \h </w:instrText>
        </w:r>
        <w:r w:rsidR="00236917" w:rsidRPr="00FB463E">
          <w:rPr>
            <w:noProof/>
            <w:webHidden/>
          </w:rPr>
        </w:r>
        <w:r w:rsidR="00236917" w:rsidRPr="00FB463E">
          <w:rPr>
            <w:noProof/>
            <w:webHidden/>
          </w:rPr>
          <w:fldChar w:fldCharType="separate"/>
        </w:r>
        <w:r w:rsidR="00236917" w:rsidRPr="00FB463E">
          <w:rPr>
            <w:noProof/>
            <w:webHidden/>
          </w:rPr>
          <w:t>101</w:t>
        </w:r>
        <w:r w:rsidR="00236917" w:rsidRPr="00FB463E">
          <w:rPr>
            <w:noProof/>
            <w:webHidden/>
          </w:rPr>
          <w:fldChar w:fldCharType="end"/>
        </w:r>
      </w:hyperlink>
    </w:p>
    <w:p w14:paraId="61C02E55" w14:textId="57F2FD1F"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53" w:history="1">
        <w:r w:rsidR="00236917" w:rsidRPr="00FB463E">
          <w:rPr>
            <w:rStyle w:val="Lienhypertexte"/>
            <w:rFonts w:eastAsia="Calibri"/>
            <w:noProof/>
          </w:rPr>
          <w:t>(VI)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Acute toxicity</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_Toc93326553 \h </w:instrText>
        </w:r>
        <w:r w:rsidR="00236917" w:rsidRPr="00FB463E">
          <w:rPr>
            <w:noProof/>
            <w:webHidden/>
          </w:rPr>
        </w:r>
        <w:r w:rsidR="00236917" w:rsidRPr="00FB463E">
          <w:rPr>
            <w:noProof/>
            <w:webHidden/>
          </w:rPr>
          <w:fldChar w:fldCharType="separate"/>
        </w:r>
        <w:r w:rsidR="00236917" w:rsidRPr="00FB463E">
          <w:rPr>
            <w:noProof/>
            <w:webHidden/>
          </w:rPr>
          <w:t>101</w:t>
        </w:r>
        <w:r w:rsidR="00236917" w:rsidRPr="00FB463E">
          <w:rPr>
            <w:noProof/>
            <w:webHidden/>
          </w:rPr>
          <w:fldChar w:fldCharType="end"/>
        </w:r>
      </w:hyperlink>
    </w:p>
    <w:p w14:paraId="24BE5064" w14:textId="73C4AEF7"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54" w:history="1">
        <w:r w:rsidR="00236917" w:rsidRPr="00FB463E">
          <w:rPr>
            <w:rStyle w:val="Lienhypertexte"/>
            <w:rFonts w:eastAsia="Calibri"/>
            <w:noProof/>
          </w:rPr>
          <w:t>(VII)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Information on dermal absorption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_Toc93326554 \h </w:instrText>
        </w:r>
        <w:r w:rsidR="00236917" w:rsidRPr="00FB463E">
          <w:rPr>
            <w:noProof/>
            <w:webHidden/>
          </w:rPr>
        </w:r>
        <w:r w:rsidR="00236917" w:rsidRPr="00FB463E">
          <w:rPr>
            <w:noProof/>
            <w:webHidden/>
          </w:rPr>
          <w:fldChar w:fldCharType="separate"/>
        </w:r>
        <w:r w:rsidR="00236917" w:rsidRPr="00FB463E">
          <w:rPr>
            <w:noProof/>
            <w:webHidden/>
          </w:rPr>
          <w:t>103</w:t>
        </w:r>
        <w:r w:rsidR="00236917" w:rsidRPr="00FB463E">
          <w:rPr>
            <w:noProof/>
            <w:webHidden/>
          </w:rPr>
          <w:fldChar w:fldCharType="end"/>
        </w:r>
      </w:hyperlink>
    </w:p>
    <w:p w14:paraId="341EDA2E" w14:textId="6BCA128A"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55" w:history="1">
        <w:r w:rsidR="00236917" w:rsidRPr="00FB463E">
          <w:rPr>
            <w:rStyle w:val="Lienhypertexte"/>
            <w:rFonts w:eastAsia="Calibri"/>
            <w:noProof/>
          </w:rPr>
          <w:t>(VIII)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Available toxicological data relating to non-active substance(s) (i.e. substance(s) of concern)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_Toc93326555 \h </w:instrText>
        </w:r>
        <w:r w:rsidR="00236917" w:rsidRPr="00FB463E">
          <w:rPr>
            <w:noProof/>
            <w:webHidden/>
          </w:rPr>
        </w:r>
        <w:r w:rsidR="00236917" w:rsidRPr="00FB463E">
          <w:rPr>
            <w:noProof/>
            <w:webHidden/>
          </w:rPr>
          <w:fldChar w:fldCharType="separate"/>
        </w:r>
        <w:r w:rsidR="00236917" w:rsidRPr="00FB463E">
          <w:rPr>
            <w:noProof/>
            <w:webHidden/>
          </w:rPr>
          <w:t>104</w:t>
        </w:r>
        <w:r w:rsidR="00236917" w:rsidRPr="00FB463E">
          <w:rPr>
            <w:noProof/>
            <w:webHidden/>
          </w:rPr>
          <w:fldChar w:fldCharType="end"/>
        </w:r>
      </w:hyperlink>
    </w:p>
    <w:p w14:paraId="1EA4E5FD" w14:textId="2357D0AC"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56" w:history="1">
        <w:r w:rsidR="00236917" w:rsidRPr="00FB463E">
          <w:rPr>
            <w:rStyle w:val="Lienhypertexte"/>
            <w:rFonts w:eastAsia="Calibri"/>
            <w:noProof/>
          </w:rPr>
          <w:t>(IX)</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Available toxicological data relating to a mixture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_Toc93326556 \h </w:instrText>
        </w:r>
        <w:r w:rsidR="00236917" w:rsidRPr="00FB463E">
          <w:rPr>
            <w:noProof/>
            <w:webHidden/>
          </w:rPr>
        </w:r>
        <w:r w:rsidR="00236917" w:rsidRPr="00FB463E">
          <w:rPr>
            <w:noProof/>
            <w:webHidden/>
          </w:rPr>
          <w:fldChar w:fldCharType="separate"/>
        </w:r>
        <w:r w:rsidR="00236917" w:rsidRPr="00FB463E">
          <w:rPr>
            <w:noProof/>
            <w:webHidden/>
          </w:rPr>
          <w:t>104</w:t>
        </w:r>
        <w:r w:rsidR="00236917" w:rsidRPr="00FB463E">
          <w:rPr>
            <w:noProof/>
            <w:webHidden/>
          </w:rPr>
          <w:fldChar w:fldCharType="end"/>
        </w:r>
      </w:hyperlink>
    </w:p>
    <w:p w14:paraId="3717D521" w14:textId="15708CB3"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57" w:history="1">
        <w:r w:rsidR="00236917" w:rsidRPr="00FB463E">
          <w:rPr>
            <w:rStyle w:val="Lienhypertexte"/>
            <w:rFonts w:eastAsia="Calibri"/>
            <w:noProof/>
          </w:rPr>
          <w:t>(X)</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Other</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_Toc93326557 \h </w:instrText>
        </w:r>
        <w:r w:rsidR="00236917" w:rsidRPr="00FB463E">
          <w:rPr>
            <w:noProof/>
            <w:webHidden/>
          </w:rPr>
        </w:r>
        <w:r w:rsidR="00236917" w:rsidRPr="00FB463E">
          <w:rPr>
            <w:noProof/>
            <w:webHidden/>
          </w:rPr>
          <w:fldChar w:fldCharType="separate"/>
        </w:r>
        <w:r w:rsidR="00236917" w:rsidRPr="00FB463E">
          <w:rPr>
            <w:noProof/>
            <w:webHidden/>
          </w:rPr>
          <w:t>104</w:t>
        </w:r>
        <w:r w:rsidR="00236917" w:rsidRPr="00FB463E">
          <w:rPr>
            <w:noProof/>
            <w:webHidden/>
          </w:rPr>
          <w:fldChar w:fldCharType="end"/>
        </w:r>
      </w:hyperlink>
    </w:p>
    <w:p w14:paraId="28583200" w14:textId="42D364EE"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58" w:history="1">
        <w:r w:rsidR="00236917" w:rsidRPr="00FB463E">
          <w:rPr>
            <w:rStyle w:val="Lienhypertexte"/>
            <w:rFonts w:eastAsia="Calibri"/>
            <w:noProof/>
            <w:lang w:val="en-US"/>
          </w:rPr>
          <w:t>2.2.7.2</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lang w:val="en-US"/>
          </w:rPr>
          <w:t>Exposure assessment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_Toc93326558 \h </w:instrText>
        </w:r>
        <w:r w:rsidR="00236917" w:rsidRPr="00FB463E">
          <w:rPr>
            <w:noProof/>
            <w:webHidden/>
          </w:rPr>
        </w:r>
        <w:r w:rsidR="00236917" w:rsidRPr="00FB463E">
          <w:rPr>
            <w:noProof/>
            <w:webHidden/>
          </w:rPr>
          <w:fldChar w:fldCharType="separate"/>
        </w:r>
        <w:r w:rsidR="00236917" w:rsidRPr="00FB463E">
          <w:rPr>
            <w:noProof/>
            <w:webHidden/>
          </w:rPr>
          <w:t>105</w:t>
        </w:r>
        <w:r w:rsidR="00236917" w:rsidRPr="00FB463E">
          <w:rPr>
            <w:noProof/>
            <w:webHidden/>
          </w:rPr>
          <w:fldChar w:fldCharType="end"/>
        </w:r>
      </w:hyperlink>
    </w:p>
    <w:p w14:paraId="5A82E9C3" w14:textId="223B5735" w:rsidR="00236917" w:rsidRPr="00FB463E" w:rsidRDefault="000D0DA7">
      <w:pPr>
        <w:pStyle w:val="TM5"/>
        <w:tabs>
          <w:tab w:val="right" w:leader="dot" w:pos="9203"/>
        </w:tabs>
        <w:rPr>
          <w:rFonts w:asciiTheme="minorHAnsi" w:eastAsiaTheme="minorEastAsia" w:hAnsiTheme="minorHAnsi" w:cstheme="minorBidi"/>
          <w:i w:val="0"/>
          <w:noProof/>
          <w:color w:val="auto"/>
          <w:sz w:val="22"/>
          <w:szCs w:val="22"/>
          <w:lang w:val="fr-FR" w:eastAsia="fr-FR"/>
        </w:rPr>
      </w:pPr>
      <w:hyperlink w:anchor="_Toc93326559" w:history="1">
        <w:r w:rsidR="00236917" w:rsidRPr="00FB463E">
          <w:rPr>
            <w:rStyle w:val="Lienhypertexte"/>
            <w:rFonts w:eastAsia="Calibri"/>
            <w:noProof/>
          </w:rPr>
          <w:t>Identification of main paths of human exposure towards active substance(s) and substances of concern from its use in biocidal product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_Toc93326559 \h </w:instrText>
        </w:r>
        <w:r w:rsidR="00236917" w:rsidRPr="00FB463E">
          <w:rPr>
            <w:noProof/>
            <w:webHidden/>
          </w:rPr>
        </w:r>
        <w:r w:rsidR="00236917" w:rsidRPr="00FB463E">
          <w:rPr>
            <w:noProof/>
            <w:webHidden/>
          </w:rPr>
          <w:fldChar w:fldCharType="separate"/>
        </w:r>
        <w:r w:rsidR="00236917" w:rsidRPr="00FB463E">
          <w:rPr>
            <w:noProof/>
            <w:webHidden/>
          </w:rPr>
          <w:t>105</w:t>
        </w:r>
        <w:r w:rsidR="00236917" w:rsidRPr="00FB463E">
          <w:rPr>
            <w:noProof/>
            <w:webHidden/>
          </w:rPr>
          <w:fldChar w:fldCharType="end"/>
        </w:r>
      </w:hyperlink>
    </w:p>
    <w:p w14:paraId="6B4ECDC8" w14:textId="790E67BB"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60" w:history="1">
        <w:r w:rsidR="00236917" w:rsidRPr="00FB463E">
          <w:rPr>
            <w:rStyle w:val="Lienhypertexte"/>
            <w:rFonts w:eastAsia="Calibri"/>
            <w:noProof/>
          </w:rPr>
          <w:t>(I)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General information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_Toc93326560 \h </w:instrText>
        </w:r>
        <w:r w:rsidR="00236917" w:rsidRPr="00FB463E">
          <w:rPr>
            <w:noProof/>
            <w:webHidden/>
          </w:rPr>
        </w:r>
        <w:r w:rsidR="00236917" w:rsidRPr="00FB463E">
          <w:rPr>
            <w:noProof/>
            <w:webHidden/>
          </w:rPr>
          <w:fldChar w:fldCharType="separate"/>
        </w:r>
        <w:r w:rsidR="00236917" w:rsidRPr="00FB463E">
          <w:rPr>
            <w:noProof/>
            <w:webHidden/>
          </w:rPr>
          <w:t>107</w:t>
        </w:r>
        <w:r w:rsidR="00236917" w:rsidRPr="00FB463E">
          <w:rPr>
            <w:noProof/>
            <w:webHidden/>
          </w:rPr>
          <w:fldChar w:fldCharType="end"/>
        </w:r>
      </w:hyperlink>
    </w:p>
    <w:p w14:paraId="493959BB" w14:textId="12585CB4"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61" w:history="1">
        <w:r w:rsidR="00236917" w:rsidRPr="00FB463E">
          <w:rPr>
            <w:rStyle w:val="Lienhypertexte"/>
            <w:rFonts w:eastAsia="Calibri"/>
            <w:noProof/>
          </w:rPr>
          <w:t>(II)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List of scenarios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_Toc93326561 \h </w:instrText>
        </w:r>
        <w:r w:rsidR="00236917" w:rsidRPr="00FB463E">
          <w:rPr>
            <w:noProof/>
            <w:webHidden/>
          </w:rPr>
        </w:r>
        <w:r w:rsidR="00236917" w:rsidRPr="00FB463E">
          <w:rPr>
            <w:noProof/>
            <w:webHidden/>
          </w:rPr>
          <w:fldChar w:fldCharType="separate"/>
        </w:r>
        <w:r w:rsidR="00236917" w:rsidRPr="00FB463E">
          <w:rPr>
            <w:noProof/>
            <w:webHidden/>
          </w:rPr>
          <w:t>109</w:t>
        </w:r>
        <w:r w:rsidR="00236917" w:rsidRPr="00FB463E">
          <w:rPr>
            <w:noProof/>
            <w:webHidden/>
          </w:rPr>
          <w:fldChar w:fldCharType="end"/>
        </w:r>
      </w:hyperlink>
    </w:p>
    <w:p w14:paraId="38344050" w14:textId="7DE60B96"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62" w:history="1">
        <w:r w:rsidR="00236917" w:rsidRPr="00FB463E">
          <w:rPr>
            <w:rStyle w:val="Lienhypertexte"/>
            <w:rFonts w:eastAsia="Calibri"/>
            <w:noProof/>
          </w:rPr>
          <w:t>(III)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Industrial exposure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_Toc93326562 \h </w:instrText>
        </w:r>
        <w:r w:rsidR="00236917" w:rsidRPr="00FB463E">
          <w:rPr>
            <w:noProof/>
            <w:webHidden/>
          </w:rPr>
        </w:r>
        <w:r w:rsidR="00236917" w:rsidRPr="00FB463E">
          <w:rPr>
            <w:noProof/>
            <w:webHidden/>
          </w:rPr>
          <w:fldChar w:fldCharType="separate"/>
        </w:r>
        <w:r w:rsidR="00236917" w:rsidRPr="00FB463E">
          <w:rPr>
            <w:noProof/>
            <w:webHidden/>
          </w:rPr>
          <w:t>112</w:t>
        </w:r>
        <w:r w:rsidR="00236917" w:rsidRPr="00FB463E">
          <w:rPr>
            <w:noProof/>
            <w:webHidden/>
          </w:rPr>
          <w:fldChar w:fldCharType="end"/>
        </w:r>
      </w:hyperlink>
    </w:p>
    <w:p w14:paraId="47940DAF" w14:textId="200E55CD"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63" w:history="1">
        <w:r w:rsidR="00236917" w:rsidRPr="00FB463E">
          <w:rPr>
            <w:rStyle w:val="Lienhypertexte"/>
            <w:rFonts w:eastAsia="Calibri"/>
            <w:noProof/>
          </w:rPr>
          <w:t>(IV)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Professional exposure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_Toc93326563 \h </w:instrText>
        </w:r>
        <w:r w:rsidR="00236917" w:rsidRPr="00FB463E">
          <w:rPr>
            <w:noProof/>
            <w:webHidden/>
          </w:rPr>
        </w:r>
        <w:r w:rsidR="00236917" w:rsidRPr="00FB463E">
          <w:rPr>
            <w:noProof/>
            <w:webHidden/>
          </w:rPr>
          <w:fldChar w:fldCharType="separate"/>
        </w:r>
        <w:r w:rsidR="00236917" w:rsidRPr="00FB463E">
          <w:rPr>
            <w:noProof/>
            <w:webHidden/>
          </w:rPr>
          <w:t>112</w:t>
        </w:r>
        <w:r w:rsidR="00236917" w:rsidRPr="00FB463E">
          <w:rPr>
            <w:noProof/>
            <w:webHidden/>
          </w:rPr>
          <w:fldChar w:fldCharType="end"/>
        </w:r>
      </w:hyperlink>
    </w:p>
    <w:p w14:paraId="15DDDD80" w14:textId="61688E3A"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64" w:history="1">
        <w:r w:rsidR="00236917" w:rsidRPr="00FB463E">
          <w:rPr>
            <w:rStyle w:val="Lienhypertexte"/>
            <w:rFonts w:eastAsia="Calibri"/>
            <w:noProof/>
          </w:rPr>
          <w:t>(V)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Non-professional exposure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_Toc93326564 \h </w:instrText>
        </w:r>
        <w:r w:rsidR="00236917" w:rsidRPr="00FB463E">
          <w:rPr>
            <w:noProof/>
            <w:webHidden/>
          </w:rPr>
        </w:r>
        <w:r w:rsidR="00236917" w:rsidRPr="00FB463E">
          <w:rPr>
            <w:noProof/>
            <w:webHidden/>
          </w:rPr>
          <w:fldChar w:fldCharType="separate"/>
        </w:r>
        <w:r w:rsidR="00236917" w:rsidRPr="00FB463E">
          <w:rPr>
            <w:noProof/>
            <w:webHidden/>
          </w:rPr>
          <w:t>112</w:t>
        </w:r>
        <w:r w:rsidR="00236917" w:rsidRPr="00FB463E">
          <w:rPr>
            <w:noProof/>
            <w:webHidden/>
          </w:rPr>
          <w:fldChar w:fldCharType="end"/>
        </w:r>
      </w:hyperlink>
    </w:p>
    <w:p w14:paraId="7B8732B1" w14:textId="7D92AD7F"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65" w:history="1">
        <w:r w:rsidR="00236917" w:rsidRPr="00FB463E">
          <w:rPr>
            <w:rStyle w:val="Lienhypertexte"/>
            <w:rFonts w:eastAsia="Calibri"/>
            <w:noProof/>
          </w:rPr>
          <w:t>(VI)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Exposure of the general public</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_Toc93326565 \h </w:instrText>
        </w:r>
        <w:r w:rsidR="00236917" w:rsidRPr="00FB463E">
          <w:rPr>
            <w:noProof/>
            <w:webHidden/>
          </w:rPr>
        </w:r>
        <w:r w:rsidR="00236917" w:rsidRPr="00FB463E">
          <w:rPr>
            <w:noProof/>
            <w:webHidden/>
          </w:rPr>
          <w:fldChar w:fldCharType="separate"/>
        </w:r>
        <w:r w:rsidR="00236917" w:rsidRPr="00FB463E">
          <w:rPr>
            <w:noProof/>
            <w:webHidden/>
          </w:rPr>
          <w:t>138</w:t>
        </w:r>
        <w:r w:rsidR="00236917" w:rsidRPr="00FB463E">
          <w:rPr>
            <w:noProof/>
            <w:webHidden/>
          </w:rPr>
          <w:fldChar w:fldCharType="end"/>
        </w:r>
      </w:hyperlink>
    </w:p>
    <w:p w14:paraId="0CB09D2D" w14:textId="52EAA912"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66" w:history="1">
        <w:r w:rsidR="00236917" w:rsidRPr="00FB463E">
          <w:rPr>
            <w:rStyle w:val="Lienhypertexte"/>
            <w:rFonts w:eastAsia="Calibri"/>
            <w:noProof/>
          </w:rPr>
          <w:t>(VII)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Monitoring data</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_Toc93326566 \h </w:instrText>
        </w:r>
        <w:r w:rsidR="00236917" w:rsidRPr="00FB463E">
          <w:rPr>
            <w:noProof/>
            <w:webHidden/>
          </w:rPr>
        </w:r>
        <w:r w:rsidR="00236917" w:rsidRPr="00FB463E">
          <w:rPr>
            <w:noProof/>
            <w:webHidden/>
          </w:rPr>
          <w:fldChar w:fldCharType="separate"/>
        </w:r>
        <w:r w:rsidR="00236917" w:rsidRPr="00FB463E">
          <w:rPr>
            <w:noProof/>
            <w:webHidden/>
          </w:rPr>
          <w:t>138</w:t>
        </w:r>
        <w:r w:rsidR="00236917" w:rsidRPr="00FB463E">
          <w:rPr>
            <w:noProof/>
            <w:webHidden/>
          </w:rPr>
          <w:fldChar w:fldCharType="end"/>
        </w:r>
      </w:hyperlink>
    </w:p>
    <w:p w14:paraId="6E8A77F9" w14:textId="05062DCD"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67" w:history="1">
        <w:r w:rsidR="00236917" w:rsidRPr="00FB463E">
          <w:rPr>
            <w:rStyle w:val="Lienhypertexte"/>
            <w:rFonts w:eastAsia="Calibri"/>
            <w:noProof/>
          </w:rPr>
          <w:t>(VIII)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Dietary exposure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_Toc93326567 \h </w:instrText>
        </w:r>
        <w:r w:rsidR="00236917" w:rsidRPr="00FB463E">
          <w:rPr>
            <w:noProof/>
            <w:webHidden/>
          </w:rPr>
        </w:r>
        <w:r w:rsidR="00236917" w:rsidRPr="00FB463E">
          <w:rPr>
            <w:noProof/>
            <w:webHidden/>
          </w:rPr>
          <w:fldChar w:fldCharType="separate"/>
        </w:r>
        <w:r w:rsidR="00236917" w:rsidRPr="00FB463E">
          <w:rPr>
            <w:noProof/>
            <w:webHidden/>
          </w:rPr>
          <w:t>138</w:t>
        </w:r>
        <w:r w:rsidR="00236917" w:rsidRPr="00FB463E">
          <w:rPr>
            <w:noProof/>
            <w:webHidden/>
          </w:rPr>
          <w:fldChar w:fldCharType="end"/>
        </w:r>
      </w:hyperlink>
    </w:p>
    <w:p w14:paraId="5129873D" w14:textId="11F2CD6C"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68" w:history="1">
        <w:r w:rsidR="00236917" w:rsidRPr="00FB463E">
          <w:rPr>
            <w:rStyle w:val="Lienhypertexte"/>
            <w:rFonts w:eastAsia="Calibri"/>
            <w:noProof/>
          </w:rPr>
          <w:t>(IX)</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Exposure associated with production, formulation and disposal of the biocidal product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_Toc93326568 \h </w:instrText>
        </w:r>
        <w:r w:rsidR="00236917" w:rsidRPr="00FB463E">
          <w:rPr>
            <w:noProof/>
            <w:webHidden/>
          </w:rPr>
        </w:r>
        <w:r w:rsidR="00236917" w:rsidRPr="00FB463E">
          <w:rPr>
            <w:noProof/>
            <w:webHidden/>
          </w:rPr>
          <w:fldChar w:fldCharType="separate"/>
        </w:r>
        <w:r w:rsidR="00236917" w:rsidRPr="00FB463E">
          <w:rPr>
            <w:noProof/>
            <w:webHidden/>
          </w:rPr>
          <w:t>142</w:t>
        </w:r>
        <w:r w:rsidR="00236917" w:rsidRPr="00FB463E">
          <w:rPr>
            <w:noProof/>
            <w:webHidden/>
          </w:rPr>
          <w:fldChar w:fldCharType="end"/>
        </w:r>
      </w:hyperlink>
    </w:p>
    <w:p w14:paraId="41360BB2" w14:textId="35E275CF"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69" w:history="1">
        <w:r w:rsidR="00236917" w:rsidRPr="00FB463E">
          <w:rPr>
            <w:rStyle w:val="Lienhypertexte"/>
            <w:rFonts w:eastAsia="Calibri"/>
            <w:noProof/>
          </w:rPr>
          <w:t>(X)</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Aggregated exposure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_Toc93326569 \h </w:instrText>
        </w:r>
        <w:r w:rsidR="00236917" w:rsidRPr="00FB463E">
          <w:rPr>
            <w:noProof/>
            <w:webHidden/>
          </w:rPr>
        </w:r>
        <w:r w:rsidR="00236917" w:rsidRPr="00FB463E">
          <w:rPr>
            <w:noProof/>
            <w:webHidden/>
          </w:rPr>
          <w:fldChar w:fldCharType="separate"/>
        </w:r>
        <w:r w:rsidR="00236917" w:rsidRPr="00FB463E">
          <w:rPr>
            <w:noProof/>
            <w:webHidden/>
          </w:rPr>
          <w:t>143</w:t>
        </w:r>
        <w:r w:rsidR="00236917" w:rsidRPr="00FB463E">
          <w:rPr>
            <w:noProof/>
            <w:webHidden/>
          </w:rPr>
          <w:fldChar w:fldCharType="end"/>
        </w:r>
      </w:hyperlink>
    </w:p>
    <w:p w14:paraId="516B9204" w14:textId="30F6AB94"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70" w:history="1">
        <w:r w:rsidR="00236917" w:rsidRPr="00FB463E">
          <w:rPr>
            <w:rStyle w:val="Lienhypertexte"/>
            <w:rFonts w:eastAsia="Calibri"/>
            <w:noProof/>
          </w:rPr>
          <w:t>(XI)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Summary of exposure assessment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_Toc93326570 \h </w:instrText>
        </w:r>
        <w:r w:rsidR="00236917" w:rsidRPr="00FB463E">
          <w:rPr>
            <w:noProof/>
            <w:webHidden/>
          </w:rPr>
        </w:r>
        <w:r w:rsidR="00236917" w:rsidRPr="00FB463E">
          <w:rPr>
            <w:noProof/>
            <w:webHidden/>
          </w:rPr>
          <w:fldChar w:fldCharType="separate"/>
        </w:r>
        <w:r w:rsidR="00236917" w:rsidRPr="00FB463E">
          <w:rPr>
            <w:noProof/>
            <w:webHidden/>
          </w:rPr>
          <w:t>143</w:t>
        </w:r>
        <w:r w:rsidR="00236917" w:rsidRPr="00FB463E">
          <w:rPr>
            <w:noProof/>
            <w:webHidden/>
          </w:rPr>
          <w:fldChar w:fldCharType="end"/>
        </w:r>
      </w:hyperlink>
    </w:p>
    <w:p w14:paraId="26CD81F1" w14:textId="63CAF018"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71" w:history="1">
        <w:r w:rsidR="00236917" w:rsidRPr="00FB463E">
          <w:rPr>
            <w:rStyle w:val="Lienhypertexte"/>
            <w:rFonts w:eastAsia="Calibri"/>
            <w:noProof/>
          </w:rPr>
          <w:t>2.2.7.3</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Risk characterisation for human health</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_Toc93326571 \h </w:instrText>
        </w:r>
        <w:r w:rsidR="00236917" w:rsidRPr="00FB463E">
          <w:rPr>
            <w:noProof/>
            <w:webHidden/>
          </w:rPr>
        </w:r>
        <w:r w:rsidR="00236917" w:rsidRPr="00FB463E">
          <w:rPr>
            <w:noProof/>
            <w:webHidden/>
          </w:rPr>
          <w:fldChar w:fldCharType="separate"/>
        </w:r>
        <w:r w:rsidR="00236917" w:rsidRPr="00FB463E">
          <w:rPr>
            <w:noProof/>
            <w:webHidden/>
          </w:rPr>
          <w:t>147</w:t>
        </w:r>
        <w:r w:rsidR="00236917" w:rsidRPr="00FB463E">
          <w:rPr>
            <w:noProof/>
            <w:webHidden/>
          </w:rPr>
          <w:fldChar w:fldCharType="end"/>
        </w:r>
      </w:hyperlink>
    </w:p>
    <w:p w14:paraId="34FEAFE7" w14:textId="54919320" w:rsidR="00236917" w:rsidRPr="00FB463E" w:rsidRDefault="000D0DA7">
      <w:pPr>
        <w:pStyle w:val="TM5"/>
        <w:tabs>
          <w:tab w:val="right" w:leader="dot" w:pos="9203"/>
        </w:tabs>
        <w:rPr>
          <w:rFonts w:asciiTheme="minorHAnsi" w:eastAsiaTheme="minorEastAsia" w:hAnsiTheme="minorHAnsi" w:cstheme="minorBidi"/>
          <w:i w:val="0"/>
          <w:noProof/>
          <w:color w:val="auto"/>
          <w:sz w:val="22"/>
          <w:szCs w:val="22"/>
          <w:lang w:val="fr-FR" w:eastAsia="fr-FR"/>
        </w:rPr>
      </w:pPr>
      <w:hyperlink w:anchor="_Toc93326572" w:history="1">
        <w:r w:rsidR="00236917" w:rsidRPr="00FB463E">
          <w:rPr>
            <w:rStyle w:val="Lienhypertexte"/>
            <w:rFonts w:eastAsia="Calibri"/>
            <w:noProof/>
          </w:rPr>
          <w:t>Reference values to be used in Risk Characterisation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_Toc93326572 \h </w:instrText>
        </w:r>
        <w:r w:rsidR="00236917" w:rsidRPr="00FB463E">
          <w:rPr>
            <w:noProof/>
            <w:webHidden/>
          </w:rPr>
        </w:r>
        <w:r w:rsidR="00236917" w:rsidRPr="00FB463E">
          <w:rPr>
            <w:noProof/>
            <w:webHidden/>
          </w:rPr>
          <w:fldChar w:fldCharType="separate"/>
        </w:r>
        <w:r w:rsidR="00236917" w:rsidRPr="00FB463E">
          <w:rPr>
            <w:noProof/>
            <w:webHidden/>
          </w:rPr>
          <w:t>147</w:t>
        </w:r>
        <w:r w:rsidR="00236917" w:rsidRPr="00FB463E">
          <w:rPr>
            <w:noProof/>
            <w:webHidden/>
          </w:rPr>
          <w:fldChar w:fldCharType="end"/>
        </w:r>
      </w:hyperlink>
    </w:p>
    <w:p w14:paraId="29AEF0FC" w14:textId="373B2D94"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73" w:history="1">
        <w:r w:rsidR="00236917" w:rsidRPr="00FB463E">
          <w:rPr>
            <w:rStyle w:val="Lienhypertexte"/>
            <w:rFonts w:eastAsia="Calibri"/>
            <w:noProof/>
          </w:rPr>
          <w:t>(I)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Risk for industrial users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_Toc93326573 \h </w:instrText>
        </w:r>
        <w:r w:rsidR="00236917" w:rsidRPr="00FB463E">
          <w:rPr>
            <w:noProof/>
            <w:webHidden/>
          </w:rPr>
        </w:r>
        <w:r w:rsidR="00236917" w:rsidRPr="00FB463E">
          <w:rPr>
            <w:noProof/>
            <w:webHidden/>
          </w:rPr>
          <w:fldChar w:fldCharType="separate"/>
        </w:r>
        <w:r w:rsidR="00236917" w:rsidRPr="00FB463E">
          <w:rPr>
            <w:noProof/>
            <w:webHidden/>
          </w:rPr>
          <w:t>148</w:t>
        </w:r>
        <w:r w:rsidR="00236917" w:rsidRPr="00FB463E">
          <w:rPr>
            <w:noProof/>
            <w:webHidden/>
          </w:rPr>
          <w:fldChar w:fldCharType="end"/>
        </w:r>
      </w:hyperlink>
    </w:p>
    <w:p w14:paraId="375FB2A3" w14:textId="60FC20FF"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74" w:history="1">
        <w:r w:rsidR="00236917" w:rsidRPr="00FB463E">
          <w:rPr>
            <w:rStyle w:val="Lienhypertexte"/>
            <w:rFonts w:eastAsia="Calibri"/>
            <w:noProof/>
          </w:rPr>
          <w:t>(II)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Risk for professional users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_Toc93326574 \h </w:instrText>
        </w:r>
        <w:r w:rsidR="00236917" w:rsidRPr="00FB463E">
          <w:rPr>
            <w:noProof/>
            <w:webHidden/>
          </w:rPr>
        </w:r>
        <w:r w:rsidR="00236917" w:rsidRPr="00FB463E">
          <w:rPr>
            <w:noProof/>
            <w:webHidden/>
          </w:rPr>
          <w:fldChar w:fldCharType="separate"/>
        </w:r>
        <w:r w:rsidR="00236917" w:rsidRPr="00FB463E">
          <w:rPr>
            <w:noProof/>
            <w:webHidden/>
          </w:rPr>
          <w:t>149</w:t>
        </w:r>
        <w:r w:rsidR="00236917" w:rsidRPr="00FB463E">
          <w:rPr>
            <w:noProof/>
            <w:webHidden/>
          </w:rPr>
          <w:fldChar w:fldCharType="end"/>
        </w:r>
      </w:hyperlink>
    </w:p>
    <w:p w14:paraId="6D54EECE" w14:textId="219D8DBA"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75" w:history="1">
        <w:r w:rsidR="00236917" w:rsidRPr="00FB463E">
          <w:rPr>
            <w:rStyle w:val="Lienhypertexte"/>
            <w:rFonts w:eastAsia="Calibri"/>
            <w:noProof/>
          </w:rPr>
          <w:t>(III)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Risk for non-professional users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_Toc93326575 \h </w:instrText>
        </w:r>
        <w:r w:rsidR="00236917" w:rsidRPr="00FB463E">
          <w:rPr>
            <w:noProof/>
            <w:webHidden/>
          </w:rPr>
        </w:r>
        <w:r w:rsidR="00236917" w:rsidRPr="00FB463E">
          <w:rPr>
            <w:noProof/>
            <w:webHidden/>
          </w:rPr>
          <w:fldChar w:fldCharType="separate"/>
        </w:r>
        <w:r w:rsidR="00236917" w:rsidRPr="00FB463E">
          <w:rPr>
            <w:noProof/>
            <w:webHidden/>
          </w:rPr>
          <w:t>149</w:t>
        </w:r>
        <w:r w:rsidR="00236917" w:rsidRPr="00FB463E">
          <w:rPr>
            <w:noProof/>
            <w:webHidden/>
          </w:rPr>
          <w:fldChar w:fldCharType="end"/>
        </w:r>
      </w:hyperlink>
    </w:p>
    <w:p w14:paraId="6E5A3BA3" w14:textId="405ADABC"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76" w:history="1">
        <w:r w:rsidR="00236917" w:rsidRPr="00FB463E">
          <w:rPr>
            <w:rStyle w:val="Lienhypertexte"/>
            <w:rFonts w:eastAsia="Calibri"/>
            <w:noProof/>
          </w:rPr>
          <w:t>(IV)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Risk for the general public</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_Toc93326576 \h </w:instrText>
        </w:r>
        <w:r w:rsidR="00236917" w:rsidRPr="00FB463E">
          <w:rPr>
            <w:noProof/>
            <w:webHidden/>
          </w:rPr>
        </w:r>
        <w:r w:rsidR="00236917" w:rsidRPr="00FB463E">
          <w:rPr>
            <w:noProof/>
            <w:webHidden/>
          </w:rPr>
          <w:fldChar w:fldCharType="separate"/>
        </w:r>
        <w:r w:rsidR="00236917" w:rsidRPr="00FB463E">
          <w:rPr>
            <w:noProof/>
            <w:webHidden/>
          </w:rPr>
          <w:t>166</w:t>
        </w:r>
        <w:r w:rsidR="00236917" w:rsidRPr="00FB463E">
          <w:rPr>
            <w:noProof/>
            <w:webHidden/>
          </w:rPr>
          <w:fldChar w:fldCharType="end"/>
        </w:r>
      </w:hyperlink>
    </w:p>
    <w:p w14:paraId="16AEBE26" w14:textId="2DC627BB"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77" w:history="1">
        <w:r w:rsidR="00236917" w:rsidRPr="00FB463E">
          <w:rPr>
            <w:rStyle w:val="Lienhypertexte"/>
            <w:rFonts w:eastAsia="Calibri"/>
            <w:noProof/>
          </w:rPr>
          <w:t>(V)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Risk for consumers via residues in food</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_Toc93326577 \h </w:instrText>
        </w:r>
        <w:r w:rsidR="00236917" w:rsidRPr="00FB463E">
          <w:rPr>
            <w:noProof/>
            <w:webHidden/>
          </w:rPr>
        </w:r>
        <w:r w:rsidR="00236917" w:rsidRPr="00FB463E">
          <w:rPr>
            <w:noProof/>
            <w:webHidden/>
          </w:rPr>
          <w:fldChar w:fldCharType="separate"/>
        </w:r>
        <w:r w:rsidR="00236917" w:rsidRPr="00FB463E">
          <w:rPr>
            <w:noProof/>
            <w:webHidden/>
          </w:rPr>
          <w:t>166</w:t>
        </w:r>
        <w:r w:rsidR="00236917" w:rsidRPr="00FB463E">
          <w:rPr>
            <w:noProof/>
            <w:webHidden/>
          </w:rPr>
          <w:fldChar w:fldCharType="end"/>
        </w:r>
      </w:hyperlink>
    </w:p>
    <w:p w14:paraId="48C17ADE" w14:textId="303529CD"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78" w:history="1">
        <w:r w:rsidR="00236917" w:rsidRPr="00FB463E">
          <w:rPr>
            <w:rStyle w:val="Lienhypertexte"/>
            <w:rFonts w:eastAsia="Calibri"/>
            <w:noProof/>
          </w:rPr>
          <w:t>(VI)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Risk characterisation from combined exposure to several active substances or substances of concern within a biocidal product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_Toc93326578 \h </w:instrText>
        </w:r>
        <w:r w:rsidR="00236917" w:rsidRPr="00FB463E">
          <w:rPr>
            <w:noProof/>
            <w:webHidden/>
          </w:rPr>
        </w:r>
        <w:r w:rsidR="00236917" w:rsidRPr="00FB463E">
          <w:rPr>
            <w:noProof/>
            <w:webHidden/>
          </w:rPr>
          <w:fldChar w:fldCharType="separate"/>
        </w:r>
        <w:r w:rsidR="00236917" w:rsidRPr="00FB463E">
          <w:rPr>
            <w:noProof/>
            <w:webHidden/>
          </w:rPr>
          <w:t>167</w:t>
        </w:r>
        <w:r w:rsidR="00236917" w:rsidRPr="00FB463E">
          <w:rPr>
            <w:noProof/>
            <w:webHidden/>
          </w:rPr>
          <w:fldChar w:fldCharType="end"/>
        </w:r>
      </w:hyperlink>
    </w:p>
    <w:p w14:paraId="41935FEE" w14:textId="037F777E"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79" w:history="1">
        <w:r w:rsidR="00236917" w:rsidRPr="00FB463E">
          <w:rPr>
            <w:rStyle w:val="Lienhypertexte"/>
            <w:rFonts w:eastAsia="Calibri"/>
            <w:noProof/>
            <w:lang w:eastAsia="en-US"/>
          </w:rPr>
          <w:t>2.2.8</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lang w:eastAsia="en-US"/>
          </w:rPr>
          <w:t>Risk assessment for animal health</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_Toc93326579 \h </w:instrText>
        </w:r>
        <w:r w:rsidR="00236917" w:rsidRPr="00FB463E">
          <w:rPr>
            <w:noProof/>
            <w:webHidden/>
          </w:rPr>
        </w:r>
        <w:r w:rsidR="00236917" w:rsidRPr="00FB463E">
          <w:rPr>
            <w:noProof/>
            <w:webHidden/>
          </w:rPr>
          <w:fldChar w:fldCharType="separate"/>
        </w:r>
        <w:r w:rsidR="00236917" w:rsidRPr="00FB463E">
          <w:rPr>
            <w:noProof/>
            <w:webHidden/>
          </w:rPr>
          <w:t>167</w:t>
        </w:r>
        <w:r w:rsidR="00236917" w:rsidRPr="00FB463E">
          <w:rPr>
            <w:noProof/>
            <w:webHidden/>
          </w:rPr>
          <w:fldChar w:fldCharType="end"/>
        </w:r>
      </w:hyperlink>
    </w:p>
    <w:p w14:paraId="4DD3F9AA" w14:textId="3626A148"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580" w:history="1">
        <w:r w:rsidR="00236917" w:rsidRPr="00FB463E">
          <w:rPr>
            <w:rStyle w:val="Lienhypertexte"/>
            <w:rFonts w:eastAsia="Calibri"/>
            <w:noProof/>
            <w:lang w:eastAsia="en-US"/>
          </w:rPr>
          <w:t>2.2.9</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lang w:eastAsia="en-US"/>
          </w:rPr>
          <w:t>Risk assessment for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_Toc93326580 \h </w:instrText>
        </w:r>
        <w:r w:rsidR="00236917" w:rsidRPr="00FB463E">
          <w:rPr>
            <w:noProof/>
            <w:webHidden/>
          </w:rPr>
        </w:r>
        <w:r w:rsidR="00236917" w:rsidRPr="00FB463E">
          <w:rPr>
            <w:noProof/>
            <w:webHidden/>
          </w:rPr>
          <w:fldChar w:fldCharType="separate"/>
        </w:r>
        <w:r w:rsidR="00236917" w:rsidRPr="00FB463E">
          <w:rPr>
            <w:noProof/>
            <w:webHidden/>
          </w:rPr>
          <w:t>168</w:t>
        </w:r>
        <w:r w:rsidR="00236917" w:rsidRPr="00FB463E">
          <w:rPr>
            <w:noProof/>
            <w:webHidden/>
          </w:rPr>
          <w:fldChar w:fldCharType="end"/>
        </w:r>
      </w:hyperlink>
    </w:p>
    <w:p w14:paraId="581DBE2E" w14:textId="5242B0FA"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81" w:history="1">
        <w:r w:rsidR="00236917" w:rsidRPr="00FB463E">
          <w:rPr>
            <w:rStyle w:val="Lienhypertexte"/>
            <w:rFonts w:eastAsia="Calibri"/>
            <w:noProof/>
          </w:rPr>
          <w:t>2.2.9.1</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Effects assessment on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_Toc93326581 \h </w:instrText>
        </w:r>
        <w:r w:rsidR="00236917" w:rsidRPr="00FB463E">
          <w:rPr>
            <w:noProof/>
            <w:webHidden/>
          </w:rPr>
        </w:r>
        <w:r w:rsidR="00236917" w:rsidRPr="00FB463E">
          <w:rPr>
            <w:noProof/>
            <w:webHidden/>
          </w:rPr>
          <w:fldChar w:fldCharType="separate"/>
        </w:r>
        <w:r w:rsidR="00236917" w:rsidRPr="00FB463E">
          <w:rPr>
            <w:noProof/>
            <w:webHidden/>
          </w:rPr>
          <w:t>168</w:t>
        </w:r>
        <w:r w:rsidR="00236917" w:rsidRPr="00FB463E">
          <w:rPr>
            <w:noProof/>
            <w:webHidden/>
          </w:rPr>
          <w:fldChar w:fldCharType="end"/>
        </w:r>
      </w:hyperlink>
    </w:p>
    <w:p w14:paraId="0815D93C" w14:textId="0C0A9A9B" w:rsidR="00236917" w:rsidRPr="00FB463E" w:rsidRDefault="000D0DA7">
      <w:pPr>
        <w:pStyle w:val="TM5"/>
        <w:tabs>
          <w:tab w:val="right" w:leader="dot" w:pos="9203"/>
        </w:tabs>
        <w:rPr>
          <w:rFonts w:asciiTheme="minorHAnsi" w:eastAsiaTheme="minorEastAsia" w:hAnsiTheme="minorHAnsi" w:cstheme="minorBidi"/>
          <w:i w:val="0"/>
          <w:noProof/>
          <w:color w:val="auto"/>
          <w:sz w:val="22"/>
          <w:szCs w:val="22"/>
          <w:lang w:val="fr-FR" w:eastAsia="fr-FR"/>
        </w:rPr>
      </w:pPr>
      <w:hyperlink w:anchor="_Toc93326582" w:history="1">
        <w:r w:rsidR="00236917" w:rsidRPr="00FB463E">
          <w:rPr>
            <w:rStyle w:val="Lienhypertexte"/>
            <w:rFonts w:eastAsia="Calibri"/>
            <w:noProof/>
          </w:rPr>
          <w:t>Environmental fate and behavior of the active substance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_Toc93326582 \h </w:instrText>
        </w:r>
        <w:r w:rsidR="00236917" w:rsidRPr="00FB463E">
          <w:rPr>
            <w:noProof/>
            <w:webHidden/>
          </w:rPr>
        </w:r>
        <w:r w:rsidR="00236917" w:rsidRPr="00FB463E">
          <w:rPr>
            <w:noProof/>
            <w:webHidden/>
          </w:rPr>
          <w:fldChar w:fldCharType="separate"/>
        </w:r>
        <w:r w:rsidR="00236917" w:rsidRPr="00FB463E">
          <w:rPr>
            <w:noProof/>
            <w:webHidden/>
          </w:rPr>
          <w:t>168</w:t>
        </w:r>
        <w:r w:rsidR="00236917" w:rsidRPr="00FB463E">
          <w:rPr>
            <w:noProof/>
            <w:webHidden/>
          </w:rPr>
          <w:fldChar w:fldCharType="end"/>
        </w:r>
      </w:hyperlink>
    </w:p>
    <w:p w14:paraId="493B8333" w14:textId="4D910A6A" w:rsidR="00236917" w:rsidRPr="00FB463E" w:rsidRDefault="000D0DA7">
      <w:pPr>
        <w:pStyle w:val="TM5"/>
        <w:tabs>
          <w:tab w:val="right" w:leader="dot" w:pos="9203"/>
        </w:tabs>
        <w:rPr>
          <w:rFonts w:asciiTheme="minorHAnsi" w:eastAsiaTheme="minorEastAsia" w:hAnsiTheme="minorHAnsi" w:cstheme="minorBidi"/>
          <w:i w:val="0"/>
          <w:noProof/>
          <w:color w:val="auto"/>
          <w:sz w:val="22"/>
          <w:szCs w:val="22"/>
          <w:lang w:val="fr-FR" w:eastAsia="fr-FR"/>
        </w:rPr>
      </w:pPr>
      <w:hyperlink w:anchor="_Toc93326583" w:history="1">
        <w:r w:rsidR="00236917" w:rsidRPr="00FB463E">
          <w:rPr>
            <w:rStyle w:val="Lienhypertexte"/>
            <w:rFonts w:eastAsia="Calibri"/>
            <w:noProof/>
          </w:rPr>
          <w:t>Effect assessment of the active substance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_Toc93326583 \h </w:instrText>
        </w:r>
        <w:r w:rsidR="00236917" w:rsidRPr="00FB463E">
          <w:rPr>
            <w:noProof/>
            <w:webHidden/>
          </w:rPr>
        </w:r>
        <w:r w:rsidR="00236917" w:rsidRPr="00FB463E">
          <w:rPr>
            <w:noProof/>
            <w:webHidden/>
          </w:rPr>
          <w:fldChar w:fldCharType="separate"/>
        </w:r>
        <w:r w:rsidR="00236917" w:rsidRPr="00FB463E">
          <w:rPr>
            <w:noProof/>
            <w:webHidden/>
          </w:rPr>
          <w:t>169</w:t>
        </w:r>
        <w:r w:rsidR="00236917" w:rsidRPr="00FB463E">
          <w:rPr>
            <w:noProof/>
            <w:webHidden/>
          </w:rPr>
          <w:fldChar w:fldCharType="end"/>
        </w:r>
      </w:hyperlink>
    </w:p>
    <w:p w14:paraId="0B252268" w14:textId="39861BE3"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84" w:history="1">
        <w:r w:rsidR="00236917" w:rsidRPr="00FB463E">
          <w:rPr>
            <w:rStyle w:val="Lienhypertexte"/>
            <w:rFonts w:eastAsia="Calibri"/>
            <w:noProof/>
          </w:rPr>
          <w:t>(I)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Information relating to the ecotoxicity of the biocidal product which is sufficient to enable a decision to be made concerning the classification of the product is required</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_Toc93326584 \h </w:instrText>
        </w:r>
        <w:r w:rsidR="00236917" w:rsidRPr="00FB463E">
          <w:rPr>
            <w:noProof/>
            <w:webHidden/>
          </w:rPr>
        </w:r>
        <w:r w:rsidR="00236917" w:rsidRPr="00FB463E">
          <w:rPr>
            <w:noProof/>
            <w:webHidden/>
          </w:rPr>
          <w:fldChar w:fldCharType="separate"/>
        </w:r>
        <w:r w:rsidR="00236917" w:rsidRPr="00FB463E">
          <w:rPr>
            <w:noProof/>
            <w:webHidden/>
          </w:rPr>
          <w:t>170</w:t>
        </w:r>
        <w:r w:rsidR="00236917" w:rsidRPr="00FB463E">
          <w:rPr>
            <w:noProof/>
            <w:webHidden/>
          </w:rPr>
          <w:fldChar w:fldCharType="end"/>
        </w:r>
      </w:hyperlink>
    </w:p>
    <w:p w14:paraId="2AA5B252" w14:textId="3FFAF44C"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85" w:history="1">
        <w:r w:rsidR="00236917" w:rsidRPr="00FB463E">
          <w:rPr>
            <w:rStyle w:val="Lienhypertexte"/>
            <w:rFonts w:eastAsia="Calibri"/>
            <w:noProof/>
          </w:rPr>
          <w:t>(II)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Further Ecotoxicological studies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_Toc93326585 \h </w:instrText>
        </w:r>
        <w:r w:rsidR="00236917" w:rsidRPr="00FB463E">
          <w:rPr>
            <w:noProof/>
            <w:webHidden/>
          </w:rPr>
        </w:r>
        <w:r w:rsidR="00236917" w:rsidRPr="00FB463E">
          <w:rPr>
            <w:noProof/>
            <w:webHidden/>
          </w:rPr>
          <w:fldChar w:fldCharType="separate"/>
        </w:r>
        <w:r w:rsidR="00236917" w:rsidRPr="00FB463E">
          <w:rPr>
            <w:noProof/>
            <w:webHidden/>
          </w:rPr>
          <w:t>170</w:t>
        </w:r>
        <w:r w:rsidR="00236917" w:rsidRPr="00FB463E">
          <w:rPr>
            <w:noProof/>
            <w:webHidden/>
          </w:rPr>
          <w:fldChar w:fldCharType="end"/>
        </w:r>
      </w:hyperlink>
    </w:p>
    <w:p w14:paraId="31B6B2A8" w14:textId="7C692077"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86" w:history="1">
        <w:r w:rsidR="00236917" w:rsidRPr="00FB463E">
          <w:rPr>
            <w:rStyle w:val="Lienhypertexte"/>
            <w:rFonts w:eastAsia="Calibri"/>
            <w:noProof/>
          </w:rPr>
          <w:t>(III)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Effects on any other specific, non-target organisms (flora and fauna) believed to be at risk (ADS)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_Toc93326586 \h </w:instrText>
        </w:r>
        <w:r w:rsidR="00236917" w:rsidRPr="00FB463E">
          <w:rPr>
            <w:noProof/>
            <w:webHidden/>
          </w:rPr>
        </w:r>
        <w:r w:rsidR="00236917" w:rsidRPr="00FB463E">
          <w:rPr>
            <w:noProof/>
            <w:webHidden/>
          </w:rPr>
          <w:fldChar w:fldCharType="separate"/>
        </w:r>
        <w:r w:rsidR="00236917" w:rsidRPr="00FB463E">
          <w:rPr>
            <w:noProof/>
            <w:webHidden/>
          </w:rPr>
          <w:t>170</w:t>
        </w:r>
        <w:r w:rsidR="00236917" w:rsidRPr="00FB463E">
          <w:rPr>
            <w:noProof/>
            <w:webHidden/>
          </w:rPr>
          <w:fldChar w:fldCharType="end"/>
        </w:r>
      </w:hyperlink>
    </w:p>
    <w:p w14:paraId="48F099B8" w14:textId="61481F5E"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87" w:history="1">
        <w:r w:rsidR="00236917" w:rsidRPr="00FB463E">
          <w:rPr>
            <w:rStyle w:val="Lienhypertexte"/>
            <w:rFonts w:eastAsia="Calibri"/>
            <w:noProof/>
          </w:rPr>
          <w:t>(IV)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Supervised trials to assess risks to non-target organisms under field conditions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_Toc93326587 \h </w:instrText>
        </w:r>
        <w:r w:rsidR="00236917" w:rsidRPr="00FB463E">
          <w:rPr>
            <w:noProof/>
            <w:webHidden/>
          </w:rPr>
        </w:r>
        <w:r w:rsidR="00236917" w:rsidRPr="00FB463E">
          <w:rPr>
            <w:noProof/>
            <w:webHidden/>
          </w:rPr>
          <w:fldChar w:fldCharType="separate"/>
        </w:r>
        <w:r w:rsidR="00236917" w:rsidRPr="00FB463E">
          <w:rPr>
            <w:noProof/>
            <w:webHidden/>
          </w:rPr>
          <w:t>170</w:t>
        </w:r>
        <w:r w:rsidR="00236917" w:rsidRPr="00FB463E">
          <w:rPr>
            <w:noProof/>
            <w:webHidden/>
          </w:rPr>
          <w:fldChar w:fldCharType="end"/>
        </w:r>
      </w:hyperlink>
    </w:p>
    <w:p w14:paraId="5145F4A5" w14:textId="6CDDBB3C"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88" w:history="1">
        <w:r w:rsidR="00236917" w:rsidRPr="00FB463E">
          <w:rPr>
            <w:rStyle w:val="Lienhypertexte"/>
            <w:rFonts w:eastAsia="Calibri"/>
            <w:noProof/>
          </w:rPr>
          <w:t>(V)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Studies on acceptance by ingestion of the biocidal product by any non-target organisms thought to be at risk</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_Toc93326588 \h </w:instrText>
        </w:r>
        <w:r w:rsidR="00236917" w:rsidRPr="00FB463E">
          <w:rPr>
            <w:noProof/>
            <w:webHidden/>
          </w:rPr>
        </w:r>
        <w:r w:rsidR="00236917" w:rsidRPr="00FB463E">
          <w:rPr>
            <w:noProof/>
            <w:webHidden/>
          </w:rPr>
          <w:fldChar w:fldCharType="separate"/>
        </w:r>
        <w:r w:rsidR="00236917" w:rsidRPr="00FB463E">
          <w:rPr>
            <w:noProof/>
            <w:webHidden/>
          </w:rPr>
          <w:t>170</w:t>
        </w:r>
        <w:r w:rsidR="00236917" w:rsidRPr="00FB463E">
          <w:rPr>
            <w:noProof/>
            <w:webHidden/>
          </w:rPr>
          <w:fldChar w:fldCharType="end"/>
        </w:r>
      </w:hyperlink>
    </w:p>
    <w:p w14:paraId="03C73EC1" w14:textId="225A5A6C"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89" w:history="1">
        <w:r w:rsidR="00236917" w:rsidRPr="00FB463E">
          <w:rPr>
            <w:rStyle w:val="Lienhypertexte"/>
            <w:rFonts w:eastAsia="Calibri"/>
            <w:noProof/>
          </w:rPr>
          <w:t>(VI)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Secondary ecological effect e.g. when a large proportion of a specific habitat type is treated (ADS)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_Toc93326589 \h </w:instrText>
        </w:r>
        <w:r w:rsidR="00236917" w:rsidRPr="00FB463E">
          <w:rPr>
            <w:noProof/>
            <w:webHidden/>
          </w:rPr>
        </w:r>
        <w:r w:rsidR="00236917" w:rsidRPr="00FB463E">
          <w:rPr>
            <w:noProof/>
            <w:webHidden/>
          </w:rPr>
          <w:fldChar w:fldCharType="separate"/>
        </w:r>
        <w:r w:rsidR="00236917" w:rsidRPr="00FB463E">
          <w:rPr>
            <w:noProof/>
            <w:webHidden/>
          </w:rPr>
          <w:t>170</w:t>
        </w:r>
        <w:r w:rsidR="00236917" w:rsidRPr="00FB463E">
          <w:rPr>
            <w:noProof/>
            <w:webHidden/>
          </w:rPr>
          <w:fldChar w:fldCharType="end"/>
        </w:r>
      </w:hyperlink>
    </w:p>
    <w:p w14:paraId="0DBF194E" w14:textId="75022386"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90" w:history="1">
        <w:r w:rsidR="00236917" w:rsidRPr="00FB463E">
          <w:rPr>
            <w:rStyle w:val="Lienhypertexte"/>
            <w:rFonts w:eastAsia="Calibri"/>
            <w:noProof/>
          </w:rPr>
          <w:t>(VII)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Foreseeable routes of entry into the environment on the basis of the use envisaged</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_Toc93326590 \h </w:instrText>
        </w:r>
        <w:r w:rsidR="00236917" w:rsidRPr="00FB463E">
          <w:rPr>
            <w:noProof/>
            <w:webHidden/>
          </w:rPr>
        </w:r>
        <w:r w:rsidR="00236917" w:rsidRPr="00FB463E">
          <w:rPr>
            <w:noProof/>
            <w:webHidden/>
          </w:rPr>
          <w:fldChar w:fldCharType="separate"/>
        </w:r>
        <w:r w:rsidR="00236917" w:rsidRPr="00FB463E">
          <w:rPr>
            <w:noProof/>
            <w:webHidden/>
          </w:rPr>
          <w:t>171</w:t>
        </w:r>
        <w:r w:rsidR="00236917" w:rsidRPr="00FB463E">
          <w:rPr>
            <w:noProof/>
            <w:webHidden/>
          </w:rPr>
          <w:fldChar w:fldCharType="end"/>
        </w:r>
      </w:hyperlink>
    </w:p>
    <w:p w14:paraId="773A78BC" w14:textId="08D91EDC"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91" w:history="1">
        <w:r w:rsidR="00236917" w:rsidRPr="00FB463E">
          <w:rPr>
            <w:rStyle w:val="Lienhypertexte"/>
            <w:rFonts w:eastAsia="Calibri"/>
            <w:noProof/>
          </w:rPr>
          <w:t>(VIII)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Further studies on fate and behaviour in the environment (ADS)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_Toc93326591 \h </w:instrText>
        </w:r>
        <w:r w:rsidR="00236917" w:rsidRPr="00FB463E">
          <w:rPr>
            <w:noProof/>
            <w:webHidden/>
          </w:rPr>
        </w:r>
        <w:r w:rsidR="00236917" w:rsidRPr="00FB463E">
          <w:rPr>
            <w:noProof/>
            <w:webHidden/>
          </w:rPr>
          <w:fldChar w:fldCharType="separate"/>
        </w:r>
        <w:r w:rsidR="00236917" w:rsidRPr="00FB463E">
          <w:rPr>
            <w:noProof/>
            <w:webHidden/>
          </w:rPr>
          <w:t>171</w:t>
        </w:r>
        <w:r w:rsidR="00236917" w:rsidRPr="00FB463E">
          <w:rPr>
            <w:noProof/>
            <w:webHidden/>
          </w:rPr>
          <w:fldChar w:fldCharType="end"/>
        </w:r>
      </w:hyperlink>
    </w:p>
    <w:p w14:paraId="1936B55E" w14:textId="5EAB319D"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92" w:history="1">
        <w:r w:rsidR="00236917" w:rsidRPr="00FB463E">
          <w:rPr>
            <w:rStyle w:val="Lienhypertexte"/>
            <w:rFonts w:eastAsia="Calibri"/>
            <w:noProof/>
          </w:rPr>
          <w:t>(IX)</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Leaching behaviour (ADS)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_Toc93326592 \h </w:instrText>
        </w:r>
        <w:r w:rsidR="00236917" w:rsidRPr="00FB463E">
          <w:rPr>
            <w:noProof/>
            <w:webHidden/>
          </w:rPr>
        </w:r>
        <w:r w:rsidR="00236917" w:rsidRPr="00FB463E">
          <w:rPr>
            <w:noProof/>
            <w:webHidden/>
          </w:rPr>
          <w:fldChar w:fldCharType="separate"/>
        </w:r>
        <w:r w:rsidR="00236917" w:rsidRPr="00FB463E">
          <w:rPr>
            <w:noProof/>
            <w:webHidden/>
          </w:rPr>
          <w:t>171</w:t>
        </w:r>
        <w:r w:rsidR="00236917" w:rsidRPr="00FB463E">
          <w:rPr>
            <w:noProof/>
            <w:webHidden/>
          </w:rPr>
          <w:fldChar w:fldCharType="end"/>
        </w:r>
      </w:hyperlink>
    </w:p>
    <w:p w14:paraId="62D88E5E" w14:textId="3F0D440A"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93" w:history="1">
        <w:r w:rsidR="00236917" w:rsidRPr="00FB463E">
          <w:rPr>
            <w:rStyle w:val="Lienhypertexte"/>
            <w:rFonts w:eastAsia="Calibri"/>
            <w:noProof/>
          </w:rPr>
          <w:t>(X)</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Testing for distribution and dissipation in soil (ADS)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_Toc93326593 \h </w:instrText>
        </w:r>
        <w:r w:rsidR="00236917" w:rsidRPr="00FB463E">
          <w:rPr>
            <w:noProof/>
            <w:webHidden/>
          </w:rPr>
        </w:r>
        <w:r w:rsidR="00236917" w:rsidRPr="00FB463E">
          <w:rPr>
            <w:noProof/>
            <w:webHidden/>
          </w:rPr>
          <w:fldChar w:fldCharType="separate"/>
        </w:r>
        <w:r w:rsidR="00236917" w:rsidRPr="00FB463E">
          <w:rPr>
            <w:noProof/>
            <w:webHidden/>
          </w:rPr>
          <w:t>171</w:t>
        </w:r>
        <w:r w:rsidR="00236917" w:rsidRPr="00FB463E">
          <w:rPr>
            <w:noProof/>
            <w:webHidden/>
          </w:rPr>
          <w:fldChar w:fldCharType="end"/>
        </w:r>
      </w:hyperlink>
    </w:p>
    <w:p w14:paraId="28DAA755" w14:textId="686C93B3"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94" w:history="1">
        <w:r w:rsidR="00236917" w:rsidRPr="00FB463E">
          <w:rPr>
            <w:rStyle w:val="Lienhypertexte"/>
            <w:rFonts w:eastAsia="Calibri"/>
            <w:noProof/>
          </w:rPr>
          <w:t>(XI)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Testing for distribution and dissipation in water and sediment (ADS)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_Toc93326594 \h </w:instrText>
        </w:r>
        <w:r w:rsidR="00236917" w:rsidRPr="00FB463E">
          <w:rPr>
            <w:noProof/>
            <w:webHidden/>
          </w:rPr>
        </w:r>
        <w:r w:rsidR="00236917" w:rsidRPr="00FB463E">
          <w:rPr>
            <w:noProof/>
            <w:webHidden/>
          </w:rPr>
          <w:fldChar w:fldCharType="separate"/>
        </w:r>
        <w:r w:rsidR="00236917" w:rsidRPr="00FB463E">
          <w:rPr>
            <w:noProof/>
            <w:webHidden/>
          </w:rPr>
          <w:t>171</w:t>
        </w:r>
        <w:r w:rsidR="00236917" w:rsidRPr="00FB463E">
          <w:rPr>
            <w:noProof/>
            <w:webHidden/>
          </w:rPr>
          <w:fldChar w:fldCharType="end"/>
        </w:r>
      </w:hyperlink>
    </w:p>
    <w:p w14:paraId="67523308" w14:textId="5D5E8083"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95" w:history="1">
        <w:r w:rsidR="00236917" w:rsidRPr="00FB463E">
          <w:rPr>
            <w:rStyle w:val="Lienhypertexte"/>
            <w:rFonts w:eastAsia="Calibri"/>
            <w:noProof/>
          </w:rPr>
          <w:t>(XII)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Testing for distribution and dissipation in air (ADS)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_Toc93326595 \h </w:instrText>
        </w:r>
        <w:r w:rsidR="00236917" w:rsidRPr="00FB463E">
          <w:rPr>
            <w:noProof/>
            <w:webHidden/>
          </w:rPr>
        </w:r>
        <w:r w:rsidR="00236917" w:rsidRPr="00FB463E">
          <w:rPr>
            <w:noProof/>
            <w:webHidden/>
          </w:rPr>
          <w:fldChar w:fldCharType="separate"/>
        </w:r>
        <w:r w:rsidR="00236917" w:rsidRPr="00FB463E">
          <w:rPr>
            <w:noProof/>
            <w:webHidden/>
          </w:rPr>
          <w:t>171</w:t>
        </w:r>
        <w:r w:rsidR="00236917" w:rsidRPr="00FB463E">
          <w:rPr>
            <w:noProof/>
            <w:webHidden/>
          </w:rPr>
          <w:fldChar w:fldCharType="end"/>
        </w:r>
      </w:hyperlink>
    </w:p>
    <w:p w14:paraId="577C9ADD" w14:textId="7DC53218"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96" w:history="1">
        <w:r w:rsidR="00236917" w:rsidRPr="00FB463E">
          <w:rPr>
            <w:rStyle w:val="Lienhypertexte"/>
            <w:rFonts w:eastAsia="Calibri"/>
            <w:noProof/>
          </w:rPr>
          <w:t>(XIII)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If the biocidal product is to be sprayed near to surface waters then an overspray study may be required to assess risks to aquatic organisms or plants under field conditions (ADS)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_Toc93326596 \h </w:instrText>
        </w:r>
        <w:r w:rsidR="00236917" w:rsidRPr="00FB463E">
          <w:rPr>
            <w:noProof/>
            <w:webHidden/>
          </w:rPr>
        </w:r>
        <w:r w:rsidR="00236917" w:rsidRPr="00FB463E">
          <w:rPr>
            <w:noProof/>
            <w:webHidden/>
          </w:rPr>
          <w:fldChar w:fldCharType="separate"/>
        </w:r>
        <w:r w:rsidR="00236917" w:rsidRPr="00FB463E">
          <w:rPr>
            <w:noProof/>
            <w:webHidden/>
          </w:rPr>
          <w:t>172</w:t>
        </w:r>
        <w:r w:rsidR="00236917" w:rsidRPr="00FB463E">
          <w:rPr>
            <w:noProof/>
            <w:webHidden/>
          </w:rPr>
          <w:fldChar w:fldCharType="end"/>
        </w:r>
      </w:hyperlink>
    </w:p>
    <w:p w14:paraId="624DEBC5" w14:textId="4A37E1F3"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97" w:history="1">
        <w:r w:rsidR="00236917" w:rsidRPr="00FB463E">
          <w:rPr>
            <w:rStyle w:val="Lienhypertexte"/>
            <w:rFonts w:eastAsia="Calibri"/>
            <w:noProof/>
          </w:rPr>
          <w:t>(XIV)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If the biocidal product is to be sprayed outside or if potential for large scale formation of dust is given then data on overspray behaviour may be required to assess risks to bees and non-target arthropods under field conditions (ADS)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_Toc93326597 \h </w:instrText>
        </w:r>
        <w:r w:rsidR="00236917" w:rsidRPr="00FB463E">
          <w:rPr>
            <w:noProof/>
            <w:webHidden/>
          </w:rPr>
        </w:r>
        <w:r w:rsidR="00236917" w:rsidRPr="00FB463E">
          <w:rPr>
            <w:noProof/>
            <w:webHidden/>
          </w:rPr>
          <w:fldChar w:fldCharType="separate"/>
        </w:r>
        <w:r w:rsidR="00236917" w:rsidRPr="00FB463E">
          <w:rPr>
            <w:noProof/>
            <w:webHidden/>
          </w:rPr>
          <w:t>172</w:t>
        </w:r>
        <w:r w:rsidR="00236917" w:rsidRPr="00FB463E">
          <w:rPr>
            <w:noProof/>
            <w:webHidden/>
          </w:rPr>
          <w:fldChar w:fldCharType="end"/>
        </w:r>
      </w:hyperlink>
    </w:p>
    <w:p w14:paraId="625ADC73" w14:textId="707245C8"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598" w:history="1">
        <w:r w:rsidR="00236917" w:rsidRPr="00FB463E">
          <w:rPr>
            <w:rStyle w:val="Lienhypertexte"/>
            <w:rFonts w:eastAsia="Calibri"/>
            <w:noProof/>
          </w:rPr>
          <w:t>2.2.9.2</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Exposure assessment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_Toc93326598 \h </w:instrText>
        </w:r>
        <w:r w:rsidR="00236917" w:rsidRPr="00FB463E">
          <w:rPr>
            <w:noProof/>
            <w:webHidden/>
          </w:rPr>
        </w:r>
        <w:r w:rsidR="00236917" w:rsidRPr="00FB463E">
          <w:rPr>
            <w:noProof/>
            <w:webHidden/>
          </w:rPr>
          <w:fldChar w:fldCharType="separate"/>
        </w:r>
        <w:r w:rsidR="00236917" w:rsidRPr="00FB463E">
          <w:rPr>
            <w:noProof/>
            <w:webHidden/>
          </w:rPr>
          <w:t>173</w:t>
        </w:r>
        <w:r w:rsidR="00236917" w:rsidRPr="00FB463E">
          <w:rPr>
            <w:noProof/>
            <w:webHidden/>
          </w:rPr>
          <w:fldChar w:fldCharType="end"/>
        </w:r>
      </w:hyperlink>
    </w:p>
    <w:p w14:paraId="52C81998" w14:textId="34B7C620"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599" w:history="1">
        <w:r w:rsidR="00236917" w:rsidRPr="00FB463E">
          <w:rPr>
            <w:rStyle w:val="Lienhypertexte"/>
            <w:rFonts w:eastAsia="Calibri"/>
            <w:noProof/>
          </w:rPr>
          <w:t>(I)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General information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_Toc93326599 \h </w:instrText>
        </w:r>
        <w:r w:rsidR="00236917" w:rsidRPr="00FB463E">
          <w:rPr>
            <w:noProof/>
            <w:webHidden/>
          </w:rPr>
        </w:r>
        <w:r w:rsidR="00236917" w:rsidRPr="00FB463E">
          <w:rPr>
            <w:noProof/>
            <w:webHidden/>
          </w:rPr>
          <w:fldChar w:fldCharType="separate"/>
        </w:r>
        <w:r w:rsidR="00236917" w:rsidRPr="00FB463E">
          <w:rPr>
            <w:noProof/>
            <w:webHidden/>
          </w:rPr>
          <w:t>173</w:t>
        </w:r>
        <w:r w:rsidR="00236917" w:rsidRPr="00FB463E">
          <w:rPr>
            <w:noProof/>
            <w:webHidden/>
          </w:rPr>
          <w:fldChar w:fldCharType="end"/>
        </w:r>
      </w:hyperlink>
    </w:p>
    <w:p w14:paraId="618AB2AF" w14:textId="4427419A"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00" w:history="1">
        <w:r w:rsidR="00236917" w:rsidRPr="00FB463E">
          <w:rPr>
            <w:rStyle w:val="Lienhypertexte"/>
            <w:rFonts w:eastAsia="Calibri"/>
            <w:noProof/>
          </w:rPr>
          <w:t>(II)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Emission estimation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_Toc93326600 \h </w:instrText>
        </w:r>
        <w:r w:rsidR="00236917" w:rsidRPr="00FB463E">
          <w:rPr>
            <w:noProof/>
            <w:webHidden/>
          </w:rPr>
        </w:r>
        <w:r w:rsidR="00236917" w:rsidRPr="00FB463E">
          <w:rPr>
            <w:noProof/>
            <w:webHidden/>
          </w:rPr>
          <w:fldChar w:fldCharType="separate"/>
        </w:r>
        <w:r w:rsidR="00236917" w:rsidRPr="00FB463E">
          <w:rPr>
            <w:noProof/>
            <w:webHidden/>
          </w:rPr>
          <w:t>175</w:t>
        </w:r>
        <w:r w:rsidR="00236917" w:rsidRPr="00FB463E">
          <w:rPr>
            <w:noProof/>
            <w:webHidden/>
          </w:rPr>
          <w:fldChar w:fldCharType="end"/>
        </w:r>
      </w:hyperlink>
    </w:p>
    <w:p w14:paraId="20F5D4F1" w14:textId="28A5D5C7"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01" w:history="1">
        <w:r w:rsidR="00236917" w:rsidRPr="00FB463E">
          <w:rPr>
            <w:rStyle w:val="Lienhypertexte"/>
            <w:rFonts w:eastAsia="Calibri"/>
            <w:noProof/>
          </w:rPr>
          <w:t>(III)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Fate and distribution in exposed environmental compartments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_Toc93326601 \h </w:instrText>
        </w:r>
        <w:r w:rsidR="00236917" w:rsidRPr="00FB463E">
          <w:rPr>
            <w:noProof/>
            <w:webHidden/>
          </w:rPr>
        </w:r>
        <w:r w:rsidR="00236917" w:rsidRPr="00FB463E">
          <w:rPr>
            <w:noProof/>
            <w:webHidden/>
          </w:rPr>
          <w:fldChar w:fldCharType="separate"/>
        </w:r>
        <w:r w:rsidR="00236917" w:rsidRPr="00FB463E">
          <w:rPr>
            <w:noProof/>
            <w:webHidden/>
          </w:rPr>
          <w:t>181</w:t>
        </w:r>
        <w:r w:rsidR="00236917" w:rsidRPr="00FB463E">
          <w:rPr>
            <w:noProof/>
            <w:webHidden/>
          </w:rPr>
          <w:fldChar w:fldCharType="end"/>
        </w:r>
      </w:hyperlink>
    </w:p>
    <w:p w14:paraId="11F6F493" w14:textId="1D834771"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02" w:history="1">
        <w:r w:rsidR="00236917" w:rsidRPr="00FB463E">
          <w:rPr>
            <w:rStyle w:val="Lienhypertexte"/>
            <w:rFonts w:eastAsia="Calibri"/>
            <w:noProof/>
          </w:rPr>
          <w:t>(IV)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Calculated PEC values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_Toc93326602 \h </w:instrText>
        </w:r>
        <w:r w:rsidR="00236917" w:rsidRPr="00FB463E">
          <w:rPr>
            <w:noProof/>
            <w:webHidden/>
          </w:rPr>
        </w:r>
        <w:r w:rsidR="00236917" w:rsidRPr="00FB463E">
          <w:rPr>
            <w:noProof/>
            <w:webHidden/>
          </w:rPr>
          <w:fldChar w:fldCharType="separate"/>
        </w:r>
        <w:r w:rsidR="00236917" w:rsidRPr="00FB463E">
          <w:rPr>
            <w:noProof/>
            <w:webHidden/>
          </w:rPr>
          <w:t>182</w:t>
        </w:r>
        <w:r w:rsidR="00236917" w:rsidRPr="00FB463E">
          <w:rPr>
            <w:noProof/>
            <w:webHidden/>
          </w:rPr>
          <w:fldChar w:fldCharType="end"/>
        </w:r>
      </w:hyperlink>
    </w:p>
    <w:p w14:paraId="4A1168C5" w14:textId="78BF48C8"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03" w:history="1">
        <w:r w:rsidR="00236917" w:rsidRPr="00FB463E">
          <w:rPr>
            <w:rStyle w:val="Lienhypertexte"/>
            <w:rFonts w:eastAsia="Calibri"/>
            <w:noProof/>
          </w:rPr>
          <w:t>(V)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Primary and secondary poisoning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_Toc93326603 \h </w:instrText>
        </w:r>
        <w:r w:rsidR="00236917" w:rsidRPr="00FB463E">
          <w:rPr>
            <w:noProof/>
            <w:webHidden/>
          </w:rPr>
        </w:r>
        <w:r w:rsidR="00236917" w:rsidRPr="00FB463E">
          <w:rPr>
            <w:noProof/>
            <w:webHidden/>
          </w:rPr>
          <w:fldChar w:fldCharType="separate"/>
        </w:r>
        <w:r w:rsidR="00236917" w:rsidRPr="00FB463E">
          <w:rPr>
            <w:noProof/>
            <w:webHidden/>
          </w:rPr>
          <w:t>183</w:t>
        </w:r>
        <w:r w:rsidR="00236917" w:rsidRPr="00FB463E">
          <w:rPr>
            <w:noProof/>
            <w:webHidden/>
          </w:rPr>
          <w:fldChar w:fldCharType="end"/>
        </w:r>
      </w:hyperlink>
    </w:p>
    <w:p w14:paraId="18ED1E58" w14:textId="0B0A879A" w:rsidR="00236917" w:rsidRPr="00FB463E" w:rsidRDefault="000D0DA7">
      <w:pPr>
        <w:pStyle w:val="TM4"/>
        <w:tabs>
          <w:tab w:val="left" w:pos="1760"/>
          <w:tab w:val="right" w:leader="dot" w:pos="9203"/>
        </w:tabs>
        <w:rPr>
          <w:rFonts w:asciiTheme="minorHAnsi" w:eastAsiaTheme="minorEastAsia" w:hAnsiTheme="minorHAnsi" w:cstheme="minorBidi"/>
          <w:noProof/>
          <w:sz w:val="22"/>
          <w:szCs w:val="22"/>
          <w:lang w:val="fr-FR" w:eastAsia="fr-FR"/>
        </w:rPr>
      </w:pPr>
      <w:hyperlink w:anchor="_Toc93326604" w:history="1">
        <w:r w:rsidR="00236917" w:rsidRPr="00FB463E">
          <w:rPr>
            <w:rStyle w:val="Lienhypertexte"/>
            <w:rFonts w:eastAsia="Calibri"/>
            <w:noProof/>
          </w:rPr>
          <w:t>2.2.9.3</w:t>
        </w:r>
        <w:r w:rsidR="00236917" w:rsidRPr="00FB463E">
          <w:rPr>
            <w:rFonts w:asciiTheme="minorHAnsi" w:eastAsiaTheme="minorEastAsia" w:hAnsiTheme="minorHAnsi" w:cstheme="minorBidi"/>
            <w:noProof/>
            <w:sz w:val="22"/>
            <w:szCs w:val="22"/>
            <w:lang w:val="fr-FR" w:eastAsia="fr-FR"/>
          </w:rPr>
          <w:tab/>
        </w:r>
        <w:r w:rsidR="00236917" w:rsidRPr="00FB463E">
          <w:rPr>
            <w:rStyle w:val="Lienhypertexte"/>
            <w:rFonts w:eastAsia="Calibri"/>
            <w:noProof/>
          </w:rPr>
          <w:t>Risk characterisation</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_Toc93326604 \h </w:instrText>
        </w:r>
        <w:r w:rsidR="00236917" w:rsidRPr="00FB463E">
          <w:rPr>
            <w:noProof/>
            <w:webHidden/>
          </w:rPr>
        </w:r>
        <w:r w:rsidR="00236917" w:rsidRPr="00FB463E">
          <w:rPr>
            <w:noProof/>
            <w:webHidden/>
          </w:rPr>
          <w:fldChar w:fldCharType="separate"/>
        </w:r>
        <w:r w:rsidR="00236917" w:rsidRPr="00FB463E">
          <w:rPr>
            <w:noProof/>
            <w:webHidden/>
          </w:rPr>
          <w:t>184</w:t>
        </w:r>
        <w:r w:rsidR="00236917" w:rsidRPr="00FB463E">
          <w:rPr>
            <w:noProof/>
            <w:webHidden/>
          </w:rPr>
          <w:fldChar w:fldCharType="end"/>
        </w:r>
      </w:hyperlink>
    </w:p>
    <w:p w14:paraId="5BB1C21A" w14:textId="5BC25C4A"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05" w:history="1">
        <w:r w:rsidR="00236917" w:rsidRPr="00FB463E">
          <w:rPr>
            <w:rStyle w:val="Lienhypertexte"/>
            <w:rFonts w:eastAsia="Calibri"/>
            <w:noProof/>
          </w:rPr>
          <w:t>(I)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Atmosphere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_Toc93326605 \h </w:instrText>
        </w:r>
        <w:r w:rsidR="00236917" w:rsidRPr="00FB463E">
          <w:rPr>
            <w:noProof/>
            <w:webHidden/>
          </w:rPr>
        </w:r>
        <w:r w:rsidR="00236917" w:rsidRPr="00FB463E">
          <w:rPr>
            <w:noProof/>
            <w:webHidden/>
          </w:rPr>
          <w:fldChar w:fldCharType="separate"/>
        </w:r>
        <w:r w:rsidR="00236917" w:rsidRPr="00FB463E">
          <w:rPr>
            <w:noProof/>
            <w:webHidden/>
          </w:rPr>
          <w:t>184</w:t>
        </w:r>
        <w:r w:rsidR="00236917" w:rsidRPr="00FB463E">
          <w:rPr>
            <w:noProof/>
            <w:webHidden/>
          </w:rPr>
          <w:fldChar w:fldCharType="end"/>
        </w:r>
      </w:hyperlink>
    </w:p>
    <w:p w14:paraId="4D7038C2" w14:textId="034003CC"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06" w:history="1">
        <w:r w:rsidR="00236917" w:rsidRPr="00FB463E">
          <w:rPr>
            <w:rStyle w:val="Lienhypertexte"/>
            <w:rFonts w:eastAsia="Calibri"/>
            <w:noProof/>
          </w:rPr>
          <w:t>(II)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Sewage treatment plant (STP)</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_Toc93326606 \h </w:instrText>
        </w:r>
        <w:r w:rsidR="00236917" w:rsidRPr="00FB463E">
          <w:rPr>
            <w:noProof/>
            <w:webHidden/>
          </w:rPr>
        </w:r>
        <w:r w:rsidR="00236917" w:rsidRPr="00FB463E">
          <w:rPr>
            <w:noProof/>
            <w:webHidden/>
          </w:rPr>
          <w:fldChar w:fldCharType="separate"/>
        </w:r>
        <w:r w:rsidR="00236917" w:rsidRPr="00FB463E">
          <w:rPr>
            <w:noProof/>
            <w:webHidden/>
          </w:rPr>
          <w:t>184</w:t>
        </w:r>
        <w:r w:rsidR="00236917" w:rsidRPr="00FB463E">
          <w:rPr>
            <w:noProof/>
            <w:webHidden/>
          </w:rPr>
          <w:fldChar w:fldCharType="end"/>
        </w:r>
      </w:hyperlink>
    </w:p>
    <w:p w14:paraId="653E5818" w14:textId="6DEF7571"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07" w:history="1">
        <w:r w:rsidR="00236917" w:rsidRPr="00FB463E">
          <w:rPr>
            <w:rStyle w:val="Lienhypertexte"/>
            <w:rFonts w:eastAsia="Calibri"/>
            <w:noProof/>
          </w:rPr>
          <w:t>(III)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Aquatic compartment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_Toc93326607 \h </w:instrText>
        </w:r>
        <w:r w:rsidR="00236917" w:rsidRPr="00FB463E">
          <w:rPr>
            <w:noProof/>
            <w:webHidden/>
          </w:rPr>
        </w:r>
        <w:r w:rsidR="00236917" w:rsidRPr="00FB463E">
          <w:rPr>
            <w:noProof/>
            <w:webHidden/>
          </w:rPr>
          <w:fldChar w:fldCharType="separate"/>
        </w:r>
        <w:r w:rsidR="00236917" w:rsidRPr="00FB463E">
          <w:rPr>
            <w:noProof/>
            <w:webHidden/>
          </w:rPr>
          <w:t>184</w:t>
        </w:r>
        <w:r w:rsidR="00236917" w:rsidRPr="00FB463E">
          <w:rPr>
            <w:noProof/>
            <w:webHidden/>
          </w:rPr>
          <w:fldChar w:fldCharType="end"/>
        </w:r>
      </w:hyperlink>
    </w:p>
    <w:p w14:paraId="23C686F5" w14:textId="78B80C80"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08" w:history="1">
        <w:r w:rsidR="00236917" w:rsidRPr="00FB463E">
          <w:rPr>
            <w:rStyle w:val="Lienhypertexte"/>
            <w:rFonts w:eastAsia="Calibri"/>
            <w:noProof/>
          </w:rPr>
          <w:t>(IV)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Terrestrial compartment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_Toc93326608 \h </w:instrText>
        </w:r>
        <w:r w:rsidR="00236917" w:rsidRPr="00FB463E">
          <w:rPr>
            <w:noProof/>
            <w:webHidden/>
          </w:rPr>
        </w:r>
        <w:r w:rsidR="00236917" w:rsidRPr="00FB463E">
          <w:rPr>
            <w:noProof/>
            <w:webHidden/>
          </w:rPr>
          <w:fldChar w:fldCharType="separate"/>
        </w:r>
        <w:r w:rsidR="00236917" w:rsidRPr="00FB463E">
          <w:rPr>
            <w:noProof/>
            <w:webHidden/>
          </w:rPr>
          <w:t>185</w:t>
        </w:r>
        <w:r w:rsidR="00236917" w:rsidRPr="00FB463E">
          <w:rPr>
            <w:noProof/>
            <w:webHidden/>
          </w:rPr>
          <w:fldChar w:fldCharType="end"/>
        </w:r>
      </w:hyperlink>
    </w:p>
    <w:p w14:paraId="1234309C" w14:textId="7E7878B5"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09" w:history="1">
        <w:r w:rsidR="00236917" w:rsidRPr="00FB463E">
          <w:rPr>
            <w:rStyle w:val="Lienhypertexte"/>
            <w:rFonts w:eastAsia="Calibri"/>
            <w:noProof/>
          </w:rPr>
          <w:t>(V)</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Groundwater</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_Toc93326609 \h </w:instrText>
        </w:r>
        <w:r w:rsidR="00236917" w:rsidRPr="00FB463E">
          <w:rPr>
            <w:noProof/>
            <w:webHidden/>
          </w:rPr>
        </w:r>
        <w:r w:rsidR="00236917" w:rsidRPr="00FB463E">
          <w:rPr>
            <w:noProof/>
            <w:webHidden/>
          </w:rPr>
          <w:fldChar w:fldCharType="separate"/>
        </w:r>
        <w:r w:rsidR="00236917" w:rsidRPr="00FB463E">
          <w:rPr>
            <w:noProof/>
            <w:webHidden/>
          </w:rPr>
          <w:t>185</w:t>
        </w:r>
        <w:r w:rsidR="00236917" w:rsidRPr="00FB463E">
          <w:rPr>
            <w:noProof/>
            <w:webHidden/>
          </w:rPr>
          <w:fldChar w:fldCharType="end"/>
        </w:r>
      </w:hyperlink>
    </w:p>
    <w:p w14:paraId="77398EB6" w14:textId="62B7B9DE"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10" w:history="1">
        <w:r w:rsidR="00236917" w:rsidRPr="00FB463E">
          <w:rPr>
            <w:rStyle w:val="Lienhypertexte"/>
            <w:rFonts w:eastAsia="Calibri"/>
            <w:noProof/>
          </w:rPr>
          <w:t>(VI)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Primary and secondary poisoning</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_Toc93326610 \h </w:instrText>
        </w:r>
        <w:r w:rsidR="00236917" w:rsidRPr="00FB463E">
          <w:rPr>
            <w:noProof/>
            <w:webHidden/>
          </w:rPr>
        </w:r>
        <w:r w:rsidR="00236917" w:rsidRPr="00FB463E">
          <w:rPr>
            <w:noProof/>
            <w:webHidden/>
          </w:rPr>
          <w:fldChar w:fldCharType="separate"/>
        </w:r>
        <w:r w:rsidR="00236917" w:rsidRPr="00FB463E">
          <w:rPr>
            <w:noProof/>
            <w:webHidden/>
          </w:rPr>
          <w:t>185</w:t>
        </w:r>
        <w:r w:rsidR="00236917" w:rsidRPr="00FB463E">
          <w:rPr>
            <w:noProof/>
            <w:webHidden/>
          </w:rPr>
          <w:fldChar w:fldCharType="end"/>
        </w:r>
      </w:hyperlink>
    </w:p>
    <w:p w14:paraId="7624C53D" w14:textId="64388139"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11" w:history="1">
        <w:r w:rsidR="00236917" w:rsidRPr="00FB463E">
          <w:rPr>
            <w:rStyle w:val="Lienhypertexte"/>
            <w:rFonts w:eastAsia="Calibri"/>
            <w:noProof/>
          </w:rPr>
          <w:t>(VII)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Mixture toxicity</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_Toc93326611 \h </w:instrText>
        </w:r>
        <w:r w:rsidR="00236917" w:rsidRPr="00FB463E">
          <w:rPr>
            <w:noProof/>
            <w:webHidden/>
          </w:rPr>
        </w:r>
        <w:r w:rsidR="00236917" w:rsidRPr="00FB463E">
          <w:rPr>
            <w:noProof/>
            <w:webHidden/>
          </w:rPr>
          <w:fldChar w:fldCharType="separate"/>
        </w:r>
        <w:r w:rsidR="00236917" w:rsidRPr="00FB463E">
          <w:rPr>
            <w:noProof/>
            <w:webHidden/>
          </w:rPr>
          <w:t>186</w:t>
        </w:r>
        <w:r w:rsidR="00236917" w:rsidRPr="00FB463E">
          <w:rPr>
            <w:noProof/>
            <w:webHidden/>
          </w:rPr>
          <w:fldChar w:fldCharType="end"/>
        </w:r>
      </w:hyperlink>
    </w:p>
    <w:p w14:paraId="7BAFAF5D" w14:textId="2AFC049E" w:rsidR="00236917" w:rsidRPr="00FB463E" w:rsidRDefault="000D0DA7">
      <w:pPr>
        <w:pStyle w:val="TM5"/>
        <w:tabs>
          <w:tab w:val="left" w:pos="1540"/>
          <w:tab w:val="right" w:leader="dot" w:pos="9203"/>
        </w:tabs>
        <w:rPr>
          <w:rFonts w:asciiTheme="minorHAnsi" w:eastAsiaTheme="minorEastAsia" w:hAnsiTheme="minorHAnsi" w:cstheme="minorBidi"/>
          <w:i w:val="0"/>
          <w:noProof/>
          <w:color w:val="auto"/>
          <w:sz w:val="22"/>
          <w:szCs w:val="22"/>
          <w:lang w:val="fr-FR" w:eastAsia="fr-FR"/>
        </w:rPr>
      </w:pPr>
      <w:hyperlink w:anchor="_Toc93326612" w:history="1">
        <w:r w:rsidR="00236917" w:rsidRPr="00FB463E">
          <w:rPr>
            <w:rStyle w:val="Lienhypertexte"/>
            <w:rFonts w:eastAsia="Calibri"/>
            <w:noProof/>
          </w:rPr>
          <w:t>(VIII)</w:t>
        </w:r>
        <w:r w:rsidR="00236917" w:rsidRPr="00FB463E">
          <w:rPr>
            <w:rFonts w:asciiTheme="minorHAnsi" w:eastAsiaTheme="minorEastAsia" w:hAnsiTheme="minorHAnsi" w:cstheme="minorBidi"/>
            <w:i w:val="0"/>
            <w:noProof/>
            <w:color w:val="auto"/>
            <w:sz w:val="22"/>
            <w:szCs w:val="22"/>
            <w:lang w:val="fr-FR" w:eastAsia="fr-FR"/>
          </w:rPr>
          <w:tab/>
        </w:r>
        <w:r w:rsidR="00236917" w:rsidRPr="00FB463E">
          <w:rPr>
            <w:rStyle w:val="Lienhypertexte"/>
            <w:rFonts w:eastAsia="Calibri"/>
            <w:noProof/>
          </w:rPr>
          <w:t>Aggregated exposure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_Toc93326612 \h </w:instrText>
        </w:r>
        <w:r w:rsidR="00236917" w:rsidRPr="00FB463E">
          <w:rPr>
            <w:noProof/>
            <w:webHidden/>
          </w:rPr>
        </w:r>
        <w:r w:rsidR="00236917" w:rsidRPr="00FB463E">
          <w:rPr>
            <w:noProof/>
            <w:webHidden/>
          </w:rPr>
          <w:fldChar w:fldCharType="separate"/>
        </w:r>
        <w:r w:rsidR="00236917" w:rsidRPr="00FB463E">
          <w:rPr>
            <w:noProof/>
            <w:webHidden/>
          </w:rPr>
          <w:t>186</w:t>
        </w:r>
        <w:r w:rsidR="00236917" w:rsidRPr="00FB463E">
          <w:rPr>
            <w:noProof/>
            <w:webHidden/>
          </w:rPr>
          <w:fldChar w:fldCharType="end"/>
        </w:r>
      </w:hyperlink>
    </w:p>
    <w:p w14:paraId="1DE78CE1" w14:textId="0706B585" w:rsidR="00236917" w:rsidRPr="00FB463E" w:rsidRDefault="000D0DA7">
      <w:pPr>
        <w:pStyle w:val="TM3"/>
        <w:tabs>
          <w:tab w:val="left" w:pos="1540"/>
          <w:tab w:val="right" w:leader="dot" w:pos="9203"/>
        </w:tabs>
        <w:rPr>
          <w:rFonts w:asciiTheme="minorHAnsi" w:eastAsiaTheme="minorEastAsia" w:hAnsiTheme="minorHAnsi" w:cstheme="minorBidi"/>
          <w:i w:val="0"/>
          <w:noProof/>
          <w:sz w:val="22"/>
          <w:szCs w:val="22"/>
          <w:lang w:val="fr-FR" w:eastAsia="fr-FR"/>
        </w:rPr>
      </w:pPr>
      <w:hyperlink w:anchor="_Toc93326613" w:history="1">
        <w:r w:rsidR="00236917" w:rsidRPr="00FB463E">
          <w:rPr>
            <w:rStyle w:val="Lienhypertexte"/>
            <w:rFonts w:eastAsia="Calibri"/>
            <w:noProof/>
            <w:lang w:eastAsia="en-US"/>
          </w:rPr>
          <w:t>2.2.10</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lang w:eastAsia="en-US"/>
          </w:rPr>
          <w:t>Measures to protect man, animals and the environment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_Toc93326613 \h </w:instrText>
        </w:r>
        <w:r w:rsidR="00236917" w:rsidRPr="00FB463E">
          <w:rPr>
            <w:noProof/>
            <w:webHidden/>
          </w:rPr>
        </w:r>
        <w:r w:rsidR="00236917" w:rsidRPr="00FB463E">
          <w:rPr>
            <w:noProof/>
            <w:webHidden/>
          </w:rPr>
          <w:fldChar w:fldCharType="separate"/>
        </w:r>
        <w:r w:rsidR="00236917" w:rsidRPr="00FB463E">
          <w:rPr>
            <w:noProof/>
            <w:webHidden/>
          </w:rPr>
          <w:t>186</w:t>
        </w:r>
        <w:r w:rsidR="00236917" w:rsidRPr="00FB463E">
          <w:rPr>
            <w:noProof/>
            <w:webHidden/>
          </w:rPr>
          <w:fldChar w:fldCharType="end"/>
        </w:r>
      </w:hyperlink>
    </w:p>
    <w:p w14:paraId="57146496" w14:textId="68BDB323" w:rsidR="00236917" w:rsidRPr="00FB463E" w:rsidRDefault="000D0DA7">
      <w:pPr>
        <w:pStyle w:val="TM3"/>
        <w:tabs>
          <w:tab w:val="left" w:pos="1540"/>
          <w:tab w:val="right" w:leader="dot" w:pos="9203"/>
        </w:tabs>
        <w:rPr>
          <w:rFonts w:asciiTheme="minorHAnsi" w:eastAsiaTheme="minorEastAsia" w:hAnsiTheme="minorHAnsi" w:cstheme="minorBidi"/>
          <w:i w:val="0"/>
          <w:noProof/>
          <w:sz w:val="22"/>
          <w:szCs w:val="22"/>
          <w:lang w:val="fr-FR" w:eastAsia="fr-FR"/>
        </w:rPr>
      </w:pPr>
      <w:hyperlink w:anchor="_Toc93326614" w:history="1">
        <w:r w:rsidR="00236917" w:rsidRPr="00FB463E">
          <w:rPr>
            <w:rStyle w:val="Lienhypertexte"/>
            <w:rFonts w:eastAsia="Calibri"/>
            <w:noProof/>
          </w:rPr>
          <w:t>2.2.11</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Assessment of a combination of biocidal products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_Toc93326614 \h </w:instrText>
        </w:r>
        <w:r w:rsidR="00236917" w:rsidRPr="00FB463E">
          <w:rPr>
            <w:noProof/>
            <w:webHidden/>
          </w:rPr>
        </w:r>
        <w:r w:rsidR="00236917" w:rsidRPr="00FB463E">
          <w:rPr>
            <w:noProof/>
            <w:webHidden/>
          </w:rPr>
          <w:fldChar w:fldCharType="separate"/>
        </w:r>
        <w:r w:rsidR="00236917" w:rsidRPr="00FB463E">
          <w:rPr>
            <w:noProof/>
            <w:webHidden/>
          </w:rPr>
          <w:t>186</w:t>
        </w:r>
        <w:r w:rsidR="00236917" w:rsidRPr="00FB463E">
          <w:rPr>
            <w:noProof/>
            <w:webHidden/>
          </w:rPr>
          <w:fldChar w:fldCharType="end"/>
        </w:r>
      </w:hyperlink>
    </w:p>
    <w:p w14:paraId="4463A7F5" w14:textId="0B50F397" w:rsidR="00236917" w:rsidRPr="00FB463E" w:rsidRDefault="000D0DA7">
      <w:pPr>
        <w:pStyle w:val="TM3"/>
        <w:tabs>
          <w:tab w:val="left" w:pos="1540"/>
          <w:tab w:val="right" w:leader="dot" w:pos="9203"/>
        </w:tabs>
        <w:rPr>
          <w:rFonts w:asciiTheme="minorHAnsi" w:eastAsiaTheme="minorEastAsia" w:hAnsiTheme="minorHAnsi" w:cstheme="minorBidi"/>
          <w:i w:val="0"/>
          <w:noProof/>
          <w:sz w:val="22"/>
          <w:szCs w:val="22"/>
          <w:lang w:val="fr-FR" w:eastAsia="fr-FR"/>
        </w:rPr>
      </w:pPr>
      <w:hyperlink w:anchor="_Toc93326615" w:history="1">
        <w:r w:rsidR="00236917" w:rsidRPr="00FB463E">
          <w:rPr>
            <w:rStyle w:val="Lienhypertexte"/>
            <w:rFonts w:eastAsia="Calibri"/>
            <w:noProof/>
          </w:rPr>
          <w:t>2.2.12</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rPr>
          <w:t>Comparative assessment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_Toc93326615 \h </w:instrText>
        </w:r>
        <w:r w:rsidR="00236917" w:rsidRPr="00FB463E">
          <w:rPr>
            <w:noProof/>
            <w:webHidden/>
          </w:rPr>
        </w:r>
        <w:r w:rsidR="00236917" w:rsidRPr="00FB463E">
          <w:rPr>
            <w:noProof/>
            <w:webHidden/>
          </w:rPr>
          <w:fldChar w:fldCharType="separate"/>
        </w:r>
        <w:r w:rsidR="00236917" w:rsidRPr="00FB463E">
          <w:rPr>
            <w:noProof/>
            <w:webHidden/>
          </w:rPr>
          <w:t>186</w:t>
        </w:r>
        <w:r w:rsidR="00236917" w:rsidRPr="00FB463E">
          <w:rPr>
            <w:noProof/>
            <w:webHidden/>
          </w:rPr>
          <w:fldChar w:fldCharType="end"/>
        </w:r>
      </w:hyperlink>
    </w:p>
    <w:p w14:paraId="3E2F3733" w14:textId="4F70356E" w:rsidR="00236917" w:rsidRPr="00FB463E" w:rsidRDefault="000D0DA7">
      <w:pPr>
        <w:pStyle w:val="TM1"/>
        <w:tabs>
          <w:tab w:val="left" w:pos="400"/>
          <w:tab w:val="right" w:leader="dot" w:pos="9203"/>
        </w:tabs>
        <w:rPr>
          <w:rFonts w:asciiTheme="minorHAnsi" w:eastAsiaTheme="minorEastAsia" w:hAnsiTheme="minorHAnsi" w:cstheme="minorBidi"/>
          <w:b w:val="0"/>
          <w:caps w:val="0"/>
          <w:noProof/>
          <w:sz w:val="22"/>
          <w:szCs w:val="22"/>
          <w:lang w:val="fr-FR" w:eastAsia="fr-FR"/>
        </w:rPr>
      </w:pPr>
      <w:hyperlink w:anchor="_Toc93326616" w:history="1">
        <w:r w:rsidR="00236917" w:rsidRPr="00FB463E">
          <w:rPr>
            <w:rStyle w:val="Lienhypertexte"/>
            <w:rFonts w:eastAsia="Calibri"/>
            <w:noProof/>
          </w:rPr>
          <w:t>3</w:t>
        </w:r>
        <w:r w:rsidR="00236917" w:rsidRPr="00FB463E">
          <w:rPr>
            <w:rFonts w:asciiTheme="minorHAnsi" w:eastAsiaTheme="minorEastAsia" w:hAnsiTheme="minorHAnsi" w:cstheme="minorBidi"/>
            <w:b w:val="0"/>
            <w:caps w:val="0"/>
            <w:noProof/>
            <w:sz w:val="22"/>
            <w:szCs w:val="22"/>
            <w:lang w:val="fr-FR" w:eastAsia="fr-FR"/>
          </w:rPr>
          <w:tab/>
        </w:r>
        <w:r w:rsidR="00236917" w:rsidRPr="00FB463E">
          <w:rPr>
            <w:rStyle w:val="Lienhypertexte"/>
            <w:rFonts w:eastAsia="Calibri"/>
            <w:noProof/>
          </w:rPr>
          <w:t>Annexes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_Toc93326616 \h </w:instrText>
        </w:r>
        <w:r w:rsidR="00236917" w:rsidRPr="00FB463E">
          <w:rPr>
            <w:noProof/>
            <w:webHidden/>
          </w:rPr>
        </w:r>
        <w:r w:rsidR="00236917" w:rsidRPr="00FB463E">
          <w:rPr>
            <w:noProof/>
            <w:webHidden/>
          </w:rPr>
          <w:fldChar w:fldCharType="separate"/>
        </w:r>
        <w:r w:rsidR="00236917" w:rsidRPr="00FB463E">
          <w:rPr>
            <w:noProof/>
            <w:webHidden/>
          </w:rPr>
          <w:t>187</w:t>
        </w:r>
        <w:r w:rsidR="00236917" w:rsidRPr="00FB463E">
          <w:rPr>
            <w:noProof/>
            <w:webHidden/>
          </w:rPr>
          <w:fldChar w:fldCharType="end"/>
        </w:r>
      </w:hyperlink>
    </w:p>
    <w:p w14:paraId="34656729" w14:textId="2640C1ED" w:rsidR="00236917" w:rsidRPr="00FB463E" w:rsidRDefault="000D0DA7">
      <w:pPr>
        <w:pStyle w:val="TM2"/>
        <w:tabs>
          <w:tab w:val="left" w:pos="800"/>
          <w:tab w:val="right" w:leader="dot" w:pos="9203"/>
        </w:tabs>
        <w:rPr>
          <w:rFonts w:asciiTheme="minorHAnsi" w:eastAsiaTheme="minorEastAsia" w:hAnsiTheme="minorHAnsi" w:cstheme="minorBidi"/>
          <w:caps w:val="0"/>
          <w:noProof/>
          <w:sz w:val="22"/>
          <w:szCs w:val="22"/>
          <w:lang w:val="fr-FR" w:eastAsia="fr-FR"/>
        </w:rPr>
      </w:pPr>
      <w:hyperlink w:anchor="_Toc93326617" w:history="1">
        <w:r w:rsidR="00236917" w:rsidRPr="00FB463E">
          <w:rPr>
            <w:rStyle w:val="Lienhypertexte"/>
            <w:rFonts w:eastAsia="Calibri"/>
            <w:noProof/>
          </w:rPr>
          <w:t>3.1</w:t>
        </w:r>
        <w:r w:rsidR="00236917" w:rsidRPr="00FB463E">
          <w:rPr>
            <w:rFonts w:asciiTheme="minorHAnsi" w:eastAsiaTheme="minorEastAsia" w:hAnsiTheme="minorHAnsi" w:cstheme="minorBidi"/>
            <w:caps w:val="0"/>
            <w:noProof/>
            <w:sz w:val="22"/>
            <w:szCs w:val="22"/>
            <w:lang w:val="fr-FR" w:eastAsia="fr-FR"/>
          </w:rPr>
          <w:tab/>
        </w:r>
        <w:r w:rsidR="00236917" w:rsidRPr="00FB463E">
          <w:rPr>
            <w:rStyle w:val="Lienhypertexte"/>
            <w:rFonts w:eastAsia="Calibri"/>
            <w:noProof/>
          </w:rPr>
          <w:t>List of studies for the biocidal product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_Toc93326617 \h </w:instrText>
        </w:r>
        <w:r w:rsidR="00236917" w:rsidRPr="00FB463E">
          <w:rPr>
            <w:noProof/>
            <w:webHidden/>
          </w:rPr>
        </w:r>
        <w:r w:rsidR="00236917" w:rsidRPr="00FB463E">
          <w:rPr>
            <w:noProof/>
            <w:webHidden/>
          </w:rPr>
          <w:fldChar w:fldCharType="separate"/>
        </w:r>
        <w:r w:rsidR="00236917" w:rsidRPr="00FB463E">
          <w:rPr>
            <w:noProof/>
            <w:webHidden/>
          </w:rPr>
          <w:t>187</w:t>
        </w:r>
        <w:r w:rsidR="00236917" w:rsidRPr="00FB463E">
          <w:rPr>
            <w:noProof/>
            <w:webHidden/>
          </w:rPr>
          <w:fldChar w:fldCharType="end"/>
        </w:r>
      </w:hyperlink>
    </w:p>
    <w:p w14:paraId="31335C3F" w14:textId="68A3AA50" w:rsidR="00236917" w:rsidRPr="00FB463E" w:rsidRDefault="000D0DA7">
      <w:pPr>
        <w:pStyle w:val="TM2"/>
        <w:tabs>
          <w:tab w:val="left" w:pos="800"/>
          <w:tab w:val="right" w:leader="dot" w:pos="9203"/>
        </w:tabs>
        <w:rPr>
          <w:rFonts w:asciiTheme="minorHAnsi" w:eastAsiaTheme="minorEastAsia" w:hAnsiTheme="minorHAnsi" w:cstheme="minorBidi"/>
          <w:caps w:val="0"/>
          <w:noProof/>
          <w:sz w:val="22"/>
          <w:szCs w:val="22"/>
          <w:lang w:val="fr-FR" w:eastAsia="fr-FR"/>
        </w:rPr>
      </w:pPr>
      <w:hyperlink w:anchor="_Toc93326618" w:history="1">
        <w:r w:rsidR="00236917" w:rsidRPr="00FB463E">
          <w:rPr>
            <w:rStyle w:val="Lienhypertexte"/>
            <w:rFonts w:eastAsia="Calibri"/>
            <w:noProof/>
          </w:rPr>
          <w:t>3.2</w:t>
        </w:r>
        <w:r w:rsidR="00236917" w:rsidRPr="00FB463E">
          <w:rPr>
            <w:rFonts w:asciiTheme="minorHAnsi" w:eastAsiaTheme="minorEastAsia" w:hAnsiTheme="minorHAnsi" w:cstheme="minorBidi"/>
            <w:caps w:val="0"/>
            <w:noProof/>
            <w:sz w:val="22"/>
            <w:szCs w:val="22"/>
            <w:lang w:val="fr-FR" w:eastAsia="fr-FR"/>
          </w:rPr>
          <w:tab/>
        </w:r>
        <w:r w:rsidR="00236917" w:rsidRPr="00FB463E">
          <w:rPr>
            <w:rStyle w:val="Lienhypertexte"/>
            <w:rFonts w:eastAsia="Calibri"/>
            <w:noProof/>
          </w:rPr>
          <w:t>Output tables from exposure assessment tools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_Toc93326618 \h </w:instrText>
        </w:r>
        <w:r w:rsidR="00236917" w:rsidRPr="00FB463E">
          <w:rPr>
            <w:noProof/>
            <w:webHidden/>
          </w:rPr>
        </w:r>
        <w:r w:rsidR="00236917" w:rsidRPr="00FB463E">
          <w:rPr>
            <w:noProof/>
            <w:webHidden/>
          </w:rPr>
          <w:fldChar w:fldCharType="separate"/>
        </w:r>
        <w:r w:rsidR="00236917" w:rsidRPr="00FB463E">
          <w:rPr>
            <w:noProof/>
            <w:webHidden/>
          </w:rPr>
          <w:t>190</w:t>
        </w:r>
        <w:r w:rsidR="00236917" w:rsidRPr="00FB463E">
          <w:rPr>
            <w:noProof/>
            <w:webHidden/>
          </w:rPr>
          <w:fldChar w:fldCharType="end"/>
        </w:r>
      </w:hyperlink>
    </w:p>
    <w:p w14:paraId="1A66BA40" w14:textId="16DD8B75" w:rsidR="00236917" w:rsidRPr="00FB463E" w:rsidRDefault="000D0DA7">
      <w:pPr>
        <w:pStyle w:val="TM3"/>
        <w:tabs>
          <w:tab w:val="left" w:pos="1200"/>
          <w:tab w:val="right" w:leader="dot" w:pos="9203"/>
        </w:tabs>
        <w:rPr>
          <w:rFonts w:asciiTheme="minorHAnsi" w:eastAsiaTheme="minorEastAsia" w:hAnsiTheme="minorHAnsi" w:cstheme="minorBidi"/>
          <w:i w:val="0"/>
          <w:noProof/>
          <w:sz w:val="22"/>
          <w:szCs w:val="22"/>
          <w:lang w:val="fr-FR" w:eastAsia="fr-FR"/>
        </w:rPr>
      </w:pPr>
      <w:hyperlink w:anchor="_Toc93326619" w:history="1">
        <w:r w:rsidR="00236917" w:rsidRPr="00FB463E">
          <w:rPr>
            <w:rStyle w:val="Lienhypertexte"/>
            <w:rFonts w:eastAsia="Calibri"/>
            <w:noProof/>
            <w:lang w:eastAsia="en-US"/>
          </w:rPr>
          <w:t>3.2.1</w:t>
        </w:r>
        <w:r w:rsidR="00236917" w:rsidRPr="00FB463E">
          <w:rPr>
            <w:rFonts w:asciiTheme="minorHAnsi" w:eastAsiaTheme="minorEastAsia" w:hAnsiTheme="minorHAnsi" w:cstheme="minorBidi"/>
            <w:i w:val="0"/>
            <w:noProof/>
            <w:sz w:val="22"/>
            <w:szCs w:val="22"/>
            <w:lang w:val="fr-FR" w:eastAsia="fr-FR"/>
          </w:rPr>
          <w:tab/>
        </w:r>
        <w:r w:rsidR="00236917" w:rsidRPr="00FB463E">
          <w:rPr>
            <w:rStyle w:val="Lienhypertexte"/>
            <w:rFonts w:eastAsia="Calibri"/>
            <w:noProof/>
            <w:lang w:eastAsia="en-US"/>
          </w:rPr>
          <w:t>Human exposure calculations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_Toc93326619 \h </w:instrText>
        </w:r>
        <w:r w:rsidR="00236917" w:rsidRPr="00FB463E">
          <w:rPr>
            <w:noProof/>
            <w:webHidden/>
          </w:rPr>
        </w:r>
        <w:r w:rsidR="00236917" w:rsidRPr="00FB463E">
          <w:rPr>
            <w:noProof/>
            <w:webHidden/>
          </w:rPr>
          <w:fldChar w:fldCharType="separate"/>
        </w:r>
        <w:r w:rsidR="00236917" w:rsidRPr="00FB463E">
          <w:rPr>
            <w:noProof/>
            <w:webHidden/>
          </w:rPr>
          <w:t>190</w:t>
        </w:r>
        <w:r w:rsidR="00236917" w:rsidRPr="00FB463E">
          <w:rPr>
            <w:noProof/>
            <w:webHidden/>
          </w:rPr>
          <w:fldChar w:fldCharType="end"/>
        </w:r>
      </w:hyperlink>
    </w:p>
    <w:p w14:paraId="7203E929" w14:textId="176030AD" w:rsidR="00236917" w:rsidRPr="00FB463E" w:rsidRDefault="000D0DA7">
      <w:pPr>
        <w:pStyle w:val="TM5"/>
        <w:tabs>
          <w:tab w:val="right" w:leader="dot" w:pos="9203"/>
        </w:tabs>
        <w:rPr>
          <w:rFonts w:asciiTheme="minorHAnsi" w:eastAsiaTheme="minorEastAsia" w:hAnsiTheme="minorHAnsi" w:cstheme="minorBidi"/>
          <w:i w:val="0"/>
          <w:noProof/>
          <w:color w:val="auto"/>
          <w:sz w:val="22"/>
          <w:szCs w:val="22"/>
          <w:lang w:val="fr-FR" w:eastAsia="fr-FR"/>
        </w:rPr>
      </w:pPr>
      <w:hyperlink w:anchor="_Toc93326620" w:history="1">
        <w:r w:rsidR="00236917" w:rsidRPr="00FB463E">
          <w:rPr>
            <w:rStyle w:val="Lienhypertexte"/>
            <w:rFonts w:eastAsia="Calibri"/>
            <w:noProof/>
          </w:rPr>
          <w:t>Scenario 1: Primary exposure: Dermal exposure assessment for adults, children, toddlers and infants.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_Toc93326620 \h </w:instrText>
        </w:r>
        <w:r w:rsidR="00236917" w:rsidRPr="00FB463E">
          <w:rPr>
            <w:noProof/>
            <w:webHidden/>
          </w:rPr>
        </w:r>
        <w:r w:rsidR="00236917" w:rsidRPr="00FB463E">
          <w:rPr>
            <w:noProof/>
            <w:webHidden/>
          </w:rPr>
          <w:fldChar w:fldCharType="separate"/>
        </w:r>
        <w:r w:rsidR="00236917" w:rsidRPr="00FB463E">
          <w:rPr>
            <w:noProof/>
            <w:webHidden/>
          </w:rPr>
          <w:t>190</w:t>
        </w:r>
        <w:r w:rsidR="00236917" w:rsidRPr="00FB463E">
          <w:rPr>
            <w:noProof/>
            <w:webHidden/>
          </w:rPr>
          <w:fldChar w:fldCharType="end"/>
        </w:r>
      </w:hyperlink>
    </w:p>
    <w:p w14:paraId="1B14C7C7" w14:textId="7A7094CD" w:rsidR="00236917" w:rsidRPr="00FB463E" w:rsidRDefault="000D0DA7">
      <w:pPr>
        <w:pStyle w:val="TM5"/>
        <w:tabs>
          <w:tab w:val="right" w:leader="dot" w:pos="9203"/>
        </w:tabs>
        <w:rPr>
          <w:rFonts w:asciiTheme="minorHAnsi" w:eastAsiaTheme="minorEastAsia" w:hAnsiTheme="minorHAnsi" w:cstheme="minorBidi"/>
          <w:i w:val="0"/>
          <w:noProof/>
          <w:color w:val="auto"/>
          <w:sz w:val="22"/>
          <w:szCs w:val="22"/>
          <w:lang w:val="fr-FR" w:eastAsia="fr-FR"/>
        </w:rPr>
      </w:pPr>
      <w:hyperlink w:anchor="_Toc93326621" w:history="1">
        <w:r w:rsidR="00236917" w:rsidRPr="00FB463E">
          <w:rPr>
            <w:rStyle w:val="Lienhypertexte"/>
            <w:rFonts w:eastAsia="Calibri"/>
            <w:noProof/>
          </w:rPr>
          <w:t>Scenario 2: Primary exposure: Inhalation exposure assessment for adults, children, toddlers and infants..</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_Toc93326621 \h </w:instrText>
        </w:r>
        <w:r w:rsidR="00236917" w:rsidRPr="00FB463E">
          <w:rPr>
            <w:noProof/>
            <w:webHidden/>
          </w:rPr>
        </w:r>
        <w:r w:rsidR="00236917" w:rsidRPr="00FB463E">
          <w:rPr>
            <w:noProof/>
            <w:webHidden/>
          </w:rPr>
          <w:fldChar w:fldCharType="separate"/>
        </w:r>
        <w:r w:rsidR="00236917" w:rsidRPr="00FB463E">
          <w:rPr>
            <w:noProof/>
            <w:webHidden/>
          </w:rPr>
          <w:t>191</w:t>
        </w:r>
        <w:r w:rsidR="00236917" w:rsidRPr="00FB463E">
          <w:rPr>
            <w:noProof/>
            <w:webHidden/>
          </w:rPr>
          <w:fldChar w:fldCharType="end"/>
        </w:r>
      </w:hyperlink>
    </w:p>
    <w:p w14:paraId="0740D6C4" w14:textId="6128DCB2" w:rsidR="00236917" w:rsidRPr="00FB463E" w:rsidRDefault="000D0DA7">
      <w:pPr>
        <w:pStyle w:val="TM5"/>
        <w:tabs>
          <w:tab w:val="right" w:leader="dot" w:pos="9203"/>
        </w:tabs>
        <w:rPr>
          <w:rFonts w:asciiTheme="minorHAnsi" w:eastAsiaTheme="minorEastAsia" w:hAnsiTheme="minorHAnsi" w:cstheme="minorBidi"/>
          <w:i w:val="0"/>
          <w:noProof/>
          <w:color w:val="auto"/>
          <w:sz w:val="22"/>
          <w:szCs w:val="22"/>
          <w:lang w:val="fr-FR" w:eastAsia="fr-FR"/>
        </w:rPr>
      </w:pPr>
      <w:hyperlink w:anchor="_Toc93326622" w:history="1">
        <w:r w:rsidR="00236917" w:rsidRPr="00FB463E">
          <w:rPr>
            <w:rStyle w:val="Lienhypertexte"/>
            <w:rFonts w:eastAsia="Calibri"/>
            <w:noProof/>
          </w:rPr>
          <w:t>Scenario 3: Secondary exposure (indirect exposure as a result of use): Hand-mouth transfer reverse reference scenario (oral exposure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_Toc93326622 \h </w:instrText>
        </w:r>
        <w:r w:rsidR="00236917" w:rsidRPr="00FB463E">
          <w:rPr>
            <w:noProof/>
            <w:webHidden/>
          </w:rPr>
        </w:r>
        <w:r w:rsidR="00236917" w:rsidRPr="00FB463E">
          <w:rPr>
            <w:noProof/>
            <w:webHidden/>
          </w:rPr>
          <w:fldChar w:fldCharType="separate"/>
        </w:r>
        <w:r w:rsidR="00236917" w:rsidRPr="00FB463E">
          <w:rPr>
            <w:noProof/>
            <w:webHidden/>
          </w:rPr>
          <w:t>192</w:t>
        </w:r>
        <w:r w:rsidR="00236917" w:rsidRPr="00FB463E">
          <w:rPr>
            <w:noProof/>
            <w:webHidden/>
          </w:rPr>
          <w:fldChar w:fldCharType="end"/>
        </w:r>
      </w:hyperlink>
    </w:p>
    <w:p w14:paraId="5D7BDCE4" w14:textId="293CAEF0" w:rsidR="00236917" w:rsidRPr="00FB463E" w:rsidRDefault="000D0DA7">
      <w:pPr>
        <w:pStyle w:val="TM5"/>
        <w:tabs>
          <w:tab w:val="right" w:leader="dot" w:pos="9203"/>
        </w:tabs>
        <w:rPr>
          <w:rFonts w:asciiTheme="minorHAnsi" w:eastAsiaTheme="minorEastAsia" w:hAnsiTheme="minorHAnsi" w:cstheme="minorBidi"/>
          <w:i w:val="0"/>
          <w:noProof/>
          <w:color w:val="auto"/>
          <w:sz w:val="22"/>
          <w:szCs w:val="22"/>
          <w:lang w:val="fr-FR" w:eastAsia="fr-FR"/>
        </w:rPr>
      </w:pPr>
      <w:hyperlink w:anchor="_Toc93326623" w:history="1">
        <w:r w:rsidR="00236917" w:rsidRPr="00FB463E">
          <w:rPr>
            <w:rStyle w:val="Lienhypertexte"/>
            <w:rFonts w:eastAsia="Calibri"/>
            <w:noProof/>
          </w:rPr>
          <w:t>Scenario 4: Parent treating two children and himself/herself (spraying) (combined inhalative and oral exposure)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_Toc93326623 \h </w:instrText>
        </w:r>
        <w:r w:rsidR="00236917" w:rsidRPr="00FB463E">
          <w:rPr>
            <w:noProof/>
            <w:webHidden/>
          </w:rPr>
        </w:r>
        <w:r w:rsidR="00236917" w:rsidRPr="00FB463E">
          <w:rPr>
            <w:noProof/>
            <w:webHidden/>
          </w:rPr>
          <w:fldChar w:fldCharType="separate"/>
        </w:r>
        <w:r w:rsidR="00236917" w:rsidRPr="00FB463E">
          <w:rPr>
            <w:noProof/>
            <w:webHidden/>
          </w:rPr>
          <w:t>193</w:t>
        </w:r>
        <w:r w:rsidR="00236917" w:rsidRPr="00FB463E">
          <w:rPr>
            <w:noProof/>
            <w:webHidden/>
          </w:rPr>
          <w:fldChar w:fldCharType="end"/>
        </w:r>
      </w:hyperlink>
    </w:p>
    <w:p w14:paraId="73D5FFCD" w14:textId="74A2F894" w:rsidR="00236917" w:rsidRPr="00FB463E" w:rsidRDefault="000D0DA7">
      <w:pPr>
        <w:pStyle w:val="TM5"/>
        <w:tabs>
          <w:tab w:val="right" w:leader="dot" w:pos="9203"/>
        </w:tabs>
        <w:rPr>
          <w:rFonts w:asciiTheme="minorHAnsi" w:eastAsiaTheme="minorEastAsia" w:hAnsiTheme="minorHAnsi" w:cstheme="minorBidi"/>
          <w:i w:val="0"/>
          <w:noProof/>
          <w:color w:val="auto"/>
          <w:sz w:val="22"/>
          <w:szCs w:val="22"/>
          <w:lang w:val="fr-FR" w:eastAsia="fr-FR"/>
        </w:rPr>
      </w:pPr>
      <w:hyperlink w:anchor="_Toc93326624" w:history="1">
        <w:r w:rsidR="00236917" w:rsidRPr="00FB463E">
          <w:rPr>
            <w:rStyle w:val="Lienhypertexte"/>
            <w:rFonts w:eastAsia="Calibri"/>
            <w:noProof/>
          </w:rPr>
          <w:t>Scenario 5: Inhalation of volatilised residues after application (inhalative exposure)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_Toc93326624 \h </w:instrText>
        </w:r>
        <w:r w:rsidR="00236917" w:rsidRPr="00FB463E">
          <w:rPr>
            <w:noProof/>
            <w:webHidden/>
          </w:rPr>
        </w:r>
        <w:r w:rsidR="00236917" w:rsidRPr="00FB463E">
          <w:rPr>
            <w:noProof/>
            <w:webHidden/>
          </w:rPr>
          <w:fldChar w:fldCharType="separate"/>
        </w:r>
        <w:r w:rsidR="00236917" w:rsidRPr="00FB463E">
          <w:rPr>
            <w:noProof/>
            <w:webHidden/>
          </w:rPr>
          <w:t>193</w:t>
        </w:r>
        <w:r w:rsidR="00236917" w:rsidRPr="00FB463E">
          <w:rPr>
            <w:noProof/>
            <w:webHidden/>
          </w:rPr>
          <w:fldChar w:fldCharType="end"/>
        </w:r>
      </w:hyperlink>
    </w:p>
    <w:p w14:paraId="73C347AB" w14:textId="459101D1" w:rsidR="00236917" w:rsidRPr="00FB463E" w:rsidRDefault="000D0DA7">
      <w:pPr>
        <w:pStyle w:val="TM5"/>
        <w:tabs>
          <w:tab w:val="right" w:leader="dot" w:pos="9203"/>
        </w:tabs>
        <w:rPr>
          <w:rFonts w:asciiTheme="minorHAnsi" w:eastAsiaTheme="minorEastAsia" w:hAnsiTheme="minorHAnsi" w:cstheme="minorBidi"/>
          <w:i w:val="0"/>
          <w:noProof/>
          <w:color w:val="auto"/>
          <w:sz w:val="22"/>
          <w:szCs w:val="22"/>
          <w:lang w:val="fr-FR" w:eastAsia="fr-FR"/>
        </w:rPr>
      </w:pPr>
      <w:hyperlink w:anchor="_Toc93326625" w:history="1">
        <w:r w:rsidR="00236917" w:rsidRPr="00FB463E">
          <w:rPr>
            <w:rStyle w:val="Lienhypertexte"/>
            <w:rFonts w:eastAsia="Calibri"/>
            <w:noProof/>
          </w:rPr>
          <w:t>Scenario 6: Mixing and Loading model – worst case for the production, formulation and disposal of the biocidal product</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_Toc93326625 \h </w:instrText>
        </w:r>
        <w:r w:rsidR="00236917" w:rsidRPr="00FB463E">
          <w:rPr>
            <w:noProof/>
            <w:webHidden/>
          </w:rPr>
        </w:r>
        <w:r w:rsidR="00236917" w:rsidRPr="00FB463E">
          <w:rPr>
            <w:noProof/>
            <w:webHidden/>
          </w:rPr>
          <w:fldChar w:fldCharType="separate"/>
        </w:r>
        <w:r w:rsidR="00236917" w:rsidRPr="00FB463E">
          <w:rPr>
            <w:noProof/>
            <w:webHidden/>
          </w:rPr>
          <w:t>197</w:t>
        </w:r>
        <w:r w:rsidR="00236917" w:rsidRPr="00FB463E">
          <w:rPr>
            <w:noProof/>
            <w:webHidden/>
          </w:rPr>
          <w:fldChar w:fldCharType="end"/>
        </w:r>
      </w:hyperlink>
    </w:p>
    <w:p w14:paraId="25A1500D" w14:textId="3865442A" w:rsidR="00236917" w:rsidRPr="00FB463E" w:rsidRDefault="000D0DA7">
      <w:pPr>
        <w:pStyle w:val="TM2"/>
        <w:tabs>
          <w:tab w:val="left" w:pos="800"/>
          <w:tab w:val="right" w:leader="dot" w:pos="9203"/>
        </w:tabs>
        <w:rPr>
          <w:rFonts w:asciiTheme="minorHAnsi" w:eastAsiaTheme="minorEastAsia" w:hAnsiTheme="minorHAnsi" w:cstheme="minorBidi"/>
          <w:caps w:val="0"/>
          <w:noProof/>
          <w:sz w:val="22"/>
          <w:szCs w:val="22"/>
          <w:lang w:val="fr-FR" w:eastAsia="fr-FR"/>
        </w:rPr>
      </w:pPr>
      <w:hyperlink w:anchor="_Toc93326626" w:history="1">
        <w:r w:rsidR="00236917" w:rsidRPr="00FB463E">
          <w:rPr>
            <w:rStyle w:val="Lienhypertexte"/>
            <w:rFonts w:eastAsia="Calibri"/>
            <w:noProof/>
          </w:rPr>
          <w:t>3.3</w:t>
        </w:r>
        <w:r w:rsidR="00236917" w:rsidRPr="00FB463E">
          <w:rPr>
            <w:rFonts w:asciiTheme="minorHAnsi" w:eastAsiaTheme="minorEastAsia" w:hAnsiTheme="minorHAnsi" w:cstheme="minorBidi"/>
            <w:caps w:val="0"/>
            <w:noProof/>
            <w:sz w:val="22"/>
            <w:szCs w:val="22"/>
            <w:lang w:val="fr-FR" w:eastAsia="fr-FR"/>
          </w:rPr>
          <w:tab/>
        </w:r>
        <w:r w:rsidR="00236917" w:rsidRPr="00FB463E">
          <w:rPr>
            <w:rStyle w:val="Lienhypertexte"/>
            <w:rFonts w:eastAsia="Calibri"/>
            <w:noProof/>
          </w:rPr>
          <w:t>New information on the active substance</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_Toc93326626 \h </w:instrText>
        </w:r>
        <w:r w:rsidR="00236917" w:rsidRPr="00FB463E">
          <w:rPr>
            <w:noProof/>
            <w:webHidden/>
          </w:rPr>
        </w:r>
        <w:r w:rsidR="00236917" w:rsidRPr="00FB463E">
          <w:rPr>
            <w:noProof/>
            <w:webHidden/>
          </w:rPr>
          <w:fldChar w:fldCharType="separate"/>
        </w:r>
        <w:r w:rsidR="00236917" w:rsidRPr="00FB463E">
          <w:rPr>
            <w:noProof/>
            <w:webHidden/>
          </w:rPr>
          <w:t>198</w:t>
        </w:r>
        <w:r w:rsidR="00236917" w:rsidRPr="00FB463E">
          <w:rPr>
            <w:noProof/>
            <w:webHidden/>
          </w:rPr>
          <w:fldChar w:fldCharType="end"/>
        </w:r>
      </w:hyperlink>
    </w:p>
    <w:p w14:paraId="3888CFF9" w14:textId="0E0D76F6" w:rsidR="00236917" w:rsidRPr="00FB463E" w:rsidRDefault="000D0DA7">
      <w:pPr>
        <w:pStyle w:val="TM2"/>
        <w:tabs>
          <w:tab w:val="left" w:pos="800"/>
          <w:tab w:val="right" w:leader="dot" w:pos="9203"/>
        </w:tabs>
        <w:rPr>
          <w:rFonts w:asciiTheme="minorHAnsi" w:eastAsiaTheme="minorEastAsia" w:hAnsiTheme="minorHAnsi" w:cstheme="minorBidi"/>
          <w:caps w:val="0"/>
          <w:noProof/>
          <w:sz w:val="22"/>
          <w:szCs w:val="22"/>
          <w:lang w:val="fr-FR" w:eastAsia="fr-FR"/>
        </w:rPr>
      </w:pPr>
      <w:hyperlink w:anchor="_Toc93326627" w:history="1">
        <w:r w:rsidR="00236917" w:rsidRPr="00FB463E">
          <w:rPr>
            <w:rStyle w:val="Lienhypertexte"/>
            <w:rFonts w:eastAsia="Calibri"/>
            <w:noProof/>
          </w:rPr>
          <w:t>3.4</w:t>
        </w:r>
        <w:r w:rsidR="00236917" w:rsidRPr="00FB463E">
          <w:rPr>
            <w:rFonts w:asciiTheme="minorHAnsi" w:eastAsiaTheme="minorEastAsia" w:hAnsiTheme="minorHAnsi" w:cstheme="minorBidi"/>
            <w:caps w:val="0"/>
            <w:noProof/>
            <w:sz w:val="22"/>
            <w:szCs w:val="22"/>
            <w:lang w:val="fr-FR" w:eastAsia="fr-FR"/>
          </w:rPr>
          <w:tab/>
        </w:r>
        <w:r w:rsidR="00236917" w:rsidRPr="00FB463E">
          <w:rPr>
            <w:rStyle w:val="Lienhypertexte"/>
            <w:rFonts w:eastAsia="Calibri"/>
            <w:noProof/>
          </w:rPr>
          <w:t>Residue behaviour</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_Toc93326627 \h </w:instrText>
        </w:r>
        <w:r w:rsidR="00236917" w:rsidRPr="00FB463E">
          <w:rPr>
            <w:noProof/>
            <w:webHidden/>
          </w:rPr>
        </w:r>
        <w:r w:rsidR="00236917" w:rsidRPr="00FB463E">
          <w:rPr>
            <w:noProof/>
            <w:webHidden/>
          </w:rPr>
          <w:fldChar w:fldCharType="separate"/>
        </w:r>
        <w:r w:rsidR="00236917" w:rsidRPr="00FB463E">
          <w:rPr>
            <w:noProof/>
            <w:webHidden/>
          </w:rPr>
          <w:t>198</w:t>
        </w:r>
        <w:r w:rsidR="00236917" w:rsidRPr="00FB463E">
          <w:rPr>
            <w:noProof/>
            <w:webHidden/>
          </w:rPr>
          <w:fldChar w:fldCharType="end"/>
        </w:r>
      </w:hyperlink>
    </w:p>
    <w:p w14:paraId="739F67B5" w14:textId="0220713B" w:rsidR="00236917" w:rsidRPr="00FB463E" w:rsidRDefault="000D0DA7">
      <w:pPr>
        <w:pStyle w:val="TM2"/>
        <w:tabs>
          <w:tab w:val="left" w:pos="800"/>
          <w:tab w:val="right" w:leader="dot" w:pos="9203"/>
        </w:tabs>
        <w:rPr>
          <w:rFonts w:asciiTheme="minorHAnsi" w:eastAsiaTheme="minorEastAsia" w:hAnsiTheme="minorHAnsi" w:cstheme="minorBidi"/>
          <w:caps w:val="0"/>
          <w:noProof/>
          <w:sz w:val="22"/>
          <w:szCs w:val="22"/>
          <w:lang w:val="fr-FR" w:eastAsia="fr-FR"/>
        </w:rPr>
      </w:pPr>
      <w:hyperlink w:anchor="_Toc93326628" w:history="1">
        <w:r w:rsidR="00236917" w:rsidRPr="00FB463E">
          <w:rPr>
            <w:rStyle w:val="Lienhypertexte"/>
            <w:rFonts w:eastAsia="Calibri"/>
            <w:noProof/>
          </w:rPr>
          <w:t>3.5</w:t>
        </w:r>
        <w:r w:rsidR="00236917" w:rsidRPr="00FB463E">
          <w:rPr>
            <w:rFonts w:asciiTheme="minorHAnsi" w:eastAsiaTheme="minorEastAsia" w:hAnsiTheme="minorHAnsi" w:cstheme="minorBidi"/>
            <w:caps w:val="0"/>
            <w:noProof/>
            <w:sz w:val="22"/>
            <w:szCs w:val="22"/>
            <w:lang w:val="fr-FR" w:eastAsia="fr-FR"/>
          </w:rPr>
          <w:tab/>
        </w:r>
        <w:r w:rsidR="00236917" w:rsidRPr="00FB463E">
          <w:rPr>
            <w:rStyle w:val="Lienhypertexte"/>
            <w:rFonts w:eastAsia="Calibri"/>
            <w:noProof/>
          </w:rPr>
          <w:t>Summaries of the efficacy studies (B.5.10.1-xx)</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_Toc93326628 \h </w:instrText>
        </w:r>
        <w:r w:rsidR="00236917" w:rsidRPr="00FB463E">
          <w:rPr>
            <w:noProof/>
            <w:webHidden/>
          </w:rPr>
        </w:r>
        <w:r w:rsidR="00236917" w:rsidRPr="00FB463E">
          <w:rPr>
            <w:noProof/>
            <w:webHidden/>
          </w:rPr>
          <w:fldChar w:fldCharType="separate"/>
        </w:r>
        <w:r w:rsidR="00236917" w:rsidRPr="00FB463E">
          <w:rPr>
            <w:noProof/>
            <w:webHidden/>
          </w:rPr>
          <w:t>198</w:t>
        </w:r>
        <w:r w:rsidR="00236917" w:rsidRPr="00FB463E">
          <w:rPr>
            <w:noProof/>
            <w:webHidden/>
          </w:rPr>
          <w:fldChar w:fldCharType="end"/>
        </w:r>
      </w:hyperlink>
    </w:p>
    <w:p w14:paraId="455A8C4E" w14:textId="6DE5AE22" w:rsidR="00236917" w:rsidRPr="00FB463E" w:rsidRDefault="000D0DA7">
      <w:pPr>
        <w:pStyle w:val="TM2"/>
        <w:tabs>
          <w:tab w:val="left" w:pos="800"/>
          <w:tab w:val="right" w:leader="dot" w:pos="9203"/>
        </w:tabs>
        <w:rPr>
          <w:rFonts w:asciiTheme="minorHAnsi" w:eastAsiaTheme="minorEastAsia" w:hAnsiTheme="minorHAnsi" w:cstheme="minorBidi"/>
          <w:caps w:val="0"/>
          <w:noProof/>
          <w:sz w:val="22"/>
          <w:szCs w:val="22"/>
          <w:lang w:val="fr-FR" w:eastAsia="fr-FR"/>
        </w:rPr>
      </w:pPr>
      <w:hyperlink w:anchor="_Toc93326629" w:history="1">
        <w:r w:rsidR="00236917" w:rsidRPr="00FB463E">
          <w:rPr>
            <w:rStyle w:val="Lienhypertexte"/>
            <w:rFonts w:eastAsia="Calibri"/>
            <w:noProof/>
          </w:rPr>
          <w:t>3.6</w:t>
        </w:r>
        <w:r w:rsidR="00236917" w:rsidRPr="00FB463E">
          <w:rPr>
            <w:rFonts w:asciiTheme="minorHAnsi" w:eastAsiaTheme="minorEastAsia" w:hAnsiTheme="minorHAnsi" w:cstheme="minorBidi"/>
            <w:caps w:val="0"/>
            <w:noProof/>
            <w:sz w:val="22"/>
            <w:szCs w:val="22"/>
            <w:lang w:val="fr-FR" w:eastAsia="fr-FR"/>
          </w:rPr>
          <w:tab/>
        </w:r>
        <w:r w:rsidR="00236917" w:rsidRPr="00FB463E">
          <w:rPr>
            <w:rStyle w:val="Lienhypertexte"/>
            <w:rFonts w:eastAsia="Calibri"/>
            <w:noProof/>
          </w:rPr>
          <w:t>Confidential annex</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_Toc93326629 \h </w:instrText>
        </w:r>
        <w:r w:rsidR="00236917" w:rsidRPr="00FB463E">
          <w:rPr>
            <w:noProof/>
            <w:webHidden/>
          </w:rPr>
        </w:r>
        <w:r w:rsidR="00236917" w:rsidRPr="00FB463E">
          <w:rPr>
            <w:noProof/>
            <w:webHidden/>
          </w:rPr>
          <w:fldChar w:fldCharType="separate"/>
        </w:r>
        <w:r w:rsidR="00236917" w:rsidRPr="00FB463E">
          <w:rPr>
            <w:noProof/>
            <w:webHidden/>
          </w:rPr>
          <w:t>198</w:t>
        </w:r>
        <w:r w:rsidR="00236917" w:rsidRPr="00FB463E">
          <w:rPr>
            <w:noProof/>
            <w:webHidden/>
          </w:rPr>
          <w:fldChar w:fldCharType="end"/>
        </w:r>
      </w:hyperlink>
    </w:p>
    <w:p w14:paraId="3DC5686C" w14:textId="7082D61F" w:rsidR="00236917" w:rsidRPr="00FB463E" w:rsidRDefault="000D0DA7">
      <w:pPr>
        <w:pStyle w:val="TM2"/>
        <w:tabs>
          <w:tab w:val="left" w:pos="800"/>
          <w:tab w:val="right" w:leader="dot" w:pos="9203"/>
        </w:tabs>
        <w:rPr>
          <w:rFonts w:asciiTheme="minorHAnsi" w:eastAsiaTheme="minorEastAsia" w:hAnsiTheme="minorHAnsi" w:cstheme="minorBidi"/>
          <w:caps w:val="0"/>
          <w:noProof/>
          <w:sz w:val="22"/>
          <w:szCs w:val="22"/>
          <w:lang w:val="fr-FR" w:eastAsia="fr-FR"/>
        </w:rPr>
      </w:pPr>
      <w:hyperlink w:anchor="_Toc93326630" w:history="1">
        <w:r w:rsidR="00236917" w:rsidRPr="00FB463E">
          <w:rPr>
            <w:rStyle w:val="Lienhypertexte"/>
            <w:rFonts w:eastAsia="Calibri"/>
            <w:noProof/>
          </w:rPr>
          <w:t>3.7</w:t>
        </w:r>
        <w:r w:rsidR="00236917" w:rsidRPr="00FB463E">
          <w:rPr>
            <w:rFonts w:asciiTheme="minorHAnsi" w:eastAsiaTheme="minorEastAsia" w:hAnsiTheme="minorHAnsi" w:cstheme="minorBidi"/>
            <w:caps w:val="0"/>
            <w:noProof/>
            <w:sz w:val="22"/>
            <w:szCs w:val="22"/>
            <w:lang w:val="fr-FR" w:eastAsia="fr-FR"/>
          </w:rPr>
          <w:tab/>
        </w:r>
        <w:r w:rsidR="00236917" w:rsidRPr="00FB463E">
          <w:rPr>
            <w:rStyle w:val="Lienhypertexte"/>
            <w:rFonts w:eastAsia="Calibri"/>
            <w:noProof/>
          </w:rPr>
          <w:t>Other</w:t>
        </w:r>
        <w:r w:rsidR="00236917" w:rsidRPr="00FB463E">
          <w:rPr>
            <w:noProof/>
            <w:webHidden/>
          </w:rPr>
          <w:tab/>
        </w:r>
        <w:r w:rsidR="00236917" w:rsidRPr="00FB463E">
          <w:rPr>
            <w:noProof/>
            <w:webHidden/>
          </w:rPr>
          <w:fldChar w:fldCharType="begin"/>
        </w:r>
        <w:r w:rsidR="00236917" w:rsidRPr="00FB463E">
          <w:rPr>
            <w:noProof/>
            <w:webHidden/>
          </w:rPr>
          <w:instrText xml:space="preserve"> PAGEREF _Toc93326630 \h </w:instrText>
        </w:r>
        <w:r w:rsidR="00236917" w:rsidRPr="00FB463E">
          <w:rPr>
            <w:noProof/>
            <w:webHidden/>
          </w:rPr>
        </w:r>
        <w:r w:rsidR="00236917" w:rsidRPr="00FB463E">
          <w:rPr>
            <w:noProof/>
            <w:webHidden/>
          </w:rPr>
          <w:fldChar w:fldCharType="separate"/>
        </w:r>
        <w:r w:rsidR="00236917" w:rsidRPr="00FB463E">
          <w:rPr>
            <w:noProof/>
            <w:webHidden/>
          </w:rPr>
          <w:t>198</w:t>
        </w:r>
        <w:r w:rsidR="00236917" w:rsidRPr="00FB463E">
          <w:rPr>
            <w:noProof/>
            <w:webHidden/>
          </w:rPr>
          <w:fldChar w:fldCharType="end"/>
        </w:r>
      </w:hyperlink>
    </w:p>
    <w:p w14:paraId="1E8BC8EF" w14:textId="1F0DC578" w:rsidR="00DA3C10" w:rsidRPr="00BD2EF1" w:rsidRDefault="00DE5D51" w:rsidP="00DA3C10">
      <w:r w:rsidRPr="00FB463E">
        <w:rPr>
          <w:sz w:val="22"/>
        </w:rPr>
        <w:fldChar w:fldCharType="end"/>
      </w:r>
    </w:p>
    <w:p w14:paraId="73A849E5" w14:textId="77777777" w:rsidR="00DA3C10" w:rsidRPr="00BD2EF1" w:rsidRDefault="00DA3C10">
      <w:pPr>
        <w:spacing w:after="160" w:line="259" w:lineRule="auto"/>
      </w:pPr>
      <w:r w:rsidRPr="00BD2EF1">
        <w:br w:type="page"/>
      </w:r>
    </w:p>
    <w:p w14:paraId="0B1CF4BF" w14:textId="77777777" w:rsidR="00E86C80" w:rsidRDefault="00E86C80" w:rsidP="00E86C80">
      <w:pPr>
        <w:jc w:val="both"/>
        <w:rPr>
          <w:rFonts w:cs="Arial"/>
          <w:b/>
          <w:bCs/>
          <w:u w:val="single"/>
        </w:rPr>
      </w:pPr>
    </w:p>
    <w:p w14:paraId="70E60240" w14:textId="77777777" w:rsidR="00E86C80" w:rsidRPr="00DF65A8" w:rsidRDefault="00E86C80" w:rsidP="00E86C80">
      <w:pPr>
        <w:jc w:val="both"/>
        <w:rPr>
          <w:rFonts w:cs="Arial"/>
          <w:b/>
          <w:bCs/>
          <w:color w:val="FF0000"/>
          <w:u w:val="single"/>
        </w:rPr>
      </w:pPr>
      <w:r>
        <w:rPr>
          <w:rFonts w:cs="Arial"/>
          <w:b/>
          <w:bCs/>
          <w:color w:val="FF0000"/>
          <w:u w:val="single"/>
        </w:rPr>
        <w:t>Not</w:t>
      </w:r>
      <w:r w:rsidRPr="00DF65A8">
        <w:rPr>
          <w:rFonts w:cs="Arial"/>
          <w:b/>
          <w:bCs/>
          <w:color w:val="FF0000"/>
          <w:u w:val="single"/>
        </w:rPr>
        <w:t>e to the reader</w:t>
      </w:r>
    </w:p>
    <w:p w14:paraId="42F13A4D" w14:textId="77777777" w:rsidR="00E86C80" w:rsidRPr="00780C29" w:rsidRDefault="00E86C80" w:rsidP="00E86C80">
      <w:pPr>
        <w:jc w:val="both"/>
        <w:rPr>
          <w:rFonts w:cs="Arial"/>
          <w:bCs/>
          <w:color w:val="FF0000"/>
        </w:rPr>
      </w:pPr>
    </w:p>
    <w:p w14:paraId="3B5668ED" w14:textId="5BCD19D1" w:rsidR="00E86C80" w:rsidRPr="00DF65A8" w:rsidRDefault="00E86C80" w:rsidP="00E86C80">
      <w:pPr>
        <w:spacing w:line="276" w:lineRule="auto"/>
        <w:jc w:val="both"/>
        <w:rPr>
          <w:rFonts w:cs="Arial"/>
          <w:bCs/>
          <w:color w:val="FF0000"/>
        </w:rPr>
      </w:pPr>
      <w:r w:rsidRPr="00DF65A8">
        <w:rPr>
          <w:rFonts w:cs="Arial"/>
          <w:bCs/>
          <w:color w:val="FF0000"/>
        </w:rPr>
        <w:t xml:space="preserve">This consolidated PAR for the </w:t>
      </w:r>
      <w:r w:rsidR="009B1335">
        <w:rPr>
          <w:rFonts w:cs="Arial"/>
          <w:bCs/>
          <w:color w:val="FF0000"/>
        </w:rPr>
        <w:t>minor</w:t>
      </w:r>
      <w:r w:rsidR="009B1335" w:rsidRPr="00DF65A8">
        <w:rPr>
          <w:rFonts w:cs="Arial"/>
          <w:bCs/>
          <w:color w:val="FF0000"/>
        </w:rPr>
        <w:t xml:space="preserve"> </w:t>
      </w:r>
      <w:r w:rsidRPr="00DF65A8">
        <w:rPr>
          <w:rFonts w:cs="Arial"/>
          <w:bCs/>
          <w:color w:val="FF0000"/>
        </w:rPr>
        <w:t xml:space="preserve">change application of the SPRAY REPULSIF IR200 product authorisation is based on the PAR of the reference product INSECT REPELLENT PUMP SPRAY LICE IR3535 20% evaluated by the Belgium Competent Authority, in which all necessary addenda have been included. </w:t>
      </w:r>
    </w:p>
    <w:p w14:paraId="7D04147A" w14:textId="77777777" w:rsidR="00E86C80" w:rsidRPr="00DF65A8" w:rsidRDefault="00E86C80" w:rsidP="00E86C80">
      <w:pPr>
        <w:spacing w:line="276" w:lineRule="auto"/>
        <w:jc w:val="both"/>
        <w:rPr>
          <w:rFonts w:cs="Arial"/>
          <w:bCs/>
          <w:color w:val="FF0000"/>
        </w:rPr>
      </w:pPr>
    </w:p>
    <w:p w14:paraId="209277FF" w14:textId="2EA555EC" w:rsidR="00E86C80" w:rsidRPr="00DF65A8" w:rsidRDefault="00E86C80" w:rsidP="00E86C80">
      <w:pPr>
        <w:spacing w:line="276" w:lineRule="auto"/>
        <w:jc w:val="both"/>
        <w:rPr>
          <w:rFonts w:cs="Arial"/>
          <w:bCs/>
          <w:color w:val="FF0000"/>
        </w:rPr>
      </w:pPr>
      <w:r w:rsidRPr="00DF65A8">
        <w:rPr>
          <w:rFonts w:cs="Arial"/>
          <w:bCs/>
          <w:color w:val="FF0000"/>
        </w:rPr>
        <w:t>The SPC (</w:t>
      </w:r>
      <w:r w:rsidR="003056E7">
        <w:rPr>
          <w:rFonts w:cs="Arial"/>
          <w:bCs/>
          <w:color w:val="FF0000"/>
        </w:rPr>
        <w:t xml:space="preserve">in section </w:t>
      </w:r>
      <w:r w:rsidRPr="00DF65A8">
        <w:rPr>
          <w:rFonts w:cs="Arial"/>
          <w:bCs/>
          <w:color w:val="FF0000"/>
        </w:rPr>
        <w:t>2.1</w:t>
      </w:r>
      <w:r w:rsidR="003056E7">
        <w:rPr>
          <w:rFonts w:cs="Arial"/>
          <w:bCs/>
          <w:color w:val="FF0000"/>
        </w:rPr>
        <w:t xml:space="preserve"> of the PAR</w:t>
      </w:r>
      <w:r w:rsidRPr="00DF65A8">
        <w:rPr>
          <w:rFonts w:cs="Arial"/>
          <w:bCs/>
          <w:color w:val="FF0000"/>
        </w:rPr>
        <w:t xml:space="preserve">) corresponds to the authorised uses in the frame of the </w:t>
      </w:r>
      <w:r w:rsidR="009B1335">
        <w:rPr>
          <w:rFonts w:cs="Arial"/>
          <w:bCs/>
          <w:color w:val="FF0000"/>
        </w:rPr>
        <w:t>minor</w:t>
      </w:r>
      <w:r w:rsidR="009B1335" w:rsidRPr="00DF65A8">
        <w:rPr>
          <w:rFonts w:cs="Arial"/>
          <w:bCs/>
          <w:color w:val="FF0000"/>
        </w:rPr>
        <w:t xml:space="preserve"> </w:t>
      </w:r>
      <w:r w:rsidRPr="00DF65A8">
        <w:rPr>
          <w:rFonts w:cs="Arial"/>
          <w:bCs/>
          <w:color w:val="FF0000"/>
        </w:rPr>
        <w:t xml:space="preserve">application </w:t>
      </w:r>
      <w:r w:rsidR="009B1335">
        <w:rPr>
          <w:rFonts w:cs="Arial"/>
          <w:bCs/>
          <w:color w:val="FF0000"/>
        </w:rPr>
        <w:t>2021</w:t>
      </w:r>
      <w:r w:rsidRPr="00DF65A8">
        <w:rPr>
          <w:rFonts w:cs="Arial"/>
          <w:bCs/>
          <w:color w:val="FF0000"/>
        </w:rPr>
        <w:t xml:space="preserve">. </w:t>
      </w:r>
    </w:p>
    <w:p w14:paraId="2E1225DD" w14:textId="77777777" w:rsidR="00E86C80" w:rsidRPr="00DF65A8" w:rsidRDefault="00E86C80" w:rsidP="00E86C80">
      <w:pPr>
        <w:spacing w:line="276" w:lineRule="auto"/>
        <w:jc w:val="both"/>
        <w:rPr>
          <w:rFonts w:cs="Arial"/>
          <w:bCs/>
          <w:color w:val="FF0000"/>
        </w:rPr>
      </w:pPr>
    </w:p>
    <w:p w14:paraId="094359EB" w14:textId="39A76785" w:rsidR="00E86C80" w:rsidRPr="00DF65A8" w:rsidRDefault="00E86C80" w:rsidP="00E86C80">
      <w:pPr>
        <w:spacing w:line="276" w:lineRule="auto"/>
        <w:jc w:val="both"/>
        <w:rPr>
          <w:rFonts w:cs="Arial"/>
          <w:bCs/>
          <w:color w:val="FF0000"/>
        </w:rPr>
      </w:pPr>
      <w:r w:rsidRPr="00DF65A8">
        <w:rPr>
          <w:rFonts w:cs="Arial"/>
          <w:bCs/>
          <w:color w:val="FF0000"/>
        </w:rPr>
        <w:t xml:space="preserve">In the following assessment report of this consolidated PAR, each section contains the initial assessment and the subsequent successive assessments (minor change, major change, post-authorisation data…). The assessments related to the </w:t>
      </w:r>
      <w:r w:rsidR="009B1335">
        <w:rPr>
          <w:rFonts w:cs="Arial"/>
          <w:bCs/>
          <w:color w:val="FF0000"/>
        </w:rPr>
        <w:t>minor</w:t>
      </w:r>
      <w:r w:rsidR="009B1335" w:rsidRPr="00DF65A8">
        <w:rPr>
          <w:rFonts w:cs="Arial"/>
          <w:bCs/>
          <w:color w:val="FF0000"/>
        </w:rPr>
        <w:t xml:space="preserve"> </w:t>
      </w:r>
      <w:r w:rsidRPr="00DF65A8">
        <w:rPr>
          <w:rFonts w:cs="Arial"/>
          <w:bCs/>
          <w:color w:val="FF0000"/>
        </w:rPr>
        <w:t xml:space="preserve">change </w:t>
      </w:r>
      <w:r w:rsidR="009B1335">
        <w:rPr>
          <w:rFonts w:cs="Arial"/>
          <w:bCs/>
          <w:color w:val="FF0000"/>
        </w:rPr>
        <w:t>2021</w:t>
      </w:r>
      <w:r w:rsidR="009B1335" w:rsidRPr="00DF65A8">
        <w:rPr>
          <w:rFonts w:cs="Arial"/>
          <w:bCs/>
          <w:color w:val="FF0000"/>
        </w:rPr>
        <w:t xml:space="preserve"> </w:t>
      </w:r>
      <w:r w:rsidRPr="00DF65A8">
        <w:rPr>
          <w:rFonts w:cs="Arial"/>
          <w:bCs/>
          <w:color w:val="FF0000"/>
        </w:rPr>
        <w:t>of the product are at the end of each concerned section and are highlighted in grey.</w:t>
      </w:r>
    </w:p>
    <w:p w14:paraId="77DD3C8C" w14:textId="77777777" w:rsidR="00E86C80" w:rsidRPr="00553147" w:rsidRDefault="00E86C80" w:rsidP="00E86C80">
      <w:pPr>
        <w:spacing w:line="276" w:lineRule="auto"/>
        <w:jc w:val="both"/>
        <w:rPr>
          <w:rFonts w:cs="Arial"/>
          <w:u w:val="single"/>
        </w:rPr>
      </w:pPr>
    </w:p>
    <w:p w14:paraId="7D68BF31" w14:textId="77777777" w:rsidR="00E86C80" w:rsidRDefault="00E86C80" w:rsidP="00E86C80">
      <w:pPr>
        <w:rPr>
          <w:rFonts w:cs="Arial"/>
          <w:b/>
          <w:noProof/>
          <w:sz w:val="32"/>
          <w:szCs w:val="32"/>
          <w:u w:val="single"/>
        </w:rPr>
      </w:pPr>
    </w:p>
    <w:p w14:paraId="367BB037" w14:textId="77777777" w:rsidR="00E86C80" w:rsidRPr="00CA697E" w:rsidRDefault="00E86C80" w:rsidP="00E86C80">
      <w:pPr>
        <w:pStyle w:val="CurrentAuth1"/>
        <w:numPr>
          <w:ilvl w:val="0"/>
          <w:numId w:val="0"/>
        </w:numPr>
        <w:rPr>
          <w:b w:val="0"/>
          <w:noProof/>
        </w:rPr>
      </w:pPr>
      <w:bookmarkStart w:id="1" w:name="_Toc93326457"/>
      <w:r w:rsidRPr="000834BE">
        <w:rPr>
          <w:noProof/>
        </w:rPr>
        <w:t>History of the dossier</w:t>
      </w:r>
      <w:bookmarkEnd w:id="1"/>
    </w:p>
    <w:tbl>
      <w:tblPr>
        <w:tblStyle w:val="TableGrid2"/>
        <w:tblW w:w="9747" w:type="dxa"/>
        <w:tblLayout w:type="fixed"/>
        <w:tblLook w:val="04A0" w:firstRow="1" w:lastRow="0" w:firstColumn="1" w:lastColumn="0" w:noHBand="0" w:noVBand="1"/>
      </w:tblPr>
      <w:tblGrid>
        <w:gridCol w:w="1384"/>
        <w:gridCol w:w="647"/>
        <w:gridCol w:w="2075"/>
        <w:gridCol w:w="1559"/>
        <w:gridCol w:w="4082"/>
      </w:tblGrid>
      <w:tr w:rsidR="00E86C80" w:rsidRPr="003C7430" w14:paraId="745EB1E5" w14:textId="77777777" w:rsidTr="00E86C80">
        <w:tc>
          <w:tcPr>
            <w:tcW w:w="1384" w:type="dxa"/>
          </w:tcPr>
          <w:p w14:paraId="4223F9BC" w14:textId="77777777" w:rsidR="00E86C80" w:rsidRPr="003C7430" w:rsidRDefault="00E86C80" w:rsidP="00E86C80">
            <w:pPr>
              <w:rPr>
                <w:rFonts w:cs="Arial"/>
                <w:b/>
              </w:rPr>
            </w:pPr>
            <w:r w:rsidRPr="003C7430">
              <w:rPr>
                <w:rFonts w:cs="Arial"/>
                <w:b/>
              </w:rPr>
              <w:t>Application type</w:t>
            </w:r>
          </w:p>
        </w:tc>
        <w:tc>
          <w:tcPr>
            <w:tcW w:w="647" w:type="dxa"/>
          </w:tcPr>
          <w:p w14:paraId="79306D45" w14:textId="77777777" w:rsidR="00E86C80" w:rsidRPr="003C7430" w:rsidRDefault="00E86C80" w:rsidP="00E86C80">
            <w:pPr>
              <w:rPr>
                <w:rFonts w:cs="Arial"/>
                <w:b/>
              </w:rPr>
            </w:pPr>
            <w:r w:rsidRPr="003C7430">
              <w:rPr>
                <w:rFonts w:cs="Arial"/>
                <w:b/>
              </w:rPr>
              <w:t>Ref</w:t>
            </w:r>
            <w:r>
              <w:rPr>
                <w:rFonts w:cs="Arial"/>
                <w:b/>
              </w:rPr>
              <w:t xml:space="preserve"> </w:t>
            </w:r>
            <w:r w:rsidRPr="003C7430">
              <w:rPr>
                <w:rFonts w:cs="Arial"/>
                <w:b/>
              </w:rPr>
              <w:t>MS</w:t>
            </w:r>
          </w:p>
        </w:tc>
        <w:tc>
          <w:tcPr>
            <w:tcW w:w="2075" w:type="dxa"/>
          </w:tcPr>
          <w:p w14:paraId="51DCF750" w14:textId="77777777" w:rsidR="00E86C80" w:rsidRPr="003C7430" w:rsidRDefault="00E86C80" w:rsidP="00E86C80">
            <w:pPr>
              <w:rPr>
                <w:rFonts w:cs="Arial"/>
                <w:b/>
              </w:rPr>
            </w:pPr>
            <w:r w:rsidRPr="003C7430">
              <w:rPr>
                <w:rFonts w:cs="Arial"/>
                <w:b/>
              </w:rPr>
              <w:t>Case number in the ref</w:t>
            </w:r>
            <w:r>
              <w:rPr>
                <w:rFonts w:cs="Arial"/>
                <w:b/>
              </w:rPr>
              <w:t xml:space="preserve"> </w:t>
            </w:r>
            <w:r w:rsidRPr="003C7430">
              <w:rPr>
                <w:rFonts w:cs="Arial"/>
                <w:b/>
              </w:rPr>
              <w:t>MS</w:t>
            </w:r>
          </w:p>
        </w:tc>
        <w:tc>
          <w:tcPr>
            <w:tcW w:w="1559" w:type="dxa"/>
          </w:tcPr>
          <w:p w14:paraId="25088CA9" w14:textId="77777777" w:rsidR="00E86C80" w:rsidRPr="003C7430" w:rsidRDefault="00E86C80" w:rsidP="00E86C80">
            <w:pPr>
              <w:rPr>
                <w:rFonts w:cs="Arial"/>
                <w:b/>
              </w:rPr>
            </w:pPr>
            <w:r w:rsidRPr="003C7430">
              <w:rPr>
                <w:rFonts w:cs="Arial"/>
                <w:b/>
              </w:rPr>
              <w:t>Decision date</w:t>
            </w:r>
          </w:p>
        </w:tc>
        <w:tc>
          <w:tcPr>
            <w:tcW w:w="4082" w:type="dxa"/>
          </w:tcPr>
          <w:p w14:paraId="5408E5A4" w14:textId="77777777" w:rsidR="00E86C80" w:rsidRPr="003C7430" w:rsidRDefault="00E86C80" w:rsidP="00E86C80">
            <w:pPr>
              <w:rPr>
                <w:rFonts w:cs="Arial"/>
                <w:b/>
              </w:rPr>
            </w:pPr>
            <w:r w:rsidRPr="003C7430">
              <w:rPr>
                <w:rFonts w:cs="Arial"/>
                <w:b/>
              </w:rPr>
              <w:t>Assessment carried out (i.e. first authorisation / amendment /renewal)</w:t>
            </w:r>
          </w:p>
        </w:tc>
      </w:tr>
      <w:tr w:rsidR="00E86C80" w:rsidRPr="003C7430" w14:paraId="0D05578A" w14:textId="77777777" w:rsidTr="00E86C80">
        <w:tc>
          <w:tcPr>
            <w:tcW w:w="1384" w:type="dxa"/>
          </w:tcPr>
          <w:p w14:paraId="6FDB9EEA" w14:textId="77777777" w:rsidR="00E86C80" w:rsidRPr="003C7430" w:rsidRDefault="00E86C80" w:rsidP="00E86C80">
            <w:pPr>
              <w:rPr>
                <w:rFonts w:cs="Arial"/>
              </w:rPr>
            </w:pPr>
            <w:r w:rsidRPr="003C7430">
              <w:rPr>
                <w:rFonts w:cs="Arial"/>
              </w:rPr>
              <w:t>NA-APP</w:t>
            </w:r>
          </w:p>
        </w:tc>
        <w:tc>
          <w:tcPr>
            <w:tcW w:w="647" w:type="dxa"/>
          </w:tcPr>
          <w:p w14:paraId="576C799B" w14:textId="77777777" w:rsidR="00E86C80" w:rsidRPr="0056011B" w:rsidRDefault="00E86C80" w:rsidP="00E86C80">
            <w:pPr>
              <w:rPr>
                <w:rFonts w:cs="Arial"/>
              </w:rPr>
            </w:pPr>
            <w:r>
              <w:rPr>
                <w:rFonts w:cs="Arial"/>
              </w:rPr>
              <w:t>BE</w:t>
            </w:r>
          </w:p>
        </w:tc>
        <w:tc>
          <w:tcPr>
            <w:tcW w:w="2075" w:type="dxa"/>
          </w:tcPr>
          <w:p w14:paraId="77822039" w14:textId="77777777" w:rsidR="00E86C80" w:rsidRPr="0056011B" w:rsidRDefault="00E86C80" w:rsidP="00E86C80">
            <w:pPr>
              <w:rPr>
                <w:rFonts w:cs="Arial"/>
              </w:rPr>
            </w:pPr>
            <w:r w:rsidRPr="00780C29">
              <w:rPr>
                <w:rFonts w:cs="Arial"/>
              </w:rPr>
              <w:t>BC-PR013536-21</w:t>
            </w:r>
          </w:p>
        </w:tc>
        <w:tc>
          <w:tcPr>
            <w:tcW w:w="1559" w:type="dxa"/>
          </w:tcPr>
          <w:p w14:paraId="561B20A5" w14:textId="77777777" w:rsidR="00E86C80" w:rsidRPr="003C7430" w:rsidRDefault="00E86C80" w:rsidP="00E86C80">
            <w:pPr>
              <w:jc w:val="center"/>
              <w:rPr>
                <w:rFonts w:cs="Arial"/>
              </w:rPr>
            </w:pPr>
            <w:r>
              <w:rPr>
                <w:rFonts w:cs="Arial"/>
              </w:rPr>
              <w:t>29/03/2017</w:t>
            </w:r>
          </w:p>
        </w:tc>
        <w:tc>
          <w:tcPr>
            <w:tcW w:w="4082" w:type="dxa"/>
          </w:tcPr>
          <w:p w14:paraId="69C0302F" w14:textId="77777777" w:rsidR="00E86C80" w:rsidRPr="003C7430" w:rsidRDefault="00E86C80" w:rsidP="00E86C80">
            <w:pPr>
              <w:rPr>
                <w:rFonts w:cs="Arial"/>
              </w:rPr>
            </w:pPr>
            <w:r w:rsidRPr="003C7430">
              <w:rPr>
                <w:rFonts w:cs="Arial"/>
              </w:rPr>
              <w:t>Initial assessment</w:t>
            </w:r>
            <w:r>
              <w:rPr>
                <w:rFonts w:cs="Arial"/>
              </w:rPr>
              <w:t xml:space="preserve"> of the reference product : </w:t>
            </w:r>
            <w:r w:rsidRPr="00780C29">
              <w:rPr>
                <w:rFonts w:cs="Arial"/>
              </w:rPr>
              <w:t>Insect Repellent Pump Spray Lice IR3535 20%</w:t>
            </w:r>
          </w:p>
        </w:tc>
      </w:tr>
      <w:tr w:rsidR="00E86C80" w:rsidRPr="003C7430" w14:paraId="1E052265" w14:textId="77777777" w:rsidTr="00E86C80">
        <w:tc>
          <w:tcPr>
            <w:tcW w:w="1384" w:type="dxa"/>
          </w:tcPr>
          <w:p w14:paraId="20FC0228" w14:textId="77777777" w:rsidR="00E86C80" w:rsidRPr="003C7430" w:rsidRDefault="00E86C80" w:rsidP="00E86C80">
            <w:pPr>
              <w:rPr>
                <w:rFonts w:cs="Arial"/>
              </w:rPr>
            </w:pPr>
            <w:r w:rsidRPr="003C7430">
              <w:rPr>
                <w:rFonts w:cs="Arial"/>
              </w:rPr>
              <w:t>NA-</w:t>
            </w:r>
            <w:r>
              <w:rPr>
                <w:rFonts w:cs="Arial"/>
              </w:rPr>
              <w:t>BBS</w:t>
            </w:r>
          </w:p>
        </w:tc>
        <w:tc>
          <w:tcPr>
            <w:tcW w:w="647" w:type="dxa"/>
          </w:tcPr>
          <w:p w14:paraId="7EEB74C5" w14:textId="77777777" w:rsidR="00E86C80" w:rsidRPr="009C39D5" w:rsidRDefault="00E86C80" w:rsidP="00E86C80">
            <w:pPr>
              <w:rPr>
                <w:rFonts w:cs="Arial"/>
              </w:rPr>
            </w:pPr>
            <w:r>
              <w:rPr>
                <w:rFonts w:cs="Arial"/>
              </w:rPr>
              <w:t>FR</w:t>
            </w:r>
          </w:p>
        </w:tc>
        <w:tc>
          <w:tcPr>
            <w:tcW w:w="2075" w:type="dxa"/>
          </w:tcPr>
          <w:p w14:paraId="29EBAB45" w14:textId="77777777" w:rsidR="00E86C80" w:rsidRPr="003C7430" w:rsidRDefault="00E86C80" w:rsidP="00E86C80">
            <w:pPr>
              <w:rPr>
                <w:rFonts w:cs="Arial"/>
                <w:lang w:val="de-DE"/>
              </w:rPr>
            </w:pPr>
            <w:r>
              <w:rPr>
                <w:rFonts w:cs="Arial"/>
                <w:lang w:val="de-DE"/>
              </w:rPr>
              <w:t>BC-BF039835-45</w:t>
            </w:r>
          </w:p>
        </w:tc>
        <w:tc>
          <w:tcPr>
            <w:tcW w:w="1559" w:type="dxa"/>
          </w:tcPr>
          <w:p w14:paraId="511639BA" w14:textId="77777777" w:rsidR="00E86C80" w:rsidRPr="003C7430" w:rsidRDefault="00E86C80" w:rsidP="00E86C80">
            <w:pPr>
              <w:jc w:val="center"/>
              <w:rPr>
                <w:rFonts w:cs="Arial"/>
                <w:lang w:val="de-DE"/>
              </w:rPr>
            </w:pPr>
            <w:r>
              <w:rPr>
                <w:rFonts w:cs="Arial"/>
                <w:lang w:val="de-DE"/>
              </w:rPr>
              <w:t>04/07/2018</w:t>
            </w:r>
          </w:p>
        </w:tc>
        <w:tc>
          <w:tcPr>
            <w:tcW w:w="4082" w:type="dxa"/>
          </w:tcPr>
          <w:p w14:paraId="5CB16F3B" w14:textId="77777777" w:rsidR="00E86C80" w:rsidRPr="009C39D5" w:rsidRDefault="00E86C80" w:rsidP="00E86C80">
            <w:pPr>
              <w:rPr>
                <w:rFonts w:cs="Arial"/>
              </w:rPr>
            </w:pPr>
            <w:r w:rsidRPr="006F0381">
              <w:rPr>
                <w:rFonts w:cs="Arial"/>
              </w:rPr>
              <w:t>National authorisation of same biocidal product</w:t>
            </w:r>
            <w:r>
              <w:rPr>
                <w:rFonts w:cs="Arial"/>
              </w:rPr>
              <w:t xml:space="preserve"> ( Name of the product : SPRAY REPULSIF ANTIPOUX CHEVEUX)</w:t>
            </w:r>
          </w:p>
        </w:tc>
      </w:tr>
      <w:tr w:rsidR="00E86C80" w:rsidRPr="003C7430" w14:paraId="6FE3DC4F" w14:textId="77777777" w:rsidTr="00FB463E">
        <w:tc>
          <w:tcPr>
            <w:tcW w:w="1384" w:type="dxa"/>
          </w:tcPr>
          <w:p w14:paraId="46054F1D" w14:textId="77777777" w:rsidR="00E86C80" w:rsidRPr="00433C98" w:rsidRDefault="00E86C80" w:rsidP="00E86C80">
            <w:pPr>
              <w:rPr>
                <w:rFonts w:cs="Arial"/>
              </w:rPr>
            </w:pPr>
            <w:r w:rsidRPr="00433C98">
              <w:rPr>
                <w:rFonts w:cs="Arial"/>
              </w:rPr>
              <w:t>NA-</w:t>
            </w:r>
            <w:r>
              <w:rPr>
                <w:rFonts w:cs="Arial"/>
              </w:rPr>
              <w:t>MAC</w:t>
            </w:r>
          </w:p>
        </w:tc>
        <w:tc>
          <w:tcPr>
            <w:tcW w:w="647" w:type="dxa"/>
          </w:tcPr>
          <w:p w14:paraId="54B8DDE1" w14:textId="77777777" w:rsidR="00E86C80" w:rsidRPr="00433C98" w:rsidRDefault="00E86C80" w:rsidP="00E86C80">
            <w:pPr>
              <w:rPr>
                <w:rFonts w:cs="Arial"/>
              </w:rPr>
            </w:pPr>
            <w:r w:rsidRPr="00433C98">
              <w:rPr>
                <w:rFonts w:cs="Arial"/>
              </w:rPr>
              <w:t>FR</w:t>
            </w:r>
          </w:p>
        </w:tc>
        <w:tc>
          <w:tcPr>
            <w:tcW w:w="2075" w:type="dxa"/>
          </w:tcPr>
          <w:p w14:paraId="5324F27B" w14:textId="77777777" w:rsidR="00E86C80" w:rsidRPr="00CA697E" w:rsidRDefault="00E86C80" w:rsidP="00E86C80">
            <w:pPr>
              <w:rPr>
                <w:rFonts w:cs="Arial"/>
                <w:color w:val="000000"/>
                <w:lang w:val="fr-FR" w:eastAsia="fr-FR"/>
              </w:rPr>
            </w:pPr>
            <w:r w:rsidRPr="00CA697E">
              <w:rPr>
                <w:rFonts w:cs="Arial"/>
                <w:color w:val="000000"/>
              </w:rPr>
              <w:t>BC-</w:t>
            </w:r>
            <w:r>
              <w:rPr>
                <w:rFonts w:cs="Arial"/>
                <w:color w:val="000000"/>
              </w:rPr>
              <w:t>QN044792-19</w:t>
            </w:r>
          </w:p>
        </w:tc>
        <w:tc>
          <w:tcPr>
            <w:tcW w:w="1559" w:type="dxa"/>
            <w:shd w:val="clear" w:color="auto" w:fill="auto"/>
          </w:tcPr>
          <w:p w14:paraId="4B77282F" w14:textId="67740552" w:rsidR="00E86C80" w:rsidRPr="00433C98" w:rsidRDefault="00E244C1" w:rsidP="00E86C80">
            <w:pPr>
              <w:jc w:val="center"/>
              <w:rPr>
                <w:rFonts w:cs="Arial"/>
                <w:lang w:val="de-DE"/>
              </w:rPr>
            </w:pPr>
            <w:r>
              <w:rPr>
                <w:rFonts w:cs="Arial"/>
                <w:lang w:val="de-DE"/>
              </w:rPr>
              <w:t>06/03/2020</w:t>
            </w:r>
          </w:p>
        </w:tc>
        <w:tc>
          <w:tcPr>
            <w:tcW w:w="4082" w:type="dxa"/>
          </w:tcPr>
          <w:p w14:paraId="354D6233" w14:textId="77777777" w:rsidR="00E86C80" w:rsidRDefault="00E86C80" w:rsidP="00E86C80">
            <w:pPr>
              <w:rPr>
                <w:rFonts w:cs="Arial"/>
              </w:rPr>
            </w:pPr>
            <w:r>
              <w:rPr>
                <w:rFonts w:cs="Arial"/>
              </w:rPr>
              <w:t xml:space="preserve">National application for major change : </w:t>
            </w:r>
          </w:p>
          <w:p w14:paraId="74BD112C" w14:textId="77777777" w:rsidR="00E86C80" w:rsidRDefault="00E86C80" w:rsidP="00E86C80">
            <w:pPr>
              <w:pStyle w:val="Paragraphedeliste"/>
              <w:numPr>
                <w:ilvl w:val="0"/>
                <w:numId w:val="33"/>
              </w:numPr>
              <w:rPr>
                <w:rFonts w:cs="Arial"/>
              </w:rPr>
            </w:pPr>
            <w:r>
              <w:rPr>
                <w:rFonts w:cs="Arial"/>
              </w:rPr>
              <w:t>Addition of intended uses (2.2.1)</w:t>
            </w:r>
          </w:p>
          <w:p w14:paraId="1448AC3D" w14:textId="7D9C4A8E" w:rsidR="00E86C80" w:rsidRDefault="00EC7695" w:rsidP="00E86C80">
            <w:pPr>
              <w:pStyle w:val="Paragraphedeliste"/>
              <w:numPr>
                <w:ilvl w:val="0"/>
                <w:numId w:val="33"/>
              </w:numPr>
              <w:rPr>
                <w:rFonts w:cs="Arial"/>
              </w:rPr>
            </w:pPr>
            <w:r>
              <w:rPr>
                <w:rFonts w:cs="Arial"/>
              </w:rPr>
              <w:t xml:space="preserve">Modification </w:t>
            </w:r>
            <w:r w:rsidR="00E86C80">
              <w:rPr>
                <w:rFonts w:cs="Arial"/>
              </w:rPr>
              <w:t>of the device delivering the required dose for the biocidal product</w:t>
            </w:r>
          </w:p>
          <w:p w14:paraId="43045F53" w14:textId="77777777" w:rsidR="00E86C80" w:rsidRDefault="00E86C80" w:rsidP="00E86C80">
            <w:pPr>
              <w:pStyle w:val="Paragraphedeliste"/>
              <w:numPr>
                <w:ilvl w:val="0"/>
                <w:numId w:val="33"/>
              </w:numPr>
              <w:rPr>
                <w:rFonts w:cs="Arial"/>
              </w:rPr>
            </w:pPr>
            <w:r>
              <w:rPr>
                <w:rFonts w:cs="Arial"/>
              </w:rPr>
              <w:t>Change in the shelf life from 18 to 24 months</w:t>
            </w:r>
          </w:p>
          <w:p w14:paraId="19C9D1B7" w14:textId="77777777" w:rsidR="00E86C80" w:rsidRDefault="00E86C80" w:rsidP="00E86C80">
            <w:pPr>
              <w:pStyle w:val="Paragraphedeliste"/>
              <w:numPr>
                <w:ilvl w:val="0"/>
                <w:numId w:val="33"/>
              </w:numPr>
              <w:rPr>
                <w:rFonts w:cs="Arial"/>
              </w:rPr>
            </w:pPr>
            <w:r>
              <w:rPr>
                <w:rFonts w:cs="Arial"/>
              </w:rPr>
              <w:t>Replacement of the current came by SPRAY REPULSIF IR200</w:t>
            </w:r>
          </w:p>
          <w:p w14:paraId="6E7F15CC" w14:textId="77777777" w:rsidR="00E86C80" w:rsidRDefault="00E86C80" w:rsidP="00E86C80">
            <w:pPr>
              <w:pStyle w:val="Paragraphedeliste"/>
              <w:numPr>
                <w:ilvl w:val="0"/>
                <w:numId w:val="33"/>
              </w:numPr>
              <w:rPr>
                <w:rFonts w:cs="Arial"/>
              </w:rPr>
            </w:pPr>
            <w:r>
              <w:rPr>
                <w:rFonts w:cs="Arial"/>
              </w:rPr>
              <w:t>Addition of trade names</w:t>
            </w:r>
          </w:p>
          <w:p w14:paraId="1C74156B" w14:textId="77777777" w:rsidR="00E86C80" w:rsidRPr="00780C29" w:rsidRDefault="00E86C80" w:rsidP="00E86C80">
            <w:pPr>
              <w:pStyle w:val="Paragraphedeliste"/>
              <w:numPr>
                <w:ilvl w:val="0"/>
                <w:numId w:val="33"/>
              </w:numPr>
              <w:rPr>
                <w:rFonts w:cs="Arial"/>
              </w:rPr>
            </w:pPr>
            <w:r>
              <w:rPr>
                <w:rFonts w:cs="Arial"/>
              </w:rPr>
              <w:t>Administrative changes</w:t>
            </w:r>
          </w:p>
          <w:p w14:paraId="2C666956" w14:textId="77777777" w:rsidR="00E86C80" w:rsidRPr="00433C98" w:rsidRDefault="00E86C80" w:rsidP="00E86C80">
            <w:pPr>
              <w:rPr>
                <w:rFonts w:cs="Arial"/>
              </w:rPr>
            </w:pPr>
          </w:p>
        </w:tc>
      </w:tr>
      <w:tr w:rsidR="009B1335" w:rsidRPr="003C7430" w14:paraId="6C570EFD" w14:textId="77777777" w:rsidTr="00E86C80">
        <w:tc>
          <w:tcPr>
            <w:tcW w:w="1384" w:type="dxa"/>
          </w:tcPr>
          <w:p w14:paraId="76B581A9" w14:textId="68D3116A" w:rsidR="009B1335" w:rsidRPr="00433C98" w:rsidRDefault="009B1335" w:rsidP="00E86C80">
            <w:pPr>
              <w:rPr>
                <w:rFonts w:cs="Arial"/>
              </w:rPr>
            </w:pPr>
            <w:r>
              <w:rPr>
                <w:rFonts w:cs="Arial"/>
              </w:rPr>
              <w:lastRenderedPageBreak/>
              <w:t>NA-MIC</w:t>
            </w:r>
          </w:p>
        </w:tc>
        <w:tc>
          <w:tcPr>
            <w:tcW w:w="647" w:type="dxa"/>
          </w:tcPr>
          <w:p w14:paraId="2C3C22D0" w14:textId="6E496A05" w:rsidR="009B1335" w:rsidRPr="00433C98" w:rsidRDefault="009B1335" w:rsidP="00E86C80">
            <w:pPr>
              <w:rPr>
                <w:rFonts w:cs="Arial"/>
              </w:rPr>
            </w:pPr>
            <w:r>
              <w:rPr>
                <w:rFonts w:cs="Arial"/>
              </w:rPr>
              <w:t>FR</w:t>
            </w:r>
          </w:p>
        </w:tc>
        <w:tc>
          <w:tcPr>
            <w:tcW w:w="2075" w:type="dxa"/>
          </w:tcPr>
          <w:p w14:paraId="1A104721" w14:textId="09DF53E1" w:rsidR="009B1335" w:rsidRPr="00CA697E" w:rsidRDefault="009B1335" w:rsidP="00E86C80">
            <w:pPr>
              <w:rPr>
                <w:rFonts w:cs="Arial"/>
                <w:color w:val="000000"/>
              </w:rPr>
            </w:pPr>
            <w:r>
              <w:rPr>
                <w:rFonts w:cs="Arial"/>
                <w:color w:val="000000"/>
              </w:rPr>
              <w:t>BC-FG069209-40</w:t>
            </w:r>
          </w:p>
        </w:tc>
        <w:tc>
          <w:tcPr>
            <w:tcW w:w="1559" w:type="dxa"/>
            <w:shd w:val="clear" w:color="auto" w:fill="FFFF00"/>
          </w:tcPr>
          <w:p w14:paraId="7D856DFD" w14:textId="77777777" w:rsidR="009B1335" w:rsidRDefault="009B1335" w:rsidP="00E86C80">
            <w:pPr>
              <w:jc w:val="center"/>
              <w:rPr>
                <w:rFonts w:cs="Arial"/>
                <w:lang w:val="de-DE"/>
              </w:rPr>
            </w:pPr>
          </w:p>
        </w:tc>
        <w:tc>
          <w:tcPr>
            <w:tcW w:w="4082" w:type="dxa"/>
          </w:tcPr>
          <w:p w14:paraId="6982B0D2" w14:textId="77777777" w:rsidR="009B1335" w:rsidRDefault="009B1335" w:rsidP="00E86C80">
            <w:pPr>
              <w:rPr>
                <w:rFonts w:cs="Arial"/>
              </w:rPr>
            </w:pPr>
            <w:r>
              <w:rPr>
                <w:rFonts w:cs="Arial"/>
              </w:rPr>
              <w:t xml:space="preserve">National application for minor change : </w:t>
            </w:r>
          </w:p>
          <w:p w14:paraId="64FF4121" w14:textId="77777777" w:rsidR="009B1335" w:rsidRDefault="009B1335" w:rsidP="00FB463E">
            <w:pPr>
              <w:pStyle w:val="Paragraphedeliste"/>
              <w:numPr>
                <w:ilvl w:val="0"/>
                <w:numId w:val="33"/>
              </w:numPr>
              <w:rPr>
                <w:rFonts w:cs="Arial"/>
              </w:rPr>
            </w:pPr>
            <w:r>
              <w:rPr>
                <w:rFonts w:cs="Arial"/>
              </w:rPr>
              <w:t>Change in the shelf life from 18 to 24 months</w:t>
            </w:r>
          </w:p>
          <w:p w14:paraId="02D97B2D" w14:textId="021CBE86" w:rsidR="009B1335" w:rsidRPr="009B1335" w:rsidRDefault="009B1335" w:rsidP="00D56C04">
            <w:pPr>
              <w:pStyle w:val="Paragraphedeliste"/>
              <w:numPr>
                <w:ilvl w:val="0"/>
                <w:numId w:val="33"/>
              </w:numPr>
              <w:rPr>
                <w:rFonts w:cs="Arial"/>
              </w:rPr>
            </w:pPr>
            <w:r>
              <w:t xml:space="preserve">Addition of a </w:t>
            </w:r>
            <w:r w:rsidR="00D56C04">
              <w:t xml:space="preserve">spray discharge </w:t>
            </w:r>
            <w:r>
              <w:t>device</w:t>
            </w:r>
          </w:p>
        </w:tc>
      </w:tr>
    </w:tbl>
    <w:p w14:paraId="1387BB43" w14:textId="77777777" w:rsidR="00E86C80" w:rsidRDefault="00E86C80" w:rsidP="00E86C80">
      <w:pPr>
        <w:spacing w:before="0" w:after="160" w:line="259" w:lineRule="auto"/>
      </w:pPr>
    </w:p>
    <w:p w14:paraId="6F80A117" w14:textId="77777777" w:rsidR="009B1335" w:rsidRDefault="00DA3C10" w:rsidP="00DA3C10">
      <w:pPr>
        <w:pStyle w:val="Titre1"/>
      </w:pPr>
      <w:bookmarkStart w:id="2" w:name="_Toc93326458"/>
      <w:r w:rsidRPr="00BD2EF1">
        <w:t>Conclusion</w:t>
      </w:r>
      <w:bookmarkEnd w:id="2"/>
      <w:r w:rsidR="00473E21">
        <w:t xml:space="preserve"> </w:t>
      </w:r>
    </w:p>
    <w:p w14:paraId="15D4C349" w14:textId="25514DD7" w:rsidR="009B1335" w:rsidRDefault="009B1335" w:rsidP="00FB463E">
      <w:pPr>
        <w:pStyle w:val="Titre1"/>
        <w:numPr>
          <w:ilvl w:val="0"/>
          <w:numId w:val="73"/>
        </w:numPr>
        <w:shd w:val="clear" w:color="auto" w:fill="D9D9D9" w:themeFill="background1" w:themeFillShade="D9"/>
      </w:pPr>
      <w:bookmarkStart w:id="3" w:name="_Toc93326459"/>
      <w:r>
        <w:t>MINOR CHANGE 2021</w:t>
      </w:r>
      <w:bookmarkEnd w:id="3"/>
    </w:p>
    <w:p w14:paraId="59DD067E" w14:textId="2F20F8BB" w:rsidR="009B1335" w:rsidRDefault="009B1335" w:rsidP="00FB463E">
      <w:pPr>
        <w:shd w:val="clear" w:color="auto" w:fill="D9D9D9" w:themeFill="background1" w:themeFillShade="D9"/>
        <w:spacing w:before="0" w:after="160" w:line="259" w:lineRule="auto"/>
        <w:jc w:val="both"/>
      </w:pPr>
      <w:r>
        <w:t xml:space="preserve">The biocidal product SPRAY REPULSIF IR200 is a </w:t>
      </w:r>
      <w:r w:rsidRPr="00C37DF0">
        <w:t xml:space="preserve">ready-to-use leave-on repellent (PT19) to be applied on clean and dried human hair, </w:t>
      </w:r>
      <w:r>
        <w:t>skin and clothes</w:t>
      </w:r>
      <w:r w:rsidRPr="00C37DF0">
        <w:t>. It is intended to be used to repel human head-lice (</w:t>
      </w:r>
      <w:r w:rsidRPr="009B1335">
        <w:rPr>
          <w:i/>
        </w:rPr>
        <w:t>Pediculus humanus capitis</w:t>
      </w:r>
      <w:r w:rsidRPr="00C37DF0">
        <w:t>) only after a pediculicidal treatment</w:t>
      </w:r>
      <w:r>
        <w:t xml:space="preserve"> and mosquitoes and ticks</w:t>
      </w:r>
      <w:r w:rsidRPr="00C37DF0">
        <w:t>.</w:t>
      </w:r>
      <w:r>
        <w:t xml:space="preserve"> </w:t>
      </w:r>
    </w:p>
    <w:p w14:paraId="004267E1" w14:textId="3B89AE41" w:rsidR="009B1335" w:rsidRDefault="009B1335" w:rsidP="00FB463E">
      <w:pPr>
        <w:shd w:val="clear" w:color="auto" w:fill="D9D9D9" w:themeFill="background1" w:themeFillShade="D9"/>
        <w:spacing w:before="0" w:after="160" w:line="259" w:lineRule="auto"/>
        <w:jc w:val="both"/>
      </w:pPr>
      <w:r>
        <w:t xml:space="preserve">This minor change application consists in the change of the shelf-life from 18 to 24 months and the addition of a </w:t>
      </w:r>
      <w:r w:rsidR="00D56C04">
        <w:t xml:space="preserve">spray discharge </w:t>
      </w:r>
      <w:r>
        <w:t>device.</w:t>
      </w:r>
    </w:p>
    <w:p w14:paraId="20C93F2B" w14:textId="77777777" w:rsidR="00FB463E" w:rsidRDefault="009B1335" w:rsidP="00FB463E">
      <w:pPr>
        <w:shd w:val="clear" w:color="auto" w:fill="D9D9D9" w:themeFill="background1" w:themeFillShade="D9"/>
        <w:spacing w:after="240" w:line="260" w:lineRule="atLeast"/>
        <w:jc w:val="both"/>
        <w:rPr>
          <w:rFonts w:eastAsia="Calibri"/>
          <w:b/>
          <w:i/>
          <w:lang w:eastAsia="en-US"/>
        </w:rPr>
      </w:pPr>
      <w:r w:rsidRPr="00CC52D7">
        <w:rPr>
          <w:rFonts w:eastAsia="Calibri"/>
          <w:b/>
          <w:i/>
          <w:lang w:eastAsia="en-US"/>
        </w:rPr>
        <w:t xml:space="preserve">Conclusion </w:t>
      </w:r>
      <w:r>
        <w:rPr>
          <w:rFonts w:eastAsia="Calibri"/>
          <w:b/>
          <w:i/>
          <w:lang w:eastAsia="en-US"/>
        </w:rPr>
        <w:t>of</w:t>
      </w:r>
      <w:r w:rsidRPr="00CC52D7">
        <w:rPr>
          <w:rFonts w:eastAsia="Calibri"/>
          <w:b/>
          <w:i/>
          <w:lang w:eastAsia="en-US"/>
        </w:rPr>
        <w:t xml:space="preserve"> the physico</w:t>
      </w:r>
      <w:r>
        <w:rPr>
          <w:rFonts w:eastAsia="Calibri"/>
          <w:b/>
          <w:i/>
          <w:lang w:eastAsia="en-US"/>
        </w:rPr>
        <w:t>-</w:t>
      </w:r>
      <w:r w:rsidRPr="00CC52D7">
        <w:rPr>
          <w:rFonts w:eastAsia="Calibri"/>
          <w:b/>
          <w:i/>
          <w:lang w:eastAsia="en-US"/>
        </w:rPr>
        <w:t xml:space="preserve">chemical and technical properties </w:t>
      </w:r>
    </w:p>
    <w:p w14:paraId="225A91C1" w14:textId="7F8CAF02" w:rsidR="006A5CE0" w:rsidRDefault="006A5CE0" w:rsidP="00FB463E">
      <w:pPr>
        <w:shd w:val="clear" w:color="auto" w:fill="D9D9D9" w:themeFill="background1" w:themeFillShade="D9"/>
        <w:spacing w:after="240" w:line="260" w:lineRule="atLeast"/>
        <w:jc w:val="both"/>
        <w:rPr>
          <w:rFonts w:eastAsia="Calibri"/>
          <w:lang w:eastAsia="en-US"/>
        </w:rPr>
      </w:pPr>
      <w:r w:rsidRPr="006A5CE0">
        <w:rPr>
          <w:rFonts w:eastAsia="Calibri"/>
          <w:highlight w:val="lightGray"/>
          <w:lang w:eastAsia="en-US"/>
        </w:rPr>
        <w:t>New storage stability studies submitted show</w:t>
      </w:r>
      <w:r w:rsidR="006B6531">
        <w:rPr>
          <w:rFonts w:eastAsia="Calibri"/>
          <w:highlight w:val="lightGray"/>
          <w:lang w:eastAsia="en-US"/>
        </w:rPr>
        <w:t>s</w:t>
      </w:r>
      <w:r w:rsidRPr="006A5CE0">
        <w:rPr>
          <w:rFonts w:eastAsia="Calibri"/>
          <w:highlight w:val="lightGray"/>
          <w:lang w:eastAsia="en-US"/>
        </w:rPr>
        <w:t xml:space="preserve"> that the product is stable after 24 months of storage at ambient temperature in the new system device.</w:t>
      </w:r>
    </w:p>
    <w:p w14:paraId="56B18154" w14:textId="38F9ABD9" w:rsidR="006A5CE0" w:rsidRPr="006A5CE0" w:rsidRDefault="006A5CE0" w:rsidP="00FB463E">
      <w:pPr>
        <w:shd w:val="clear" w:color="auto" w:fill="D9D9D9" w:themeFill="background1" w:themeFillShade="D9"/>
        <w:spacing w:after="240" w:line="260" w:lineRule="atLeast"/>
        <w:jc w:val="both"/>
        <w:rPr>
          <w:rFonts w:eastAsia="Calibri"/>
          <w:b/>
          <w:lang w:eastAsia="en-US"/>
        </w:rPr>
      </w:pPr>
      <w:r w:rsidRPr="00FB463E">
        <w:rPr>
          <w:rFonts w:eastAsia="Calibri"/>
          <w:highlight w:val="lightGray"/>
          <w:lang w:eastAsia="en-US"/>
        </w:rPr>
        <w:t>The shelf-life can be therefore extended to 24</w:t>
      </w:r>
      <w:r w:rsidR="00685FD1">
        <w:rPr>
          <w:rFonts w:eastAsia="Calibri"/>
          <w:highlight w:val="lightGray"/>
          <w:lang w:eastAsia="en-US"/>
        </w:rPr>
        <w:t xml:space="preserve"> </w:t>
      </w:r>
      <w:r w:rsidRPr="00FB463E">
        <w:rPr>
          <w:rFonts w:eastAsia="Calibri"/>
          <w:highlight w:val="lightGray"/>
          <w:lang w:eastAsia="en-US"/>
        </w:rPr>
        <w:t>months</w:t>
      </w:r>
      <w:r w:rsidR="00685FD1" w:rsidRPr="00FB463E">
        <w:rPr>
          <w:rFonts w:eastAsia="Calibri"/>
          <w:highlight w:val="lightGray"/>
          <w:lang w:eastAsia="en-US"/>
        </w:rPr>
        <w:t xml:space="preserve"> and</w:t>
      </w:r>
      <w:r w:rsidR="00685FD1" w:rsidRPr="00685FD1">
        <w:t xml:space="preserve"> </w:t>
      </w:r>
      <w:r w:rsidR="00685FD1" w:rsidRPr="00FB463E">
        <w:rPr>
          <w:rFonts w:eastAsia="Calibri"/>
          <w:highlight w:val="lightGray"/>
          <w:lang w:eastAsia="en-US"/>
        </w:rPr>
        <w:t xml:space="preserve">the addition of a spray </w:t>
      </w:r>
      <w:r w:rsidR="00D56C04">
        <w:rPr>
          <w:rFonts w:eastAsia="Calibri"/>
          <w:highlight w:val="lightGray"/>
          <w:lang w:eastAsia="en-US"/>
        </w:rPr>
        <w:t xml:space="preserve">discharge </w:t>
      </w:r>
      <w:r w:rsidR="00685FD1" w:rsidRPr="00FB463E">
        <w:rPr>
          <w:rFonts w:eastAsia="Calibri"/>
          <w:highlight w:val="lightGray"/>
          <w:lang w:eastAsia="en-US"/>
        </w:rPr>
        <w:t xml:space="preserve">device with a 300 µL discharge rate is supported with sufficient data. </w:t>
      </w:r>
      <w:r w:rsidRPr="00FB463E">
        <w:rPr>
          <w:rFonts w:eastAsia="Calibri"/>
          <w:highlight w:val="lightGray"/>
          <w:lang w:eastAsia="en-US"/>
        </w:rPr>
        <w:t>.</w:t>
      </w:r>
    </w:p>
    <w:p w14:paraId="1256CF27" w14:textId="77777777" w:rsidR="009B1335" w:rsidRPr="009B1335" w:rsidRDefault="009B1335" w:rsidP="00FB463E"/>
    <w:p w14:paraId="1A27C490" w14:textId="5F9E0AA3" w:rsidR="00DA3C10" w:rsidRPr="00BD2EF1" w:rsidRDefault="009B1335" w:rsidP="00FB463E">
      <w:pPr>
        <w:pStyle w:val="Titre1"/>
        <w:numPr>
          <w:ilvl w:val="0"/>
          <w:numId w:val="0"/>
        </w:numPr>
        <w:ind w:left="432" w:hanging="432"/>
      </w:pPr>
      <w:bookmarkStart w:id="4" w:name="_Toc93326460"/>
      <w:r>
        <w:sym w:font="Wingdings" w:char="F0E8"/>
      </w:r>
      <w:r w:rsidR="00473E21">
        <w:t xml:space="preserve"> Major change 2019</w:t>
      </w:r>
      <w:bookmarkEnd w:id="4"/>
    </w:p>
    <w:p w14:paraId="7003D819" w14:textId="77777777" w:rsidR="00F526F4" w:rsidRDefault="00473E21" w:rsidP="00797F55">
      <w:pPr>
        <w:spacing w:before="0" w:after="160" w:line="259" w:lineRule="auto"/>
        <w:jc w:val="both"/>
      </w:pPr>
      <w:r>
        <w:t xml:space="preserve">The biocidal product SPRAY REPULSIF IR200 is a </w:t>
      </w:r>
      <w:r w:rsidR="00C37DF0" w:rsidRPr="00C37DF0">
        <w:t>as a ready-to-use leave-on repellent (PT19) to be applied on clean and dried human hair, the nape of the neck and behind ears. It is intended to be used to repel human head-lice (</w:t>
      </w:r>
      <w:r w:rsidR="00C37DF0" w:rsidRPr="00165258">
        <w:rPr>
          <w:i/>
        </w:rPr>
        <w:t>Pediculus humanus capitis</w:t>
      </w:r>
      <w:r w:rsidR="00C37DF0" w:rsidRPr="00C37DF0">
        <w:t>) only after a pediculicidal treatment.</w:t>
      </w:r>
      <w:r w:rsidR="00F526F4">
        <w:t xml:space="preserve"> </w:t>
      </w:r>
    </w:p>
    <w:p w14:paraId="12943FE9" w14:textId="77777777" w:rsidR="00F526F4" w:rsidRDefault="00F526F4" w:rsidP="00797F55">
      <w:pPr>
        <w:spacing w:before="0" w:after="160" w:line="259" w:lineRule="auto"/>
        <w:jc w:val="both"/>
        <w:rPr>
          <w:rFonts w:cs="Arial"/>
        </w:rPr>
      </w:pPr>
      <w:r>
        <w:t xml:space="preserve">SPRAY REPULSIF IR200 is the new name of the product claimed in the frame of the major change. The initial product is </w:t>
      </w:r>
      <w:r>
        <w:rPr>
          <w:rFonts w:cs="Arial"/>
        </w:rPr>
        <w:t xml:space="preserve">SPRAY REPULSIF ANTIPOUX CHEVEUX. </w:t>
      </w:r>
    </w:p>
    <w:p w14:paraId="23940FDB" w14:textId="46D691EE" w:rsidR="00473E21" w:rsidRDefault="00F526F4" w:rsidP="00797F55">
      <w:pPr>
        <w:spacing w:before="0" w:after="160" w:line="259" w:lineRule="auto"/>
        <w:jc w:val="both"/>
      </w:pPr>
      <w:r>
        <w:rPr>
          <w:rFonts w:cs="Arial"/>
        </w:rPr>
        <w:t>SPRAY REPULSIF ANTIPOUX CHEVEUX</w:t>
      </w:r>
      <w:r>
        <w:t xml:space="preserve"> is a same biocidal product as the reference product </w:t>
      </w:r>
      <w:r w:rsidRPr="00780C29">
        <w:rPr>
          <w:rFonts w:cs="Arial"/>
        </w:rPr>
        <w:t>INSECT REPELLENT PUMP SPRAY LICE IR3535 20%</w:t>
      </w:r>
      <w:r>
        <w:rPr>
          <w:rFonts w:cs="Arial"/>
        </w:rPr>
        <w:t>.</w:t>
      </w:r>
    </w:p>
    <w:p w14:paraId="2FB5F442" w14:textId="02FFB65E" w:rsidR="00473E21" w:rsidRDefault="00473E21" w:rsidP="00797F55">
      <w:pPr>
        <w:spacing w:before="0" w:after="160" w:line="259" w:lineRule="auto"/>
        <w:jc w:val="both"/>
      </w:pPr>
      <w:r>
        <w:t>This major change application consist</w:t>
      </w:r>
      <w:r w:rsidR="00E86C80">
        <w:t>s</w:t>
      </w:r>
      <w:r>
        <w:t xml:space="preserve"> in the addition of uses for non-professionals:</w:t>
      </w:r>
    </w:p>
    <w:p w14:paraId="72684378" w14:textId="4D1C3C1E" w:rsidR="00473E21" w:rsidRDefault="00473E21" w:rsidP="00797F55">
      <w:pPr>
        <w:spacing w:before="0" w:after="160" w:line="259" w:lineRule="auto"/>
        <w:jc w:val="both"/>
      </w:pPr>
      <w:r>
        <w:t>- Textile spraying to prevent re-infestation by head lice</w:t>
      </w:r>
      <w:r w:rsidR="00C86B19">
        <w:t xml:space="preserve"> (intended use </w:t>
      </w:r>
      <w:r w:rsidR="00C86B19" w:rsidRPr="002D196C">
        <w:rPr>
          <w:rFonts w:cs="Arial"/>
          <w:spacing w:val="1"/>
          <w:lang w:eastAsia="fr-FR"/>
        </w:rPr>
        <w:t>#</w:t>
      </w:r>
      <w:r w:rsidR="00C86B19">
        <w:t>2)</w:t>
      </w:r>
      <w:r>
        <w:t>;</w:t>
      </w:r>
    </w:p>
    <w:p w14:paraId="24F14BFB" w14:textId="5529E3DB" w:rsidR="00473E21" w:rsidRDefault="00473E21" w:rsidP="00797F55">
      <w:pPr>
        <w:spacing w:before="0" w:after="160" w:line="259" w:lineRule="auto"/>
        <w:jc w:val="both"/>
      </w:pPr>
      <w:r>
        <w:t xml:space="preserve">- </w:t>
      </w:r>
      <w:r w:rsidR="00E86C80">
        <w:t>Clothes s</w:t>
      </w:r>
      <w:r>
        <w:t xml:space="preserve">praying to repel mosquitoes </w:t>
      </w:r>
      <w:r w:rsidR="00C86B19">
        <w:t xml:space="preserve">(intended use </w:t>
      </w:r>
      <w:r w:rsidR="00C86B19" w:rsidRPr="00796CF4">
        <w:rPr>
          <w:rFonts w:cs="Arial"/>
          <w:spacing w:val="1"/>
          <w:lang w:eastAsia="fr-FR"/>
        </w:rPr>
        <w:t>#</w:t>
      </w:r>
      <w:r w:rsidR="00C86B19">
        <w:t xml:space="preserve">3) </w:t>
      </w:r>
      <w:r>
        <w:t>and ticks</w:t>
      </w:r>
      <w:r w:rsidR="00C86B19">
        <w:t xml:space="preserve"> (intended use </w:t>
      </w:r>
      <w:r w:rsidR="00C86B19" w:rsidRPr="00796CF4">
        <w:rPr>
          <w:rFonts w:cs="Arial"/>
          <w:spacing w:val="1"/>
          <w:lang w:eastAsia="fr-FR"/>
        </w:rPr>
        <w:t>#</w:t>
      </w:r>
      <w:r w:rsidR="00C86B19">
        <w:t>5)</w:t>
      </w:r>
      <w:r>
        <w:t>;</w:t>
      </w:r>
    </w:p>
    <w:p w14:paraId="57FC998C" w14:textId="7E8CDC89" w:rsidR="00473E21" w:rsidRDefault="00473E21" w:rsidP="00797F55">
      <w:pPr>
        <w:spacing w:before="0" w:after="160" w:line="259" w:lineRule="auto"/>
        <w:jc w:val="both"/>
      </w:pPr>
      <w:r>
        <w:t xml:space="preserve">- </w:t>
      </w:r>
      <w:r w:rsidR="00E86C80">
        <w:t>Cutaneous s</w:t>
      </w:r>
      <w:r>
        <w:t>pray</w:t>
      </w:r>
      <w:r w:rsidR="00E86C80">
        <w:t>ing</w:t>
      </w:r>
      <w:r>
        <w:t xml:space="preserve"> to repel mosquitoes </w:t>
      </w:r>
      <w:r w:rsidR="00C86B19">
        <w:t xml:space="preserve">(intended use </w:t>
      </w:r>
      <w:r w:rsidR="00C86B19" w:rsidRPr="00796CF4">
        <w:rPr>
          <w:rFonts w:cs="Arial"/>
          <w:spacing w:val="1"/>
          <w:lang w:eastAsia="fr-FR"/>
        </w:rPr>
        <w:t>#</w:t>
      </w:r>
      <w:r w:rsidR="00C86B19">
        <w:t>4)</w:t>
      </w:r>
      <w:r w:rsidR="002D196C">
        <w:t xml:space="preserve"> </w:t>
      </w:r>
      <w:r>
        <w:t>and ticks</w:t>
      </w:r>
      <w:r w:rsidR="00C86B19">
        <w:t xml:space="preserve"> (intended use </w:t>
      </w:r>
      <w:r w:rsidR="00C86B19" w:rsidRPr="00796CF4">
        <w:rPr>
          <w:rFonts w:cs="Arial"/>
          <w:spacing w:val="1"/>
          <w:lang w:eastAsia="fr-FR"/>
        </w:rPr>
        <w:t>#</w:t>
      </w:r>
      <w:r w:rsidR="00C86B19">
        <w:t>6)</w:t>
      </w:r>
      <w:r>
        <w:t>;</w:t>
      </w:r>
    </w:p>
    <w:p w14:paraId="3996B722" w14:textId="3693A727" w:rsidR="00473E21" w:rsidRDefault="00473E21" w:rsidP="00797F55">
      <w:pPr>
        <w:spacing w:before="0" w:after="160" w:line="259" w:lineRule="auto"/>
        <w:jc w:val="both"/>
      </w:pPr>
      <w:r>
        <w:t xml:space="preserve">- </w:t>
      </w:r>
      <w:r w:rsidR="00E86C80">
        <w:t>Textile</w:t>
      </w:r>
      <w:r>
        <w:t xml:space="preserve"> spraying to </w:t>
      </w:r>
      <w:r w:rsidR="00E86C80">
        <w:t>repel</w:t>
      </w:r>
      <w:r>
        <w:t xml:space="preserve"> dust mites</w:t>
      </w:r>
      <w:r w:rsidR="00C86B19">
        <w:t xml:space="preserve"> (intended use </w:t>
      </w:r>
      <w:r w:rsidR="00C86B19" w:rsidRPr="00796CF4">
        <w:rPr>
          <w:rFonts w:cs="Arial"/>
          <w:spacing w:val="1"/>
          <w:lang w:eastAsia="fr-FR"/>
        </w:rPr>
        <w:t>#</w:t>
      </w:r>
      <w:r w:rsidR="00C86B19">
        <w:t>7)</w:t>
      </w:r>
      <w:r>
        <w:t>.</w:t>
      </w:r>
    </w:p>
    <w:p w14:paraId="0C9F91F9" w14:textId="77777777" w:rsidR="002D196C" w:rsidRDefault="00473E21" w:rsidP="00473E21">
      <w:pPr>
        <w:spacing w:after="240" w:line="260" w:lineRule="atLeast"/>
      </w:pPr>
      <w:r>
        <w:lastRenderedPageBreak/>
        <w:t xml:space="preserve">The change request also concerns the modification of the device delivering the dose required for the biocidal product, the increase in shelf life </w:t>
      </w:r>
      <w:r w:rsidR="00E86C80">
        <w:t xml:space="preserve">from 18 </w:t>
      </w:r>
      <w:r>
        <w:t>to 24 months, and administrative modifications.</w:t>
      </w:r>
    </w:p>
    <w:p w14:paraId="4E973F1C" w14:textId="2F633972" w:rsidR="00EC2A96" w:rsidRDefault="00EC2A96" w:rsidP="00473E21">
      <w:pPr>
        <w:spacing w:after="240" w:line="260" w:lineRule="atLeast"/>
        <w:rPr>
          <w:rFonts w:eastAsia="Calibri"/>
          <w:b/>
          <w:i/>
          <w:lang w:eastAsia="en-US"/>
        </w:rPr>
      </w:pPr>
      <w:r w:rsidRPr="00CC52D7">
        <w:rPr>
          <w:rFonts w:eastAsia="Calibri"/>
          <w:b/>
          <w:i/>
          <w:lang w:eastAsia="en-US"/>
        </w:rPr>
        <w:t xml:space="preserve">Conclusion </w:t>
      </w:r>
      <w:r>
        <w:rPr>
          <w:rFonts w:eastAsia="Calibri"/>
          <w:b/>
          <w:i/>
          <w:lang w:eastAsia="en-US"/>
        </w:rPr>
        <w:t>of</w:t>
      </w:r>
      <w:r w:rsidRPr="00CC52D7">
        <w:rPr>
          <w:rFonts w:eastAsia="Calibri"/>
          <w:b/>
          <w:i/>
          <w:lang w:eastAsia="en-US"/>
        </w:rPr>
        <w:t xml:space="preserve"> the physico</w:t>
      </w:r>
      <w:r>
        <w:rPr>
          <w:rFonts w:eastAsia="Calibri"/>
          <w:b/>
          <w:i/>
          <w:lang w:eastAsia="en-US"/>
        </w:rPr>
        <w:t>-</w:t>
      </w:r>
      <w:r w:rsidRPr="00CC52D7">
        <w:rPr>
          <w:rFonts w:eastAsia="Calibri"/>
          <w:b/>
          <w:i/>
          <w:lang w:eastAsia="en-US"/>
        </w:rPr>
        <w:t xml:space="preserve">chemical and technical properties </w:t>
      </w:r>
    </w:p>
    <w:p w14:paraId="52EE4B99" w14:textId="4682C1FC" w:rsidR="00F9038C" w:rsidRDefault="007B75C9" w:rsidP="00473E21">
      <w:pPr>
        <w:jc w:val="both"/>
        <w:rPr>
          <w:rFonts w:eastAsia="Calibri"/>
          <w:lang w:eastAsia="en-US"/>
        </w:rPr>
      </w:pPr>
      <w:r>
        <w:rPr>
          <w:rFonts w:eastAsia="Calibri"/>
          <w:lang w:eastAsia="en-US"/>
        </w:rPr>
        <w:t xml:space="preserve">The product </w:t>
      </w:r>
      <w:r w:rsidR="00076421" w:rsidRPr="00473E21">
        <w:rPr>
          <w:rFonts w:eastAsia="Calibri"/>
          <w:lang w:eastAsia="en-US"/>
        </w:rPr>
        <w:t xml:space="preserve">SPRAY REPULSIF IR200 is an AL – another liquid. All studies have been performed in accordance with the current requirements and the results are deemed to be acceptable. </w:t>
      </w:r>
    </w:p>
    <w:p w14:paraId="51AF7FBD" w14:textId="6882A669" w:rsidR="007B75C9" w:rsidRPr="00473E21" w:rsidRDefault="007B75C9" w:rsidP="007B75C9">
      <w:pPr>
        <w:jc w:val="both"/>
        <w:rPr>
          <w:rFonts w:eastAsia="Calibri"/>
          <w:lang w:eastAsia="en-US"/>
        </w:rPr>
      </w:pPr>
      <w:r>
        <w:rPr>
          <w:rFonts w:eastAsia="Calibri"/>
          <w:lang w:eastAsia="en-US"/>
        </w:rPr>
        <w:t xml:space="preserve">The </w:t>
      </w:r>
      <w:r w:rsidRPr="00473E21">
        <w:rPr>
          <w:rFonts w:eastAsia="Calibri"/>
          <w:lang w:eastAsia="en-US"/>
        </w:rPr>
        <w:t xml:space="preserve">change of </w:t>
      </w:r>
      <w:r>
        <w:rPr>
          <w:rFonts w:eastAsia="Calibri"/>
          <w:lang w:eastAsia="en-US"/>
        </w:rPr>
        <w:t xml:space="preserve">the device delivering the dose required (a new spray system of 100 and 250 mL) for the biocidal product </w:t>
      </w:r>
      <w:r w:rsidRPr="00473E21">
        <w:rPr>
          <w:rFonts w:eastAsia="Calibri"/>
          <w:lang w:eastAsia="en-US"/>
        </w:rPr>
        <w:t>was supported with sufficient data.</w:t>
      </w:r>
    </w:p>
    <w:p w14:paraId="013149B2" w14:textId="77777777" w:rsidR="00F9038C" w:rsidRDefault="00F9038C" w:rsidP="00473E21">
      <w:pPr>
        <w:jc w:val="both"/>
        <w:rPr>
          <w:rFonts w:eastAsia="Calibri"/>
          <w:lang w:eastAsia="en-US"/>
        </w:rPr>
      </w:pPr>
    </w:p>
    <w:p w14:paraId="6874FFB3" w14:textId="25EEA0A8" w:rsidR="007B75C9" w:rsidRPr="002D196C" w:rsidRDefault="007B75C9" w:rsidP="002D196C">
      <w:pPr>
        <w:jc w:val="both"/>
        <w:rPr>
          <w:rFonts w:eastAsia="Calibri"/>
          <w:lang w:eastAsia="en-US"/>
        </w:rPr>
      </w:pPr>
      <w:r>
        <w:rPr>
          <w:rFonts w:eastAsia="Calibri"/>
          <w:lang w:eastAsia="en-US"/>
        </w:rPr>
        <w:t>A</w:t>
      </w:r>
      <w:r w:rsidR="00237364">
        <w:rPr>
          <w:rFonts w:eastAsia="Calibri"/>
          <w:lang w:eastAsia="en-US"/>
        </w:rPr>
        <w:t xml:space="preserve"> new accelerated storage study was provided with the </w:t>
      </w:r>
      <w:r>
        <w:rPr>
          <w:rFonts w:eastAsia="Calibri"/>
          <w:lang w:eastAsia="en-US"/>
        </w:rPr>
        <w:t xml:space="preserve">new </w:t>
      </w:r>
      <w:r w:rsidR="00237364">
        <w:rPr>
          <w:rFonts w:eastAsia="Calibri"/>
          <w:lang w:eastAsia="en-US"/>
        </w:rPr>
        <w:t xml:space="preserve">system sprayer. </w:t>
      </w:r>
      <w:r w:rsidR="00076421" w:rsidRPr="00473E21">
        <w:rPr>
          <w:rFonts w:eastAsia="Calibri"/>
          <w:lang w:eastAsia="en-US"/>
        </w:rPr>
        <w:t xml:space="preserve">There is no effect of high temperature on the stability of the formulation, since after 8 weeks at 40 °C, neither the active ingredient content nor the technical properties were changed. </w:t>
      </w:r>
      <w:r w:rsidR="00754285" w:rsidRPr="00473E21">
        <w:rPr>
          <w:rFonts w:eastAsia="Calibri"/>
          <w:b/>
          <w:lang w:eastAsia="en-US"/>
        </w:rPr>
        <w:t xml:space="preserve">As the long term storage study is not yet available and the </w:t>
      </w:r>
      <w:r w:rsidR="00EC7695">
        <w:rPr>
          <w:rFonts w:eastAsia="Calibri"/>
          <w:b/>
          <w:lang w:eastAsia="en-US"/>
        </w:rPr>
        <w:t>previous</w:t>
      </w:r>
      <w:r w:rsidR="00EC7695" w:rsidRPr="00473E21">
        <w:rPr>
          <w:rFonts w:eastAsia="Calibri"/>
          <w:b/>
          <w:lang w:eastAsia="en-US"/>
        </w:rPr>
        <w:t xml:space="preserve"> </w:t>
      </w:r>
      <w:r w:rsidR="00754285" w:rsidRPr="00473E21">
        <w:rPr>
          <w:rFonts w:eastAsia="Calibri"/>
          <w:b/>
          <w:lang w:eastAsia="en-US"/>
        </w:rPr>
        <w:t xml:space="preserve">study is not acceptable after 24 months storage (loss of active substance &gt;10%), the shelf life of the product is </w:t>
      </w:r>
      <w:r w:rsidR="00EC7695">
        <w:rPr>
          <w:rFonts w:eastAsia="Calibri"/>
          <w:b/>
          <w:lang w:eastAsia="en-US"/>
        </w:rPr>
        <w:t xml:space="preserve">therefore </w:t>
      </w:r>
      <w:r w:rsidR="00754285" w:rsidRPr="00473E21">
        <w:rPr>
          <w:rFonts w:eastAsia="Calibri"/>
          <w:b/>
          <w:lang w:eastAsia="en-US"/>
        </w:rPr>
        <w:t>kept at 18 months.</w:t>
      </w:r>
      <w:r w:rsidR="00754285" w:rsidRPr="00473E21">
        <w:rPr>
          <w:rFonts w:eastAsia="Calibri"/>
          <w:lang w:eastAsia="en-US"/>
        </w:rPr>
        <w:t xml:space="preserve"> </w:t>
      </w:r>
    </w:p>
    <w:p w14:paraId="0F508C61" w14:textId="77777777" w:rsidR="00F9038C" w:rsidRPr="00473E21" w:rsidRDefault="00F9038C" w:rsidP="00473E21">
      <w:pPr>
        <w:spacing w:line="260" w:lineRule="atLeast"/>
        <w:jc w:val="both"/>
        <w:rPr>
          <w:b/>
          <w:iCs/>
          <w:lang w:eastAsia="en-US"/>
        </w:rPr>
      </w:pPr>
    </w:p>
    <w:p w14:paraId="319F7D1D" w14:textId="563C888D" w:rsidR="00EC2A96" w:rsidRPr="00473E21" w:rsidRDefault="00EC2A96" w:rsidP="00473E21">
      <w:pPr>
        <w:spacing w:line="260" w:lineRule="atLeast"/>
        <w:jc w:val="both"/>
        <w:rPr>
          <w:b/>
          <w:iCs/>
          <w:lang w:eastAsia="en-US"/>
        </w:rPr>
      </w:pPr>
      <w:r w:rsidRPr="00473E21">
        <w:rPr>
          <w:b/>
          <w:iCs/>
          <w:lang w:eastAsia="en-US"/>
        </w:rPr>
        <w:t>Conclusion of Efficacy</w:t>
      </w:r>
    </w:p>
    <w:p w14:paraId="74ED3D1B" w14:textId="5FE3DCB4" w:rsidR="00AD626F" w:rsidRDefault="004220B9" w:rsidP="00473E21">
      <w:pPr>
        <w:spacing w:after="120"/>
        <w:jc w:val="both"/>
        <w:rPr>
          <w:rFonts w:cs="Arial"/>
        </w:rPr>
      </w:pPr>
      <w:r w:rsidRPr="00473E21">
        <w:rPr>
          <w:rFonts w:cs="Arial"/>
        </w:rPr>
        <w:t>French competent authorities (FR CA) considers that the elements presented, in the frame of the assessment of the major change application, are sufficient to demonstrate the efficacy of the product SPRAY REPULSIF IR200:</w:t>
      </w:r>
    </w:p>
    <w:p w14:paraId="47473713" w14:textId="7E64792F" w:rsidR="00AD626F" w:rsidRPr="00473E21" w:rsidRDefault="00AD626F" w:rsidP="00473E21">
      <w:pPr>
        <w:spacing w:after="120"/>
        <w:jc w:val="both"/>
        <w:rPr>
          <w:rFonts w:cs="Arial"/>
        </w:rPr>
      </w:pPr>
      <w:r>
        <w:rPr>
          <w:rFonts w:cs="Arial"/>
        </w:rPr>
        <w:t xml:space="preserve">For intended use </w:t>
      </w:r>
      <w:r w:rsidRPr="00796CF4">
        <w:rPr>
          <w:rFonts w:cs="Arial"/>
          <w:spacing w:val="1"/>
          <w:lang w:eastAsia="fr-FR"/>
        </w:rPr>
        <w:t>#</w:t>
      </w:r>
      <w:r>
        <w:t>3 :</w:t>
      </w:r>
    </w:p>
    <w:p w14:paraId="09F7D50D" w14:textId="77777777" w:rsidR="004220B9" w:rsidRPr="00473E21" w:rsidRDefault="004220B9" w:rsidP="00473E21">
      <w:pPr>
        <w:pStyle w:val="Paragraphedeliste"/>
        <w:numPr>
          <w:ilvl w:val="0"/>
          <w:numId w:val="42"/>
        </w:numPr>
        <w:spacing w:before="0" w:after="120"/>
        <w:jc w:val="both"/>
        <w:rPr>
          <w:rFonts w:cs="Arial"/>
        </w:rPr>
      </w:pPr>
      <w:r w:rsidRPr="00473E21">
        <w:rPr>
          <w:rFonts w:cs="Arial"/>
        </w:rPr>
        <w:t xml:space="preserve">against mosquitoes (genus </w:t>
      </w:r>
      <w:r w:rsidRPr="00473E21">
        <w:rPr>
          <w:rFonts w:cs="Arial"/>
          <w:i/>
        </w:rPr>
        <w:t>Culex</w:t>
      </w:r>
      <w:r w:rsidRPr="00473E21">
        <w:rPr>
          <w:rFonts w:cs="Arial"/>
        </w:rPr>
        <w:t xml:space="preserve"> </w:t>
      </w:r>
      <w:r w:rsidRPr="00473E21">
        <w:rPr>
          <w:rFonts w:cs="Arial"/>
          <w:i/>
        </w:rPr>
        <w:t>spp.</w:t>
      </w:r>
      <w:r w:rsidRPr="00473E21">
        <w:rPr>
          <w:rFonts w:cs="Arial"/>
        </w:rPr>
        <w:t xml:space="preserve"> and </w:t>
      </w:r>
      <w:r w:rsidRPr="00473E21">
        <w:rPr>
          <w:rFonts w:cs="Arial"/>
          <w:i/>
        </w:rPr>
        <w:t>Aedes</w:t>
      </w:r>
      <w:r w:rsidRPr="00473E21">
        <w:rPr>
          <w:rFonts w:cs="Arial"/>
        </w:rPr>
        <w:t xml:space="preserve"> </w:t>
      </w:r>
      <w:r w:rsidRPr="00473E21">
        <w:rPr>
          <w:rFonts w:cs="Arial"/>
          <w:i/>
        </w:rPr>
        <w:t>spp.</w:t>
      </w:r>
      <w:r w:rsidRPr="00473E21">
        <w:rPr>
          <w:rFonts w:cs="Arial"/>
        </w:rPr>
        <w:t xml:space="preserve">) with a protection time of 4 hours when applied on skin at the application rate of 6 g product/m² under temperate conditions, </w:t>
      </w:r>
    </w:p>
    <w:p w14:paraId="3B55FDA8" w14:textId="69545FAE" w:rsidR="00AD626F" w:rsidRDefault="004220B9" w:rsidP="00AD626F">
      <w:pPr>
        <w:pStyle w:val="Paragraphedeliste"/>
        <w:numPr>
          <w:ilvl w:val="0"/>
          <w:numId w:val="42"/>
        </w:numPr>
        <w:spacing w:before="0" w:after="120"/>
        <w:jc w:val="both"/>
        <w:rPr>
          <w:rFonts w:cs="Arial"/>
        </w:rPr>
      </w:pPr>
      <w:r w:rsidRPr="00473E21">
        <w:rPr>
          <w:rFonts w:cs="Arial"/>
        </w:rPr>
        <w:t xml:space="preserve">against mosquitoes (genus </w:t>
      </w:r>
      <w:r w:rsidRPr="00473E21">
        <w:rPr>
          <w:rFonts w:cs="Arial"/>
          <w:i/>
        </w:rPr>
        <w:t>Anopheles</w:t>
      </w:r>
      <w:r w:rsidRPr="00473E21">
        <w:rPr>
          <w:rFonts w:cs="Arial"/>
        </w:rPr>
        <w:t xml:space="preserve"> </w:t>
      </w:r>
      <w:r w:rsidRPr="00473E21">
        <w:rPr>
          <w:rFonts w:cs="Arial"/>
          <w:i/>
        </w:rPr>
        <w:t>spp.</w:t>
      </w:r>
      <w:r w:rsidRPr="00473E21">
        <w:rPr>
          <w:rFonts w:cs="Arial"/>
        </w:rPr>
        <w:t xml:space="preserve"> and </w:t>
      </w:r>
      <w:r w:rsidRPr="00473E21">
        <w:rPr>
          <w:rFonts w:cs="Arial"/>
          <w:i/>
        </w:rPr>
        <w:t>Aedes</w:t>
      </w:r>
      <w:r w:rsidRPr="00473E21">
        <w:rPr>
          <w:rFonts w:cs="Arial"/>
        </w:rPr>
        <w:t xml:space="preserve"> </w:t>
      </w:r>
      <w:r w:rsidRPr="00473E21">
        <w:rPr>
          <w:rFonts w:cs="Arial"/>
          <w:i/>
        </w:rPr>
        <w:t>spp.</w:t>
      </w:r>
      <w:r w:rsidRPr="00473E21">
        <w:rPr>
          <w:rFonts w:cs="Arial"/>
        </w:rPr>
        <w:t>) with a protection time of 3 hours when applied on skin at the application rate of 8 g product/m² under tropical conditions,</w:t>
      </w:r>
    </w:p>
    <w:p w14:paraId="64E77D89" w14:textId="77777777" w:rsidR="00A353D3" w:rsidRDefault="00A353D3" w:rsidP="00A353D3">
      <w:pPr>
        <w:pStyle w:val="Paragraphedeliste"/>
        <w:spacing w:before="0" w:after="120"/>
        <w:ind w:left="1068"/>
        <w:jc w:val="both"/>
        <w:rPr>
          <w:rFonts w:cs="Arial"/>
        </w:rPr>
      </w:pPr>
    </w:p>
    <w:p w14:paraId="545A6BF8" w14:textId="36887B09" w:rsidR="00AD626F" w:rsidRPr="00AD626F" w:rsidRDefault="00AD626F" w:rsidP="00AD626F">
      <w:pPr>
        <w:spacing w:after="120"/>
        <w:jc w:val="both"/>
        <w:rPr>
          <w:rFonts w:cs="Arial"/>
        </w:rPr>
      </w:pPr>
      <w:r w:rsidRPr="00AD626F">
        <w:rPr>
          <w:rFonts w:cs="Arial"/>
        </w:rPr>
        <w:t xml:space="preserve">For intended use </w:t>
      </w:r>
      <w:r w:rsidRPr="00AD626F">
        <w:rPr>
          <w:rFonts w:cs="Arial"/>
          <w:spacing w:val="1"/>
          <w:lang w:eastAsia="fr-FR"/>
        </w:rPr>
        <w:t>#</w:t>
      </w:r>
      <w:r>
        <w:rPr>
          <w:rFonts w:cs="Arial"/>
          <w:spacing w:val="1"/>
          <w:lang w:eastAsia="fr-FR"/>
        </w:rPr>
        <w:t>4</w:t>
      </w:r>
      <w:r>
        <w:t xml:space="preserve"> :</w:t>
      </w:r>
    </w:p>
    <w:p w14:paraId="2BECE3AF" w14:textId="66DA2699" w:rsidR="00AD626F" w:rsidRPr="00473E21" w:rsidRDefault="00AD626F" w:rsidP="00AD626F">
      <w:pPr>
        <w:pStyle w:val="Paragraphedeliste"/>
        <w:numPr>
          <w:ilvl w:val="0"/>
          <w:numId w:val="42"/>
        </w:numPr>
        <w:spacing w:before="0" w:after="0" w:line="260" w:lineRule="atLeast"/>
        <w:jc w:val="both"/>
        <w:rPr>
          <w:rFonts w:cs="Arial"/>
        </w:rPr>
      </w:pPr>
      <w:r w:rsidRPr="00473E21">
        <w:rPr>
          <w:rFonts w:cs="Arial"/>
        </w:rPr>
        <w:t xml:space="preserve">against mosquitoes (genus </w:t>
      </w:r>
      <w:r w:rsidRPr="00473E21">
        <w:rPr>
          <w:rFonts w:cs="Arial"/>
          <w:i/>
        </w:rPr>
        <w:t>Culex</w:t>
      </w:r>
      <w:r w:rsidRPr="00473E21">
        <w:rPr>
          <w:rFonts w:cs="Arial"/>
        </w:rPr>
        <w:t xml:space="preserve"> spp. and </w:t>
      </w:r>
      <w:r w:rsidRPr="00473E21">
        <w:rPr>
          <w:rFonts w:cs="Arial"/>
          <w:i/>
        </w:rPr>
        <w:t>Aedes</w:t>
      </w:r>
      <w:r w:rsidRPr="00473E21">
        <w:rPr>
          <w:rFonts w:cs="Arial"/>
        </w:rPr>
        <w:t xml:space="preserve"> spp.) when applied on textile (cotton and polyester) at the application rate of 6 g product/m² under temperate conditions during a protection time of 8 hours after application and up to 30 days after storage</w:t>
      </w:r>
      <w:r w:rsidR="00A71E72">
        <w:rPr>
          <w:rFonts w:cs="Arial"/>
        </w:rPr>
        <w:t xml:space="preserve"> </w:t>
      </w:r>
      <w:r w:rsidR="00A71E72" w:rsidRPr="008D0954">
        <w:rPr>
          <w:rFonts w:cs="Verdana"/>
          <w:lang w:eastAsia="zh-CN"/>
        </w:rPr>
        <w:t>in a closed packaging (such as a plastic bag)</w:t>
      </w:r>
      <w:r w:rsidRPr="00473E21">
        <w:rPr>
          <w:rFonts w:cs="Arial"/>
        </w:rPr>
        <w:t xml:space="preserve">, </w:t>
      </w:r>
    </w:p>
    <w:p w14:paraId="7BC188C5" w14:textId="3EBBE621" w:rsidR="00AD626F" w:rsidRDefault="00AD626F" w:rsidP="00AD626F">
      <w:pPr>
        <w:pStyle w:val="Paragraphedeliste"/>
        <w:numPr>
          <w:ilvl w:val="0"/>
          <w:numId w:val="42"/>
        </w:numPr>
        <w:spacing w:before="0" w:after="0" w:line="260" w:lineRule="atLeast"/>
        <w:jc w:val="both"/>
        <w:rPr>
          <w:rFonts w:cs="Arial"/>
        </w:rPr>
      </w:pPr>
      <w:r w:rsidRPr="00473E21">
        <w:rPr>
          <w:rFonts w:cs="Arial"/>
        </w:rPr>
        <w:t xml:space="preserve">against mosquitoes (genus </w:t>
      </w:r>
      <w:r w:rsidRPr="00473E21">
        <w:rPr>
          <w:rFonts w:cs="Arial"/>
          <w:i/>
        </w:rPr>
        <w:t>Anopheles</w:t>
      </w:r>
      <w:r w:rsidRPr="00473E21">
        <w:rPr>
          <w:rFonts w:cs="Arial"/>
        </w:rPr>
        <w:t xml:space="preserve"> spp. and </w:t>
      </w:r>
      <w:r w:rsidRPr="00473E21">
        <w:rPr>
          <w:rFonts w:cs="Arial"/>
          <w:i/>
        </w:rPr>
        <w:t>Aedes</w:t>
      </w:r>
      <w:r w:rsidRPr="00473E21">
        <w:rPr>
          <w:rFonts w:cs="Arial"/>
        </w:rPr>
        <w:t xml:space="preserve"> spp.) when applied on textile (cotton and polyester) at the application rate of 6 g product/m² under tropical conditions during a protection time of 8 hours after application and up to 30 days after storage</w:t>
      </w:r>
      <w:r w:rsidR="00A71E72">
        <w:rPr>
          <w:rFonts w:cs="Arial"/>
        </w:rPr>
        <w:t xml:space="preserve"> </w:t>
      </w:r>
      <w:r w:rsidR="00A71E72" w:rsidRPr="008D0954">
        <w:rPr>
          <w:rFonts w:cs="Verdana"/>
          <w:lang w:eastAsia="zh-CN"/>
        </w:rPr>
        <w:t>in a closed packaging (such as a plastic bag)</w:t>
      </w:r>
      <w:r w:rsidRPr="00473E21">
        <w:rPr>
          <w:rFonts w:cs="Arial"/>
        </w:rPr>
        <w:t xml:space="preserve">, </w:t>
      </w:r>
    </w:p>
    <w:p w14:paraId="65352339" w14:textId="77777777" w:rsidR="00AD626F" w:rsidRPr="00AD626F" w:rsidRDefault="00AD626F" w:rsidP="002D196C">
      <w:pPr>
        <w:spacing w:before="0" w:after="0" w:line="260" w:lineRule="atLeast"/>
        <w:ind w:left="708"/>
        <w:jc w:val="both"/>
        <w:rPr>
          <w:rFonts w:cs="Arial"/>
        </w:rPr>
      </w:pPr>
    </w:p>
    <w:p w14:paraId="4708AA92" w14:textId="6C289CB5" w:rsidR="00AD626F" w:rsidRPr="00AD626F" w:rsidRDefault="00AD626F" w:rsidP="00A353D3">
      <w:pPr>
        <w:spacing w:after="120"/>
        <w:jc w:val="both"/>
        <w:rPr>
          <w:rFonts w:cs="Arial"/>
        </w:rPr>
      </w:pPr>
      <w:r w:rsidRPr="00AD626F">
        <w:rPr>
          <w:rFonts w:cs="Arial"/>
        </w:rPr>
        <w:t xml:space="preserve">For intended use </w:t>
      </w:r>
      <w:r w:rsidRPr="00AD626F">
        <w:rPr>
          <w:rFonts w:cs="Arial"/>
          <w:spacing w:val="1"/>
          <w:lang w:eastAsia="fr-FR"/>
        </w:rPr>
        <w:t>#</w:t>
      </w:r>
      <w:r>
        <w:t>5 :</w:t>
      </w:r>
    </w:p>
    <w:p w14:paraId="328481E6" w14:textId="04511788" w:rsidR="00AD626F" w:rsidRDefault="00AD626F" w:rsidP="00AD626F">
      <w:pPr>
        <w:pStyle w:val="Paragraphedeliste"/>
        <w:numPr>
          <w:ilvl w:val="0"/>
          <w:numId w:val="42"/>
        </w:numPr>
        <w:spacing w:before="0" w:after="0" w:line="260" w:lineRule="atLeast"/>
        <w:jc w:val="both"/>
        <w:rPr>
          <w:rFonts w:cs="Arial"/>
        </w:rPr>
      </w:pPr>
      <w:r w:rsidRPr="00473E21">
        <w:rPr>
          <w:rFonts w:cs="Arial"/>
        </w:rPr>
        <w:t>against ticks (</w:t>
      </w:r>
      <w:r w:rsidRPr="00473E21">
        <w:rPr>
          <w:rFonts w:cs="Arial"/>
          <w:i/>
        </w:rPr>
        <w:t>Ixodes ricinus</w:t>
      </w:r>
      <w:r w:rsidRPr="00473E21">
        <w:rPr>
          <w:rFonts w:cs="Arial"/>
        </w:rPr>
        <w:t>) when applied on textile (cotton and polyester) at the application rate of 8.5 g product/m² under temperate conditions during a protection time of 6 hours after application and up to 7 days after storage</w:t>
      </w:r>
      <w:r w:rsidR="001D60E9">
        <w:rPr>
          <w:rFonts w:cs="Arial"/>
        </w:rPr>
        <w:t xml:space="preserve"> </w:t>
      </w:r>
      <w:r w:rsidR="001D60E9" w:rsidRPr="008D0954">
        <w:rPr>
          <w:rFonts w:cs="Verdana"/>
          <w:lang w:eastAsia="zh-CN"/>
        </w:rPr>
        <w:t>in a closed packaging (such as a plastic bag)</w:t>
      </w:r>
      <w:r w:rsidRPr="00473E21">
        <w:rPr>
          <w:rFonts w:cs="Arial"/>
        </w:rPr>
        <w:t>.</w:t>
      </w:r>
    </w:p>
    <w:p w14:paraId="269148AF" w14:textId="77777777" w:rsidR="00A353D3" w:rsidRPr="00473E21" w:rsidRDefault="00A353D3" w:rsidP="00A353D3">
      <w:pPr>
        <w:pStyle w:val="Paragraphedeliste"/>
        <w:spacing w:before="0" w:after="0" w:line="260" w:lineRule="atLeast"/>
        <w:ind w:left="1068"/>
        <w:jc w:val="both"/>
        <w:rPr>
          <w:rFonts w:cs="Arial"/>
        </w:rPr>
      </w:pPr>
    </w:p>
    <w:p w14:paraId="11AA6796" w14:textId="20DCFEFA" w:rsidR="00AD626F" w:rsidRPr="00AD626F" w:rsidRDefault="00AD626F" w:rsidP="00A353D3">
      <w:pPr>
        <w:spacing w:after="120"/>
        <w:jc w:val="both"/>
        <w:rPr>
          <w:rFonts w:cs="Arial"/>
        </w:rPr>
      </w:pPr>
      <w:r w:rsidRPr="00AD626F">
        <w:rPr>
          <w:rFonts w:cs="Arial"/>
        </w:rPr>
        <w:t xml:space="preserve">For intended use </w:t>
      </w:r>
      <w:r w:rsidRPr="00AD626F">
        <w:rPr>
          <w:rFonts w:cs="Arial"/>
          <w:spacing w:val="1"/>
          <w:lang w:eastAsia="fr-FR"/>
        </w:rPr>
        <w:t>#</w:t>
      </w:r>
      <w:r>
        <w:t>6 :</w:t>
      </w:r>
    </w:p>
    <w:p w14:paraId="51549958" w14:textId="5E2600AF" w:rsidR="00AD626F" w:rsidRDefault="00AD626F" w:rsidP="00AD626F">
      <w:pPr>
        <w:pStyle w:val="Paragraphedeliste"/>
        <w:numPr>
          <w:ilvl w:val="0"/>
          <w:numId w:val="42"/>
        </w:numPr>
        <w:spacing w:before="0" w:after="120"/>
        <w:jc w:val="both"/>
        <w:rPr>
          <w:rFonts w:cs="Arial"/>
        </w:rPr>
      </w:pPr>
      <w:r w:rsidRPr="00473E21">
        <w:rPr>
          <w:rFonts w:cs="Arial"/>
        </w:rPr>
        <w:lastRenderedPageBreak/>
        <w:t>against ticks (</w:t>
      </w:r>
      <w:r w:rsidRPr="00473E21">
        <w:rPr>
          <w:rFonts w:cs="Arial"/>
          <w:i/>
        </w:rPr>
        <w:t>Ixodes ricinus</w:t>
      </w:r>
      <w:r w:rsidRPr="00473E21">
        <w:rPr>
          <w:rFonts w:cs="Arial"/>
        </w:rPr>
        <w:t xml:space="preserve">) with a protection time of 4 hours when applied on skin at the application rate of 6 g product/m² under temperate conditions, </w:t>
      </w:r>
    </w:p>
    <w:p w14:paraId="72F51F53" w14:textId="77777777" w:rsidR="002D196C" w:rsidRDefault="002D196C" w:rsidP="002D196C">
      <w:pPr>
        <w:pStyle w:val="Paragraphedeliste"/>
        <w:spacing w:before="0" w:after="120"/>
        <w:ind w:left="1068"/>
        <w:jc w:val="both"/>
        <w:rPr>
          <w:rFonts w:cs="Arial"/>
        </w:rPr>
      </w:pPr>
    </w:p>
    <w:p w14:paraId="68E01253" w14:textId="57C5FE7D" w:rsidR="00AD626F" w:rsidRPr="00AD626F" w:rsidRDefault="00AD626F" w:rsidP="00AD626F">
      <w:pPr>
        <w:spacing w:after="120"/>
        <w:jc w:val="both"/>
        <w:rPr>
          <w:rFonts w:cs="Arial"/>
        </w:rPr>
      </w:pPr>
      <w:r w:rsidRPr="00AD626F">
        <w:rPr>
          <w:rFonts w:cs="Arial"/>
        </w:rPr>
        <w:t xml:space="preserve">For intended use </w:t>
      </w:r>
      <w:r w:rsidRPr="00AD626F">
        <w:rPr>
          <w:rFonts w:cs="Arial"/>
          <w:spacing w:val="1"/>
          <w:lang w:eastAsia="fr-FR"/>
        </w:rPr>
        <w:t>#</w:t>
      </w:r>
      <w:r>
        <w:t>7 :</w:t>
      </w:r>
    </w:p>
    <w:p w14:paraId="6358F629" w14:textId="630F042F" w:rsidR="00AD626F" w:rsidRPr="00A353D3" w:rsidRDefault="004220B9" w:rsidP="00A353D3">
      <w:pPr>
        <w:pStyle w:val="Paragraphedeliste"/>
        <w:numPr>
          <w:ilvl w:val="0"/>
          <w:numId w:val="42"/>
        </w:numPr>
        <w:spacing w:before="0" w:after="0" w:line="260" w:lineRule="atLeast"/>
        <w:rPr>
          <w:rFonts w:cs="Arial"/>
        </w:rPr>
      </w:pPr>
      <w:r w:rsidRPr="00473E21">
        <w:rPr>
          <w:rFonts w:cs="Arial"/>
        </w:rPr>
        <w:t xml:space="preserve">against </w:t>
      </w:r>
      <w:r w:rsidRPr="00473E21">
        <w:rPr>
          <w:rFonts w:cs="Verdana"/>
          <w:lang w:eastAsia="zh-CN"/>
        </w:rPr>
        <w:t>House Dust mites (</w:t>
      </w:r>
      <w:r w:rsidRPr="00473E21">
        <w:rPr>
          <w:rFonts w:cs="Verdana"/>
          <w:i/>
          <w:lang w:eastAsia="zh-CN"/>
        </w:rPr>
        <w:t>Dermatophagoïdes pteronyssinus</w:t>
      </w:r>
      <w:r w:rsidRPr="00473E21">
        <w:rPr>
          <w:rFonts w:cs="Verdana"/>
          <w:lang w:eastAsia="zh-CN"/>
        </w:rPr>
        <w:t xml:space="preserve">) </w:t>
      </w:r>
      <w:r w:rsidRPr="00473E21">
        <w:rPr>
          <w:rFonts w:cs="Arial"/>
        </w:rPr>
        <w:t>up to 24 hours when applied on bed linen (cotton) at the application rate of 8.5 g product/m²,</w:t>
      </w:r>
    </w:p>
    <w:p w14:paraId="450C160F" w14:textId="77777777" w:rsidR="004220B9" w:rsidRPr="00473E21" w:rsidRDefault="004220B9" w:rsidP="00473E21">
      <w:pPr>
        <w:pStyle w:val="Paragraphedeliste"/>
        <w:ind w:left="1068"/>
        <w:rPr>
          <w:rFonts w:cs="Arial"/>
        </w:rPr>
      </w:pPr>
    </w:p>
    <w:p w14:paraId="6B4F7D22" w14:textId="5107382A" w:rsidR="00EC2A96" w:rsidRPr="00473E21" w:rsidRDefault="004220B9" w:rsidP="005377F4">
      <w:pPr>
        <w:spacing w:after="120"/>
        <w:jc w:val="both"/>
        <w:rPr>
          <w:b/>
          <w:i/>
          <w:iCs/>
          <w:lang w:eastAsia="en-US"/>
        </w:rPr>
      </w:pPr>
      <w:r w:rsidRPr="00473E21">
        <w:rPr>
          <w:rFonts w:cs="Arial"/>
        </w:rPr>
        <w:t xml:space="preserve">Nevertheless, FR CA considers that the elements presented in the dossier are not sufficient to demonstrate the efficacy of the product SPRAY REPULSIF IR200 against human </w:t>
      </w:r>
      <w:r w:rsidRPr="00473E21">
        <w:rPr>
          <w:rFonts w:cs="Verdana"/>
          <w:lang w:eastAsia="zh-CN"/>
        </w:rPr>
        <w:t>head lice (</w:t>
      </w:r>
      <w:r w:rsidRPr="00473E21">
        <w:rPr>
          <w:rFonts w:cs="Verdana"/>
          <w:i/>
          <w:lang w:eastAsia="zh-CN"/>
        </w:rPr>
        <w:t>Pedicul</w:t>
      </w:r>
      <w:r w:rsidR="009667BA" w:rsidRPr="00473E21">
        <w:rPr>
          <w:rFonts w:cs="Verdana"/>
          <w:i/>
          <w:lang w:eastAsia="zh-CN"/>
        </w:rPr>
        <w:t>us</w:t>
      </w:r>
      <w:r w:rsidRPr="00473E21">
        <w:rPr>
          <w:rFonts w:cs="Verdana"/>
          <w:i/>
          <w:lang w:eastAsia="zh-CN"/>
        </w:rPr>
        <w:t xml:space="preserve"> humanus capitis</w:t>
      </w:r>
      <w:r w:rsidRPr="00473E21">
        <w:rPr>
          <w:rFonts w:cs="Verdana"/>
          <w:lang w:eastAsia="zh-CN"/>
        </w:rPr>
        <w:t xml:space="preserve">) </w:t>
      </w:r>
      <w:r w:rsidRPr="00473E21">
        <w:rPr>
          <w:rFonts w:cs="Arial"/>
        </w:rPr>
        <w:t>when applied o</w:t>
      </w:r>
      <w:r w:rsidRPr="00473E21">
        <w:rPr>
          <w:rFonts w:cs="Verdana"/>
          <w:lang w:eastAsia="zh-CN"/>
        </w:rPr>
        <w:t>n bed linen and/or cloth's surface</w:t>
      </w:r>
      <w:r w:rsidRPr="00473E21">
        <w:rPr>
          <w:rFonts w:cs="Arial"/>
        </w:rPr>
        <w:t xml:space="preserve"> (cotton and polyester) at the application rate of </w:t>
      </w:r>
      <w:r w:rsidR="003E14A1" w:rsidRPr="00473E21">
        <w:rPr>
          <w:rFonts w:cs="Arial"/>
        </w:rPr>
        <w:t>10</w:t>
      </w:r>
      <w:r w:rsidRPr="00473E21">
        <w:rPr>
          <w:rFonts w:cs="Arial"/>
        </w:rPr>
        <w:t xml:space="preserve"> g product/m² under temperate conditions</w:t>
      </w:r>
      <w:r w:rsidR="00AD626F">
        <w:rPr>
          <w:rFonts w:cs="Arial"/>
        </w:rPr>
        <w:t xml:space="preserve"> (intended use </w:t>
      </w:r>
      <w:r w:rsidR="00AD626F" w:rsidRPr="00AD626F">
        <w:rPr>
          <w:rFonts w:cs="Arial"/>
          <w:spacing w:val="1"/>
          <w:lang w:eastAsia="fr-FR"/>
        </w:rPr>
        <w:t>#</w:t>
      </w:r>
      <w:r w:rsidR="00AD626F">
        <w:rPr>
          <w:rFonts w:cs="Arial"/>
          <w:spacing w:val="1"/>
          <w:lang w:eastAsia="fr-FR"/>
        </w:rPr>
        <w:t>2)</w:t>
      </w:r>
      <w:r w:rsidR="00D25AA2">
        <w:rPr>
          <w:rFonts w:cs="Arial"/>
        </w:rPr>
        <w:t>. Indeed</w:t>
      </w:r>
      <w:r w:rsidR="005377F4">
        <w:rPr>
          <w:rFonts w:cs="Arial"/>
        </w:rPr>
        <w:t xml:space="preserve"> </w:t>
      </w:r>
      <w:r w:rsidR="00D91785">
        <w:rPr>
          <w:rFonts w:cs="Arial"/>
        </w:rPr>
        <w:t>t</w:t>
      </w:r>
      <w:r w:rsidR="00D91785" w:rsidRPr="00D91785">
        <w:rPr>
          <w:rFonts w:cs="Arial"/>
        </w:rPr>
        <w:t xml:space="preserve">he </w:t>
      </w:r>
      <w:r w:rsidR="00D91785">
        <w:rPr>
          <w:rFonts w:cs="Arial"/>
        </w:rPr>
        <w:t>efficacy tests</w:t>
      </w:r>
      <w:r w:rsidR="00D91785" w:rsidRPr="00D91785">
        <w:rPr>
          <w:rFonts w:cs="Arial"/>
        </w:rPr>
        <w:t xml:space="preserve"> provided present methodological </w:t>
      </w:r>
      <w:r w:rsidR="00B90DE0">
        <w:rPr>
          <w:rFonts w:cs="Arial"/>
        </w:rPr>
        <w:t xml:space="preserve">biases </w:t>
      </w:r>
      <w:r w:rsidR="00D91785" w:rsidRPr="00D91785">
        <w:rPr>
          <w:rFonts w:cs="Arial"/>
        </w:rPr>
        <w:t>(random behaviour of lice in control</w:t>
      </w:r>
      <w:r w:rsidR="00D91785">
        <w:rPr>
          <w:rFonts w:cs="Arial"/>
        </w:rPr>
        <w:t>s, not attracted by the textile)</w:t>
      </w:r>
      <w:r w:rsidR="00D91785" w:rsidRPr="00D91785" w:rsidDel="00D91785">
        <w:rPr>
          <w:rFonts w:cs="Arial"/>
        </w:rPr>
        <w:t xml:space="preserve"> </w:t>
      </w:r>
      <w:r w:rsidR="005377F4" w:rsidRPr="001A47AF">
        <w:rPr>
          <w:rFonts w:cs="Arial"/>
        </w:rPr>
        <w:t>and</w:t>
      </w:r>
      <w:r w:rsidR="005377F4">
        <w:t xml:space="preserve"> </w:t>
      </w:r>
      <w:r w:rsidR="005377F4" w:rsidRPr="005377F4">
        <w:rPr>
          <w:rFonts w:cs="Arial"/>
        </w:rPr>
        <w:t>the test design i</w:t>
      </w:r>
      <w:r w:rsidR="00D25AA2">
        <w:rPr>
          <w:rFonts w:cs="Arial"/>
        </w:rPr>
        <w:t>s</w:t>
      </w:r>
      <w:r w:rsidR="005377F4" w:rsidRPr="005377F4">
        <w:rPr>
          <w:rFonts w:cs="Arial"/>
        </w:rPr>
        <w:t xml:space="preserve"> not relevant </w:t>
      </w:r>
      <w:r w:rsidR="005377F4" w:rsidRPr="001A47AF">
        <w:rPr>
          <w:rFonts w:cs="Arial"/>
        </w:rPr>
        <w:t>to derive a CPT</w:t>
      </w:r>
      <w:r w:rsidR="005377F4">
        <w:rPr>
          <w:rFonts w:cs="Arial"/>
        </w:rPr>
        <w:t>.</w:t>
      </w:r>
    </w:p>
    <w:p w14:paraId="5040D14D" w14:textId="77777777" w:rsidR="00C86B19" w:rsidRDefault="00C86B19" w:rsidP="00473E21">
      <w:pPr>
        <w:pStyle w:val="Paragraphedeliste"/>
        <w:spacing w:line="360" w:lineRule="auto"/>
        <w:ind w:left="0"/>
        <w:rPr>
          <w:b/>
          <w:i/>
        </w:rPr>
      </w:pPr>
    </w:p>
    <w:p w14:paraId="679A9CDF" w14:textId="5277929F" w:rsidR="00EC2A96" w:rsidRPr="00473E21" w:rsidRDefault="00EC2A96" w:rsidP="00473E21">
      <w:pPr>
        <w:pStyle w:val="Paragraphedeliste"/>
        <w:spacing w:line="360" w:lineRule="auto"/>
        <w:ind w:left="0"/>
        <w:rPr>
          <w:b/>
          <w:i/>
        </w:rPr>
      </w:pPr>
      <w:r w:rsidRPr="00473E21">
        <w:rPr>
          <w:b/>
          <w:i/>
        </w:rPr>
        <w:t>Conclusion of risk characterisation for Human Health</w:t>
      </w:r>
    </w:p>
    <w:p w14:paraId="03A53C76" w14:textId="100B8D5E" w:rsidR="00D748E5" w:rsidRPr="00A23B15" w:rsidRDefault="00CC468A" w:rsidP="00BF5A0D">
      <w:pPr>
        <w:widowControl w:val="0"/>
        <w:kinsoku w:val="0"/>
        <w:overflowPunct w:val="0"/>
        <w:autoSpaceDE w:val="0"/>
        <w:autoSpaceDN w:val="0"/>
        <w:adjustRightInd w:val="0"/>
        <w:spacing w:before="292" w:after="0" w:line="290" w:lineRule="exact"/>
        <w:ind w:right="216"/>
        <w:jc w:val="both"/>
        <w:textAlignment w:val="baseline"/>
        <w:rPr>
          <w:rFonts w:cs="Arial"/>
          <w:spacing w:val="1"/>
          <w:lang w:eastAsia="fr-FR"/>
        </w:rPr>
      </w:pPr>
      <w:r w:rsidRPr="00A23B15">
        <w:rPr>
          <w:rFonts w:cs="Arial"/>
          <w:spacing w:val="1"/>
          <w:lang w:eastAsia="fr-FR"/>
        </w:rPr>
        <w:t xml:space="preserve">For </w:t>
      </w:r>
      <w:r w:rsidR="00D748E5" w:rsidRPr="00A23B15">
        <w:rPr>
          <w:rFonts w:cs="Arial"/>
          <w:spacing w:val="1"/>
          <w:lang w:eastAsia="fr-FR"/>
        </w:rPr>
        <w:t>Intended use #4 (Spray for skin application to repel mosquitoes)</w:t>
      </w:r>
      <w:r w:rsidR="00A23B15">
        <w:rPr>
          <w:rFonts w:cs="Arial"/>
          <w:spacing w:val="1"/>
          <w:lang w:eastAsia="fr-FR"/>
        </w:rPr>
        <w:t xml:space="preserve"> : </w:t>
      </w:r>
    </w:p>
    <w:p w14:paraId="2B2FB0C2" w14:textId="56C79771" w:rsidR="00A23B15" w:rsidRDefault="00D748E5" w:rsidP="00A23B15">
      <w:pPr>
        <w:pStyle w:val="Paragraphedeliste"/>
        <w:widowControl w:val="0"/>
        <w:numPr>
          <w:ilvl w:val="0"/>
          <w:numId w:val="42"/>
        </w:numPr>
        <w:kinsoku w:val="0"/>
        <w:overflowPunct w:val="0"/>
        <w:autoSpaceDE w:val="0"/>
        <w:autoSpaceDN w:val="0"/>
        <w:adjustRightInd w:val="0"/>
        <w:spacing w:before="0" w:after="0" w:line="290" w:lineRule="exact"/>
        <w:ind w:right="216"/>
        <w:jc w:val="both"/>
        <w:textAlignment w:val="baseline"/>
        <w:rPr>
          <w:rFonts w:cs="Arial"/>
          <w:spacing w:val="1"/>
          <w:lang w:eastAsia="fr-FR"/>
        </w:rPr>
      </w:pPr>
      <w:r w:rsidRPr="00A23B15">
        <w:rPr>
          <w:rFonts w:cs="Arial"/>
          <w:spacing w:val="1"/>
          <w:lang w:eastAsia="fr-FR"/>
        </w:rPr>
        <w:t>Temperate condition:</w:t>
      </w:r>
      <w:r w:rsidR="00CC468A" w:rsidRPr="00A23B15">
        <w:rPr>
          <w:rFonts w:cs="Arial"/>
          <w:spacing w:val="1"/>
          <w:lang w:eastAsia="fr-FR"/>
        </w:rPr>
        <w:t xml:space="preserve"> </w:t>
      </w:r>
      <w:r w:rsidRPr="00A23B15">
        <w:rPr>
          <w:rFonts w:cs="Arial"/>
          <w:spacing w:val="1"/>
          <w:lang w:eastAsia="fr-FR"/>
        </w:rPr>
        <w:t xml:space="preserve">The risk is </w:t>
      </w:r>
      <w:r w:rsidR="00CC468A" w:rsidRPr="00A23B15">
        <w:rPr>
          <w:rFonts w:cs="Arial"/>
          <w:spacing w:val="1"/>
          <w:lang w:eastAsia="fr-FR"/>
        </w:rPr>
        <w:t>un</w:t>
      </w:r>
      <w:r w:rsidRPr="00A23B15">
        <w:rPr>
          <w:rFonts w:cs="Arial"/>
          <w:spacing w:val="1"/>
          <w:lang w:eastAsia="fr-FR"/>
        </w:rPr>
        <w:t xml:space="preserve">acceptable for adult and children considering </w:t>
      </w:r>
      <w:r w:rsidR="00CC468A" w:rsidRPr="00A23B15">
        <w:rPr>
          <w:rFonts w:cs="Arial"/>
          <w:spacing w:val="1"/>
          <w:lang w:eastAsia="fr-FR"/>
        </w:rPr>
        <w:t xml:space="preserve">two </w:t>
      </w:r>
      <w:r w:rsidRPr="00A23B15">
        <w:rPr>
          <w:rFonts w:cs="Arial"/>
          <w:spacing w:val="1"/>
          <w:lang w:eastAsia="fr-FR"/>
        </w:rPr>
        <w:t>application</w:t>
      </w:r>
      <w:r w:rsidR="00CC468A" w:rsidRPr="00A23B15">
        <w:rPr>
          <w:rFonts w:cs="Arial"/>
          <w:spacing w:val="1"/>
          <w:lang w:eastAsia="fr-FR"/>
        </w:rPr>
        <w:t>s</w:t>
      </w:r>
      <w:r w:rsidRPr="00A23B15">
        <w:rPr>
          <w:rFonts w:cs="Arial"/>
          <w:spacing w:val="1"/>
          <w:lang w:eastAsia="fr-FR"/>
        </w:rPr>
        <w:t xml:space="preserve"> per day</w:t>
      </w:r>
      <w:r w:rsidR="0043780C" w:rsidRPr="00A23B15">
        <w:rPr>
          <w:rFonts w:cs="Arial"/>
          <w:spacing w:val="1"/>
          <w:lang w:eastAsia="fr-FR"/>
        </w:rPr>
        <w:t xml:space="preserve"> (as claimed by the applicant)</w:t>
      </w:r>
      <w:r w:rsidR="00CC468A" w:rsidRPr="00A23B15">
        <w:rPr>
          <w:rFonts w:cs="Arial"/>
          <w:spacing w:val="1"/>
          <w:lang w:eastAsia="fr-FR"/>
        </w:rPr>
        <w:t xml:space="preserve"> </w:t>
      </w:r>
      <w:r w:rsidR="0043780C" w:rsidRPr="00A23B15">
        <w:rPr>
          <w:rFonts w:cs="Arial"/>
          <w:spacing w:val="1"/>
          <w:lang w:eastAsia="fr-FR"/>
        </w:rPr>
        <w:t>but</w:t>
      </w:r>
      <w:r w:rsidR="00CC468A" w:rsidRPr="00A23B15">
        <w:rPr>
          <w:rFonts w:cs="Arial"/>
          <w:spacing w:val="1"/>
          <w:lang w:eastAsia="fr-FR"/>
        </w:rPr>
        <w:t xml:space="preserve"> acceptable </w:t>
      </w:r>
      <w:r w:rsidR="0043780C" w:rsidRPr="00A23B15">
        <w:rPr>
          <w:rFonts w:cs="Arial"/>
          <w:spacing w:val="1"/>
          <w:lang w:eastAsia="fr-FR"/>
        </w:rPr>
        <w:t>c</w:t>
      </w:r>
      <w:r w:rsidR="00CC468A" w:rsidRPr="00A23B15">
        <w:rPr>
          <w:rFonts w:cs="Arial"/>
          <w:spacing w:val="1"/>
          <w:lang w:eastAsia="fr-FR"/>
        </w:rPr>
        <w:t>onsidering only one application</w:t>
      </w:r>
      <w:r w:rsidR="00A23B15">
        <w:rPr>
          <w:rFonts w:cs="Arial"/>
          <w:spacing w:val="1"/>
          <w:lang w:eastAsia="fr-FR"/>
        </w:rPr>
        <w:t>.</w:t>
      </w:r>
    </w:p>
    <w:p w14:paraId="1DD95BB0" w14:textId="5C3F880A" w:rsidR="00BF5A0D" w:rsidRPr="00A23B15" w:rsidRDefault="00D748E5" w:rsidP="0010045B">
      <w:pPr>
        <w:pStyle w:val="Paragraphedeliste"/>
        <w:widowControl w:val="0"/>
        <w:numPr>
          <w:ilvl w:val="0"/>
          <w:numId w:val="42"/>
        </w:numPr>
        <w:kinsoku w:val="0"/>
        <w:overflowPunct w:val="0"/>
        <w:autoSpaceDE w:val="0"/>
        <w:autoSpaceDN w:val="0"/>
        <w:adjustRightInd w:val="0"/>
        <w:spacing w:before="0" w:after="0" w:line="290" w:lineRule="exact"/>
        <w:ind w:right="216"/>
        <w:jc w:val="both"/>
        <w:textAlignment w:val="baseline"/>
        <w:rPr>
          <w:rFonts w:cs="Arial"/>
          <w:spacing w:val="1"/>
          <w:lang w:eastAsia="fr-FR"/>
        </w:rPr>
      </w:pPr>
      <w:r w:rsidRPr="00A23B15">
        <w:rPr>
          <w:rFonts w:cs="Arial"/>
          <w:spacing w:val="1"/>
          <w:lang w:eastAsia="fr-FR"/>
        </w:rPr>
        <w:t>Tropical condition</w:t>
      </w:r>
      <w:r w:rsidR="00CC468A" w:rsidRPr="00A23B15">
        <w:rPr>
          <w:rFonts w:cs="Arial"/>
          <w:spacing w:val="1"/>
          <w:lang w:eastAsia="fr-FR"/>
        </w:rPr>
        <w:t xml:space="preserve">: </w:t>
      </w:r>
      <w:r w:rsidRPr="00A23B15">
        <w:rPr>
          <w:rFonts w:cs="Arial"/>
          <w:spacing w:val="1"/>
          <w:lang w:eastAsia="fr-FR"/>
        </w:rPr>
        <w:t xml:space="preserve">The risk is </w:t>
      </w:r>
      <w:r w:rsidR="0043780C" w:rsidRPr="00A23B15">
        <w:rPr>
          <w:rFonts w:cs="Arial"/>
          <w:spacing w:val="1"/>
          <w:lang w:eastAsia="fr-FR"/>
        </w:rPr>
        <w:t>un</w:t>
      </w:r>
      <w:r w:rsidRPr="00A23B15">
        <w:rPr>
          <w:rFonts w:cs="Arial"/>
          <w:spacing w:val="1"/>
          <w:lang w:eastAsia="fr-FR"/>
        </w:rPr>
        <w:t xml:space="preserve">acceptable for adult </w:t>
      </w:r>
      <w:r w:rsidR="00616BFF" w:rsidRPr="00A23B15">
        <w:rPr>
          <w:rFonts w:cs="Arial"/>
          <w:spacing w:val="1"/>
          <w:lang w:eastAsia="fr-FR"/>
        </w:rPr>
        <w:t xml:space="preserve">and children of 12 years and more </w:t>
      </w:r>
      <w:r w:rsidRPr="00A23B15">
        <w:rPr>
          <w:rFonts w:cs="Arial"/>
          <w:spacing w:val="1"/>
          <w:lang w:eastAsia="fr-FR"/>
        </w:rPr>
        <w:t xml:space="preserve">considering </w:t>
      </w:r>
      <w:r w:rsidR="0043780C" w:rsidRPr="00A23B15">
        <w:rPr>
          <w:rFonts w:cs="Arial"/>
          <w:spacing w:val="1"/>
          <w:lang w:eastAsia="fr-FR"/>
        </w:rPr>
        <w:t>two</w:t>
      </w:r>
      <w:r w:rsidRPr="00A23B15">
        <w:rPr>
          <w:rFonts w:cs="Arial"/>
          <w:spacing w:val="1"/>
          <w:lang w:eastAsia="fr-FR"/>
        </w:rPr>
        <w:t xml:space="preserve"> application</w:t>
      </w:r>
      <w:r w:rsidR="0043780C" w:rsidRPr="00A23B15">
        <w:rPr>
          <w:rFonts w:cs="Arial"/>
          <w:spacing w:val="1"/>
          <w:lang w:eastAsia="fr-FR"/>
        </w:rPr>
        <w:t>s</w:t>
      </w:r>
      <w:r w:rsidRPr="00A23B15">
        <w:rPr>
          <w:rFonts w:cs="Arial"/>
          <w:spacing w:val="1"/>
          <w:lang w:eastAsia="fr-FR"/>
        </w:rPr>
        <w:t xml:space="preserve"> per day</w:t>
      </w:r>
      <w:r w:rsidR="0043780C" w:rsidRPr="00A23B15">
        <w:rPr>
          <w:rFonts w:cs="Arial"/>
          <w:spacing w:val="1"/>
          <w:lang w:eastAsia="fr-FR"/>
        </w:rPr>
        <w:t xml:space="preserve"> (as claimed by the applicant) but acceptable for only one application</w:t>
      </w:r>
      <w:r w:rsidRPr="00A23B15">
        <w:rPr>
          <w:rFonts w:cs="Arial"/>
          <w:spacing w:val="1"/>
          <w:lang w:eastAsia="fr-FR"/>
        </w:rPr>
        <w:t xml:space="preserve">. For children younger than </w:t>
      </w:r>
      <w:r w:rsidR="001D5041" w:rsidRPr="00A23B15">
        <w:rPr>
          <w:rFonts w:cs="Arial"/>
          <w:spacing w:val="1"/>
          <w:lang w:eastAsia="fr-FR"/>
        </w:rPr>
        <w:t xml:space="preserve">1 </w:t>
      </w:r>
      <w:r w:rsidRPr="00A23B15">
        <w:rPr>
          <w:rFonts w:cs="Arial"/>
          <w:spacing w:val="1"/>
          <w:lang w:eastAsia="fr-FR"/>
        </w:rPr>
        <w:t>year</w:t>
      </w:r>
      <w:r w:rsidR="001D5041" w:rsidRPr="00A23B15">
        <w:rPr>
          <w:rFonts w:cs="Arial"/>
          <w:spacing w:val="1"/>
          <w:lang w:eastAsia="fr-FR"/>
        </w:rPr>
        <w:t xml:space="preserve"> to 6 years</w:t>
      </w:r>
      <w:r w:rsidRPr="00A23B15">
        <w:rPr>
          <w:rFonts w:cs="Arial"/>
          <w:spacing w:val="1"/>
          <w:lang w:eastAsia="fr-FR"/>
        </w:rPr>
        <w:t>, the risk is unacceptable.</w:t>
      </w:r>
    </w:p>
    <w:p w14:paraId="42C28713" w14:textId="70304764" w:rsidR="00D748E5" w:rsidRPr="00A23B15" w:rsidRDefault="00CC468A"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spacing w:val="1"/>
          <w:lang w:eastAsia="fr-FR"/>
        </w:rPr>
      </w:pPr>
      <w:r>
        <w:rPr>
          <w:rFonts w:cs="Arial"/>
          <w:spacing w:val="1"/>
          <w:lang w:eastAsia="fr-FR"/>
        </w:rPr>
        <w:t>For i</w:t>
      </w:r>
      <w:r w:rsidR="00D748E5" w:rsidRPr="00A23B15">
        <w:rPr>
          <w:rFonts w:cs="Arial"/>
          <w:spacing w:val="1"/>
          <w:lang w:eastAsia="fr-FR"/>
        </w:rPr>
        <w:t>ntended use #5 (Spray to treat clothes against ticks)</w:t>
      </w:r>
      <w:r>
        <w:rPr>
          <w:rFonts w:cs="Arial"/>
          <w:spacing w:val="1"/>
          <w:lang w:eastAsia="fr-FR"/>
        </w:rPr>
        <w:t xml:space="preserve">: </w:t>
      </w:r>
    </w:p>
    <w:p w14:paraId="07B27C8D" w14:textId="70DA9B2F" w:rsidR="00D748E5" w:rsidRDefault="00D748E5" w:rsidP="00A23B15">
      <w:pPr>
        <w:pStyle w:val="Paragraphedeliste"/>
        <w:widowControl w:val="0"/>
        <w:numPr>
          <w:ilvl w:val="0"/>
          <w:numId w:val="42"/>
        </w:numPr>
        <w:kinsoku w:val="0"/>
        <w:overflowPunct w:val="0"/>
        <w:autoSpaceDE w:val="0"/>
        <w:autoSpaceDN w:val="0"/>
        <w:adjustRightInd w:val="0"/>
        <w:spacing w:before="292" w:after="0" w:line="290" w:lineRule="exact"/>
        <w:ind w:right="216"/>
        <w:jc w:val="both"/>
        <w:textAlignment w:val="baseline"/>
        <w:rPr>
          <w:rFonts w:cs="Arial"/>
          <w:spacing w:val="1"/>
          <w:lang w:eastAsia="fr-FR"/>
        </w:rPr>
      </w:pPr>
      <w:r w:rsidRPr="00473E21">
        <w:rPr>
          <w:rFonts w:cs="Arial"/>
          <w:spacing w:val="1"/>
          <w:lang w:eastAsia="fr-FR"/>
        </w:rPr>
        <w:t>The risk is unacceptable for children younger than 1 year.</w:t>
      </w:r>
    </w:p>
    <w:p w14:paraId="348E8F9D" w14:textId="77777777" w:rsidR="00BF5A0D" w:rsidRPr="00473E21" w:rsidRDefault="00BF5A0D"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spacing w:val="1"/>
          <w:lang w:eastAsia="fr-FR"/>
        </w:rPr>
      </w:pPr>
    </w:p>
    <w:p w14:paraId="6560D77B" w14:textId="5AEE6858" w:rsidR="00D748E5" w:rsidRPr="00A23B15" w:rsidRDefault="00CC468A"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spacing w:val="1"/>
          <w:lang w:eastAsia="fr-FR"/>
        </w:rPr>
      </w:pPr>
      <w:r>
        <w:rPr>
          <w:rFonts w:cs="Arial"/>
          <w:spacing w:val="1"/>
          <w:lang w:eastAsia="fr-FR"/>
        </w:rPr>
        <w:t>For i</w:t>
      </w:r>
      <w:r w:rsidR="00D748E5" w:rsidRPr="00A23B15">
        <w:rPr>
          <w:rFonts w:cs="Arial"/>
          <w:spacing w:val="1"/>
          <w:lang w:eastAsia="fr-FR"/>
        </w:rPr>
        <w:t>ntended use #6 (Spray for skin application to repel ticks)</w:t>
      </w:r>
    </w:p>
    <w:p w14:paraId="4F37749B" w14:textId="3F98F904" w:rsidR="00D748E5" w:rsidRPr="00473E21" w:rsidRDefault="00D748E5" w:rsidP="00A23B15">
      <w:pPr>
        <w:pStyle w:val="Paragraphedeliste"/>
        <w:widowControl w:val="0"/>
        <w:numPr>
          <w:ilvl w:val="0"/>
          <w:numId w:val="42"/>
        </w:numPr>
        <w:kinsoku w:val="0"/>
        <w:overflowPunct w:val="0"/>
        <w:autoSpaceDE w:val="0"/>
        <w:autoSpaceDN w:val="0"/>
        <w:adjustRightInd w:val="0"/>
        <w:spacing w:before="292" w:after="0" w:line="290" w:lineRule="exact"/>
        <w:ind w:right="216"/>
        <w:jc w:val="both"/>
        <w:textAlignment w:val="baseline"/>
        <w:rPr>
          <w:rFonts w:cs="Arial"/>
          <w:spacing w:val="1"/>
          <w:lang w:eastAsia="fr-FR"/>
        </w:rPr>
      </w:pPr>
      <w:r w:rsidRPr="00473E21">
        <w:rPr>
          <w:rFonts w:cs="Arial"/>
          <w:spacing w:val="1"/>
          <w:lang w:eastAsia="fr-FR"/>
        </w:rPr>
        <w:t xml:space="preserve">The risk is </w:t>
      </w:r>
      <w:r w:rsidR="00CC468A">
        <w:rPr>
          <w:rFonts w:cs="Arial"/>
          <w:spacing w:val="1"/>
          <w:lang w:eastAsia="fr-FR"/>
        </w:rPr>
        <w:t>un</w:t>
      </w:r>
      <w:r w:rsidRPr="00473E21">
        <w:rPr>
          <w:rFonts w:cs="Arial"/>
          <w:spacing w:val="1"/>
          <w:lang w:eastAsia="fr-FR"/>
        </w:rPr>
        <w:t>acceptable for adult and children</w:t>
      </w:r>
      <w:r w:rsidR="004F1CFE">
        <w:rPr>
          <w:rFonts w:cs="Arial"/>
          <w:spacing w:val="1"/>
          <w:lang w:eastAsia="fr-FR"/>
        </w:rPr>
        <w:t xml:space="preserve"> under 12 years</w:t>
      </w:r>
      <w:r w:rsidRPr="00473E21">
        <w:rPr>
          <w:rFonts w:cs="Arial"/>
          <w:spacing w:val="1"/>
          <w:lang w:eastAsia="fr-FR"/>
        </w:rPr>
        <w:t xml:space="preserve"> considering </w:t>
      </w:r>
      <w:r w:rsidR="00CC468A">
        <w:rPr>
          <w:rFonts w:cs="Arial"/>
          <w:spacing w:val="1"/>
          <w:lang w:eastAsia="fr-FR"/>
        </w:rPr>
        <w:t>two</w:t>
      </w:r>
      <w:r w:rsidR="00CC468A" w:rsidRPr="00473E21">
        <w:rPr>
          <w:rFonts w:cs="Arial"/>
          <w:spacing w:val="1"/>
          <w:lang w:eastAsia="fr-FR"/>
        </w:rPr>
        <w:t xml:space="preserve"> </w:t>
      </w:r>
      <w:r w:rsidRPr="00473E21">
        <w:rPr>
          <w:rFonts w:cs="Arial"/>
          <w:spacing w:val="1"/>
          <w:lang w:eastAsia="fr-FR"/>
        </w:rPr>
        <w:t>application</w:t>
      </w:r>
      <w:r w:rsidR="00CC468A">
        <w:rPr>
          <w:rFonts w:cs="Arial"/>
          <w:spacing w:val="1"/>
          <w:lang w:eastAsia="fr-FR"/>
        </w:rPr>
        <w:t>s</w:t>
      </w:r>
      <w:r w:rsidRPr="00473E21">
        <w:rPr>
          <w:rFonts w:cs="Arial"/>
          <w:spacing w:val="1"/>
          <w:lang w:eastAsia="fr-FR"/>
        </w:rPr>
        <w:t xml:space="preserve"> per day</w:t>
      </w:r>
      <w:r w:rsidR="00CC468A">
        <w:rPr>
          <w:rFonts w:cs="Arial"/>
          <w:spacing w:val="1"/>
          <w:lang w:eastAsia="fr-FR"/>
        </w:rPr>
        <w:t xml:space="preserve"> as claimed by the applican</w:t>
      </w:r>
      <w:r w:rsidR="00A23B15">
        <w:rPr>
          <w:rFonts w:cs="Arial"/>
          <w:spacing w:val="1"/>
          <w:lang w:eastAsia="fr-FR"/>
        </w:rPr>
        <w:t>t but acceptable with only one application.</w:t>
      </w:r>
      <w:r w:rsidR="0043780C">
        <w:rPr>
          <w:rFonts w:cs="Arial"/>
          <w:spacing w:val="1"/>
          <w:lang w:eastAsia="fr-FR"/>
        </w:rPr>
        <w:t xml:space="preserve"> </w:t>
      </w:r>
    </w:p>
    <w:p w14:paraId="325CAF11" w14:textId="5F81FBD2" w:rsidR="001D5041" w:rsidRDefault="001D5041"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spacing w:val="1"/>
          <w:lang w:eastAsia="fr-FR"/>
        </w:rPr>
      </w:pPr>
    </w:p>
    <w:p w14:paraId="18A69D14" w14:textId="1E4DE903" w:rsidR="00CC468A" w:rsidRDefault="00CC468A"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spacing w:val="1"/>
          <w:lang w:eastAsia="fr-FR"/>
        </w:rPr>
      </w:pPr>
      <w:r>
        <w:rPr>
          <w:rFonts w:cs="Arial"/>
          <w:b/>
          <w:spacing w:val="1"/>
          <w:lang w:eastAsia="fr-FR"/>
        </w:rPr>
        <w:t>For other intended uses</w:t>
      </w:r>
      <w:r w:rsidR="00ED6D5C">
        <w:rPr>
          <w:rFonts w:cs="Arial"/>
          <w:b/>
          <w:spacing w:val="1"/>
          <w:lang w:eastAsia="fr-FR"/>
        </w:rPr>
        <w:t xml:space="preserve"> (intended uses </w:t>
      </w:r>
      <w:r w:rsidR="00ED6D5C" w:rsidRPr="00EA7456">
        <w:rPr>
          <w:rFonts w:cs="Arial"/>
          <w:b/>
          <w:spacing w:val="1"/>
          <w:lang w:eastAsia="fr-FR"/>
        </w:rPr>
        <w:t>#2, #3 and #7)</w:t>
      </w:r>
      <w:r>
        <w:rPr>
          <w:rFonts w:cs="Arial"/>
          <w:b/>
          <w:spacing w:val="1"/>
          <w:lang w:eastAsia="fr-FR"/>
        </w:rPr>
        <w:t>, risk is acceptable for adults and children in the conditions of uses specified in the SPC.</w:t>
      </w:r>
    </w:p>
    <w:p w14:paraId="3E73B0F9" w14:textId="77777777" w:rsidR="001D5041" w:rsidRDefault="001D5041"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spacing w:val="1"/>
          <w:lang w:eastAsia="fr-FR"/>
        </w:rPr>
      </w:pPr>
    </w:p>
    <w:p w14:paraId="4097493B" w14:textId="21BDF959" w:rsidR="00D748E5" w:rsidRDefault="00D6385C"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spacing w:val="1"/>
          <w:lang w:eastAsia="fr-FR"/>
        </w:rPr>
      </w:pPr>
      <w:r w:rsidRPr="00D6385C">
        <w:rPr>
          <w:rFonts w:cs="Arial"/>
          <w:b/>
          <w:spacing w:val="1"/>
          <w:lang w:eastAsia="fr-FR"/>
        </w:rPr>
        <w:t>Combined exposure:</w:t>
      </w:r>
    </w:p>
    <w:p w14:paraId="4B49636E" w14:textId="77777777" w:rsidR="00D6385C" w:rsidRPr="00D6385C" w:rsidRDefault="00D6385C"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spacing w:val="1"/>
          <w:lang w:eastAsia="fr-FR"/>
        </w:rPr>
      </w:pPr>
    </w:p>
    <w:p w14:paraId="6327DFC7" w14:textId="44B4023B" w:rsidR="00D748E5" w:rsidRPr="00A23B15" w:rsidRDefault="004216DE"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spacing w:val="1"/>
          <w:lang w:eastAsia="fr-FR"/>
        </w:rPr>
      </w:pPr>
      <w:r>
        <w:rPr>
          <w:rFonts w:cs="Arial"/>
          <w:spacing w:val="1"/>
          <w:lang w:eastAsia="fr-FR"/>
        </w:rPr>
        <w:t xml:space="preserve">For </w:t>
      </w:r>
      <w:r w:rsidR="00D748E5" w:rsidRPr="00A23B15">
        <w:rPr>
          <w:rFonts w:cs="Arial"/>
          <w:spacing w:val="1"/>
          <w:lang w:eastAsia="fr-FR"/>
        </w:rPr>
        <w:t>Intended use #4 (Spray for skin application to repel mosquitoes) tropical conditions and Intended use #3 (Spray to treat clothes against mosquitoes)</w:t>
      </w:r>
    </w:p>
    <w:p w14:paraId="4474A3CE" w14:textId="58E26299" w:rsidR="00D748E5" w:rsidRPr="00473E21" w:rsidRDefault="00A65729" w:rsidP="00A23B15">
      <w:pPr>
        <w:pStyle w:val="Paragraphedeliste"/>
        <w:widowControl w:val="0"/>
        <w:numPr>
          <w:ilvl w:val="0"/>
          <w:numId w:val="42"/>
        </w:numPr>
        <w:kinsoku w:val="0"/>
        <w:overflowPunct w:val="0"/>
        <w:autoSpaceDE w:val="0"/>
        <w:autoSpaceDN w:val="0"/>
        <w:adjustRightInd w:val="0"/>
        <w:spacing w:before="292" w:after="0" w:line="290" w:lineRule="exact"/>
        <w:ind w:right="216"/>
        <w:jc w:val="both"/>
        <w:textAlignment w:val="baseline"/>
        <w:rPr>
          <w:rFonts w:cs="Arial"/>
          <w:spacing w:val="1"/>
          <w:lang w:eastAsia="fr-FR"/>
        </w:rPr>
      </w:pPr>
      <w:r w:rsidRPr="00A65729">
        <w:rPr>
          <w:rFonts w:cs="Arial"/>
          <w:spacing w:val="1"/>
          <w:lang w:eastAsia="fr-FR"/>
        </w:rPr>
        <w:t>For combined treatment, the risk is acceptable for adults</w:t>
      </w:r>
      <w:r>
        <w:rPr>
          <w:rFonts w:cs="Arial"/>
          <w:spacing w:val="1"/>
          <w:lang w:eastAsia="fr-FR"/>
        </w:rPr>
        <w:t xml:space="preserve"> and children of 12 years and more</w:t>
      </w:r>
      <w:r w:rsidRPr="00A65729">
        <w:rPr>
          <w:rFonts w:cs="Arial"/>
          <w:spacing w:val="1"/>
          <w:lang w:eastAsia="fr-FR"/>
        </w:rPr>
        <w:t xml:space="preserve"> but </w:t>
      </w:r>
      <w:r w:rsidR="00991AD7">
        <w:rPr>
          <w:rFonts w:cs="Arial"/>
          <w:spacing w:val="1"/>
          <w:lang w:eastAsia="fr-FR"/>
        </w:rPr>
        <w:t>u</w:t>
      </w:r>
      <w:r w:rsidR="00991AD7" w:rsidRPr="00A65729">
        <w:rPr>
          <w:rFonts w:cs="Arial"/>
          <w:spacing w:val="1"/>
          <w:lang w:eastAsia="fr-FR"/>
        </w:rPr>
        <w:t xml:space="preserve">nacceptable </w:t>
      </w:r>
      <w:r w:rsidRPr="00A65729">
        <w:rPr>
          <w:rFonts w:cs="Arial"/>
          <w:spacing w:val="1"/>
          <w:lang w:eastAsia="fr-FR"/>
        </w:rPr>
        <w:t>for children</w:t>
      </w:r>
      <w:r>
        <w:rPr>
          <w:rFonts w:cs="Arial"/>
          <w:spacing w:val="1"/>
          <w:lang w:eastAsia="fr-FR"/>
        </w:rPr>
        <w:t xml:space="preserve"> under 12 years</w:t>
      </w:r>
      <w:r w:rsidRPr="00A65729">
        <w:rPr>
          <w:rFonts w:cs="Arial"/>
          <w:spacing w:val="1"/>
          <w:lang w:eastAsia="fr-FR"/>
        </w:rPr>
        <w:t xml:space="preserve">. </w:t>
      </w:r>
    </w:p>
    <w:p w14:paraId="3FF6C1E6" w14:textId="77777777" w:rsidR="00BF5A0D" w:rsidRDefault="00BF5A0D"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spacing w:val="1"/>
          <w:lang w:eastAsia="fr-FR"/>
        </w:rPr>
      </w:pPr>
    </w:p>
    <w:p w14:paraId="49BCF1C6" w14:textId="2657BF97" w:rsidR="00D748E5" w:rsidRPr="00A23B15" w:rsidRDefault="004216DE"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spacing w:val="1"/>
          <w:lang w:eastAsia="fr-FR"/>
        </w:rPr>
      </w:pPr>
      <w:r>
        <w:rPr>
          <w:rFonts w:cs="Arial"/>
          <w:spacing w:val="1"/>
          <w:lang w:eastAsia="fr-FR"/>
        </w:rPr>
        <w:t xml:space="preserve">For </w:t>
      </w:r>
      <w:r w:rsidR="00D748E5" w:rsidRPr="00A23B15">
        <w:rPr>
          <w:rFonts w:cs="Arial"/>
          <w:spacing w:val="1"/>
          <w:lang w:eastAsia="fr-FR"/>
        </w:rPr>
        <w:t>Intended use #4 (Spray for skin application to repel mosquitoes) temperate conditions and Intended use #3 (Spray to treat clothes against mosquitoes)</w:t>
      </w:r>
    </w:p>
    <w:p w14:paraId="7AE609A4" w14:textId="35843051" w:rsidR="00D748E5" w:rsidRPr="00473E21" w:rsidRDefault="00D748E5" w:rsidP="00A23B15">
      <w:pPr>
        <w:pStyle w:val="Paragraphedeliste"/>
        <w:widowControl w:val="0"/>
        <w:numPr>
          <w:ilvl w:val="0"/>
          <w:numId w:val="42"/>
        </w:numPr>
        <w:kinsoku w:val="0"/>
        <w:overflowPunct w:val="0"/>
        <w:autoSpaceDE w:val="0"/>
        <w:autoSpaceDN w:val="0"/>
        <w:adjustRightInd w:val="0"/>
        <w:spacing w:before="292" w:after="0" w:line="290" w:lineRule="exact"/>
        <w:ind w:right="216"/>
        <w:jc w:val="both"/>
        <w:textAlignment w:val="baseline"/>
        <w:rPr>
          <w:rFonts w:cs="Arial"/>
          <w:spacing w:val="1"/>
          <w:lang w:eastAsia="fr-FR"/>
        </w:rPr>
      </w:pPr>
      <w:r w:rsidRPr="00473E21">
        <w:rPr>
          <w:rFonts w:cs="Arial"/>
          <w:spacing w:val="1"/>
          <w:lang w:eastAsia="fr-FR"/>
        </w:rPr>
        <w:lastRenderedPageBreak/>
        <w:t xml:space="preserve">For combined treatment, the risk is acceptable for adults </w:t>
      </w:r>
      <w:r w:rsidR="008E003D">
        <w:rPr>
          <w:rFonts w:cs="Arial"/>
          <w:spacing w:val="1"/>
          <w:lang w:eastAsia="fr-FR"/>
        </w:rPr>
        <w:t xml:space="preserve">and children more than 12 years, </w:t>
      </w:r>
      <w:r w:rsidRPr="00473E21">
        <w:rPr>
          <w:rFonts w:cs="Arial"/>
          <w:spacing w:val="1"/>
          <w:lang w:eastAsia="fr-FR"/>
        </w:rPr>
        <w:t xml:space="preserve">but </w:t>
      </w:r>
      <w:r w:rsidR="00991AD7">
        <w:rPr>
          <w:rFonts w:cs="Arial"/>
          <w:spacing w:val="1"/>
          <w:lang w:eastAsia="fr-FR"/>
        </w:rPr>
        <w:t>u</w:t>
      </w:r>
      <w:r w:rsidRPr="00473E21">
        <w:rPr>
          <w:rFonts w:cs="Arial"/>
          <w:spacing w:val="1"/>
          <w:lang w:eastAsia="fr-FR"/>
        </w:rPr>
        <w:t>nacceptable for children</w:t>
      </w:r>
      <w:r w:rsidR="004F1CFE" w:rsidRPr="004F1CFE">
        <w:rPr>
          <w:rFonts w:cs="Arial"/>
          <w:spacing w:val="1"/>
          <w:lang w:eastAsia="fr-FR"/>
        </w:rPr>
        <w:t xml:space="preserve"> </w:t>
      </w:r>
      <w:r w:rsidR="004F1CFE">
        <w:rPr>
          <w:rFonts w:cs="Arial"/>
          <w:spacing w:val="1"/>
          <w:lang w:eastAsia="fr-FR"/>
        </w:rPr>
        <w:t>under 12 years</w:t>
      </w:r>
      <w:r w:rsidRPr="00473E21">
        <w:rPr>
          <w:rFonts w:cs="Arial"/>
          <w:spacing w:val="1"/>
          <w:lang w:eastAsia="fr-FR"/>
        </w:rPr>
        <w:t xml:space="preserve">. </w:t>
      </w:r>
    </w:p>
    <w:p w14:paraId="15C460CF" w14:textId="7A16868C" w:rsidR="00A23B15" w:rsidRDefault="004216DE" w:rsidP="00A23B15">
      <w:pPr>
        <w:widowControl w:val="0"/>
        <w:kinsoku w:val="0"/>
        <w:overflowPunct w:val="0"/>
        <w:autoSpaceDE w:val="0"/>
        <w:autoSpaceDN w:val="0"/>
        <w:adjustRightInd w:val="0"/>
        <w:spacing w:before="292" w:after="0" w:line="290" w:lineRule="exact"/>
        <w:ind w:right="216"/>
        <w:jc w:val="both"/>
        <w:textAlignment w:val="baseline"/>
        <w:rPr>
          <w:rFonts w:cs="Arial"/>
          <w:spacing w:val="1"/>
          <w:lang w:eastAsia="fr-FR"/>
        </w:rPr>
      </w:pPr>
      <w:r w:rsidRPr="00A23B15">
        <w:rPr>
          <w:rFonts w:cs="Arial"/>
          <w:spacing w:val="1"/>
          <w:lang w:eastAsia="fr-FR"/>
        </w:rPr>
        <w:t xml:space="preserve">For </w:t>
      </w:r>
      <w:r w:rsidR="00D748E5" w:rsidRPr="00A23B15">
        <w:rPr>
          <w:rFonts w:cs="Arial"/>
          <w:spacing w:val="1"/>
          <w:lang w:eastAsia="fr-FR"/>
        </w:rPr>
        <w:t>Intended use #6 (Spray for skin application to repel ticks) and Intended use #5 (Spray to treat clothes against ticks)</w:t>
      </w:r>
      <w:r w:rsidR="00A23B15">
        <w:rPr>
          <w:rFonts w:cs="Arial"/>
          <w:spacing w:val="1"/>
          <w:lang w:eastAsia="fr-FR"/>
        </w:rPr>
        <w:t>:</w:t>
      </w:r>
    </w:p>
    <w:p w14:paraId="7F8A4B03" w14:textId="5D99672C" w:rsidR="00D748E5" w:rsidRDefault="00D748E5" w:rsidP="00A23B15">
      <w:pPr>
        <w:pStyle w:val="Paragraphedeliste"/>
        <w:widowControl w:val="0"/>
        <w:numPr>
          <w:ilvl w:val="0"/>
          <w:numId w:val="42"/>
        </w:numPr>
        <w:kinsoku w:val="0"/>
        <w:overflowPunct w:val="0"/>
        <w:autoSpaceDE w:val="0"/>
        <w:autoSpaceDN w:val="0"/>
        <w:adjustRightInd w:val="0"/>
        <w:spacing w:before="292" w:after="0" w:line="290" w:lineRule="exact"/>
        <w:ind w:right="216"/>
        <w:jc w:val="both"/>
        <w:textAlignment w:val="baseline"/>
        <w:rPr>
          <w:lang w:eastAsia="fr-FR"/>
        </w:rPr>
      </w:pPr>
      <w:r w:rsidRPr="00473E21">
        <w:rPr>
          <w:lang w:eastAsia="fr-FR"/>
        </w:rPr>
        <w:t xml:space="preserve">For combined treatment, the risk is unacceptable for adults and children. </w:t>
      </w:r>
    </w:p>
    <w:p w14:paraId="6117FADE" w14:textId="77777777" w:rsidR="00A23B15" w:rsidRPr="00473E21" w:rsidRDefault="00A23B15" w:rsidP="00A23B15">
      <w:pPr>
        <w:pStyle w:val="Paragraphedeliste"/>
        <w:widowControl w:val="0"/>
        <w:kinsoku w:val="0"/>
        <w:overflowPunct w:val="0"/>
        <w:autoSpaceDE w:val="0"/>
        <w:autoSpaceDN w:val="0"/>
        <w:adjustRightInd w:val="0"/>
        <w:spacing w:before="292" w:after="0" w:line="290" w:lineRule="exact"/>
        <w:ind w:left="1068" w:right="216"/>
        <w:jc w:val="both"/>
        <w:textAlignment w:val="baseline"/>
        <w:rPr>
          <w:lang w:eastAsia="fr-FR"/>
        </w:rPr>
      </w:pPr>
    </w:p>
    <w:p w14:paraId="776CB4D6" w14:textId="6489CEAF" w:rsidR="00D748E5" w:rsidRPr="00A23B15" w:rsidRDefault="0043780C"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spacing w:val="1"/>
          <w:lang w:eastAsia="fr-FR"/>
        </w:rPr>
      </w:pPr>
      <w:r w:rsidRPr="00A23B15">
        <w:rPr>
          <w:rFonts w:cs="Arial"/>
          <w:b/>
          <w:spacing w:val="1"/>
          <w:lang w:eastAsia="fr-FR"/>
        </w:rPr>
        <w:t xml:space="preserve">Therefore, </w:t>
      </w:r>
      <w:r w:rsidR="004216DE" w:rsidRPr="00A23B15">
        <w:rPr>
          <w:rFonts w:cs="Arial"/>
          <w:b/>
          <w:spacing w:val="1"/>
          <w:lang w:eastAsia="fr-FR"/>
        </w:rPr>
        <w:t>for combined treatment, RMM are prop</w:t>
      </w:r>
      <w:r w:rsidR="00ED6D5C" w:rsidRPr="00A23B15">
        <w:rPr>
          <w:rFonts w:cs="Arial"/>
          <w:b/>
          <w:spacing w:val="1"/>
          <w:lang w:eastAsia="fr-FR"/>
        </w:rPr>
        <w:t>o</w:t>
      </w:r>
      <w:r w:rsidR="004216DE" w:rsidRPr="00A23B15">
        <w:rPr>
          <w:rFonts w:cs="Arial"/>
          <w:b/>
          <w:spacing w:val="1"/>
          <w:lang w:eastAsia="fr-FR"/>
        </w:rPr>
        <w:t>sed and specified in the SPC</w:t>
      </w:r>
      <w:r w:rsidR="00ED6D5C" w:rsidRPr="00A23B15">
        <w:rPr>
          <w:rFonts w:cs="Arial"/>
          <w:b/>
          <w:spacing w:val="1"/>
          <w:lang w:eastAsia="fr-FR"/>
        </w:rPr>
        <w:t xml:space="preserve"> and summarized in the table below</w:t>
      </w:r>
      <w:r w:rsidR="004216DE" w:rsidRPr="00A23B15">
        <w:rPr>
          <w:rFonts w:cs="Arial"/>
          <w:b/>
          <w:spacing w:val="1"/>
          <w:lang w:eastAsia="fr-FR"/>
        </w:rPr>
        <w:t>.</w:t>
      </w:r>
    </w:p>
    <w:p w14:paraId="65416F72" w14:textId="77777777" w:rsidR="00D748E5" w:rsidRPr="00473E21" w:rsidRDefault="00D748E5"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spacing w:val="1"/>
          <w:lang w:eastAsia="fr-FR"/>
        </w:rPr>
      </w:pPr>
    </w:p>
    <w:p w14:paraId="1A5D598F" w14:textId="774E15DB" w:rsidR="00D748E5" w:rsidRPr="004F1CFE" w:rsidRDefault="00D331EE"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color w:val="5B9BD5" w:themeColor="accent1"/>
          <w:spacing w:val="1"/>
          <w:lang w:eastAsia="fr-FR"/>
        </w:rPr>
      </w:pPr>
      <w:r w:rsidRPr="004F1CFE">
        <w:rPr>
          <w:rFonts w:cs="Arial"/>
          <w:b/>
          <w:color w:val="5B9BD5" w:themeColor="accent1"/>
          <w:spacing w:val="1"/>
          <w:lang w:eastAsia="fr-FR"/>
        </w:rPr>
        <w:t>[</w:t>
      </w:r>
      <w:r w:rsidR="00D748E5" w:rsidRPr="004F1CFE">
        <w:rPr>
          <w:rFonts w:cs="Arial"/>
          <w:b/>
          <w:color w:val="5B9BD5" w:themeColor="accent1"/>
          <w:spacing w:val="1"/>
          <w:lang w:eastAsia="fr-FR"/>
        </w:rPr>
        <w:t>IN FRANCE ONLY</w:t>
      </w:r>
      <w:r w:rsidRPr="004F1CFE">
        <w:rPr>
          <w:rFonts w:cs="Arial"/>
          <w:b/>
          <w:color w:val="5B9BD5" w:themeColor="accent1"/>
          <w:spacing w:val="1"/>
          <w:lang w:eastAsia="fr-FR"/>
        </w:rPr>
        <w:t>]</w:t>
      </w:r>
    </w:p>
    <w:p w14:paraId="2B30B82C" w14:textId="7D8BE508" w:rsidR="00A66082" w:rsidRPr="004F1CFE" w:rsidRDefault="00A66082" w:rsidP="00A66082">
      <w:pPr>
        <w:widowControl w:val="0"/>
        <w:kinsoku w:val="0"/>
        <w:overflowPunct w:val="0"/>
        <w:autoSpaceDE w:val="0"/>
        <w:autoSpaceDN w:val="0"/>
        <w:adjustRightInd w:val="0"/>
        <w:spacing w:before="292" w:after="0" w:line="290" w:lineRule="exact"/>
        <w:ind w:right="216"/>
        <w:jc w:val="both"/>
        <w:textAlignment w:val="baseline"/>
        <w:rPr>
          <w:rFonts w:cs="Arial"/>
          <w:color w:val="5B9BD5" w:themeColor="accent1"/>
          <w:spacing w:val="1"/>
          <w:lang w:eastAsia="fr-FR"/>
        </w:rPr>
      </w:pPr>
      <w:r w:rsidRPr="004F1CFE">
        <w:rPr>
          <w:rFonts w:cs="Arial"/>
          <w:color w:val="5B9BD5" w:themeColor="accent1"/>
          <w:spacing w:val="1"/>
          <w:lang w:eastAsia="fr-FR"/>
        </w:rPr>
        <w:t xml:space="preserve">Given the risk of vector-borne diseases transmission in France, FR CA considers that </w:t>
      </w:r>
      <w:r w:rsidR="00F526F4" w:rsidRPr="004F1CFE">
        <w:rPr>
          <w:rFonts w:cs="Arial"/>
          <w:color w:val="5B9BD5" w:themeColor="accent1"/>
          <w:spacing w:val="1"/>
          <w:lang w:eastAsia="fr-FR"/>
        </w:rPr>
        <w:t xml:space="preserve">SPRAY REPULSIF IR200 </w:t>
      </w:r>
      <w:r w:rsidRPr="004F1CFE">
        <w:rPr>
          <w:rFonts w:cs="Arial"/>
          <w:color w:val="5B9BD5" w:themeColor="accent1"/>
          <w:spacing w:val="1"/>
          <w:lang w:eastAsia="fr-FR"/>
        </w:rPr>
        <w:t>could be authorized for application on humans, with appropriate risk mitigation measures that limit human exposure</w:t>
      </w:r>
      <w:r w:rsidR="00F526F4" w:rsidRPr="004F1CFE">
        <w:rPr>
          <w:rFonts w:cs="Arial"/>
          <w:color w:val="5B9BD5" w:themeColor="accent1"/>
          <w:spacing w:val="1"/>
          <w:lang w:eastAsia="fr-FR"/>
        </w:rPr>
        <w:t>,</w:t>
      </w:r>
      <w:r w:rsidRPr="004F1CFE">
        <w:rPr>
          <w:rFonts w:cs="Arial"/>
          <w:color w:val="5B9BD5" w:themeColor="accent1"/>
          <w:spacing w:val="1"/>
          <w:lang w:eastAsia="fr-FR"/>
        </w:rPr>
        <w:t xml:space="preserve"> based on article 19(5). The following RMMs are considered as applicable in France: </w:t>
      </w:r>
    </w:p>
    <w:p w14:paraId="07163E37" w14:textId="549998C3" w:rsidR="00A66082" w:rsidRPr="004F1CFE" w:rsidRDefault="00A66082" w:rsidP="00A66082">
      <w:pPr>
        <w:widowControl w:val="0"/>
        <w:kinsoku w:val="0"/>
        <w:overflowPunct w:val="0"/>
        <w:autoSpaceDE w:val="0"/>
        <w:autoSpaceDN w:val="0"/>
        <w:adjustRightInd w:val="0"/>
        <w:spacing w:before="292" w:after="0" w:line="290" w:lineRule="exact"/>
        <w:ind w:right="216"/>
        <w:jc w:val="both"/>
        <w:textAlignment w:val="baseline"/>
        <w:rPr>
          <w:rFonts w:cs="Arial"/>
          <w:color w:val="5B9BD5" w:themeColor="accent1"/>
          <w:spacing w:val="1"/>
          <w:lang w:eastAsia="fr-FR"/>
        </w:rPr>
      </w:pPr>
      <w:r w:rsidRPr="004F1CFE">
        <w:rPr>
          <w:rFonts w:cs="Arial"/>
          <w:color w:val="5B9BD5" w:themeColor="accent1"/>
          <w:spacing w:val="1"/>
          <w:lang w:eastAsia="fr-FR"/>
        </w:rPr>
        <w:t>-</w:t>
      </w:r>
      <w:r w:rsidRPr="004F1CFE">
        <w:rPr>
          <w:rFonts w:cs="Arial"/>
          <w:color w:val="5B9BD5" w:themeColor="accent1"/>
          <w:spacing w:val="1"/>
          <w:lang w:eastAsia="fr-FR"/>
        </w:rPr>
        <w:tab/>
        <w:t xml:space="preserve">For adult: “apply on the face, neck, hands, ¾ arms, ½ legs” </w:t>
      </w:r>
    </w:p>
    <w:p w14:paraId="3A253086" w14:textId="1920B001" w:rsidR="00D748E5" w:rsidRPr="004F1CFE" w:rsidRDefault="00A66082" w:rsidP="00991AD7">
      <w:pPr>
        <w:pStyle w:val="Paragraphedeliste"/>
        <w:widowControl w:val="0"/>
        <w:kinsoku w:val="0"/>
        <w:overflowPunct w:val="0"/>
        <w:autoSpaceDE w:val="0"/>
        <w:autoSpaceDN w:val="0"/>
        <w:adjustRightInd w:val="0"/>
        <w:spacing w:before="292" w:after="0" w:line="290" w:lineRule="exact"/>
        <w:ind w:left="709" w:right="216" w:hanging="709"/>
        <w:jc w:val="both"/>
        <w:textAlignment w:val="baseline"/>
        <w:rPr>
          <w:rFonts w:cs="Arial"/>
          <w:color w:val="5B9BD5" w:themeColor="accent1"/>
          <w:spacing w:val="1"/>
          <w:lang w:eastAsia="fr-FR"/>
        </w:rPr>
      </w:pPr>
      <w:r w:rsidRPr="004F1CFE">
        <w:rPr>
          <w:rFonts w:cs="Arial"/>
          <w:color w:val="5B9BD5" w:themeColor="accent1"/>
          <w:spacing w:val="1"/>
          <w:lang w:eastAsia="fr-FR"/>
        </w:rPr>
        <w:t>-</w:t>
      </w:r>
      <w:r w:rsidRPr="004F1CFE">
        <w:rPr>
          <w:rFonts w:cs="Arial"/>
          <w:color w:val="5B9BD5" w:themeColor="accent1"/>
          <w:spacing w:val="1"/>
          <w:lang w:eastAsia="fr-FR"/>
        </w:rPr>
        <w:tab/>
        <w:t>For children: “do not apply the product on hands of child” and “apply on the face, neck, ¾ arms and ½ legs”</w:t>
      </w:r>
    </w:p>
    <w:p w14:paraId="499559D3" w14:textId="77777777" w:rsidR="00A66082" w:rsidRPr="004F1CFE" w:rsidRDefault="00A66082" w:rsidP="00A66082">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p>
    <w:p w14:paraId="3FC34F15" w14:textId="2E62F55D" w:rsidR="00D748E5" w:rsidRPr="00A23B15" w:rsidRDefault="00ED6D5C"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r w:rsidRPr="00A23B15">
        <w:rPr>
          <w:rFonts w:cs="Arial"/>
          <w:color w:val="5B9BD5" w:themeColor="accent1"/>
          <w:spacing w:val="1"/>
          <w:lang w:eastAsia="fr-FR"/>
        </w:rPr>
        <w:t xml:space="preserve">For </w:t>
      </w:r>
      <w:r w:rsidR="00D748E5" w:rsidRPr="00A23B15">
        <w:rPr>
          <w:rFonts w:cs="Arial"/>
          <w:color w:val="5B9BD5" w:themeColor="accent1"/>
          <w:spacing w:val="1"/>
          <w:lang w:eastAsia="fr-FR"/>
        </w:rPr>
        <w:t>Intended use #4 (Spray for skin application to repel mosquitoes)</w:t>
      </w:r>
      <w:r>
        <w:rPr>
          <w:rFonts w:cs="Arial"/>
          <w:color w:val="5B9BD5" w:themeColor="accent1"/>
          <w:spacing w:val="1"/>
          <w:lang w:eastAsia="fr-FR"/>
        </w:rPr>
        <w:t xml:space="preserve">: </w:t>
      </w:r>
    </w:p>
    <w:p w14:paraId="0493BED4" w14:textId="47A16835" w:rsidR="00D748E5" w:rsidRPr="004F1CFE" w:rsidRDefault="00D748E5"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p>
    <w:p w14:paraId="330C726E" w14:textId="77777777" w:rsidR="00D748E5" w:rsidRPr="004F1CFE" w:rsidRDefault="00D748E5"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p>
    <w:p w14:paraId="1FC04B69" w14:textId="29D80E2B" w:rsidR="00D748E5" w:rsidRPr="004F1CFE" w:rsidRDefault="00D748E5" w:rsidP="00991AD7">
      <w:pPr>
        <w:pStyle w:val="Paragraphedeliste"/>
        <w:widowControl w:val="0"/>
        <w:kinsoku w:val="0"/>
        <w:overflowPunct w:val="0"/>
        <w:autoSpaceDE w:val="0"/>
        <w:autoSpaceDN w:val="0"/>
        <w:adjustRightInd w:val="0"/>
        <w:spacing w:before="292" w:after="0" w:line="290" w:lineRule="exact"/>
        <w:ind w:left="426" w:right="216" w:hanging="426"/>
        <w:jc w:val="both"/>
        <w:textAlignment w:val="baseline"/>
        <w:rPr>
          <w:rFonts w:cs="Arial"/>
          <w:color w:val="5B9BD5" w:themeColor="accent1"/>
          <w:spacing w:val="1"/>
          <w:lang w:eastAsia="fr-FR"/>
        </w:rPr>
      </w:pPr>
      <w:r w:rsidRPr="004F1CFE">
        <w:rPr>
          <w:rFonts w:cs="Arial"/>
          <w:color w:val="5B9BD5" w:themeColor="accent1"/>
          <w:spacing w:val="1"/>
          <w:lang w:eastAsia="fr-FR"/>
        </w:rPr>
        <w:t>-</w:t>
      </w:r>
      <w:r w:rsidRPr="004F1CFE">
        <w:rPr>
          <w:rFonts w:cs="Arial"/>
          <w:color w:val="5B9BD5" w:themeColor="accent1"/>
          <w:spacing w:val="1"/>
          <w:lang w:eastAsia="fr-FR"/>
        </w:rPr>
        <w:tab/>
        <w:t xml:space="preserve">Tropical </w:t>
      </w:r>
      <w:r w:rsidR="00A23B15" w:rsidRPr="004F1CFE">
        <w:rPr>
          <w:rFonts w:cs="Arial"/>
          <w:color w:val="5B9BD5" w:themeColor="accent1"/>
          <w:spacing w:val="1"/>
          <w:lang w:eastAsia="fr-FR"/>
        </w:rPr>
        <w:t>condition</w:t>
      </w:r>
      <w:r w:rsidR="00A23B15">
        <w:rPr>
          <w:rFonts w:cs="Arial"/>
          <w:color w:val="5B9BD5" w:themeColor="accent1"/>
          <w:spacing w:val="1"/>
          <w:lang w:eastAsia="fr-FR"/>
        </w:rPr>
        <w:t>:</w:t>
      </w:r>
      <w:r w:rsidR="00ED6D5C">
        <w:rPr>
          <w:rFonts w:cs="Arial"/>
          <w:color w:val="5B9BD5" w:themeColor="accent1"/>
          <w:spacing w:val="1"/>
          <w:lang w:eastAsia="fr-FR"/>
        </w:rPr>
        <w:t xml:space="preserve">  </w:t>
      </w:r>
      <w:r w:rsidR="009E5803">
        <w:rPr>
          <w:rFonts w:cs="Arial"/>
          <w:color w:val="5B9BD5" w:themeColor="accent1"/>
          <w:spacing w:val="1"/>
          <w:lang w:eastAsia="fr-FR"/>
        </w:rPr>
        <w:t xml:space="preserve">The risk is </w:t>
      </w:r>
      <w:r w:rsidR="00A23B15">
        <w:rPr>
          <w:rFonts w:cs="Arial"/>
          <w:color w:val="5B9BD5" w:themeColor="accent1"/>
          <w:spacing w:val="1"/>
          <w:lang w:eastAsia="fr-FR"/>
        </w:rPr>
        <w:t xml:space="preserve">unacceptable </w:t>
      </w:r>
      <w:r w:rsidR="00A23B15" w:rsidRPr="004F1CFE">
        <w:rPr>
          <w:rFonts w:cs="Arial"/>
          <w:color w:val="5B9BD5" w:themeColor="accent1"/>
          <w:spacing w:val="1"/>
          <w:lang w:eastAsia="fr-FR"/>
        </w:rPr>
        <w:t>for</w:t>
      </w:r>
      <w:r w:rsidRPr="004F1CFE">
        <w:rPr>
          <w:rFonts w:cs="Arial"/>
          <w:color w:val="5B9BD5" w:themeColor="accent1"/>
          <w:spacing w:val="1"/>
          <w:lang w:eastAsia="fr-FR"/>
        </w:rPr>
        <w:t xml:space="preserve"> children </w:t>
      </w:r>
      <w:r w:rsidR="00991AD7">
        <w:rPr>
          <w:rFonts w:cs="Arial"/>
          <w:color w:val="5B9BD5" w:themeColor="accent1"/>
          <w:spacing w:val="1"/>
          <w:lang w:eastAsia="fr-FR"/>
        </w:rPr>
        <w:t xml:space="preserve">from 6 to </w:t>
      </w:r>
      <w:r w:rsidR="004F1CFE">
        <w:rPr>
          <w:rFonts w:cs="Arial"/>
          <w:color w:val="5B9BD5" w:themeColor="accent1"/>
          <w:spacing w:val="1"/>
          <w:lang w:eastAsia="fr-FR"/>
        </w:rPr>
        <w:t xml:space="preserve">12 years </w:t>
      </w:r>
      <w:r w:rsidRPr="004F1CFE">
        <w:rPr>
          <w:rFonts w:cs="Arial"/>
          <w:color w:val="5B9BD5" w:themeColor="accent1"/>
          <w:spacing w:val="1"/>
          <w:lang w:eastAsia="fr-FR"/>
        </w:rPr>
        <w:t xml:space="preserve">considering </w:t>
      </w:r>
      <w:r w:rsidR="009E5803">
        <w:rPr>
          <w:rFonts w:cs="Arial"/>
          <w:color w:val="5B9BD5" w:themeColor="accent1"/>
          <w:spacing w:val="1"/>
          <w:lang w:eastAsia="fr-FR"/>
        </w:rPr>
        <w:t>two</w:t>
      </w:r>
      <w:r w:rsidR="009E5803" w:rsidRPr="004F1CFE">
        <w:rPr>
          <w:rFonts w:cs="Arial"/>
          <w:color w:val="5B9BD5" w:themeColor="accent1"/>
          <w:spacing w:val="1"/>
          <w:lang w:eastAsia="fr-FR"/>
        </w:rPr>
        <w:t xml:space="preserve"> </w:t>
      </w:r>
      <w:r w:rsidRPr="004F1CFE">
        <w:rPr>
          <w:rFonts w:cs="Arial"/>
          <w:color w:val="5B9BD5" w:themeColor="accent1"/>
          <w:spacing w:val="1"/>
          <w:lang w:eastAsia="fr-FR"/>
        </w:rPr>
        <w:t>application</w:t>
      </w:r>
      <w:r w:rsidR="009E5803">
        <w:rPr>
          <w:rFonts w:cs="Arial"/>
          <w:color w:val="5B9BD5" w:themeColor="accent1"/>
          <w:spacing w:val="1"/>
          <w:lang w:eastAsia="fr-FR"/>
        </w:rPr>
        <w:t>s</w:t>
      </w:r>
      <w:r w:rsidRPr="004F1CFE">
        <w:rPr>
          <w:rFonts w:cs="Arial"/>
          <w:color w:val="5B9BD5" w:themeColor="accent1"/>
          <w:spacing w:val="1"/>
          <w:lang w:eastAsia="fr-FR"/>
        </w:rPr>
        <w:t xml:space="preserve"> per day</w:t>
      </w:r>
      <w:r w:rsidR="00A23B15">
        <w:rPr>
          <w:rFonts w:cs="Arial"/>
          <w:color w:val="5B9BD5" w:themeColor="accent1"/>
          <w:spacing w:val="1"/>
          <w:lang w:eastAsia="fr-FR"/>
        </w:rPr>
        <w:t xml:space="preserve"> (</w:t>
      </w:r>
      <w:r w:rsidR="005B5EB8">
        <w:rPr>
          <w:rFonts w:cs="Arial"/>
          <w:color w:val="5B9BD5" w:themeColor="accent1"/>
          <w:spacing w:val="1"/>
          <w:lang w:eastAsia="fr-FR"/>
        </w:rPr>
        <w:t>as claimed by the applicant)</w:t>
      </w:r>
      <w:r w:rsidR="009E5803">
        <w:rPr>
          <w:rFonts w:cs="Arial"/>
          <w:color w:val="5B9BD5" w:themeColor="accent1"/>
          <w:spacing w:val="1"/>
          <w:lang w:eastAsia="fr-FR"/>
        </w:rPr>
        <w:t xml:space="preserve"> but acceptable considering </w:t>
      </w:r>
      <w:r w:rsidR="00991AD7">
        <w:rPr>
          <w:rFonts w:cs="Arial"/>
          <w:color w:val="5B9BD5" w:themeColor="accent1"/>
          <w:spacing w:val="1"/>
          <w:lang w:eastAsia="fr-FR"/>
        </w:rPr>
        <w:t xml:space="preserve">only </w:t>
      </w:r>
      <w:r w:rsidR="009E5803">
        <w:rPr>
          <w:rFonts w:cs="Arial"/>
          <w:color w:val="5B9BD5" w:themeColor="accent1"/>
          <w:spacing w:val="1"/>
          <w:lang w:eastAsia="fr-FR"/>
        </w:rPr>
        <w:t>one application.</w:t>
      </w:r>
    </w:p>
    <w:p w14:paraId="55184F0C" w14:textId="77777777" w:rsidR="00BF5A0D" w:rsidRPr="004F1CFE" w:rsidRDefault="00BF5A0D"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p>
    <w:p w14:paraId="4E222C83" w14:textId="46A68DD6" w:rsidR="00ED6D5C" w:rsidRDefault="00ED6D5C"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r w:rsidRPr="00A23B15">
        <w:rPr>
          <w:rFonts w:cs="Arial"/>
          <w:color w:val="5B9BD5" w:themeColor="accent1"/>
          <w:spacing w:val="1"/>
          <w:lang w:eastAsia="fr-FR"/>
        </w:rPr>
        <w:t xml:space="preserve">For </w:t>
      </w:r>
      <w:r w:rsidR="00D748E5" w:rsidRPr="00A23B15">
        <w:rPr>
          <w:rFonts w:cs="Arial"/>
          <w:color w:val="5B9BD5" w:themeColor="accent1"/>
          <w:spacing w:val="1"/>
          <w:lang w:eastAsia="fr-FR"/>
        </w:rPr>
        <w:t>Intended use #</w:t>
      </w:r>
      <w:r w:rsidR="00BF3080">
        <w:rPr>
          <w:rFonts w:cs="Arial"/>
          <w:color w:val="5B9BD5" w:themeColor="accent1"/>
          <w:spacing w:val="1"/>
          <w:lang w:eastAsia="fr-FR"/>
        </w:rPr>
        <w:t>5</w:t>
      </w:r>
      <w:r w:rsidR="00D748E5" w:rsidRPr="00A23B15">
        <w:rPr>
          <w:rFonts w:cs="Arial"/>
          <w:color w:val="5B9BD5" w:themeColor="accent1"/>
          <w:spacing w:val="1"/>
          <w:lang w:eastAsia="fr-FR"/>
        </w:rPr>
        <w:t xml:space="preserve"> (Spray for </w:t>
      </w:r>
      <w:r w:rsidR="00BF3080">
        <w:rPr>
          <w:rFonts w:cs="Arial"/>
          <w:color w:val="5B9BD5" w:themeColor="accent1"/>
          <w:spacing w:val="1"/>
          <w:lang w:eastAsia="fr-FR"/>
        </w:rPr>
        <w:t>clothes</w:t>
      </w:r>
      <w:r w:rsidR="00BF3080" w:rsidRPr="00A23B15">
        <w:rPr>
          <w:rFonts w:cs="Arial"/>
          <w:color w:val="5B9BD5" w:themeColor="accent1"/>
          <w:spacing w:val="1"/>
          <w:lang w:eastAsia="fr-FR"/>
        </w:rPr>
        <w:t xml:space="preserve"> </w:t>
      </w:r>
      <w:r w:rsidR="00D748E5" w:rsidRPr="00A23B15">
        <w:rPr>
          <w:rFonts w:cs="Arial"/>
          <w:color w:val="5B9BD5" w:themeColor="accent1"/>
          <w:spacing w:val="1"/>
          <w:lang w:eastAsia="fr-FR"/>
        </w:rPr>
        <w:t>application to repel ticks)</w:t>
      </w:r>
      <w:r>
        <w:rPr>
          <w:rFonts w:cs="Arial"/>
          <w:color w:val="5B9BD5" w:themeColor="accent1"/>
          <w:spacing w:val="1"/>
          <w:lang w:eastAsia="fr-FR"/>
        </w:rPr>
        <w:t xml:space="preserve">: </w:t>
      </w:r>
    </w:p>
    <w:p w14:paraId="3C2583B7" w14:textId="01F25909" w:rsidR="00D748E5" w:rsidRPr="00A23B15" w:rsidRDefault="005B5EB8" w:rsidP="00EA7456">
      <w:pPr>
        <w:pStyle w:val="Paragraphedeliste"/>
        <w:widowControl w:val="0"/>
        <w:numPr>
          <w:ilvl w:val="0"/>
          <w:numId w:val="42"/>
        </w:numPr>
        <w:kinsoku w:val="0"/>
        <w:overflowPunct w:val="0"/>
        <w:autoSpaceDE w:val="0"/>
        <w:autoSpaceDN w:val="0"/>
        <w:adjustRightInd w:val="0"/>
        <w:spacing w:before="292" w:after="0" w:line="290" w:lineRule="exact"/>
        <w:ind w:left="426" w:right="216" w:hanging="426"/>
        <w:jc w:val="both"/>
        <w:textAlignment w:val="baseline"/>
        <w:rPr>
          <w:rFonts w:cs="Arial"/>
          <w:color w:val="5B9BD5" w:themeColor="accent1"/>
          <w:spacing w:val="1"/>
          <w:lang w:eastAsia="fr-FR"/>
        </w:rPr>
      </w:pPr>
      <w:r w:rsidRPr="00A23B15">
        <w:rPr>
          <w:rFonts w:cs="Arial"/>
          <w:color w:val="5B9BD5" w:themeColor="accent1"/>
          <w:spacing w:val="1"/>
          <w:lang w:eastAsia="fr-FR"/>
        </w:rPr>
        <w:t>The risk is unacceptable for children younger than 1 year.</w:t>
      </w:r>
    </w:p>
    <w:p w14:paraId="3C601615" w14:textId="77777777" w:rsidR="00A23B15" w:rsidRDefault="00A23B15"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p>
    <w:p w14:paraId="6408377B" w14:textId="59703E9E" w:rsidR="00BF3080" w:rsidRPr="00A23B15" w:rsidRDefault="00BF3080" w:rsidP="00BF3080">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color w:val="5B9BD5" w:themeColor="accent1"/>
          <w:spacing w:val="1"/>
          <w:lang w:eastAsia="fr-FR"/>
        </w:rPr>
      </w:pPr>
      <w:r w:rsidRPr="00A23B15">
        <w:rPr>
          <w:rFonts w:cs="Arial"/>
          <w:b/>
          <w:color w:val="5B9BD5" w:themeColor="accent1"/>
          <w:spacing w:val="1"/>
          <w:lang w:eastAsia="fr-FR"/>
        </w:rPr>
        <w:t>For other intended uses (intended uses #2, #3 and #6 and #7) , risk is acceptable for adults and children in the conditions of uses specified in the SPC.</w:t>
      </w:r>
    </w:p>
    <w:p w14:paraId="421468DD" w14:textId="77777777" w:rsidR="00BF3080" w:rsidRDefault="00BF3080"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p>
    <w:p w14:paraId="79A82D10" w14:textId="3F4F67B0" w:rsidR="00132118" w:rsidRPr="004F1CFE" w:rsidRDefault="00132118"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p>
    <w:p w14:paraId="063AE9B0" w14:textId="69A87A68" w:rsidR="00D748E5" w:rsidRPr="004F1CFE" w:rsidRDefault="00D748E5"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r w:rsidRPr="004F1CFE">
        <w:rPr>
          <w:rFonts w:cs="Arial"/>
          <w:color w:val="5B9BD5" w:themeColor="accent1"/>
          <w:spacing w:val="1"/>
          <w:lang w:eastAsia="fr-FR"/>
        </w:rPr>
        <w:t xml:space="preserve">Risk linked to combined uses </w:t>
      </w:r>
      <w:r w:rsidR="00991AD7">
        <w:rPr>
          <w:rFonts w:cs="Arial"/>
          <w:color w:val="5B9BD5" w:themeColor="accent1"/>
          <w:spacing w:val="1"/>
          <w:lang w:eastAsia="fr-FR"/>
        </w:rPr>
        <w:t xml:space="preserve">(skin and clothes applications) </w:t>
      </w:r>
      <w:r w:rsidRPr="004F1CFE">
        <w:rPr>
          <w:rFonts w:cs="Arial"/>
          <w:color w:val="5B9BD5" w:themeColor="accent1"/>
          <w:spacing w:val="1"/>
          <w:lang w:eastAsia="fr-FR"/>
        </w:rPr>
        <w:t xml:space="preserve">are also assessed: </w:t>
      </w:r>
    </w:p>
    <w:p w14:paraId="7D021C36" w14:textId="2061F3BC" w:rsidR="00D748E5" w:rsidRPr="004F1CFE" w:rsidRDefault="00D748E5"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p>
    <w:p w14:paraId="1C65C64C" w14:textId="3532FA59" w:rsidR="005B5EB8" w:rsidRDefault="00ED6D5C"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r>
        <w:rPr>
          <w:rFonts w:cs="Arial"/>
          <w:color w:val="5B9BD5" w:themeColor="accent1"/>
          <w:spacing w:val="1"/>
          <w:lang w:eastAsia="fr-FR"/>
        </w:rPr>
        <w:t xml:space="preserve">For </w:t>
      </w:r>
      <w:r w:rsidR="00D748E5" w:rsidRPr="00A23B15">
        <w:rPr>
          <w:rFonts w:cs="Arial"/>
          <w:color w:val="5B9BD5" w:themeColor="accent1"/>
          <w:spacing w:val="1"/>
          <w:lang w:eastAsia="fr-FR"/>
        </w:rPr>
        <w:t>Intended use #4 (Spray for skin application to repel mosquitoes) tropical conditions and Intended use #3 (Spray to treat clothes against mosquitoes)</w:t>
      </w:r>
      <w:r w:rsidR="00052F22">
        <w:rPr>
          <w:rFonts w:cs="Arial"/>
          <w:color w:val="5B9BD5" w:themeColor="accent1"/>
          <w:spacing w:val="1"/>
          <w:lang w:eastAsia="fr-FR"/>
        </w:rPr>
        <w:t xml:space="preserve">: </w:t>
      </w:r>
    </w:p>
    <w:p w14:paraId="31A588A1" w14:textId="523331F0" w:rsidR="00D748E5" w:rsidRPr="00991AD7" w:rsidRDefault="00D748E5" w:rsidP="00991AD7">
      <w:pPr>
        <w:pStyle w:val="Paragraphedeliste"/>
        <w:widowControl w:val="0"/>
        <w:numPr>
          <w:ilvl w:val="0"/>
          <w:numId w:val="42"/>
        </w:numPr>
        <w:kinsoku w:val="0"/>
        <w:overflowPunct w:val="0"/>
        <w:autoSpaceDE w:val="0"/>
        <w:autoSpaceDN w:val="0"/>
        <w:adjustRightInd w:val="0"/>
        <w:spacing w:before="292" w:after="0" w:line="290" w:lineRule="exact"/>
        <w:ind w:right="216"/>
        <w:jc w:val="both"/>
        <w:textAlignment w:val="baseline"/>
        <w:rPr>
          <w:rFonts w:cs="Arial"/>
          <w:color w:val="5B9BD5" w:themeColor="accent1"/>
          <w:spacing w:val="1"/>
          <w:lang w:eastAsia="fr-FR"/>
        </w:rPr>
      </w:pPr>
      <w:r w:rsidRPr="004F1CFE">
        <w:rPr>
          <w:rFonts w:cs="Arial"/>
          <w:color w:val="5B9BD5" w:themeColor="accent1"/>
          <w:spacing w:val="1"/>
          <w:lang w:eastAsia="fr-FR"/>
        </w:rPr>
        <w:t xml:space="preserve">For combined treatment, the risk is acceptable for adults and children </w:t>
      </w:r>
      <w:r w:rsidR="00D95FAA" w:rsidRPr="00AA6A9B">
        <w:rPr>
          <w:rFonts w:cs="Arial"/>
          <w:color w:val="5B9BD5" w:themeColor="accent1"/>
          <w:spacing w:val="1"/>
          <w:lang w:eastAsia="fr-FR"/>
        </w:rPr>
        <w:t>of 6 years and more</w:t>
      </w:r>
      <w:r w:rsidRPr="004F1CFE">
        <w:rPr>
          <w:rFonts w:cs="Arial"/>
          <w:color w:val="5B9BD5" w:themeColor="accent1"/>
          <w:spacing w:val="1"/>
          <w:lang w:eastAsia="fr-FR"/>
        </w:rPr>
        <w:t xml:space="preserve"> considering only one application per day on skin.</w:t>
      </w:r>
      <w:r w:rsidRPr="00991AD7">
        <w:rPr>
          <w:rFonts w:cs="Arial"/>
          <w:color w:val="5B9BD5" w:themeColor="accent1"/>
          <w:spacing w:val="1"/>
          <w:lang w:eastAsia="fr-FR"/>
        </w:rPr>
        <w:t>The risk is unacceptable for children younger than 6 years.</w:t>
      </w:r>
    </w:p>
    <w:p w14:paraId="4DB7B8A6" w14:textId="5E8C7892" w:rsidR="005B5EB8" w:rsidRPr="004F1CFE" w:rsidRDefault="005B5EB8"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p>
    <w:p w14:paraId="535C2310" w14:textId="1F4E98AF" w:rsidR="00D748E5" w:rsidRPr="00A23B15" w:rsidRDefault="00052F22"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r>
        <w:rPr>
          <w:rFonts w:cs="Arial"/>
          <w:color w:val="5B9BD5" w:themeColor="accent1"/>
          <w:spacing w:val="1"/>
          <w:lang w:eastAsia="fr-FR"/>
        </w:rPr>
        <w:lastRenderedPageBreak/>
        <w:t xml:space="preserve">For </w:t>
      </w:r>
      <w:r w:rsidR="00D748E5" w:rsidRPr="00A23B15">
        <w:rPr>
          <w:rFonts w:cs="Arial"/>
          <w:color w:val="5B9BD5" w:themeColor="accent1"/>
          <w:spacing w:val="1"/>
          <w:lang w:eastAsia="fr-FR"/>
        </w:rPr>
        <w:t>Intended use #4 (Spray for skin application to repel mosquitoes) temperate conditions and Intended use #3 (Spray to treat clothes against mosquitoes)</w:t>
      </w:r>
      <w:r>
        <w:rPr>
          <w:rFonts w:cs="Arial"/>
          <w:color w:val="5B9BD5" w:themeColor="accent1"/>
          <w:spacing w:val="1"/>
          <w:lang w:eastAsia="fr-FR"/>
        </w:rPr>
        <w:t xml:space="preserve">: </w:t>
      </w:r>
    </w:p>
    <w:p w14:paraId="186C1FD7" w14:textId="036B70CD" w:rsidR="00D748E5" w:rsidRDefault="00A23B15" w:rsidP="00A23B15">
      <w:pPr>
        <w:pStyle w:val="Paragraphedeliste"/>
        <w:widowControl w:val="0"/>
        <w:numPr>
          <w:ilvl w:val="0"/>
          <w:numId w:val="42"/>
        </w:numPr>
        <w:kinsoku w:val="0"/>
        <w:overflowPunct w:val="0"/>
        <w:autoSpaceDE w:val="0"/>
        <w:autoSpaceDN w:val="0"/>
        <w:adjustRightInd w:val="0"/>
        <w:spacing w:before="292" w:after="0" w:line="290" w:lineRule="exact"/>
        <w:ind w:right="216"/>
        <w:jc w:val="both"/>
        <w:textAlignment w:val="baseline"/>
        <w:rPr>
          <w:rFonts w:cs="Arial"/>
          <w:color w:val="5B9BD5" w:themeColor="accent1"/>
          <w:spacing w:val="1"/>
          <w:lang w:eastAsia="fr-FR"/>
        </w:rPr>
      </w:pPr>
      <w:r>
        <w:rPr>
          <w:rFonts w:cs="Arial"/>
          <w:color w:val="5B9BD5" w:themeColor="accent1"/>
          <w:spacing w:val="1"/>
          <w:lang w:eastAsia="fr-FR"/>
        </w:rPr>
        <w:t>For combined treatment, t</w:t>
      </w:r>
      <w:r w:rsidR="00D748E5" w:rsidRPr="004F1CFE">
        <w:rPr>
          <w:rFonts w:cs="Arial"/>
          <w:color w:val="5B9BD5" w:themeColor="accent1"/>
          <w:spacing w:val="1"/>
          <w:lang w:eastAsia="fr-FR"/>
        </w:rPr>
        <w:t>he risk for children younger than 2 years is unacceptable</w:t>
      </w:r>
      <w:r w:rsidR="004F1CFE">
        <w:rPr>
          <w:rFonts w:cs="Arial"/>
          <w:color w:val="5B9BD5" w:themeColor="accent1"/>
          <w:spacing w:val="1"/>
          <w:lang w:eastAsia="fr-FR"/>
        </w:rPr>
        <w:t>.</w:t>
      </w:r>
    </w:p>
    <w:p w14:paraId="4BD3277D" w14:textId="71BB1641" w:rsidR="00C443B8" w:rsidRPr="004F1CFE" w:rsidRDefault="00C443B8" w:rsidP="00A23B15">
      <w:pPr>
        <w:pStyle w:val="Paragraphedeliste"/>
        <w:widowControl w:val="0"/>
        <w:numPr>
          <w:ilvl w:val="0"/>
          <w:numId w:val="42"/>
        </w:numPr>
        <w:kinsoku w:val="0"/>
        <w:overflowPunct w:val="0"/>
        <w:autoSpaceDE w:val="0"/>
        <w:autoSpaceDN w:val="0"/>
        <w:adjustRightInd w:val="0"/>
        <w:spacing w:before="292" w:after="0" w:line="290" w:lineRule="exact"/>
        <w:ind w:right="216"/>
        <w:jc w:val="both"/>
        <w:textAlignment w:val="baseline"/>
        <w:rPr>
          <w:rFonts w:cs="Arial"/>
          <w:color w:val="5B9BD5" w:themeColor="accent1"/>
          <w:spacing w:val="1"/>
          <w:lang w:eastAsia="fr-FR"/>
        </w:rPr>
      </w:pPr>
      <w:r w:rsidRPr="004F1CFE">
        <w:rPr>
          <w:rFonts w:cs="Arial"/>
          <w:color w:val="5B9BD5" w:themeColor="accent1"/>
          <w:spacing w:val="1"/>
          <w:lang w:eastAsia="fr-FR"/>
        </w:rPr>
        <w:t xml:space="preserve">For combined treatment, the risk is acceptable for adults and children </w:t>
      </w:r>
      <w:r w:rsidRPr="00AA6A9B">
        <w:rPr>
          <w:rFonts w:cs="Arial"/>
          <w:color w:val="5B9BD5" w:themeColor="accent1"/>
          <w:spacing w:val="1"/>
          <w:lang w:eastAsia="fr-FR"/>
        </w:rPr>
        <w:t>of 6 years and more</w:t>
      </w:r>
      <w:r w:rsidRPr="004F1CFE">
        <w:rPr>
          <w:rFonts w:cs="Arial"/>
          <w:color w:val="5B9BD5" w:themeColor="accent1"/>
          <w:spacing w:val="1"/>
          <w:lang w:eastAsia="fr-FR"/>
        </w:rPr>
        <w:t xml:space="preserve"> considering only one application per day on skin.</w:t>
      </w:r>
    </w:p>
    <w:p w14:paraId="1A489BD5" w14:textId="77777777" w:rsidR="00BF5A0D" w:rsidRPr="004F1CFE" w:rsidRDefault="00BF5A0D"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color w:val="5B9BD5" w:themeColor="accent1"/>
          <w:spacing w:val="1"/>
          <w:lang w:eastAsia="fr-FR"/>
        </w:rPr>
      </w:pPr>
    </w:p>
    <w:p w14:paraId="475CED72" w14:textId="08932600" w:rsidR="00D748E5" w:rsidRPr="00A23B15" w:rsidRDefault="00052F22"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r>
        <w:rPr>
          <w:rFonts w:cs="Arial"/>
          <w:color w:val="5B9BD5" w:themeColor="accent1"/>
          <w:spacing w:val="1"/>
          <w:lang w:eastAsia="fr-FR"/>
        </w:rPr>
        <w:t xml:space="preserve">For </w:t>
      </w:r>
      <w:r w:rsidR="00D748E5" w:rsidRPr="00A23B15">
        <w:rPr>
          <w:rFonts w:cs="Arial"/>
          <w:color w:val="5B9BD5" w:themeColor="accent1"/>
          <w:spacing w:val="1"/>
          <w:lang w:eastAsia="fr-FR"/>
        </w:rPr>
        <w:t>Intended use #6 (Spray for skin application to repel ticks) and Intended use #5 (Spray to treat clothes against ticks)</w:t>
      </w:r>
      <w:r>
        <w:rPr>
          <w:rFonts w:cs="Arial"/>
          <w:color w:val="5B9BD5" w:themeColor="accent1"/>
          <w:spacing w:val="1"/>
          <w:lang w:eastAsia="fr-FR"/>
        </w:rPr>
        <w:t xml:space="preserve">: </w:t>
      </w:r>
    </w:p>
    <w:p w14:paraId="530E0ABA" w14:textId="53CE207C" w:rsidR="00D748E5" w:rsidRDefault="00052F22" w:rsidP="00A23B15">
      <w:pPr>
        <w:pStyle w:val="Paragraphedeliste"/>
        <w:widowControl w:val="0"/>
        <w:numPr>
          <w:ilvl w:val="0"/>
          <w:numId w:val="42"/>
        </w:numPr>
        <w:kinsoku w:val="0"/>
        <w:overflowPunct w:val="0"/>
        <w:autoSpaceDE w:val="0"/>
        <w:autoSpaceDN w:val="0"/>
        <w:adjustRightInd w:val="0"/>
        <w:spacing w:before="292" w:after="0" w:line="290" w:lineRule="exact"/>
        <w:ind w:right="216"/>
        <w:jc w:val="both"/>
        <w:textAlignment w:val="baseline"/>
        <w:rPr>
          <w:rFonts w:cs="Arial"/>
          <w:color w:val="5B9BD5" w:themeColor="accent1"/>
          <w:spacing w:val="1"/>
          <w:lang w:eastAsia="fr-FR"/>
        </w:rPr>
      </w:pPr>
      <w:r>
        <w:rPr>
          <w:rFonts w:cs="Arial"/>
          <w:color w:val="5B9BD5" w:themeColor="accent1"/>
          <w:spacing w:val="1"/>
          <w:lang w:eastAsia="fr-FR"/>
        </w:rPr>
        <w:t>For combined treatment, t</w:t>
      </w:r>
      <w:r w:rsidR="002809A9">
        <w:rPr>
          <w:rFonts w:cs="Arial"/>
          <w:color w:val="5B9BD5" w:themeColor="accent1"/>
          <w:spacing w:val="1"/>
          <w:lang w:eastAsia="fr-FR"/>
        </w:rPr>
        <w:t xml:space="preserve">he risk is </w:t>
      </w:r>
      <w:r>
        <w:rPr>
          <w:rFonts w:cs="Arial"/>
          <w:color w:val="5B9BD5" w:themeColor="accent1"/>
          <w:spacing w:val="1"/>
          <w:lang w:eastAsia="fr-FR"/>
        </w:rPr>
        <w:t>un</w:t>
      </w:r>
      <w:r w:rsidR="002809A9">
        <w:rPr>
          <w:rFonts w:cs="Arial"/>
          <w:color w:val="5B9BD5" w:themeColor="accent1"/>
          <w:spacing w:val="1"/>
          <w:lang w:eastAsia="fr-FR"/>
        </w:rPr>
        <w:t xml:space="preserve">acceptable for children younger than </w:t>
      </w:r>
      <w:r>
        <w:rPr>
          <w:rFonts w:cs="Arial"/>
          <w:color w:val="5B9BD5" w:themeColor="accent1"/>
          <w:spacing w:val="1"/>
          <w:lang w:eastAsia="fr-FR"/>
        </w:rPr>
        <w:t xml:space="preserve">6 </w:t>
      </w:r>
      <w:r w:rsidR="002809A9">
        <w:rPr>
          <w:rFonts w:cs="Arial"/>
          <w:color w:val="5B9BD5" w:themeColor="accent1"/>
          <w:spacing w:val="1"/>
          <w:lang w:eastAsia="fr-FR"/>
        </w:rPr>
        <w:t>year</w:t>
      </w:r>
      <w:r>
        <w:rPr>
          <w:rFonts w:cs="Arial"/>
          <w:color w:val="5B9BD5" w:themeColor="accent1"/>
          <w:spacing w:val="1"/>
          <w:lang w:eastAsia="fr-FR"/>
        </w:rPr>
        <w:t>s</w:t>
      </w:r>
      <w:r w:rsidR="002809A9">
        <w:rPr>
          <w:rFonts w:cs="Arial"/>
          <w:color w:val="5B9BD5" w:themeColor="accent1"/>
          <w:spacing w:val="1"/>
          <w:lang w:eastAsia="fr-FR"/>
        </w:rPr>
        <w:t>.</w:t>
      </w:r>
    </w:p>
    <w:p w14:paraId="25C12691" w14:textId="77777777" w:rsidR="00A23B15" w:rsidRDefault="00A23B15" w:rsidP="00A23B15">
      <w:pPr>
        <w:pStyle w:val="Paragraphedeliste"/>
        <w:widowControl w:val="0"/>
        <w:kinsoku w:val="0"/>
        <w:overflowPunct w:val="0"/>
        <w:autoSpaceDE w:val="0"/>
        <w:autoSpaceDN w:val="0"/>
        <w:adjustRightInd w:val="0"/>
        <w:spacing w:before="292" w:after="0" w:line="290" w:lineRule="exact"/>
        <w:ind w:left="1068" w:right="216"/>
        <w:jc w:val="both"/>
        <w:textAlignment w:val="baseline"/>
        <w:rPr>
          <w:rFonts w:cs="Arial"/>
          <w:color w:val="5B9BD5" w:themeColor="accent1"/>
          <w:spacing w:val="1"/>
          <w:lang w:eastAsia="fr-FR"/>
        </w:rPr>
      </w:pPr>
    </w:p>
    <w:p w14:paraId="6A2AE11D" w14:textId="77777777" w:rsidR="00052F22" w:rsidRPr="00A23B15" w:rsidRDefault="00052F22" w:rsidP="00052F22">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b/>
          <w:color w:val="5B9BD5" w:themeColor="accent1"/>
          <w:spacing w:val="1"/>
          <w:lang w:eastAsia="fr-FR"/>
        </w:rPr>
      </w:pPr>
      <w:r w:rsidRPr="00A23B15">
        <w:rPr>
          <w:rFonts w:cs="Arial"/>
          <w:b/>
          <w:color w:val="5B9BD5" w:themeColor="accent1"/>
          <w:spacing w:val="1"/>
          <w:lang w:eastAsia="fr-FR"/>
        </w:rPr>
        <w:t>Therefore, for combined treatment, RMM are proposed and specified in the SPC and summarized in the table below.</w:t>
      </w:r>
    </w:p>
    <w:p w14:paraId="3831C867" w14:textId="70252498" w:rsidR="00D748E5" w:rsidRPr="004F1CFE" w:rsidRDefault="00D748E5"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color w:val="5B9BD5" w:themeColor="accent1"/>
          <w:spacing w:val="1"/>
          <w:lang w:eastAsia="fr-FR"/>
        </w:rPr>
      </w:pPr>
    </w:p>
    <w:p w14:paraId="5BF9C564" w14:textId="77777777" w:rsidR="00316177" w:rsidRPr="00473E21" w:rsidRDefault="00316177" w:rsidP="00BF5A0D">
      <w:pPr>
        <w:pStyle w:val="Paragraphedeliste"/>
        <w:widowControl w:val="0"/>
        <w:kinsoku w:val="0"/>
        <w:overflowPunct w:val="0"/>
        <w:autoSpaceDE w:val="0"/>
        <w:autoSpaceDN w:val="0"/>
        <w:adjustRightInd w:val="0"/>
        <w:spacing w:before="292" w:after="0" w:line="290" w:lineRule="exact"/>
        <w:ind w:left="0" w:right="216"/>
        <w:jc w:val="both"/>
        <w:textAlignment w:val="baseline"/>
        <w:rPr>
          <w:rFonts w:cs="Arial"/>
          <w:spacing w:val="1"/>
          <w:lang w:eastAsia="fr-FR"/>
        </w:rPr>
      </w:pPr>
    </w:p>
    <w:p w14:paraId="0E27BABA" w14:textId="07120BEA" w:rsidR="00EC2A96" w:rsidRDefault="00EC2A96" w:rsidP="00BF5A0D">
      <w:pPr>
        <w:widowControl w:val="0"/>
        <w:rPr>
          <w:rFonts w:eastAsia="Calibri"/>
          <w:b/>
          <w:i/>
          <w:lang w:val="en-US"/>
        </w:rPr>
      </w:pPr>
      <w:r w:rsidRPr="00473E21">
        <w:rPr>
          <w:b/>
          <w:i/>
        </w:rPr>
        <w:t>Conclusion of r</w:t>
      </w:r>
      <w:r w:rsidRPr="00473E21">
        <w:rPr>
          <w:rFonts w:eastAsia="Calibri"/>
          <w:b/>
          <w:i/>
          <w:lang w:val="en-US"/>
        </w:rPr>
        <w:t>isk for consumers via residues in food</w:t>
      </w:r>
    </w:p>
    <w:p w14:paraId="5A5FBC10" w14:textId="77777777" w:rsidR="00BF5A0D" w:rsidRPr="00473E21" w:rsidRDefault="00BF5A0D" w:rsidP="00BF5A0D">
      <w:pPr>
        <w:widowControl w:val="0"/>
        <w:rPr>
          <w:rFonts w:eastAsia="Calibri"/>
          <w:b/>
          <w:i/>
          <w:lang w:val="en-US"/>
        </w:rPr>
      </w:pPr>
    </w:p>
    <w:p w14:paraId="0F479570" w14:textId="038B9182" w:rsidR="00ED5865" w:rsidRDefault="00ED5865" w:rsidP="00BF5A0D">
      <w:pPr>
        <w:spacing w:after="0"/>
        <w:jc w:val="both"/>
        <w:rPr>
          <w:rFonts w:cs="Arial"/>
          <w:lang w:val="en-US"/>
        </w:rPr>
      </w:pPr>
      <w:r w:rsidRPr="00473E21">
        <w:rPr>
          <w:rFonts w:cs="Arial"/>
          <w:lang w:val="en-US"/>
        </w:rPr>
        <w:t xml:space="preserve">As regards the intended uses of the product </w:t>
      </w:r>
      <w:r w:rsidRPr="00473E21">
        <w:rPr>
          <w:rFonts w:cs="Arial"/>
          <w:lang w:val="en-US" w:eastAsia="fr-FR"/>
        </w:rPr>
        <w:t xml:space="preserve">SPRAY REPULSIF IR200 </w:t>
      </w:r>
      <w:r w:rsidRPr="00473E21">
        <w:rPr>
          <w:rFonts w:cs="Arial"/>
          <w:lang w:val="en-US"/>
        </w:rPr>
        <w:t>on human skin</w:t>
      </w:r>
      <w:r w:rsidR="00316177">
        <w:rPr>
          <w:rFonts w:cs="Arial"/>
          <w:lang w:val="en-US"/>
        </w:rPr>
        <w:t>,</w:t>
      </w:r>
      <w:r w:rsidRPr="00473E21">
        <w:rPr>
          <w:rFonts w:cs="Arial"/>
          <w:lang w:val="en-US"/>
        </w:rPr>
        <w:t xml:space="preserve"> no dietary risk for adults and child is expected. Considering the </w:t>
      </w:r>
      <w:r w:rsidR="00316177">
        <w:rPr>
          <w:rFonts w:cs="Arial"/>
          <w:lang w:val="en-US"/>
        </w:rPr>
        <w:t>biocidal product,</w:t>
      </w:r>
      <w:r w:rsidR="00316177" w:rsidRPr="00473E21">
        <w:rPr>
          <w:rFonts w:cs="Arial"/>
          <w:lang w:val="en-US"/>
        </w:rPr>
        <w:t xml:space="preserve"> </w:t>
      </w:r>
      <w:r w:rsidRPr="00473E21">
        <w:rPr>
          <w:rFonts w:cs="Arial"/>
          <w:lang w:val="en-US"/>
        </w:rPr>
        <w:t xml:space="preserve">the following </w:t>
      </w:r>
      <w:r w:rsidR="00174790">
        <w:rPr>
          <w:rFonts w:cs="Arial"/>
          <w:lang w:val="en-US"/>
        </w:rPr>
        <w:t>RMMs</w:t>
      </w:r>
      <w:r w:rsidR="00174790" w:rsidRPr="00473E21">
        <w:rPr>
          <w:rFonts w:cs="Arial"/>
          <w:lang w:val="en-US"/>
        </w:rPr>
        <w:t xml:space="preserve"> </w:t>
      </w:r>
      <w:r w:rsidR="00316177">
        <w:rPr>
          <w:rFonts w:cs="Arial"/>
          <w:lang w:val="en-US"/>
        </w:rPr>
        <w:t>are</w:t>
      </w:r>
      <w:r w:rsidR="00316177" w:rsidRPr="00473E21">
        <w:rPr>
          <w:rFonts w:cs="Arial"/>
          <w:lang w:val="en-US"/>
        </w:rPr>
        <w:t xml:space="preserve"> </w:t>
      </w:r>
      <w:r w:rsidRPr="00473E21">
        <w:rPr>
          <w:rFonts w:cs="Arial"/>
          <w:lang w:val="en-US"/>
        </w:rPr>
        <w:t>considered sufficient regarding assessment of indirect exposure via food</w:t>
      </w:r>
      <w:r w:rsidR="00AD626F">
        <w:rPr>
          <w:rFonts w:cs="Arial"/>
          <w:lang w:val="en-US"/>
        </w:rPr>
        <w:t>:</w:t>
      </w:r>
    </w:p>
    <w:p w14:paraId="1C59DCFB" w14:textId="77777777" w:rsidR="00AD626F" w:rsidRPr="00473E21" w:rsidRDefault="00AD626F" w:rsidP="00BF5A0D">
      <w:pPr>
        <w:spacing w:after="0"/>
        <w:jc w:val="both"/>
        <w:rPr>
          <w:rFonts w:cs="Arial"/>
          <w:lang w:val="en-US"/>
        </w:rPr>
      </w:pPr>
    </w:p>
    <w:p w14:paraId="2CDB6CBD" w14:textId="77777777" w:rsidR="00ED5865" w:rsidRPr="00473E21" w:rsidRDefault="00ED5865" w:rsidP="00BF5A0D">
      <w:pPr>
        <w:numPr>
          <w:ilvl w:val="0"/>
          <w:numId w:val="34"/>
        </w:numPr>
        <w:spacing w:before="0" w:after="0"/>
        <w:ind w:left="0" w:hanging="218"/>
        <w:contextualSpacing/>
        <w:jc w:val="both"/>
        <w:rPr>
          <w:rFonts w:cs="Arial"/>
          <w:bCs/>
          <w:i/>
          <w:color w:val="000000"/>
          <w:lang w:val="en-US" w:eastAsia="fr-FR"/>
        </w:rPr>
      </w:pPr>
      <w:r w:rsidRPr="00473E21">
        <w:rPr>
          <w:i/>
          <w:lang w:eastAsia="en-US"/>
        </w:rPr>
        <w:t>Wash hands thoroughly after handling</w:t>
      </w:r>
      <w:r w:rsidRPr="00473E21">
        <w:rPr>
          <w:rFonts w:cs="Arial"/>
          <w:bCs/>
          <w:i/>
          <w:color w:val="000000"/>
          <w:lang w:val="en-US" w:eastAsia="fr-FR"/>
        </w:rPr>
        <w:t xml:space="preserve"> </w:t>
      </w:r>
    </w:p>
    <w:p w14:paraId="78E753AA" w14:textId="77777777" w:rsidR="00ED5865" w:rsidRPr="00473E21" w:rsidRDefault="00ED5865" w:rsidP="00BF5A0D">
      <w:pPr>
        <w:numPr>
          <w:ilvl w:val="0"/>
          <w:numId w:val="34"/>
        </w:numPr>
        <w:spacing w:before="0" w:after="0"/>
        <w:ind w:left="0" w:hanging="218"/>
        <w:contextualSpacing/>
        <w:jc w:val="both"/>
        <w:rPr>
          <w:rFonts w:cs="Arial"/>
          <w:bCs/>
          <w:i/>
          <w:color w:val="000000"/>
          <w:lang w:val="en-US" w:eastAsia="fr-FR"/>
        </w:rPr>
      </w:pPr>
      <w:r w:rsidRPr="00473E21">
        <w:rPr>
          <w:rFonts w:cs="Arial"/>
          <w:bCs/>
          <w:i/>
          <w:color w:val="000000"/>
          <w:lang w:val="en-US" w:eastAsia="fr-FR"/>
        </w:rPr>
        <w:t>Do not apply the product on the hands of child</w:t>
      </w:r>
    </w:p>
    <w:p w14:paraId="7F78590B" w14:textId="77777777" w:rsidR="00EC2A96" w:rsidRPr="00473E21" w:rsidRDefault="00EC2A96" w:rsidP="00BF5A0D">
      <w:pPr>
        <w:spacing w:before="0" w:after="160" w:line="259" w:lineRule="auto"/>
        <w:rPr>
          <w:lang w:val="en-US"/>
        </w:rPr>
      </w:pPr>
    </w:p>
    <w:p w14:paraId="162F022A" w14:textId="172128BA" w:rsidR="007B75C9" w:rsidRDefault="007B75C9" w:rsidP="00BF5A0D">
      <w:pPr>
        <w:spacing w:before="0" w:after="160" w:line="259" w:lineRule="auto"/>
        <w:rPr>
          <w:rFonts w:eastAsia="Calibri"/>
          <w:b/>
          <w:i/>
          <w:lang w:eastAsia="en-US"/>
        </w:rPr>
      </w:pPr>
    </w:p>
    <w:p w14:paraId="6E2416C6" w14:textId="77777777" w:rsidR="00A23B15" w:rsidRDefault="00A23B15" w:rsidP="00BF5A0D">
      <w:pPr>
        <w:spacing w:before="0" w:after="160" w:line="259" w:lineRule="auto"/>
        <w:rPr>
          <w:rFonts w:eastAsia="Calibri"/>
          <w:b/>
          <w:i/>
          <w:lang w:eastAsia="en-US"/>
        </w:rPr>
      </w:pPr>
    </w:p>
    <w:p w14:paraId="58AB1CCE" w14:textId="0088ABAF" w:rsidR="00EC2A96" w:rsidRPr="00473E21" w:rsidRDefault="00EC2A96" w:rsidP="00BF5A0D">
      <w:pPr>
        <w:spacing w:before="0" w:after="160" w:line="259" w:lineRule="auto"/>
      </w:pPr>
      <w:r w:rsidRPr="00473E21">
        <w:rPr>
          <w:rFonts w:eastAsia="Calibri"/>
          <w:b/>
          <w:i/>
          <w:lang w:eastAsia="en-US"/>
        </w:rPr>
        <w:t>Conclusion of risk characterisation for Environment</w:t>
      </w:r>
      <w:r w:rsidRPr="00473E21" w:rsidDel="00EC2A96">
        <w:t xml:space="preserve"> </w:t>
      </w:r>
    </w:p>
    <w:p w14:paraId="55644F2B" w14:textId="4E0A7AF7" w:rsidR="000E744F" w:rsidRPr="00473E21" w:rsidRDefault="000E744F" w:rsidP="00BF5A0D">
      <w:pPr>
        <w:tabs>
          <w:tab w:val="left" w:pos="9213"/>
          <w:tab w:val="left" w:pos="10206"/>
        </w:tabs>
        <w:ind w:right="-1"/>
        <w:jc w:val="both"/>
        <w:rPr>
          <w:lang w:eastAsia="fr-FR"/>
        </w:rPr>
      </w:pPr>
      <w:r w:rsidRPr="00473E21">
        <w:rPr>
          <w:lang w:eastAsia="fr-FR"/>
        </w:rPr>
        <w:t>The levels of exposure for the non-target organisms of the aquatic compartment (STP, surface water and sediment) following the use of the product SPRAY REPULSIF</w:t>
      </w:r>
      <w:r w:rsidRPr="00473E21">
        <w:rPr>
          <w:caps/>
          <w:lang w:eastAsia="fr-FR"/>
        </w:rPr>
        <w:t xml:space="preserve"> </w:t>
      </w:r>
      <w:r w:rsidRPr="00473E21">
        <w:rPr>
          <w:lang w:eastAsia="fr-FR"/>
        </w:rPr>
        <w:t>on human skin, clothes or fabrics are lower than the threshold values for each compartment under the use conditions provided in the SPC.</w:t>
      </w:r>
    </w:p>
    <w:p w14:paraId="043E0369" w14:textId="4C1269E7" w:rsidR="000E744F" w:rsidRPr="00D84599" w:rsidRDefault="000E744F" w:rsidP="00BF5A0D">
      <w:pPr>
        <w:tabs>
          <w:tab w:val="left" w:pos="9213"/>
          <w:tab w:val="left" w:pos="10206"/>
        </w:tabs>
        <w:ind w:right="-1"/>
        <w:jc w:val="both"/>
        <w:rPr>
          <w:lang w:eastAsia="fr-FR"/>
        </w:rPr>
      </w:pPr>
      <w:r w:rsidRPr="00473E21">
        <w:rPr>
          <w:lang w:eastAsia="fr-FR"/>
        </w:rPr>
        <w:t>Considering the profile of the active substance and the different uses described above, the predicted concentrations in the terrestrial compartment including groundwater are considered negligible under the use conditions provided in the SPC.</w:t>
      </w:r>
    </w:p>
    <w:p w14:paraId="228C1ADB" w14:textId="77777777" w:rsidR="00EC2A96" w:rsidRDefault="00EC2A96" w:rsidP="00BF5A0D">
      <w:pPr>
        <w:spacing w:before="0" w:after="160" w:line="259" w:lineRule="auto"/>
      </w:pPr>
    </w:p>
    <w:p w14:paraId="1A931794" w14:textId="30D00445" w:rsidR="00EC2A96" w:rsidRDefault="00EC2A96" w:rsidP="00BF5A0D">
      <w:pPr>
        <w:spacing w:line="260" w:lineRule="atLeast"/>
        <w:rPr>
          <w:rFonts w:eastAsia="Calibri"/>
          <w:b/>
          <w:lang w:val="en-US" w:eastAsia="en-US"/>
        </w:rPr>
      </w:pPr>
      <w:r w:rsidRPr="00967F7A">
        <w:rPr>
          <w:rFonts w:eastAsia="Calibri"/>
          <w:b/>
          <w:lang w:val="en-US" w:eastAsia="en-US"/>
        </w:rPr>
        <w:t xml:space="preserve">GENERAL CONCLUSION : </w:t>
      </w:r>
    </w:p>
    <w:p w14:paraId="3740A761" w14:textId="44881D6F" w:rsidR="00940095" w:rsidRPr="00967F7A" w:rsidRDefault="00940095" w:rsidP="00EA7456">
      <w:pPr>
        <w:spacing w:line="260" w:lineRule="atLeast"/>
        <w:jc w:val="both"/>
        <w:rPr>
          <w:rFonts w:eastAsia="Calibri"/>
          <w:b/>
          <w:lang w:val="en-US" w:eastAsia="en-US"/>
        </w:rPr>
      </w:pPr>
      <w:r>
        <w:rPr>
          <w:rFonts w:eastAsia="Calibri"/>
          <w:b/>
          <w:lang w:val="en-US" w:eastAsia="en-US"/>
        </w:rPr>
        <w:t>FR CA consider that the spray’s number required to obtain the efficacy dose when the product is applied on clothes against mosquitoes and ticks</w:t>
      </w:r>
      <w:r w:rsidR="00AA411E">
        <w:rPr>
          <w:rFonts w:eastAsia="Calibri"/>
          <w:b/>
          <w:lang w:val="en-US" w:eastAsia="en-US"/>
        </w:rPr>
        <w:t xml:space="preserve"> with a bottle of 100 mL or when the product is applied on textiles against house dust mites with bottle of 100 and 250 mL</w:t>
      </w:r>
      <w:r>
        <w:rPr>
          <w:rFonts w:eastAsia="Calibri"/>
          <w:b/>
          <w:lang w:val="en-US" w:eastAsia="en-US"/>
        </w:rPr>
        <w:t xml:space="preserve"> is </w:t>
      </w:r>
      <w:r w:rsidR="00AA411E">
        <w:rPr>
          <w:rFonts w:eastAsia="Calibri"/>
          <w:b/>
          <w:lang w:val="en-US" w:eastAsia="en-US"/>
        </w:rPr>
        <w:t>inapplicable</w:t>
      </w:r>
      <w:r>
        <w:rPr>
          <w:rFonts w:eastAsia="Calibri"/>
          <w:b/>
          <w:lang w:val="en-US" w:eastAsia="en-US"/>
        </w:rPr>
        <w:t xml:space="preserve">. </w:t>
      </w:r>
      <w:r w:rsidR="00AA411E">
        <w:rPr>
          <w:rFonts w:eastAsia="Calibri"/>
          <w:b/>
          <w:lang w:val="en-US" w:eastAsia="en-US"/>
        </w:rPr>
        <w:t>Consequently, these used are not authorized in France and commercial names that refer to theses uses are not authorized</w:t>
      </w:r>
      <w:r w:rsidR="0045041F">
        <w:rPr>
          <w:rFonts w:eastAsia="Calibri"/>
          <w:b/>
          <w:lang w:val="en-US" w:eastAsia="en-US"/>
        </w:rPr>
        <w:t xml:space="preserve"> in application of article 69.2 and 72.3 of the BPR</w:t>
      </w:r>
      <w:r w:rsidR="00AA411E">
        <w:rPr>
          <w:rFonts w:eastAsia="Calibri"/>
          <w:b/>
          <w:lang w:val="en-US" w:eastAsia="en-US"/>
        </w:rPr>
        <w:t>.</w:t>
      </w:r>
    </w:p>
    <w:p w14:paraId="17FC4F0D" w14:textId="77777777" w:rsidR="00EC2A96" w:rsidRPr="00967F7A" w:rsidRDefault="00EC2A96" w:rsidP="00BF5A0D">
      <w:pPr>
        <w:spacing w:line="260" w:lineRule="atLeast"/>
        <w:rPr>
          <w:rFonts w:eastAsia="Calibri"/>
          <w:b/>
          <w:lang w:val="en-US" w:eastAsia="en-US"/>
        </w:rPr>
      </w:pPr>
    </w:p>
    <w:p w14:paraId="49EFAA11" w14:textId="77777777" w:rsidR="002367D6" w:rsidRDefault="002367D6" w:rsidP="00BF5A0D">
      <w:pPr>
        <w:spacing w:line="260" w:lineRule="atLeast"/>
        <w:rPr>
          <w:rFonts w:eastAsia="Calibri"/>
          <w:lang w:val="en-US" w:eastAsia="en-US"/>
        </w:rPr>
      </w:pPr>
    </w:p>
    <w:p w14:paraId="65D911A8" w14:textId="21DE46EB" w:rsidR="00060C08" w:rsidRPr="00060C08" w:rsidRDefault="00525001" w:rsidP="00060C08">
      <w:pPr>
        <w:spacing w:line="260" w:lineRule="atLeast"/>
        <w:rPr>
          <w:rFonts w:eastAsia="Calibri"/>
          <w:lang w:val="en-US" w:eastAsia="en-US"/>
        </w:rPr>
      </w:pPr>
      <w:r w:rsidRPr="00525001">
        <w:rPr>
          <w:rFonts w:eastAsia="Calibri"/>
          <w:lang w:val="en-US" w:eastAsia="en-US"/>
        </w:rPr>
        <w:t>Given the risk of vector-borne diseases transmission in France</w:t>
      </w:r>
      <w:r w:rsidR="002367D6" w:rsidRPr="002367D6">
        <w:rPr>
          <w:rFonts w:eastAsia="Calibri"/>
          <w:lang w:val="en-US" w:eastAsia="en-US"/>
        </w:rPr>
        <w:t xml:space="preserve">, the product </w:t>
      </w:r>
      <w:r w:rsidR="002367D6">
        <w:rPr>
          <w:rFonts w:eastAsia="Calibri"/>
          <w:lang w:val="en-US" w:eastAsia="en-US"/>
        </w:rPr>
        <w:t>SPRAY REPULSIF IR200</w:t>
      </w:r>
      <w:r w:rsidR="002367D6" w:rsidRPr="002367D6">
        <w:rPr>
          <w:rFonts w:eastAsia="Calibri"/>
          <w:lang w:val="en-US" w:eastAsia="en-US"/>
        </w:rPr>
        <w:t xml:space="preserve"> will be authorized for use on humans based on article 19(5) with appropriated risk mitigation measures. </w:t>
      </w:r>
      <w:r w:rsidR="00060C08" w:rsidRPr="00060C08">
        <w:rPr>
          <w:rFonts w:eastAsia="Calibri"/>
          <w:lang w:val="en-US" w:eastAsia="en-US"/>
        </w:rPr>
        <w:t xml:space="preserve">The following RMMs are considered as applicable in France: </w:t>
      </w:r>
    </w:p>
    <w:p w14:paraId="53875630" w14:textId="77777777" w:rsidR="00060C08" w:rsidRPr="00060C08" w:rsidRDefault="00060C08" w:rsidP="00060C08">
      <w:pPr>
        <w:spacing w:line="260" w:lineRule="atLeast"/>
        <w:rPr>
          <w:rFonts w:eastAsia="Calibri"/>
          <w:lang w:val="en-US" w:eastAsia="en-US"/>
        </w:rPr>
      </w:pPr>
      <w:r w:rsidRPr="00060C08">
        <w:rPr>
          <w:rFonts w:eastAsia="Calibri"/>
          <w:lang w:val="en-US" w:eastAsia="en-US"/>
        </w:rPr>
        <w:t>-</w:t>
      </w:r>
      <w:r w:rsidRPr="00060C08">
        <w:rPr>
          <w:rFonts w:eastAsia="Calibri"/>
          <w:lang w:val="en-US" w:eastAsia="en-US"/>
        </w:rPr>
        <w:tab/>
        <w:t xml:space="preserve">For adult: “apply on the face, neck, hands, ¾ arms, ½ legs” </w:t>
      </w:r>
    </w:p>
    <w:p w14:paraId="6ACE1990" w14:textId="2E3EFE01" w:rsidR="002367D6" w:rsidRDefault="00060C08" w:rsidP="00C443B8">
      <w:pPr>
        <w:spacing w:line="260" w:lineRule="atLeast"/>
        <w:ind w:left="709" w:hanging="709"/>
        <w:rPr>
          <w:rFonts w:eastAsia="Calibri"/>
          <w:lang w:val="en-US" w:eastAsia="en-US"/>
        </w:rPr>
      </w:pPr>
      <w:r w:rsidRPr="00060C08">
        <w:rPr>
          <w:rFonts w:eastAsia="Calibri"/>
          <w:lang w:val="en-US" w:eastAsia="en-US"/>
        </w:rPr>
        <w:t>-</w:t>
      </w:r>
      <w:r w:rsidRPr="00060C08">
        <w:rPr>
          <w:rFonts w:eastAsia="Calibri"/>
          <w:lang w:val="en-US" w:eastAsia="en-US"/>
        </w:rPr>
        <w:tab/>
        <w:t>For children: “do not apply the product on hands of child” and “apply on the face, neck, ¾ arms and ½ legs”</w:t>
      </w:r>
    </w:p>
    <w:p w14:paraId="41A34501" w14:textId="0A935DD1" w:rsidR="00060C08" w:rsidRDefault="00060C08" w:rsidP="00060C08">
      <w:pPr>
        <w:spacing w:line="260" w:lineRule="atLeast"/>
        <w:rPr>
          <w:rFonts w:eastAsia="Calibri"/>
          <w:lang w:val="en-US" w:eastAsia="en-US"/>
        </w:rPr>
      </w:pPr>
    </w:p>
    <w:p w14:paraId="5282E1E2" w14:textId="7DD53A4B" w:rsidR="00150EF1" w:rsidRDefault="00150EF1" w:rsidP="00EA7456">
      <w:pPr>
        <w:tabs>
          <w:tab w:val="left" w:pos="1188"/>
        </w:tabs>
        <w:spacing w:line="260" w:lineRule="atLeast"/>
        <w:rPr>
          <w:rFonts w:eastAsia="Calibri"/>
          <w:lang w:val="en-US" w:eastAsia="en-US"/>
        </w:rPr>
      </w:pPr>
      <w:r>
        <w:rPr>
          <w:rFonts w:eastAsia="Calibri"/>
          <w:lang w:val="en-US" w:eastAsia="en-US"/>
        </w:rPr>
        <w:tab/>
      </w:r>
    </w:p>
    <w:p w14:paraId="129815D5" w14:textId="77777777" w:rsidR="00150EF1" w:rsidRDefault="00150EF1" w:rsidP="00060C08">
      <w:pPr>
        <w:spacing w:line="260" w:lineRule="atLeast"/>
        <w:rPr>
          <w:rFonts w:eastAsia="Calibri"/>
          <w:lang w:val="en-US" w:eastAsia="en-US"/>
        </w:rPr>
      </w:pPr>
    </w:p>
    <w:p w14:paraId="1DC26832" w14:textId="621EA77A" w:rsidR="00525001" w:rsidRDefault="00525001" w:rsidP="00525001">
      <w:pPr>
        <w:spacing w:line="260" w:lineRule="atLeast"/>
        <w:rPr>
          <w:rFonts w:eastAsia="Calibri"/>
          <w:lang w:val="en-US" w:eastAsia="en-US"/>
        </w:rPr>
      </w:pPr>
      <w:r w:rsidRPr="00967F7A">
        <w:rPr>
          <w:rFonts w:eastAsia="Calibri"/>
          <w:b/>
          <w:lang w:val="en-US" w:eastAsia="en-US"/>
        </w:rPr>
        <w:t>FR CA consider</w:t>
      </w:r>
      <w:r>
        <w:rPr>
          <w:rFonts w:eastAsia="Calibri"/>
          <w:b/>
          <w:lang w:val="en-US" w:eastAsia="en-US"/>
        </w:rPr>
        <w:t>s</w:t>
      </w:r>
      <w:r w:rsidRPr="00967F7A">
        <w:rPr>
          <w:rFonts w:eastAsia="Calibri"/>
          <w:b/>
          <w:lang w:val="en-US" w:eastAsia="en-US"/>
        </w:rPr>
        <w:t xml:space="preserve"> that the product shall be authorized for</w:t>
      </w:r>
      <w:r w:rsidR="00D57671">
        <w:rPr>
          <w:rFonts w:eastAsia="Calibri"/>
          <w:b/>
          <w:lang w:val="en-US" w:eastAsia="en-US"/>
        </w:rPr>
        <w:t xml:space="preserve"> the following new</w:t>
      </w:r>
      <w:r w:rsidRPr="00EA7456">
        <w:rPr>
          <w:rFonts w:eastAsia="Calibri"/>
          <w:b/>
          <w:lang w:val="en-US" w:eastAsia="en-US"/>
        </w:rPr>
        <w:t xml:space="preserve"> </w:t>
      </w:r>
      <w:r w:rsidR="008F58F6" w:rsidRPr="00EA7456">
        <w:rPr>
          <w:rFonts w:eastAsia="Calibri"/>
          <w:b/>
          <w:lang w:val="en-US" w:eastAsia="en-US"/>
        </w:rPr>
        <w:t>uses as summari</w:t>
      </w:r>
      <w:r w:rsidR="00A23B15" w:rsidRPr="00EA7456">
        <w:rPr>
          <w:rFonts w:eastAsia="Calibri"/>
          <w:b/>
          <w:lang w:val="en-US" w:eastAsia="en-US"/>
        </w:rPr>
        <w:t>z</w:t>
      </w:r>
      <w:r w:rsidR="008F58F6" w:rsidRPr="00EA7456">
        <w:rPr>
          <w:rFonts w:eastAsia="Calibri"/>
          <w:b/>
          <w:lang w:val="en-US" w:eastAsia="en-US"/>
        </w:rPr>
        <w:t>ed in the table below</w:t>
      </w:r>
      <w:r w:rsidRPr="00EA7456">
        <w:rPr>
          <w:rFonts w:eastAsia="Calibri"/>
          <w:b/>
          <w:lang w:val="en-US" w:eastAsia="en-US"/>
        </w:rPr>
        <w:t>:</w:t>
      </w:r>
      <w:r>
        <w:rPr>
          <w:rFonts w:eastAsia="Calibri"/>
          <w:lang w:val="en-US" w:eastAsia="en-US"/>
        </w:rPr>
        <w:t xml:space="preserve"> </w:t>
      </w:r>
    </w:p>
    <w:p w14:paraId="32F7EC3A" w14:textId="249A85A5" w:rsidR="00060C08" w:rsidRPr="002D196C" w:rsidRDefault="00060C08" w:rsidP="00060C08">
      <w:pPr>
        <w:spacing w:line="260" w:lineRule="atLeast"/>
        <w:rPr>
          <w:rFonts w:eastAsia="Calibri"/>
          <w:lang w:eastAsia="en-US"/>
        </w:rPr>
      </w:pPr>
    </w:p>
    <w:p w14:paraId="7F4C36F5" w14:textId="6E6DEBF9" w:rsidR="003C5407" w:rsidRDefault="003C5407" w:rsidP="00BF5A0D">
      <w:pPr>
        <w:spacing w:line="260" w:lineRule="atLeast"/>
        <w:rPr>
          <w:rFonts w:eastAsia="Calibri"/>
          <w:lang w:val="en-US" w:eastAsia="en-US"/>
        </w:rPr>
      </w:pPr>
    </w:p>
    <w:p w14:paraId="4F670D0F" w14:textId="77777777" w:rsidR="002D196C" w:rsidRDefault="002D196C" w:rsidP="003C5407">
      <w:pPr>
        <w:keepNext/>
        <w:spacing w:after="0"/>
        <w:ind w:right="281"/>
        <w:outlineLvl w:val="1"/>
        <w:rPr>
          <w:rFonts w:ascii="Arial" w:eastAsia="Calibri" w:hAnsi="Arial" w:cs="Arial"/>
          <w:b/>
          <w:lang w:val="sv-SE" w:eastAsia="sv-SE"/>
        </w:rPr>
        <w:sectPr w:rsidR="002D196C">
          <w:headerReference w:type="default" r:id="rId14"/>
          <w:footerReference w:type="default" r:id="rId15"/>
          <w:headerReference w:type="first" r:id="rId16"/>
          <w:footerReference w:type="first" r:id="rId17"/>
          <w:pgSz w:w="11906" w:h="16838"/>
          <w:pgMar w:top="1474" w:right="1247" w:bottom="2013" w:left="1446" w:header="850" w:footer="850" w:gutter="0"/>
          <w:cols w:space="720"/>
          <w:titlePg/>
          <w:docGrid w:linePitch="272"/>
        </w:sect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701"/>
        <w:gridCol w:w="2126"/>
        <w:gridCol w:w="3827"/>
        <w:gridCol w:w="5245"/>
      </w:tblGrid>
      <w:tr w:rsidR="00525001" w:rsidRPr="00043187" w14:paraId="10B3CF74" w14:textId="3DD45051" w:rsidTr="00937BBF">
        <w:trPr>
          <w:trHeight w:val="545"/>
        </w:trPr>
        <w:tc>
          <w:tcPr>
            <w:tcW w:w="1844" w:type="dxa"/>
            <w:vAlign w:val="center"/>
          </w:tcPr>
          <w:p w14:paraId="5257C765" w14:textId="02AD5A1F" w:rsidR="00525001" w:rsidRPr="00043187" w:rsidRDefault="00525001" w:rsidP="003C5407">
            <w:pPr>
              <w:keepNext/>
              <w:spacing w:after="0"/>
              <w:ind w:right="281"/>
              <w:outlineLvl w:val="1"/>
              <w:rPr>
                <w:rFonts w:ascii="Arial" w:eastAsia="Calibri" w:hAnsi="Arial" w:cs="Arial"/>
                <w:b/>
                <w:lang w:val="sv-SE" w:eastAsia="sv-SE"/>
              </w:rPr>
            </w:pPr>
            <w:bookmarkStart w:id="5" w:name="_Toc93326461"/>
            <w:r>
              <w:rPr>
                <w:rFonts w:ascii="Arial" w:eastAsia="Calibri" w:hAnsi="Arial" w:cs="Arial"/>
                <w:b/>
                <w:lang w:val="sv-SE" w:eastAsia="sv-SE"/>
              </w:rPr>
              <w:lastRenderedPageBreak/>
              <w:t>Target organisms</w:t>
            </w:r>
            <w:bookmarkEnd w:id="5"/>
          </w:p>
        </w:tc>
        <w:tc>
          <w:tcPr>
            <w:tcW w:w="1701" w:type="dxa"/>
            <w:vAlign w:val="center"/>
          </w:tcPr>
          <w:p w14:paraId="0C894CC7" w14:textId="51BCBDDF" w:rsidR="00525001" w:rsidRPr="00043187" w:rsidRDefault="00525001" w:rsidP="003C5407">
            <w:pPr>
              <w:keepNext/>
              <w:autoSpaceDE w:val="0"/>
              <w:autoSpaceDN w:val="0"/>
              <w:adjustRightInd w:val="0"/>
              <w:spacing w:after="0"/>
              <w:ind w:right="281"/>
              <w:rPr>
                <w:rFonts w:ascii="Arial" w:eastAsia="Calibri" w:hAnsi="Arial" w:cs="Arial"/>
                <w:b/>
                <w:lang w:val="sv-SE" w:eastAsia="sv-SE"/>
              </w:rPr>
            </w:pPr>
            <w:r>
              <w:rPr>
                <w:rFonts w:ascii="Arial" w:eastAsia="Calibri" w:hAnsi="Arial" w:cs="Arial"/>
                <w:b/>
                <w:lang w:val="sv-SE" w:eastAsia="sv-SE"/>
              </w:rPr>
              <w:t>Application rates</w:t>
            </w:r>
          </w:p>
        </w:tc>
        <w:tc>
          <w:tcPr>
            <w:tcW w:w="2126" w:type="dxa"/>
            <w:vAlign w:val="center"/>
          </w:tcPr>
          <w:p w14:paraId="0A533507" w14:textId="1EA0ECDD" w:rsidR="00525001" w:rsidRPr="00043187" w:rsidRDefault="00525001" w:rsidP="003C5407">
            <w:pPr>
              <w:keepNext/>
              <w:autoSpaceDE w:val="0"/>
              <w:autoSpaceDN w:val="0"/>
              <w:adjustRightInd w:val="0"/>
              <w:spacing w:after="0"/>
              <w:ind w:right="281"/>
              <w:rPr>
                <w:rFonts w:ascii="Arial" w:eastAsia="Calibri" w:hAnsi="Arial" w:cs="Arial"/>
                <w:b/>
                <w:lang w:val="sv-SE" w:eastAsia="sv-SE"/>
              </w:rPr>
            </w:pPr>
            <w:r>
              <w:rPr>
                <w:rFonts w:ascii="Arial" w:eastAsia="Calibri" w:hAnsi="Arial" w:cs="Arial"/>
                <w:b/>
                <w:lang w:val="sv-SE" w:eastAsia="sv-SE"/>
              </w:rPr>
              <w:t>Use conditions</w:t>
            </w:r>
          </w:p>
        </w:tc>
        <w:tc>
          <w:tcPr>
            <w:tcW w:w="3827" w:type="dxa"/>
            <w:vAlign w:val="center"/>
          </w:tcPr>
          <w:p w14:paraId="538B75A8" w14:textId="5ECEB4D3" w:rsidR="00525001" w:rsidRDefault="00525001" w:rsidP="00C25A73">
            <w:pPr>
              <w:keepNext/>
              <w:autoSpaceDE w:val="0"/>
              <w:autoSpaceDN w:val="0"/>
              <w:adjustRightInd w:val="0"/>
              <w:spacing w:after="0"/>
              <w:ind w:right="281"/>
              <w:rPr>
                <w:rFonts w:ascii="Arial" w:eastAsia="Calibri" w:hAnsi="Arial" w:cs="Arial"/>
                <w:b/>
                <w:lang w:val="sv-SE" w:eastAsia="sv-SE"/>
              </w:rPr>
            </w:pPr>
            <w:r>
              <w:rPr>
                <w:rFonts w:ascii="Arial" w:eastAsia="Calibri" w:hAnsi="Arial" w:cs="Arial"/>
                <w:b/>
                <w:lang w:val="sv-SE" w:eastAsia="sv-SE"/>
              </w:rPr>
              <w:t>EU only</w:t>
            </w:r>
          </w:p>
        </w:tc>
        <w:tc>
          <w:tcPr>
            <w:tcW w:w="5245" w:type="dxa"/>
            <w:vAlign w:val="center"/>
          </w:tcPr>
          <w:p w14:paraId="151A19DB" w14:textId="7209E622" w:rsidR="00525001" w:rsidRDefault="00525001" w:rsidP="00C25A73">
            <w:pPr>
              <w:keepNext/>
              <w:autoSpaceDE w:val="0"/>
              <w:autoSpaceDN w:val="0"/>
              <w:adjustRightInd w:val="0"/>
              <w:spacing w:after="0"/>
              <w:ind w:right="281"/>
              <w:rPr>
                <w:rFonts w:ascii="Arial" w:eastAsia="Calibri" w:hAnsi="Arial" w:cs="Arial"/>
                <w:b/>
                <w:lang w:val="sv-SE" w:eastAsia="sv-SE"/>
              </w:rPr>
            </w:pPr>
            <w:r>
              <w:rPr>
                <w:rFonts w:ascii="Arial" w:eastAsia="Calibri" w:hAnsi="Arial" w:cs="Arial"/>
                <w:b/>
                <w:lang w:val="sv-SE" w:eastAsia="sv-SE"/>
              </w:rPr>
              <w:t>FR only</w:t>
            </w:r>
          </w:p>
        </w:tc>
      </w:tr>
      <w:tr w:rsidR="00525001" w:rsidRPr="00043187" w14:paraId="7BCC53BC" w14:textId="632D3FFE" w:rsidTr="00937BBF">
        <w:trPr>
          <w:trHeight w:val="1281"/>
        </w:trPr>
        <w:tc>
          <w:tcPr>
            <w:tcW w:w="1844" w:type="dxa"/>
            <w:shd w:val="clear" w:color="auto" w:fill="auto"/>
            <w:vAlign w:val="center"/>
          </w:tcPr>
          <w:p w14:paraId="289EAF94" w14:textId="2A8C345B" w:rsidR="00525001" w:rsidRPr="005240CE" w:rsidRDefault="00525001" w:rsidP="003C5407">
            <w:pPr>
              <w:keepNext/>
              <w:tabs>
                <w:tab w:val="left" w:pos="426"/>
              </w:tabs>
              <w:spacing w:after="0"/>
              <w:ind w:right="281"/>
              <w:textAlignment w:val="top"/>
              <w:rPr>
                <w:rFonts w:cs="Arial"/>
                <w:color w:val="000000" w:themeColor="text1"/>
                <w:spacing w:val="1"/>
                <w:sz w:val="16"/>
                <w:szCs w:val="18"/>
                <w:lang w:eastAsia="fr-FR"/>
              </w:rPr>
            </w:pPr>
            <w:r w:rsidRPr="005240CE">
              <w:rPr>
                <w:rFonts w:cs="Arial"/>
                <w:color w:val="000000" w:themeColor="text1"/>
                <w:spacing w:val="1"/>
                <w:sz w:val="16"/>
                <w:szCs w:val="18"/>
                <w:lang w:eastAsia="fr-FR"/>
              </w:rPr>
              <w:t>Mosquitoes</w:t>
            </w:r>
          </w:p>
          <w:p w14:paraId="6AC27823" w14:textId="147E550C" w:rsidR="00525001" w:rsidRPr="005240CE" w:rsidRDefault="00525001" w:rsidP="003C5407">
            <w:pPr>
              <w:keepNext/>
              <w:tabs>
                <w:tab w:val="left" w:pos="426"/>
              </w:tabs>
              <w:spacing w:after="0"/>
              <w:ind w:right="281"/>
              <w:textAlignment w:val="top"/>
              <w:rPr>
                <w:rFonts w:cs="Arial"/>
                <w:color w:val="000000" w:themeColor="text1"/>
                <w:spacing w:val="1"/>
                <w:sz w:val="16"/>
                <w:szCs w:val="18"/>
                <w:lang w:eastAsia="fr-FR"/>
              </w:rPr>
            </w:pPr>
            <w:r w:rsidRPr="005240CE">
              <w:rPr>
                <w:rFonts w:cs="Arial"/>
                <w:color w:val="000000" w:themeColor="text1"/>
                <w:spacing w:val="1"/>
                <w:sz w:val="16"/>
                <w:szCs w:val="18"/>
                <w:lang w:eastAsia="fr-FR"/>
              </w:rPr>
              <w:t xml:space="preserve">(Aedes spp, Culex spp) </w:t>
            </w:r>
          </w:p>
          <w:p w14:paraId="4187B978" w14:textId="77777777" w:rsidR="00525001" w:rsidRPr="005240CE" w:rsidRDefault="00525001" w:rsidP="003C5407">
            <w:pPr>
              <w:keepNext/>
              <w:tabs>
                <w:tab w:val="left" w:pos="426"/>
              </w:tabs>
              <w:spacing w:after="0"/>
              <w:ind w:right="281"/>
              <w:textAlignment w:val="top"/>
              <w:rPr>
                <w:rFonts w:cs="Arial"/>
                <w:color w:val="000000" w:themeColor="text1"/>
                <w:spacing w:val="1"/>
                <w:sz w:val="16"/>
                <w:szCs w:val="18"/>
                <w:lang w:eastAsia="fr-FR"/>
              </w:rPr>
            </w:pPr>
          </w:p>
          <w:p w14:paraId="0EE319DF" w14:textId="6923A229" w:rsidR="00525001" w:rsidRPr="005240CE" w:rsidRDefault="00525001" w:rsidP="003C5407">
            <w:pPr>
              <w:keepNext/>
              <w:tabs>
                <w:tab w:val="left" w:pos="426"/>
              </w:tabs>
              <w:spacing w:after="0"/>
              <w:ind w:right="281"/>
              <w:textAlignment w:val="top"/>
              <w:rPr>
                <w:rFonts w:cs="Arial"/>
                <w:color w:val="000000" w:themeColor="text1"/>
                <w:spacing w:val="1"/>
                <w:sz w:val="16"/>
                <w:szCs w:val="18"/>
                <w:lang w:eastAsia="fr-FR"/>
              </w:rPr>
            </w:pPr>
            <w:r w:rsidRPr="005240CE">
              <w:rPr>
                <w:rFonts w:cs="Arial"/>
                <w:color w:val="000000" w:themeColor="text1"/>
                <w:spacing w:val="1"/>
                <w:sz w:val="16"/>
                <w:szCs w:val="18"/>
                <w:lang w:eastAsia="fr-FR"/>
              </w:rPr>
              <w:t>Adults</w:t>
            </w:r>
          </w:p>
        </w:tc>
        <w:tc>
          <w:tcPr>
            <w:tcW w:w="1701" w:type="dxa"/>
            <w:shd w:val="clear" w:color="auto" w:fill="auto"/>
            <w:vAlign w:val="center"/>
          </w:tcPr>
          <w:p w14:paraId="37C1A645" w14:textId="6FC3AEE5" w:rsidR="00525001" w:rsidRPr="005240CE" w:rsidRDefault="00525001" w:rsidP="00406665">
            <w:pPr>
              <w:rPr>
                <w:rFonts w:cs="Arial"/>
                <w:color w:val="000000" w:themeColor="text1"/>
                <w:spacing w:val="1"/>
                <w:sz w:val="16"/>
                <w:szCs w:val="18"/>
                <w:lang w:eastAsia="fr-FR"/>
              </w:rPr>
            </w:pPr>
            <w:r w:rsidRPr="005240CE">
              <w:rPr>
                <w:rFonts w:cs="Arial"/>
                <w:color w:val="000000" w:themeColor="text1"/>
                <w:spacing w:val="1"/>
                <w:sz w:val="16"/>
                <w:szCs w:val="18"/>
                <w:lang w:eastAsia="fr-FR"/>
              </w:rPr>
              <w:t xml:space="preserve">0.6 </w:t>
            </w:r>
            <w:r w:rsidR="009E2CCB" w:rsidRPr="005240CE">
              <w:rPr>
                <w:rFonts w:cs="Arial"/>
                <w:color w:val="000000" w:themeColor="text1"/>
                <w:spacing w:val="1"/>
                <w:sz w:val="16"/>
                <w:szCs w:val="18"/>
                <w:lang w:eastAsia="fr-FR"/>
              </w:rPr>
              <w:t>m</w:t>
            </w:r>
            <w:r w:rsidRPr="005240CE">
              <w:rPr>
                <w:rFonts w:cs="Arial"/>
                <w:color w:val="000000" w:themeColor="text1"/>
                <w:spacing w:val="1"/>
                <w:sz w:val="16"/>
                <w:szCs w:val="18"/>
                <w:lang w:eastAsia="fr-FR"/>
              </w:rPr>
              <w:t xml:space="preserve">g of product per cm² of fabric </w:t>
            </w:r>
          </w:p>
          <w:p w14:paraId="39643B5B" w14:textId="50646D4B" w:rsidR="00525001" w:rsidRPr="005240CE" w:rsidRDefault="00525001" w:rsidP="003C5407">
            <w:pPr>
              <w:keepNext/>
              <w:autoSpaceDE w:val="0"/>
              <w:autoSpaceDN w:val="0"/>
              <w:adjustRightInd w:val="0"/>
              <w:spacing w:after="0"/>
              <w:ind w:right="281"/>
              <w:rPr>
                <w:rFonts w:cs="Arial"/>
                <w:color w:val="000000" w:themeColor="text1"/>
                <w:spacing w:val="1"/>
                <w:sz w:val="16"/>
                <w:szCs w:val="18"/>
                <w:lang w:eastAsia="fr-FR"/>
              </w:rPr>
            </w:pPr>
          </w:p>
        </w:tc>
        <w:tc>
          <w:tcPr>
            <w:tcW w:w="2126" w:type="dxa"/>
            <w:shd w:val="clear" w:color="auto" w:fill="auto"/>
            <w:vAlign w:val="center"/>
          </w:tcPr>
          <w:p w14:paraId="762BD98F" w14:textId="146B63DB" w:rsidR="00525001" w:rsidRPr="005240CE" w:rsidRDefault="00525001" w:rsidP="003C5407">
            <w:pPr>
              <w:keepNext/>
              <w:autoSpaceDE w:val="0"/>
              <w:autoSpaceDN w:val="0"/>
              <w:adjustRightInd w:val="0"/>
              <w:spacing w:after="0"/>
              <w:ind w:right="281"/>
              <w:rPr>
                <w:rFonts w:cs="Arial"/>
                <w:color w:val="000000" w:themeColor="text1"/>
                <w:spacing w:val="1"/>
                <w:sz w:val="16"/>
                <w:szCs w:val="18"/>
                <w:lang w:eastAsia="fr-FR"/>
              </w:rPr>
            </w:pPr>
          </w:p>
          <w:p w14:paraId="76E27523" w14:textId="562D029B" w:rsidR="00525001" w:rsidRPr="005240CE" w:rsidRDefault="00525001" w:rsidP="003C5407">
            <w:pPr>
              <w:keepNext/>
              <w:autoSpaceDE w:val="0"/>
              <w:autoSpaceDN w:val="0"/>
              <w:adjustRightInd w:val="0"/>
              <w:spacing w:after="0"/>
              <w:ind w:right="281"/>
              <w:rPr>
                <w:rFonts w:cs="Arial"/>
                <w:color w:val="000000" w:themeColor="text1"/>
                <w:spacing w:val="1"/>
                <w:sz w:val="16"/>
                <w:szCs w:val="18"/>
                <w:lang w:eastAsia="fr-FR"/>
              </w:rPr>
            </w:pPr>
            <w:r w:rsidRPr="005240CE">
              <w:rPr>
                <w:rFonts w:cs="Arial"/>
                <w:color w:val="000000" w:themeColor="text1"/>
                <w:spacing w:val="1"/>
                <w:sz w:val="16"/>
                <w:szCs w:val="18"/>
                <w:lang w:eastAsia="fr-FR"/>
              </w:rPr>
              <w:t>Spray onto the textile</w:t>
            </w:r>
          </w:p>
          <w:p w14:paraId="4C561482" w14:textId="77777777" w:rsidR="00525001" w:rsidRPr="005240CE" w:rsidRDefault="00525001" w:rsidP="003C5407">
            <w:pPr>
              <w:keepNext/>
              <w:autoSpaceDE w:val="0"/>
              <w:autoSpaceDN w:val="0"/>
              <w:adjustRightInd w:val="0"/>
              <w:spacing w:after="0"/>
              <w:ind w:right="281"/>
              <w:rPr>
                <w:rFonts w:cs="Arial"/>
                <w:color w:val="000000" w:themeColor="text1"/>
                <w:spacing w:val="1"/>
                <w:sz w:val="16"/>
                <w:szCs w:val="18"/>
                <w:lang w:eastAsia="fr-FR"/>
              </w:rPr>
            </w:pPr>
          </w:p>
          <w:p w14:paraId="6C3B811A" w14:textId="2BD946F0" w:rsidR="00525001" w:rsidRPr="005240CE" w:rsidRDefault="00525001" w:rsidP="008A1E90">
            <w:pPr>
              <w:rPr>
                <w:rFonts w:cs="Arial"/>
                <w:color w:val="000000" w:themeColor="text1"/>
                <w:spacing w:val="1"/>
                <w:sz w:val="16"/>
                <w:szCs w:val="18"/>
                <w:lang w:eastAsia="fr-FR"/>
              </w:rPr>
            </w:pPr>
            <w:r w:rsidRPr="005240CE">
              <w:rPr>
                <w:rFonts w:cs="Arial"/>
                <w:color w:val="000000" w:themeColor="text1"/>
                <w:spacing w:val="1"/>
                <w:sz w:val="16"/>
                <w:szCs w:val="18"/>
                <w:lang w:eastAsia="fr-FR"/>
              </w:rPr>
              <w:t xml:space="preserve">Protection time: 8 hours in temperate conditions </w:t>
            </w:r>
          </w:p>
        </w:tc>
        <w:tc>
          <w:tcPr>
            <w:tcW w:w="3827" w:type="dxa"/>
          </w:tcPr>
          <w:p w14:paraId="223EB2DF" w14:textId="77777777" w:rsidR="00525001" w:rsidRPr="00A23B15" w:rsidRDefault="00525001"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 xml:space="preserve">For treatment against mosquitos in temperate conditions, do not apply the product simultaneously on the skin of children and on their clothes. </w:t>
            </w:r>
          </w:p>
          <w:p w14:paraId="5A60C783" w14:textId="77777777" w:rsidR="00525001" w:rsidRPr="005240CE" w:rsidRDefault="00525001" w:rsidP="00A23B15">
            <w:pPr>
              <w:pStyle w:val="Paragraphedeliste"/>
              <w:spacing w:before="0" w:after="0"/>
              <w:ind w:left="360"/>
              <w:jc w:val="both"/>
              <w:rPr>
                <w:rFonts w:cs="Arial"/>
                <w:bCs/>
                <w:color w:val="000000" w:themeColor="text1"/>
                <w:sz w:val="16"/>
                <w:szCs w:val="18"/>
                <w:lang w:eastAsia="fr-FR"/>
              </w:rPr>
            </w:pPr>
          </w:p>
          <w:p w14:paraId="4233CC90" w14:textId="3B8ED81C" w:rsidR="00525001" w:rsidRPr="00A23B15" w:rsidDel="00C54723" w:rsidRDefault="00525001" w:rsidP="00A23B15">
            <w:pPr>
              <w:pStyle w:val="Paragraphedeliste"/>
              <w:spacing w:before="0" w:after="0"/>
              <w:ind w:left="360"/>
              <w:jc w:val="both"/>
              <w:rPr>
                <w:rFonts w:cs="Arial"/>
                <w:bCs/>
                <w:color w:val="000000" w:themeColor="text1"/>
                <w:sz w:val="16"/>
                <w:szCs w:val="18"/>
                <w:lang w:eastAsia="fr-FR"/>
              </w:rPr>
            </w:pPr>
          </w:p>
        </w:tc>
        <w:tc>
          <w:tcPr>
            <w:tcW w:w="5245" w:type="dxa"/>
          </w:tcPr>
          <w:p w14:paraId="59FCD534" w14:textId="72058954" w:rsidR="00525001" w:rsidRPr="00A23B15" w:rsidDel="00C54723" w:rsidRDefault="00525001"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treatment against mosquitos in temperate conditions, do not apply the product simultaneously on the skin of children younger than 2 years and on their clothes.</w:t>
            </w:r>
          </w:p>
        </w:tc>
      </w:tr>
      <w:tr w:rsidR="00525001" w:rsidRPr="00043187" w14:paraId="4E08CEA3" w14:textId="538C153D" w:rsidTr="00937BBF">
        <w:trPr>
          <w:trHeight w:val="1281"/>
        </w:trPr>
        <w:tc>
          <w:tcPr>
            <w:tcW w:w="1844" w:type="dxa"/>
            <w:shd w:val="clear" w:color="auto" w:fill="auto"/>
            <w:vAlign w:val="center"/>
          </w:tcPr>
          <w:p w14:paraId="45A30A73" w14:textId="77777777" w:rsidR="00525001" w:rsidRPr="005240CE" w:rsidRDefault="00525001" w:rsidP="008A1E90">
            <w:pPr>
              <w:keepNext/>
              <w:tabs>
                <w:tab w:val="left" w:pos="426"/>
              </w:tabs>
              <w:spacing w:after="0"/>
              <w:ind w:right="281"/>
              <w:textAlignment w:val="top"/>
              <w:rPr>
                <w:rFonts w:cs="Arial"/>
                <w:color w:val="000000" w:themeColor="text1"/>
                <w:spacing w:val="1"/>
                <w:sz w:val="16"/>
                <w:szCs w:val="18"/>
                <w:lang w:eastAsia="fr-FR"/>
              </w:rPr>
            </w:pPr>
            <w:r w:rsidRPr="005240CE">
              <w:rPr>
                <w:rFonts w:cs="Arial"/>
                <w:color w:val="000000" w:themeColor="text1"/>
                <w:spacing w:val="1"/>
                <w:sz w:val="16"/>
                <w:szCs w:val="18"/>
                <w:lang w:eastAsia="fr-FR"/>
              </w:rPr>
              <w:t>Mosquitoes</w:t>
            </w:r>
          </w:p>
          <w:p w14:paraId="4BE7D885" w14:textId="48291CEE" w:rsidR="00525001" w:rsidRPr="005240CE" w:rsidRDefault="00525001" w:rsidP="008A1E90">
            <w:pPr>
              <w:keepNext/>
              <w:tabs>
                <w:tab w:val="left" w:pos="426"/>
              </w:tabs>
              <w:spacing w:after="0"/>
              <w:ind w:right="281"/>
              <w:textAlignment w:val="top"/>
              <w:rPr>
                <w:rFonts w:cs="Arial"/>
                <w:color w:val="000000" w:themeColor="text1"/>
                <w:spacing w:val="1"/>
                <w:sz w:val="16"/>
                <w:szCs w:val="18"/>
                <w:lang w:eastAsia="fr-FR"/>
              </w:rPr>
            </w:pPr>
            <w:r w:rsidRPr="005240CE">
              <w:rPr>
                <w:rFonts w:cs="Arial"/>
                <w:color w:val="000000" w:themeColor="text1"/>
                <w:spacing w:val="1"/>
                <w:sz w:val="16"/>
                <w:szCs w:val="18"/>
                <w:lang w:eastAsia="fr-FR"/>
              </w:rPr>
              <w:t>(Aedes spp, Anopheles spp)</w:t>
            </w:r>
          </w:p>
          <w:p w14:paraId="459166E4" w14:textId="77777777" w:rsidR="00525001" w:rsidRPr="005240CE" w:rsidRDefault="00525001" w:rsidP="008A1E90">
            <w:pPr>
              <w:keepNext/>
              <w:tabs>
                <w:tab w:val="left" w:pos="426"/>
              </w:tabs>
              <w:spacing w:after="0"/>
              <w:ind w:right="281"/>
              <w:textAlignment w:val="top"/>
              <w:rPr>
                <w:rFonts w:cs="Arial"/>
                <w:color w:val="000000" w:themeColor="text1"/>
                <w:spacing w:val="1"/>
                <w:sz w:val="16"/>
                <w:szCs w:val="18"/>
                <w:lang w:eastAsia="fr-FR"/>
              </w:rPr>
            </w:pPr>
          </w:p>
          <w:p w14:paraId="7468A4BB" w14:textId="6B45350E" w:rsidR="00525001" w:rsidRPr="005240CE" w:rsidRDefault="00525001" w:rsidP="008A1E90">
            <w:pPr>
              <w:keepNext/>
              <w:tabs>
                <w:tab w:val="left" w:pos="426"/>
              </w:tabs>
              <w:spacing w:after="0"/>
              <w:ind w:right="281"/>
              <w:textAlignment w:val="top"/>
              <w:rPr>
                <w:rFonts w:cs="Arial"/>
                <w:color w:val="000000" w:themeColor="text1"/>
                <w:spacing w:val="1"/>
                <w:sz w:val="16"/>
                <w:szCs w:val="18"/>
                <w:lang w:eastAsia="fr-FR"/>
              </w:rPr>
            </w:pPr>
            <w:r w:rsidRPr="005240CE">
              <w:rPr>
                <w:rFonts w:cs="Arial"/>
                <w:color w:val="000000" w:themeColor="text1"/>
                <w:spacing w:val="1"/>
                <w:sz w:val="16"/>
                <w:szCs w:val="18"/>
                <w:lang w:eastAsia="fr-FR"/>
              </w:rPr>
              <w:t>Adults</w:t>
            </w:r>
          </w:p>
        </w:tc>
        <w:tc>
          <w:tcPr>
            <w:tcW w:w="1701" w:type="dxa"/>
            <w:shd w:val="clear" w:color="auto" w:fill="auto"/>
            <w:vAlign w:val="center"/>
          </w:tcPr>
          <w:p w14:paraId="3A0E0409" w14:textId="22ADFB24" w:rsidR="00525001" w:rsidRPr="005240CE" w:rsidRDefault="00525001" w:rsidP="008A1E90">
            <w:pPr>
              <w:rPr>
                <w:rFonts w:cs="Arial"/>
                <w:color w:val="000000" w:themeColor="text1"/>
                <w:spacing w:val="1"/>
                <w:sz w:val="16"/>
                <w:szCs w:val="18"/>
                <w:lang w:eastAsia="fr-FR"/>
              </w:rPr>
            </w:pPr>
            <w:r w:rsidRPr="005240CE">
              <w:rPr>
                <w:rFonts w:cs="Arial"/>
                <w:color w:val="000000" w:themeColor="text1"/>
                <w:spacing w:val="1"/>
                <w:sz w:val="16"/>
                <w:szCs w:val="18"/>
                <w:lang w:eastAsia="fr-FR"/>
              </w:rPr>
              <w:t xml:space="preserve">0.6 </w:t>
            </w:r>
            <w:r w:rsidR="009E2CCB" w:rsidRPr="005240CE">
              <w:rPr>
                <w:rFonts w:cs="Arial"/>
                <w:color w:val="000000" w:themeColor="text1"/>
                <w:spacing w:val="1"/>
                <w:sz w:val="16"/>
                <w:szCs w:val="18"/>
                <w:lang w:eastAsia="fr-FR"/>
              </w:rPr>
              <w:t>m</w:t>
            </w:r>
            <w:r w:rsidRPr="005240CE">
              <w:rPr>
                <w:rFonts w:cs="Arial"/>
                <w:color w:val="000000" w:themeColor="text1"/>
                <w:spacing w:val="1"/>
                <w:sz w:val="16"/>
                <w:szCs w:val="18"/>
                <w:lang w:eastAsia="fr-FR"/>
              </w:rPr>
              <w:t xml:space="preserve">g of product per cm² of fabric </w:t>
            </w:r>
          </w:p>
          <w:p w14:paraId="6D84A2E6" w14:textId="77777777" w:rsidR="00525001" w:rsidRPr="005240CE" w:rsidRDefault="00525001" w:rsidP="00406665">
            <w:pPr>
              <w:rPr>
                <w:rFonts w:cs="Arial"/>
                <w:color w:val="000000" w:themeColor="text1"/>
                <w:spacing w:val="1"/>
                <w:sz w:val="16"/>
                <w:szCs w:val="18"/>
                <w:lang w:eastAsia="fr-FR"/>
              </w:rPr>
            </w:pPr>
          </w:p>
        </w:tc>
        <w:tc>
          <w:tcPr>
            <w:tcW w:w="2126" w:type="dxa"/>
            <w:shd w:val="clear" w:color="auto" w:fill="auto"/>
            <w:vAlign w:val="center"/>
          </w:tcPr>
          <w:p w14:paraId="58B7C4AE" w14:textId="77777777" w:rsidR="00525001" w:rsidRPr="005240CE" w:rsidRDefault="00525001" w:rsidP="008A1E90">
            <w:pPr>
              <w:keepNext/>
              <w:autoSpaceDE w:val="0"/>
              <w:autoSpaceDN w:val="0"/>
              <w:adjustRightInd w:val="0"/>
              <w:spacing w:after="0"/>
              <w:ind w:right="281"/>
              <w:rPr>
                <w:rFonts w:cs="Arial"/>
                <w:color w:val="000000" w:themeColor="text1"/>
                <w:spacing w:val="1"/>
                <w:sz w:val="16"/>
                <w:szCs w:val="18"/>
                <w:lang w:eastAsia="fr-FR"/>
              </w:rPr>
            </w:pPr>
          </w:p>
          <w:p w14:paraId="51324C50" w14:textId="77777777" w:rsidR="00525001" w:rsidRPr="005240CE" w:rsidRDefault="00525001" w:rsidP="008A1E90">
            <w:pPr>
              <w:keepNext/>
              <w:autoSpaceDE w:val="0"/>
              <w:autoSpaceDN w:val="0"/>
              <w:adjustRightInd w:val="0"/>
              <w:spacing w:after="0"/>
              <w:ind w:right="281"/>
              <w:rPr>
                <w:rFonts w:cs="Arial"/>
                <w:color w:val="000000" w:themeColor="text1"/>
                <w:spacing w:val="1"/>
                <w:sz w:val="16"/>
                <w:szCs w:val="18"/>
                <w:lang w:eastAsia="fr-FR"/>
              </w:rPr>
            </w:pPr>
          </w:p>
          <w:p w14:paraId="11A68543" w14:textId="290E9AE4" w:rsidR="00525001" w:rsidRPr="005240CE" w:rsidRDefault="00525001" w:rsidP="008A1E90">
            <w:pPr>
              <w:keepNext/>
              <w:autoSpaceDE w:val="0"/>
              <w:autoSpaceDN w:val="0"/>
              <w:adjustRightInd w:val="0"/>
              <w:spacing w:after="0"/>
              <w:ind w:right="281"/>
              <w:rPr>
                <w:rFonts w:cs="Arial"/>
                <w:color w:val="000000" w:themeColor="text1"/>
                <w:spacing w:val="1"/>
                <w:sz w:val="16"/>
                <w:szCs w:val="18"/>
                <w:lang w:eastAsia="fr-FR"/>
              </w:rPr>
            </w:pPr>
            <w:r w:rsidRPr="005240CE">
              <w:rPr>
                <w:rFonts w:cs="Arial"/>
                <w:color w:val="000000" w:themeColor="text1"/>
                <w:spacing w:val="1"/>
                <w:sz w:val="16"/>
                <w:szCs w:val="18"/>
                <w:lang w:eastAsia="fr-FR"/>
              </w:rPr>
              <w:t>Spray directly the textile</w:t>
            </w:r>
          </w:p>
          <w:p w14:paraId="665BED4F" w14:textId="77777777" w:rsidR="00525001" w:rsidRPr="005240CE" w:rsidRDefault="00525001" w:rsidP="008A1E90">
            <w:pPr>
              <w:keepNext/>
              <w:autoSpaceDE w:val="0"/>
              <w:autoSpaceDN w:val="0"/>
              <w:adjustRightInd w:val="0"/>
              <w:spacing w:after="0"/>
              <w:ind w:right="281"/>
              <w:rPr>
                <w:rFonts w:cs="Arial"/>
                <w:color w:val="000000" w:themeColor="text1"/>
                <w:spacing w:val="1"/>
                <w:sz w:val="16"/>
                <w:szCs w:val="18"/>
                <w:lang w:eastAsia="fr-FR"/>
              </w:rPr>
            </w:pPr>
          </w:p>
          <w:p w14:paraId="146A5342" w14:textId="13F45C3A" w:rsidR="00525001" w:rsidRPr="005240CE" w:rsidRDefault="00525001" w:rsidP="003F6CA6">
            <w:pPr>
              <w:keepNext/>
              <w:autoSpaceDE w:val="0"/>
              <w:autoSpaceDN w:val="0"/>
              <w:adjustRightInd w:val="0"/>
              <w:spacing w:after="0"/>
              <w:ind w:right="281"/>
              <w:rPr>
                <w:rFonts w:cs="Arial"/>
                <w:color w:val="000000" w:themeColor="text1"/>
                <w:spacing w:val="1"/>
                <w:sz w:val="16"/>
                <w:szCs w:val="18"/>
                <w:lang w:eastAsia="fr-FR"/>
              </w:rPr>
            </w:pPr>
            <w:r w:rsidRPr="005240CE">
              <w:rPr>
                <w:rFonts w:cs="Arial"/>
                <w:color w:val="000000" w:themeColor="text1"/>
                <w:spacing w:val="1"/>
                <w:sz w:val="16"/>
                <w:szCs w:val="18"/>
                <w:lang w:eastAsia="fr-FR"/>
              </w:rPr>
              <w:t>Protection time: 8 hours in tropical</w:t>
            </w:r>
            <w:r w:rsidR="00937BBF">
              <w:rPr>
                <w:rFonts w:cs="Arial"/>
                <w:color w:val="000000" w:themeColor="text1"/>
                <w:spacing w:val="1"/>
                <w:sz w:val="16"/>
                <w:szCs w:val="18"/>
                <w:lang w:eastAsia="fr-FR"/>
              </w:rPr>
              <w:t xml:space="preserve"> </w:t>
            </w:r>
            <w:r w:rsidRPr="005240CE">
              <w:rPr>
                <w:rFonts w:cs="Arial"/>
                <w:color w:val="000000" w:themeColor="text1"/>
                <w:spacing w:val="1"/>
                <w:sz w:val="16"/>
                <w:szCs w:val="18"/>
                <w:lang w:eastAsia="fr-FR"/>
              </w:rPr>
              <w:t>conditions</w:t>
            </w:r>
          </w:p>
        </w:tc>
        <w:tc>
          <w:tcPr>
            <w:tcW w:w="3827" w:type="dxa"/>
          </w:tcPr>
          <w:p w14:paraId="23CADEA5" w14:textId="77777777" w:rsidR="00525001" w:rsidRPr="005240CE" w:rsidRDefault="00525001"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treatment against mosquitos in tropical conditions, do not apply the product simultaneously on the skin and on clothes</w:t>
            </w:r>
            <w:r w:rsidRPr="005240CE" w:rsidDel="006161D3">
              <w:rPr>
                <w:rFonts w:cs="Arial"/>
                <w:bCs/>
                <w:color w:val="000000" w:themeColor="text1"/>
                <w:sz w:val="16"/>
                <w:szCs w:val="18"/>
                <w:lang w:eastAsia="fr-FR"/>
              </w:rPr>
              <w:t xml:space="preserve"> </w:t>
            </w:r>
          </w:p>
          <w:p w14:paraId="38CC1870" w14:textId="77777777" w:rsidR="00525001" w:rsidRPr="005240CE" w:rsidRDefault="00525001" w:rsidP="00525001">
            <w:pPr>
              <w:spacing w:before="0" w:after="0"/>
              <w:contextualSpacing/>
              <w:jc w:val="both"/>
              <w:rPr>
                <w:rFonts w:cs="Arial"/>
                <w:bCs/>
                <w:color w:val="000000" w:themeColor="text1"/>
                <w:sz w:val="16"/>
                <w:szCs w:val="18"/>
                <w:lang w:eastAsia="fr-FR"/>
              </w:rPr>
            </w:pPr>
          </w:p>
          <w:p w14:paraId="7E5275CB" w14:textId="77777777" w:rsidR="00525001" w:rsidRPr="005240CE" w:rsidDel="003F6CA6" w:rsidRDefault="00525001" w:rsidP="00525001">
            <w:pPr>
              <w:spacing w:before="0" w:after="0"/>
              <w:contextualSpacing/>
              <w:jc w:val="both"/>
              <w:rPr>
                <w:rFonts w:eastAsia="Calibri" w:cs="Arial"/>
                <w:color w:val="000000" w:themeColor="text1"/>
                <w:sz w:val="16"/>
                <w:szCs w:val="18"/>
                <w:lang w:eastAsia="sv-SE"/>
              </w:rPr>
            </w:pPr>
          </w:p>
        </w:tc>
        <w:tc>
          <w:tcPr>
            <w:tcW w:w="5245" w:type="dxa"/>
          </w:tcPr>
          <w:p w14:paraId="1FB38F0B" w14:textId="77777777" w:rsidR="00525001" w:rsidRPr="005240CE" w:rsidRDefault="00525001" w:rsidP="00A23B15">
            <w:pPr>
              <w:pStyle w:val="Paragraphedeliste"/>
              <w:numPr>
                <w:ilvl w:val="0"/>
                <w:numId w:val="16"/>
              </w:numPr>
              <w:spacing w:before="0" w:after="0"/>
              <w:jc w:val="both"/>
              <w:rPr>
                <w:rFonts w:cs="Arial"/>
                <w:bCs/>
                <w:color w:val="000000" w:themeColor="text1"/>
                <w:sz w:val="16"/>
                <w:szCs w:val="18"/>
                <w:lang w:eastAsia="fr-FR"/>
              </w:rPr>
            </w:pPr>
            <w:r w:rsidRPr="005240CE">
              <w:rPr>
                <w:rFonts w:cs="Arial"/>
                <w:bCs/>
                <w:color w:val="000000" w:themeColor="text1"/>
                <w:sz w:val="16"/>
                <w:szCs w:val="18"/>
                <w:lang w:eastAsia="fr-FR"/>
              </w:rPr>
              <w:t xml:space="preserve">For treatment against mosquitos in tropical conditions, do not apply the product simultaneously on the skin and on clothes for children younger than 6 years. </w:t>
            </w:r>
          </w:p>
          <w:p w14:paraId="4017ADD6" w14:textId="77777777" w:rsidR="00525001" w:rsidRPr="005240CE" w:rsidDel="003F6CA6" w:rsidRDefault="00525001" w:rsidP="008A1E90">
            <w:pPr>
              <w:keepNext/>
              <w:autoSpaceDE w:val="0"/>
              <w:autoSpaceDN w:val="0"/>
              <w:adjustRightInd w:val="0"/>
              <w:spacing w:after="0"/>
              <w:ind w:right="281"/>
              <w:rPr>
                <w:rFonts w:eastAsia="Calibri" w:cs="Arial"/>
                <w:color w:val="000000" w:themeColor="text1"/>
                <w:sz w:val="16"/>
                <w:szCs w:val="18"/>
                <w:lang w:val="sv-SE" w:eastAsia="sv-SE"/>
              </w:rPr>
            </w:pPr>
          </w:p>
        </w:tc>
      </w:tr>
      <w:tr w:rsidR="00525001" w:rsidRPr="00043187" w14:paraId="5E13F7B5" w14:textId="6774BB10" w:rsidTr="00937BBF">
        <w:trPr>
          <w:trHeight w:val="1281"/>
        </w:trPr>
        <w:tc>
          <w:tcPr>
            <w:tcW w:w="1844" w:type="dxa"/>
            <w:shd w:val="clear" w:color="auto" w:fill="auto"/>
            <w:vAlign w:val="center"/>
          </w:tcPr>
          <w:p w14:paraId="71068AA0" w14:textId="77777777" w:rsidR="00525001" w:rsidRPr="005240CE" w:rsidRDefault="00525001" w:rsidP="008A1E90">
            <w:pPr>
              <w:keepNext/>
              <w:tabs>
                <w:tab w:val="left" w:pos="426"/>
              </w:tabs>
              <w:spacing w:after="0"/>
              <w:ind w:right="281"/>
              <w:textAlignment w:val="top"/>
              <w:rPr>
                <w:rFonts w:cs="Arial"/>
                <w:color w:val="000000" w:themeColor="text1"/>
                <w:spacing w:val="1"/>
                <w:sz w:val="16"/>
                <w:szCs w:val="18"/>
                <w:lang w:eastAsia="fr-FR"/>
              </w:rPr>
            </w:pPr>
            <w:r w:rsidRPr="005240CE">
              <w:rPr>
                <w:rFonts w:cs="Arial"/>
                <w:color w:val="000000" w:themeColor="text1"/>
                <w:spacing w:val="1"/>
                <w:sz w:val="16"/>
                <w:szCs w:val="18"/>
                <w:lang w:eastAsia="fr-FR"/>
              </w:rPr>
              <w:t>Mosquitoes</w:t>
            </w:r>
          </w:p>
          <w:p w14:paraId="23011D27" w14:textId="77777777" w:rsidR="00525001" w:rsidRPr="005240CE" w:rsidRDefault="00525001" w:rsidP="008A1E90">
            <w:pPr>
              <w:keepNext/>
              <w:tabs>
                <w:tab w:val="left" w:pos="426"/>
              </w:tabs>
              <w:spacing w:after="0"/>
              <w:ind w:right="281"/>
              <w:textAlignment w:val="top"/>
              <w:rPr>
                <w:rFonts w:cs="Arial"/>
                <w:color w:val="000000" w:themeColor="text1"/>
                <w:spacing w:val="1"/>
                <w:sz w:val="16"/>
                <w:szCs w:val="18"/>
                <w:lang w:eastAsia="fr-FR"/>
              </w:rPr>
            </w:pPr>
            <w:r w:rsidRPr="005240CE">
              <w:rPr>
                <w:rFonts w:cs="Arial"/>
                <w:color w:val="000000" w:themeColor="text1"/>
                <w:spacing w:val="1"/>
                <w:sz w:val="16"/>
                <w:szCs w:val="18"/>
                <w:lang w:eastAsia="fr-FR"/>
              </w:rPr>
              <w:t xml:space="preserve">(Aedes spp, Culex spp) </w:t>
            </w:r>
          </w:p>
          <w:p w14:paraId="7CC832E9" w14:textId="77777777" w:rsidR="00525001" w:rsidRPr="005240CE" w:rsidRDefault="00525001" w:rsidP="008A1E90">
            <w:pPr>
              <w:keepNext/>
              <w:tabs>
                <w:tab w:val="left" w:pos="426"/>
              </w:tabs>
              <w:spacing w:after="0"/>
              <w:ind w:right="281"/>
              <w:textAlignment w:val="top"/>
              <w:rPr>
                <w:rFonts w:cs="Arial"/>
                <w:color w:val="000000" w:themeColor="text1"/>
                <w:spacing w:val="1"/>
                <w:sz w:val="16"/>
                <w:szCs w:val="18"/>
                <w:lang w:eastAsia="fr-FR"/>
              </w:rPr>
            </w:pPr>
          </w:p>
          <w:p w14:paraId="68B54184" w14:textId="27561B5E" w:rsidR="00525001" w:rsidRPr="005240CE" w:rsidRDefault="00525001" w:rsidP="008A1E90">
            <w:pPr>
              <w:keepNext/>
              <w:tabs>
                <w:tab w:val="left" w:pos="426"/>
              </w:tabs>
              <w:spacing w:after="0"/>
              <w:ind w:right="281"/>
              <w:textAlignment w:val="top"/>
              <w:rPr>
                <w:rFonts w:cs="Arial"/>
                <w:color w:val="000000" w:themeColor="text1"/>
                <w:spacing w:val="1"/>
                <w:sz w:val="16"/>
                <w:szCs w:val="18"/>
                <w:lang w:eastAsia="fr-FR"/>
              </w:rPr>
            </w:pPr>
            <w:r w:rsidRPr="005240CE">
              <w:rPr>
                <w:rFonts w:cs="Arial"/>
                <w:color w:val="000000" w:themeColor="text1"/>
                <w:spacing w:val="1"/>
                <w:sz w:val="16"/>
                <w:szCs w:val="18"/>
                <w:lang w:eastAsia="fr-FR"/>
              </w:rPr>
              <w:t>Adults</w:t>
            </w:r>
          </w:p>
        </w:tc>
        <w:tc>
          <w:tcPr>
            <w:tcW w:w="1701" w:type="dxa"/>
            <w:shd w:val="clear" w:color="auto" w:fill="auto"/>
            <w:vAlign w:val="center"/>
          </w:tcPr>
          <w:p w14:paraId="6D117CAF" w14:textId="6CBD7B2B" w:rsidR="00525001" w:rsidRPr="005240CE" w:rsidRDefault="00525001" w:rsidP="005A507F">
            <w:pPr>
              <w:keepNext/>
              <w:autoSpaceDE w:val="0"/>
              <w:autoSpaceDN w:val="0"/>
              <w:adjustRightInd w:val="0"/>
              <w:spacing w:after="0"/>
              <w:ind w:right="281"/>
              <w:rPr>
                <w:rFonts w:cs="Arial"/>
                <w:color w:val="000000" w:themeColor="text1"/>
                <w:spacing w:val="1"/>
                <w:sz w:val="16"/>
                <w:szCs w:val="18"/>
                <w:lang w:eastAsia="fr-FR"/>
              </w:rPr>
            </w:pPr>
            <w:r w:rsidRPr="005240CE">
              <w:rPr>
                <w:rFonts w:cs="Arial"/>
                <w:color w:val="000000" w:themeColor="text1"/>
                <w:spacing w:val="1"/>
                <w:sz w:val="16"/>
                <w:szCs w:val="18"/>
                <w:lang w:eastAsia="fr-FR"/>
              </w:rPr>
              <w:t xml:space="preserve">0.6 </w:t>
            </w:r>
            <w:r w:rsidR="009E2CCB" w:rsidRPr="005240CE">
              <w:rPr>
                <w:rFonts w:cs="Arial"/>
                <w:color w:val="000000" w:themeColor="text1"/>
                <w:spacing w:val="1"/>
                <w:sz w:val="16"/>
                <w:szCs w:val="18"/>
                <w:lang w:eastAsia="fr-FR"/>
              </w:rPr>
              <w:t>m</w:t>
            </w:r>
            <w:r w:rsidRPr="005240CE">
              <w:rPr>
                <w:rFonts w:cs="Arial"/>
                <w:color w:val="000000" w:themeColor="text1"/>
                <w:spacing w:val="1"/>
                <w:sz w:val="16"/>
                <w:szCs w:val="18"/>
                <w:lang w:eastAsia="fr-FR"/>
              </w:rPr>
              <w:t xml:space="preserve">g of product per cm² of skin </w:t>
            </w:r>
          </w:p>
          <w:p w14:paraId="59AB1A86" w14:textId="77777777" w:rsidR="00525001" w:rsidRPr="005240CE" w:rsidRDefault="00525001" w:rsidP="005A507F">
            <w:pPr>
              <w:keepNext/>
              <w:autoSpaceDE w:val="0"/>
              <w:autoSpaceDN w:val="0"/>
              <w:adjustRightInd w:val="0"/>
              <w:spacing w:after="0"/>
              <w:ind w:right="281"/>
              <w:rPr>
                <w:rFonts w:cs="Arial"/>
                <w:color w:val="000000" w:themeColor="text1"/>
                <w:spacing w:val="1"/>
                <w:sz w:val="16"/>
                <w:szCs w:val="18"/>
                <w:lang w:eastAsia="fr-FR"/>
              </w:rPr>
            </w:pPr>
          </w:p>
          <w:p w14:paraId="42008572" w14:textId="067900C9" w:rsidR="00525001" w:rsidRPr="005240CE" w:rsidRDefault="00525001" w:rsidP="000E58F0">
            <w:pPr>
              <w:pStyle w:val="Paragraphedeliste"/>
              <w:keepNext/>
              <w:autoSpaceDE w:val="0"/>
              <w:autoSpaceDN w:val="0"/>
              <w:adjustRightInd w:val="0"/>
              <w:spacing w:after="0"/>
              <w:ind w:left="1065" w:right="281"/>
              <w:rPr>
                <w:rFonts w:cs="Arial"/>
                <w:color w:val="000000" w:themeColor="text1"/>
                <w:spacing w:val="1"/>
                <w:sz w:val="16"/>
                <w:szCs w:val="18"/>
                <w:lang w:eastAsia="fr-FR"/>
              </w:rPr>
            </w:pPr>
          </w:p>
        </w:tc>
        <w:tc>
          <w:tcPr>
            <w:tcW w:w="2126" w:type="dxa"/>
            <w:shd w:val="clear" w:color="auto" w:fill="auto"/>
            <w:vAlign w:val="center"/>
          </w:tcPr>
          <w:p w14:paraId="5343CF3A" w14:textId="77777777" w:rsidR="00525001" w:rsidRPr="005240CE" w:rsidRDefault="00525001" w:rsidP="003C5407">
            <w:pPr>
              <w:keepNext/>
              <w:autoSpaceDE w:val="0"/>
              <w:autoSpaceDN w:val="0"/>
              <w:adjustRightInd w:val="0"/>
              <w:spacing w:after="0"/>
              <w:ind w:right="281"/>
              <w:rPr>
                <w:rFonts w:cs="Arial"/>
                <w:color w:val="000000" w:themeColor="text1"/>
                <w:spacing w:val="1"/>
                <w:sz w:val="16"/>
                <w:szCs w:val="18"/>
                <w:lang w:eastAsia="fr-FR"/>
              </w:rPr>
            </w:pPr>
          </w:p>
          <w:p w14:paraId="088EE2CA" w14:textId="77777777" w:rsidR="00525001" w:rsidRPr="005240CE" w:rsidRDefault="00525001" w:rsidP="003C5407">
            <w:pPr>
              <w:keepNext/>
              <w:autoSpaceDE w:val="0"/>
              <w:autoSpaceDN w:val="0"/>
              <w:adjustRightInd w:val="0"/>
              <w:spacing w:after="0"/>
              <w:ind w:right="281"/>
              <w:rPr>
                <w:rFonts w:cs="Arial"/>
                <w:color w:val="000000" w:themeColor="text1"/>
                <w:spacing w:val="1"/>
                <w:sz w:val="16"/>
                <w:szCs w:val="18"/>
                <w:lang w:eastAsia="fr-FR"/>
              </w:rPr>
            </w:pPr>
          </w:p>
          <w:p w14:paraId="4F8E24C2" w14:textId="55BBC0D5" w:rsidR="00525001" w:rsidRPr="005240CE" w:rsidRDefault="00525001" w:rsidP="003C5407">
            <w:pPr>
              <w:keepNext/>
              <w:autoSpaceDE w:val="0"/>
              <w:autoSpaceDN w:val="0"/>
              <w:adjustRightInd w:val="0"/>
              <w:spacing w:after="0"/>
              <w:ind w:right="281"/>
              <w:rPr>
                <w:rFonts w:cs="Arial"/>
                <w:color w:val="000000" w:themeColor="text1"/>
                <w:spacing w:val="1"/>
                <w:sz w:val="16"/>
                <w:szCs w:val="18"/>
                <w:lang w:eastAsia="fr-FR"/>
              </w:rPr>
            </w:pPr>
            <w:r w:rsidRPr="005240CE">
              <w:rPr>
                <w:rFonts w:cs="Arial"/>
                <w:color w:val="000000" w:themeColor="text1"/>
                <w:spacing w:val="1"/>
                <w:sz w:val="16"/>
                <w:szCs w:val="18"/>
                <w:lang w:eastAsia="fr-FR"/>
              </w:rPr>
              <w:t>Spray on skin</w:t>
            </w:r>
          </w:p>
          <w:p w14:paraId="5CE6E6DF" w14:textId="77777777" w:rsidR="00525001" w:rsidRPr="005240CE" w:rsidRDefault="00525001" w:rsidP="003C5407">
            <w:pPr>
              <w:keepNext/>
              <w:autoSpaceDE w:val="0"/>
              <w:autoSpaceDN w:val="0"/>
              <w:adjustRightInd w:val="0"/>
              <w:spacing w:after="0"/>
              <w:ind w:right="281"/>
              <w:rPr>
                <w:rFonts w:cs="Arial"/>
                <w:color w:val="000000" w:themeColor="text1"/>
                <w:spacing w:val="1"/>
                <w:sz w:val="16"/>
                <w:szCs w:val="18"/>
                <w:lang w:eastAsia="fr-FR"/>
              </w:rPr>
            </w:pPr>
          </w:p>
          <w:p w14:paraId="3FE27C71" w14:textId="43156AA5" w:rsidR="00525001" w:rsidRPr="005240CE" w:rsidRDefault="00525001" w:rsidP="005A507F">
            <w:pPr>
              <w:keepNext/>
              <w:autoSpaceDE w:val="0"/>
              <w:autoSpaceDN w:val="0"/>
              <w:adjustRightInd w:val="0"/>
              <w:spacing w:after="0"/>
              <w:ind w:right="281"/>
              <w:rPr>
                <w:rFonts w:cs="Arial"/>
                <w:color w:val="000000" w:themeColor="text1"/>
                <w:spacing w:val="1"/>
                <w:sz w:val="16"/>
                <w:szCs w:val="18"/>
                <w:lang w:eastAsia="fr-FR"/>
              </w:rPr>
            </w:pPr>
            <w:r w:rsidRPr="005240CE">
              <w:rPr>
                <w:rFonts w:cs="Arial"/>
                <w:color w:val="000000" w:themeColor="text1"/>
                <w:spacing w:val="1"/>
                <w:sz w:val="16"/>
                <w:szCs w:val="18"/>
                <w:lang w:eastAsia="fr-FR"/>
              </w:rPr>
              <w:t>Protection time: 4 hours in temperate conditions</w:t>
            </w:r>
          </w:p>
          <w:p w14:paraId="1B2505A3" w14:textId="77777777" w:rsidR="00525001" w:rsidRPr="005240CE" w:rsidRDefault="00525001">
            <w:pPr>
              <w:keepNext/>
              <w:autoSpaceDE w:val="0"/>
              <w:autoSpaceDN w:val="0"/>
              <w:adjustRightInd w:val="0"/>
              <w:spacing w:after="0"/>
              <w:ind w:right="281"/>
              <w:rPr>
                <w:rFonts w:cs="Arial"/>
                <w:color w:val="000000" w:themeColor="text1"/>
                <w:spacing w:val="1"/>
                <w:sz w:val="16"/>
                <w:szCs w:val="18"/>
                <w:lang w:eastAsia="fr-FR"/>
              </w:rPr>
            </w:pPr>
          </w:p>
        </w:tc>
        <w:tc>
          <w:tcPr>
            <w:tcW w:w="3827" w:type="dxa"/>
          </w:tcPr>
          <w:p w14:paraId="174B6194" w14:textId="3753F51D" w:rsidR="00C25A73" w:rsidRPr="00A23B15"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Apply only one time per day</w:t>
            </w:r>
            <w:r w:rsidRPr="00A23B15" w:rsidDel="006161D3">
              <w:rPr>
                <w:rFonts w:cs="Arial"/>
                <w:bCs/>
                <w:color w:val="000000" w:themeColor="text1"/>
                <w:sz w:val="16"/>
                <w:szCs w:val="18"/>
                <w:lang w:eastAsia="fr-FR"/>
              </w:rPr>
              <w:t xml:space="preserve"> </w:t>
            </w:r>
          </w:p>
          <w:p w14:paraId="41EB273C"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Do not apply the product simultaneously on the skin of children and on their clothes.</w:t>
            </w:r>
          </w:p>
          <w:p w14:paraId="754CF2AC" w14:textId="77777777" w:rsidR="00C25A73" w:rsidRPr="00A23B15"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adult, do not apply the product on skin under clothes</w:t>
            </w:r>
            <w:r w:rsidRPr="005240CE" w:rsidDel="006161D3">
              <w:rPr>
                <w:rFonts w:cs="Arial"/>
                <w:bCs/>
                <w:color w:val="000000" w:themeColor="text1"/>
                <w:sz w:val="16"/>
                <w:szCs w:val="18"/>
                <w:lang w:eastAsia="fr-FR"/>
              </w:rPr>
              <w:t xml:space="preserve"> </w:t>
            </w:r>
          </w:p>
          <w:p w14:paraId="477646C0" w14:textId="3B32BC72" w:rsidR="00525001" w:rsidRPr="005240CE" w:rsidDel="003F6CA6" w:rsidRDefault="00525001" w:rsidP="00C25A73">
            <w:pPr>
              <w:spacing w:before="0" w:after="0"/>
              <w:contextualSpacing/>
              <w:jc w:val="both"/>
              <w:rPr>
                <w:rFonts w:eastAsia="Calibri" w:cs="Arial"/>
                <w:color w:val="000000" w:themeColor="text1"/>
                <w:sz w:val="16"/>
                <w:szCs w:val="18"/>
                <w:lang w:val="sv-SE" w:eastAsia="sv-SE"/>
              </w:rPr>
            </w:pPr>
          </w:p>
        </w:tc>
        <w:tc>
          <w:tcPr>
            <w:tcW w:w="5245" w:type="dxa"/>
          </w:tcPr>
          <w:p w14:paraId="247435EF" w14:textId="0F497D9C"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5240CE">
              <w:rPr>
                <w:rFonts w:cs="Arial"/>
                <w:bCs/>
                <w:color w:val="000000" w:themeColor="text1"/>
                <w:sz w:val="16"/>
                <w:szCs w:val="18"/>
                <w:lang w:eastAsia="fr-FR"/>
              </w:rPr>
              <w:t>Apply only on head, arms, hands and legs.</w:t>
            </w:r>
          </w:p>
          <w:p w14:paraId="1945E778" w14:textId="34A89C28"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 xml:space="preserve">For adult and children of 6 </w:t>
            </w:r>
            <w:r w:rsidR="00063A97" w:rsidRPr="00A23B15">
              <w:rPr>
                <w:rFonts w:cs="Arial"/>
                <w:bCs/>
                <w:color w:val="000000" w:themeColor="text1"/>
                <w:sz w:val="16"/>
                <w:szCs w:val="18"/>
                <w:lang w:eastAsia="fr-FR"/>
              </w:rPr>
              <w:t xml:space="preserve">years </w:t>
            </w:r>
            <w:r w:rsidRPr="00A23B15">
              <w:rPr>
                <w:rFonts w:cs="Arial"/>
                <w:bCs/>
                <w:color w:val="000000" w:themeColor="text1"/>
                <w:sz w:val="16"/>
                <w:szCs w:val="18"/>
                <w:lang w:eastAsia="fr-FR"/>
              </w:rPr>
              <w:t>and more, apply up to two times per day</w:t>
            </w:r>
          </w:p>
          <w:p w14:paraId="29CDB1AC" w14:textId="493C5988"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children younger than 6 years, apply one time per day</w:t>
            </w:r>
            <w:r w:rsidRPr="005240CE" w:rsidDel="005D6363">
              <w:rPr>
                <w:rFonts w:cs="Arial"/>
                <w:bCs/>
                <w:color w:val="000000" w:themeColor="text1"/>
                <w:sz w:val="16"/>
                <w:szCs w:val="18"/>
                <w:lang w:eastAsia="fr-FR"/>
              </w:rPr>
              <w:t xml:space="preserve"> </w:t>
            </w:r>
          </w:p>
          <w:p w14:paraId="5325ED79" w14:textId="5B1119BC" w:rsidR="00C25A73" w:rsidRPr="00A23B15"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children of 2 years and more, if the product is used in combination with clothes treatment, do not apply the product on skin more than one time per day. Do not apply the product on skin under clothes.</w:t>
            </w:r>
          </w:p>
          <w:p w14:paraId="04394A3B" w14:textId="22F84CC3" w:rsidR="00525001" w:rsidRPr="005240CE" w:rsidDel="003F6CA6" w:rsidRDefault="00C25A73" w:rsidP="00A23B15">
            <w:pPr>
              <w:pStyle w:val="Paragraphedeliste"/>
              <w:numPr>
                <w:ilvl w:val="0"/>
                <w:numId w:val="16"/>
              </w:numPr>
              <w:spacing w:before="0" w:after="0"/>
              <w:jc w:val="both"/>
              <w:rPr>
                <w:rFonts w:eastAsia="Calibri" w:cs="Arial"/>
                <w:color w:val="000000" w:themeColor="text1"/>
                <w:sz w:val="16"/>
                <w:szCs w:val="18"/>
                <w:lang w:val="sv-SE" w:eastAsia="sv-SE"/>
              </w:rPr>
            </w:pPr>
            <w:r w:rsidRPr="00A23B15">
              <w:rPr>
                <w:rFonts w:cs="Arial"/>
                <w:bCs/>
                <w:color w:val="000000" w:themeColor="text1"/>
                <w:sz w:val="16"/>
                <w:szCs w:val="18"/>
                <w:lang w:eastAsia="fr-FR"/>
              </w:rPr>
              <w:t>Do not apply the product simultaneously on the skin of children younger than 2 years and on their clothes.</w:t>
            </w:r>
          </w:p>
        </w:tc>
      </w:tr>
      <w:tr w:rsidR="00525001" w:rsidRPr="00043187" w14:paraId="63C2CAD3" w14:textId="24E15EC0" w:rsidTr="00937BBF">
        <w:trPr>
          <w:trHeight w:val="1281"/>
        </w:trPr>
        <w:tc>
          <w:tcPr>
            <w:tcW w:w="1844" w:type="dxa"/>
            <w:shd w:val="clear" w:color="auto" w:fill="auto"/>
            <w:vAlign w:val="center"/>
          </w:tcPr>
          <w:p w14:paraId="16C246B3" w14:textId="77777777" w:rsidR="00525001" w:rsidRPr="005240CE" w:rsidRDefault="00525001" w:rsidP="008A1E90">
            <w:pPr>
              <w:keepNext/>
              <w:tabs>
                <w:tab w:val="left" w:pos="426"/>
              </w:tabs>
              <w:spacing w:after="0"/>
              <w:ind w:right="281"/>
              <w:textAlignment w:val="top"/>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Mosquitoes</w:t>
            </w:r>
          </w:p>
          <w:p w14:paraId="361F073D" w14:textId="77777777" w:rsidR="00525001" w:rsidRPr="005240CE" w:rsidRDefault="00525001" w:rsidP="008A1E90">
            <w:pPr>
              <w:keepNext/>
              <w:tabs>
                <w:tab w:val="left" w:pos="426"/>
              </w:tabs>
              <w:spacing w:after="0"/>
              <w:ind w:right="281"/>
              <w:textAlignment w:val="top"/>
              <w:rPr>
                <w:rFonts w:eastAsia="Calibri" w:cs="Arial"/>
                <w:i/>
                <w:color w:val="000000" w:themeColor="text1"/>
                <w:sz w:val="16"/>
                <w:szCs w:val="18"/>
                <w:lang w:val="sv-SE" w:eastAsia="sv-SE"/>
              </w:rPr>
            </w:pPr>
            <w:r w:rsidRPr="005240CE">
              <w:rPr>
                <w:rFonts w:eastAsia="Calibri" w:cs="Arial"/>
                <w:color w:val="000000" w:themeColor="text1"/>
                <w:sz w:val="16"/>
                <w:szCs w:val="18"/>
                <w:lang w:val="sv-SE" w:eastAsia="sv-SE"/>
              </w:rPr>
              <w:t>(</w:t>
            </w:r>
            <w:r w:rsidRPr="005240CE">
              <w:rPr>
                <w:rFonts w:eastAsia="Calibri" w:cs="Arial"/>
                <w:i/>
                <w:color w:val="000000" w:themeColor="text1"/>
                <w:sz w:val="16"/>
                <w:szCs w:val="18"/>
                <w:lang w:val="sv-SE" w:eastAsia="sv-SE"/>
              </w:rPr>
              <w:t>Aedes spp, Anopheles spp)</w:t>
            </w:r>
          </w:p>
          <w:p w14:paraId="5F6575B4" w14:textId="77777777" w:rsidR="00525001" w:rsidRPr="005240CE" w:rsidRDefault="00525001" w:rsidP="008A1E90">
            <w:pPr>
              <w:keepNext/>
              <w:tabs>
                <w:tab w:val="left" w:pos="426"/>
              </w:tabs>
              <w:spacing w:after="0"/>
              <w:ind w:right="281"/>
              <w:textAlignment w:val="top"/>
              <w:rPr>
                <w:rFonts w:eastAsia="Calibri" w:cs="Arial"/>
                <w:i/>
                <w:color w:val="000000" w:themeColor="text1"/>
                <w:sz w:val="16"/>
                <w:szCs w:val="18"/>
                <w:lang w:val="sv-SE" w:eastAsia="sv-SE"/>
              </w:rPr>
            </w:pPr>
          </w:p>
          <w:p w14:paraId="57A80BB1" w14:textId="526167EF" w:rsidR="00525001" w:rsidRPr="005240CE" w:rsidRDefault="00525001" w:rsidP="008A1E90">
            <w:pPr>
              <w:keepNext/>
              <w:tabs>
                <w:tab w:val="left" w:pos="426"/>
              </w:tabs>
              <w:spacing w:after="0"/>
              <w:ind w:right="281"/>
              <w:textAlignment w:val="top"/>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Adults</w:t>
            </w:r>
          </w:p>
        </w:tc>
        <w:tc>
          <w:tcPr>
            <w:tcW w:w="1701" w:type="dxa"/>
            <w:shd w:val="clear" w:color="auto" w:fill="auto"/>
            <w:vAlign w:val="center"/>
          </w:tcPr>
          <w:p w14:paraId="2F0852BC" w14:textId="7A861C07" w:rsidR="00525001" w:rsidRPr="005240CE" w:rsidRDefault="00525001" w:rsidP="008A1E90">
            <w:pPr>
              <w:keepNext/>
              <w:autoSpaceDE w:val="0"/>
              <w:autoSpaceDN w:val="0"/>
              <w:adjustRightInd w:val="0"/>
              <w:spacing w:after="0"/>
              <w:ind w:right="281"/>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 xml:space="preserve">0.8 </w:t>
            </w:r>
            <w:r w:rsidR="009E2CCB" w:rsidRPr="005240CE">
              <w:rPr>
                <w:rFonts w:eastAsia="Calibri" w:cs="Arial"/>
                <w:color w:val="000000" w:themeColor="text1"/>
                <w:sz w:val="16"/>
                <w:szCs w:val="18"/>
                <w:lang w:val="sv-SE" w:eastAsia="sv-SE"/>
              </w:rPr>
              <w:t>m</w:t>
            </w:r>
            <w:r w:rsidRPr="005240CE">
              <w:rPr>
                <w:rFonts w:eastAsia="Calibri" w:cs="Arial"/>
                <w:color w:val="000000" w:themeColor="text1"/>
                <w:sz w:val="16"/>
                <w:szCs w:val="18"/>
                <w:lang w:val="sv-SE" w:eastAsia="sv-SE"/>
              </w:rPr>
              <w:t xml:space="preserve">g of product per </w:t>
            </w:r>
            <w:r w:rsidR="005240CE" w:rsidRPr="005240CE">
              <w:rPr>
                <w:rFonts w:eastAsia="Calibri" w:cs="Arial"/>
                <w:color w:val="000000" w:themeColor="text1"/>
                <w:sz w:val="16"/>
                <w:szCs w:val="18"/>
                <w:lang w:val="sv-SE" w:eastAsia="sv-SE"/>
              </w:rPr>
              <w:t>c</w:t>
            </w:r>
            <w:r w:rsidRPr="005240CE">
              <w:rPr>
                <w:rFonts w:eastAsia="Calibri" w:cs="Arial"/>
                <w:color w:val="000000" w:themeColor="text1"/>
                <w:sz w:val="16"/>
                <w:szCs w:val="18"/>
                <w:lang w:val="sv-SE" w:eastAsia="sv-SE"/>
              </w:rPr>
              <w:t>m² of skin</w:t>
            </w:r>
            <w:r w:rsidR="005240CE" w:rsidRPr="005240CE">
              <w:rPr>
                <w:rFonts w:eastAsia="Calibri" w:cs="Arial"/>
                <w:color w:val="000000" w:themeColor="text1"/>
                <w:sz w:val="16"/>
                <w:szCs w:val="18"/>
                <w:lang w:val="sv-SE" w:eastAsia="sv-SE"/>
              </w:rPr>
              <w:t xml:space="preserve"> </w:t>
            </w:r>
          </w:p>
          <w:p w14:paraId="64D56009" w14:textId="77777777" w:rsidR="00525001" w:rsidRPr="005240CE" w:rsidRDefault="00525001" w:rsidP="005240CE">
            <w:pPr>
              <w:keepNext/>
              <w:autoSpaceDE w:val="0"/>
              <w:autoSpaceDN w:val="0"/>
              <w:adjustRightInd w:val="0"/>
              <w:spacing w:after="0"/>
              <w:ind w:right="281"/>
              <w:rPr>
                <w:rFonts w:eastAsia="Calibri" w:cs="Arial"/>
                <w:color w:val="000000" w:themeColor="text1"/>
                <w:sz w:val="16"/>
                <w:szCs w:val="18"/>
                <w:lang w:val="sv-SE" w:eastAsia="sv-SE"/>
              </w:rPr>
            </w:pPr>
          </w:p>
        </w:tc>
        <w:tc>
          <w:tcPr>
            <w:tcW w:w="2126" w:type="dxa"/>
            <w:shd w:val="clear" w:color="auto" w:fill="auto"/>
            <w:vAlign w:val="center"/>
          </w:tcPr>
          <w:p w14:paraId="171AFBC6" w14:textId="77777777" w:rsidR="00525001" w:rsidRPr="005240CE" w:rsidRDefault="00525001" w:rsidP="008A1E90">
            <w:pPr>
              <w:keepNext/>
              <w:autoSpaceDE w:val="0"/>
              <w:autoSpaceDN w:val="0"/>
              <w:adjustRightInd w:val="0"/>
              <w:spacing w:after="0"/>
              <w:ind w:right="281"/>
              <w:rPr>
                <w:rFonts w:eastAsia="Calibri" w:cs="Arial"/>
                <w:color w:val="000000" w:themeColor="text1"/>
                <w:sz w:val="16"/>
                <w:szCs w:val="18"/>
                <w:lang w:val="sv-SE" w:eastAsia="sv-SE"/>
              </w:rPr>
            </w:pPr>
          </w:p>
          <w:p w14:paraId="0139A20A" w14:textId="2A8687AF" w:rsidR="00525001" w:rsidRPr="005240CE" w:rsidRDefault="00525001" w:rsidP="008A1E90">
            <w:pPr>
              <w:keepNext/>
              <w:autoSpaceDE w:val="0"/>
              <w:autoSpaceDN w:val="0"/>
              <w:adjustRightInd w:val="0"/>
              <w:spacing w:after="0"/>
              <w:ind w:right="281"/>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Spray on skin</w:t>
            </w:r>
          </w:p>
          <w:p w14:paraId="1B0A1B93" w14:textId="77777777" w:rsidR="00525001" w:rsidRPr="005240CE" w:rsidRDefault="00525001" w:rsidP="008A1E90">
            <w:pPr>
              <w:keepNext/>
              <w:autoSpaceDE w:val="0"/>
              <w:autoSpaceDN w:val="0"/>
              <w:adjustRightInd w:val="0"/>
              <w:spacing w:after="0"/>
              <w:ind w:right="281"/>
              <w:rPr>
                <w:rFonts w:eastAsia="Calibri" w:cs="Arial"/>
                <w:color w:val="000000" w:themeColor="text1"/>
                <w:sz w:val="16"/>
                <w:szCs w:val="18"/>
                <w:lang w:val="sv-SE" w:eastAsia="sv-SE"/>
              </w:rPr>
            </w:pPr>
          </w:p>
          <w:p w14:paraId="73606441" w14:textId="77777777" w:rsidR="00525001" w:rsidRPr="005240CE" w:rsidRDefault="00525001" w:rsidP="008A1E90">
            <w:pPr>
              <w:keepNext/>
              <w:autoSpaceDE w:val="0"/>
              <w:autoSpaceDN w:val="0"/>
              <w:adjustRightInd w:val="0"/>
              <w:spacing w:after="0"/>
              <w:ind w:right="281"/>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Protection time: 3 hours in tropical conditions</w:t>
            </w:r>
          </w:p>
          <w:p w14:paraId="68D23832" w14:textId="77777777"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p>
        </w:tc>
        <w:tc>
          <w:tcPr>
            <w:tcW w:w="3827" w:type="dxa"/>
          </w:tcPr>
          <w:p w14:paraId="786FB6FA" w14:textId="13BEC5E3"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5240CE">
              <w:rPr>
                <w:rFonts w:cs="Arial"/>
                <w:bCs/>
                <w:color w:val="000000" w:themeColor="text1"/>
                <w:sz w:val="16"/>
                <w:szCs w:val="18"/>
                <w:lang w:eastAsia="fr-FR"/>
              </w:rPr>
              <w:t>Apply only one time per day</w:t>
            </w:r>
            <w:r w:rsidRPr="005240CE" w:rsidDel="006161D3">
              <w:rPr>
                <w:rFonts w:cs="Arial"/>
                <w:bCs/>
                <w:color w:val="000000" w:themeColor="text1"/>
                <w:sz w:val="16"/>
                <w:szCs w:val="18"/>
                <w:lang w:eastAsia="fr-FR"/>
              </w:rPr>
              <w:t xml:space="preserve"> </w:t>
            </w:r>
          </w:p>
          <w:p w14:paraId="70CB7BFE"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5240CE">
              <w:rPr>
                <w:rFonts w:cs="Arial"/>
                <w:bCs/>
                <w:color w:val="000000" w:themeColor="text1"/>
                <w:sz w:val="16"/>
                <w:szCs w:val="18"/>
                <w:lang w:eastAsia="fr-FR"/>
              </w:rPr>
              <w:t>Do not apply on children younger than 2 years</w:t>
            </w:r>
          </w:p>
          <w:p w14:paraId="4960C41F"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Do not apply the product simultaneously on the skin and on clothes.</w:t>
            </w:r>
          </w:p>
          <w:p w14:paraId="2050B50D" w14:textId="77777777" w:rsidR="00C25A73" w:rsidRPr="005240CE" w:rsidRDefault="00C25A73" w:rsidP="00C25A73">
            <w:pPr>
              <w:ind w:left="360"/>
              <w:rPr>
                <w:color w:val="000000" w:themeColor="text1"/>
                <w:sz w:val="16"/>
                <w:szCs w:val="18"/>
                <w:lang w:eastAsia="fr-FR"/>
              </w:rPr>
            </w:pPr>
          </w:p>
          <w:p w14:paraId="4CAF5F50" w14:textId="2AECB789" w:rsidR="00525001" w:rsidRPr="005240CE" w:rsidDel="003F6CA6" w:rsidRDefault="00525001" w:rsidP="00C25A73">
            <w:pPr>
              <w:keepNext/>
              <w:autoSpaceDE w:val="0"/>
              <w:autoSpaceDN w:val="0"/>
              <w:adjustRightInd w:val="0"/>
              <w:spacing w:after="0"/>
              <w:ind w:right="281"/>
              <w:rPr>
                <w:rFonts w:eastAsia="Calibri" w:cs="Arial"/>
                <w:color w:val="000000" w:themeColor="text1"/>
                <w:sz w:val="16"/>
                <w:szCs w:val="18"/>
                <w:lang w:val="sv-SE" w:eastAsia="sv-SE"/>
              </w:rPr>
            </w:pPr>
          </w:p>
        </w:tc>
        <w:tc>
          <w:tcPr>
            <w:tcW w:w="5245" w:type="dxa"/>
          </w:tcPr>
          <w:p w14:paraId="5649DE42" w14:textId="24092023"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5240CE">
              <w:rPr>
                <w:rFonts w:cs="Arial"/>
                <w:bCs/>
                <w:color w:val="000000" w:themeColor="text1"/>
                <w:sz w:val="16"/>
                <w:szCs w:val="18"/>
                <w:lang w:eastAsia="fr-FR"/>
              </w:rPr>
              <w:t>Apply only on head, arms, hands and legs.</w:t>
            </w:r>
          </w:p>
          <w:p w14:paraId="6AE066FF" w14:textId="592A7B2E"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adult and children more than 12 years, apply up to two times per day</w:t>
            </w:r>
          </w:p>
          <w:p w14:paraId="3DDC4510" w14:textId="031B0F70"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children under 12 years, apply one time per day</w:t>
            </w:r>
            <w:r w:rsidRPr="005240CE" w:rsidDel="005D6363">
              <w:rPr>
                <w:rFonts w:cs="Arial"/>
                <w:bCs/>
                <w:color w:val="000000" w:themeColor="text1"/>
                <w:sz w:val="16"/>
                <w:szCs w:val="18"/>
                <w:lang w:eastAsia="fr-FR"/>
              </w:rPr>
              <w:t xml:space="preserve"> </w:t>
            </w:r>
          </w:p>
          <w:p w14:paraId="46525D8A" w14:textId="7BF16794" w:rsidR="00C25A73" w:rsidRPr="00A23B15"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 xml:space="preserve">For treatment against mosquitos in tropical conditions, do not apply the product simultaneously on the skin and on clothes for children younger than 6 years. </w:t>
            </w:r>
          </w:p>
          <w:p w14:paraId="74FCB0C2" w14:textId="063DB631" w:rsidR="00525001" w:rsidRPr="005240CE" w:rsidDel="003F6CA6" w:rsidRDefault="00C25A73" w:rsidP="00A23B15">
            <w:pPr>
              <w:pStyle w:val="Paragraphedeliste"/>
              <w:numPr>
                <w:ilvl w:val="0"/>
                <w:numId w:val="16"/>
              </w:numPr>
              <w:spacing w:before="0" w:after="0"/>
              <w:jc w:val="both"/>
              <w:rPr>
                <w:rFonts w:eastAsia="Calibri" w:cs="Arial"/>
                <w:color w:val="000000" w:themeColor="text1"/>
                <w:sz w:val="16"/>
                <w:szCs w:val="18"/>
                <w:lang w:val="sv-SE" w:eastAsia="sv-SE"/>
              </w:rPr>
            </w:pPr>
            <w:r w:rsidRPr="00A23B15">
              <w:rPr>
                <w:rFonts w:cs="Arial"/>
                <w:bCs/>
                <w:color w:val="000000" w:themeColor="text1"/>
                <w:sz w:val="16"/>
                <w:szCs w:val="18"/>
                <w:lang w:eastAsia="fr-FR"/>
              </w:rPr>
              <w:t>For adult and children of 6 years and more, if the product is used in combination with clothes treatment, do not apply the product more than one time per day and do not apply on skin under clothes.</w:t>
            </w:r>
          </w:p>
        </w:tc>
      </w:tr>
      <w:tr w:rsidR="00525001" w:rsidRPr="00645AD5" w14:paraId="25E8BF7A" w14:textId="1D15E77B" w:rsidTr="00937BBF">
        <w:trPr>
          <w:trHeight w:val="1156"/>
        </w:trPr>
        <w:tc>
          <w:tcPr>
            <w:tcW w:w="1844" w:type="dxa"/>
            <w:vMerge w:val="restart"/>
            <w:shd w:val="clear" w:color="auto" w:fill="auto"/>
            <w:vAlign w:val="center"/>
          </w:tcPr>
          <w:p w14:paraId="3F12C394" w14:textId="3E754FD9" w:rsidR="00525001" w:rsidRPr="005240CE" w:rsidRDefault="00525001" w:rsidP="003C5407">
            <w:pPr>
              <w:keepNext/>
              <w:tabs>
                <w:tab w:val="left" w:pos="426"/>
              </w:tabs>
              <w:spacing w:after="0"/>
              <w:ind w:right="281"/>
              <w:textAlignment w:val="top"/>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lastRenderedPageBreak/>
              <w:t>Ticks (</w:t>
            </w:r>
            <w:r w:rsidRPr="005240CE">
              <w:rPr>
                <w:rFonts w:eastAsia="Calibri" w:cs="Arial"/>
                <w:i/>
                <w:color w:val="000000" w:themeColor="text1"/>
                <w:sz w:val="16"/>
                <w:szCs w:val="18"/>
                <w:lang w:val="sv-SE" w:eastAsia="sv-SE"/>
              </w:rPr>
              <w:t>Ixodes ricinus</w:t>
            </w:r>
            <w:r w:rsidRPr="005240CE">
              <w:rPr>
                <w:rFonts w:eastAsia="Calibri" w:cs="Arial"/>
                <w:color w:val="000000" w:themeColor="text1"/>
                <w:sz w:val="16"/>
                <w:szCs w:val="18"/>
                <w:lang w:val="sv-SE" w:eastAsia="sv-SE"/>
              </w:rPr>
              <w:t xml:space="preserve">) </w:t>
            </w:r>
          </w:p>
          <w:p w14:paraId="4DE5E306" w14:textId="77777777" w:rsidR="00525001" w:rsidRPr="005240CE" w:rsidRDefault="00525001" w:rsidP="003C5407">
            <w:pPr>
              <w:keepNext/>
              <w:tabs>
                <w:tab w:val="left" w:pos="426"/>
              </w:tabs>
              <w:spacing w:after="0"/>
              <w:ind w:right="281"/>
              <w:textAlignment w:val="top"/>
              <w:rPr>
                <w:rFonts w:eastAsia="Calibri" w:cs="Arial"/>
                <w:color w:val="000000" w:themeColor="text1"/>
                <w:sz w:val="16"/>
                <w:szCs w:val="18"/>
                <w:lang w:val="sv-SE" w:eastAsia="sv-SE"/>
              </w:rPr>
            </w:pPr>
          </w:p>
          <w:p w14:paraId="07434A5B" w14:textId="754AF256" w:rsidR="00525001" w:rsidRPr="005240CE" w:rsidRDefault="00525001" w:rsidP="003C5407">
            <w:pPr>
              <w:keepNext/>
              <w:tabs>
                <w:tab w:val="left" w:pos="426"/>
              </w:tabs>
              <w:spacing w:after="0"/>
              <w:ind w:right="281"/>
              <w:textAlignment w:val="top"/>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Adults and nymphs</w:t>
            </w:r>
          </w:p>
          <w:p w14:paraId="3B882B1F" w14:textId="77777777" w:rsidR="00525001" w:rsidRPr="005240CE" w:rsidRDefault="00525001" w:rsidP="003C5407">
            <w:pPr>
              <w:keepNext/>
              <w:tabs>
                <w:tab w:val="left" w:pos="426"/>
              </w:tabs>
              <w:spacing w:after="0"/>
              <w:ind w:right="281"/>
              <w:textAlignment w:val="top"/>
              <w:rPr>
                <w:rFonts w:eastAsia="Calibri" w:cs="Arial"/>
                <w:color w:val="000000" w:themeColor="text1"/>
                <w:sz w:val="16"/>
                <w:szCs w:val="18"/>
                <w:lang w:val="sv-SE" w:eastAsia="sv-SE"/>
              </w:rPr>
            </w:pPr>
          </w:p>
        </w:tc>
        <w:tc>
          <w:tcPr>
            <w:tcW w:w="1701" w:type="dxa"/>
            <w:shd w:val="clear" w:color="auto" w:fill="auto"/>
            <w:vAlign w:val="center"/>
          </w:tcPr>
          <w:p w14:paraId="5E0B0C65" w14:textId="6BDAB281" w:rsidR="00525001" w:rsidRPr="005240CE" w:rsidRDefault="00525001" w:rsidP="005A507F">
            <w:pPr>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 xml:space="preserve">0.85 </w:t>
            </w:r>
            <w:r w:rsidR="009E2CCB" w:rsidRPr="005240CE">
              <w:rPr>
                <w:rFonts w:eastAsia="Calibri" w:cs="Arial"/>
                <w:color w:val="000000" w:themeColor="text1"/>
                <w:sz w:val="16"/>
                <w:szCs w:val="18"/>
                <w:lang w:val="sv-SE" w:eastAsia="sv-SE"/>
              </w:rPr>
              <w:t>m</w:t>
            </w:r>
            <w:r w:rsidRPr="005240CE">
              <w:rPr>
                <w:rFonts w:eastAsia="Calibri" w:cs="Arial"/>
                <w:color w:val="000000" w:themeColor="text1"/>
                <w:sz w:val="16"/>
                <w:szCs w:val="18"/>
                <w:lang w:val="sv-SE" w:eastAsia="sv-SE"/>
              </w:rPr>
              <w:t>g of product per cm² of fabric</w:t>
            </w:r>
          </w:p>
          <w:p w14:paraId="71EB2897" w14:textId="26586CD9"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p>
        </w:tc>
        <w:tc>
          <w:tcPr>
            <w:tcW w:w="2126" w:type="dxa"/>
            <w:shd w:val="clear" w:color="auto" w:fill="auto"/>
            <w:vAlign w:val="center"/>
          </w:tcPr>
          <w:p w14:paraId="22904A22" w14:textId="77777777"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p>
          <w:p w14:paraId="7726F35D" w14:textId="77777777"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p>
          <w:p w14:paraId="3638F6F3" w14:textId="222E6F70" w:rsidR="00525001" w:rsidRPr="005240CE" w:rsidRDefault="00525001" w:rsidP="00025892">
            <w:pPr>
              <w:keepNext/>
              <w:autoSpaceDE w:val="0"/>
              <w:autoSpaceDN w:val="0"/>
              <w:adjustRightInd w:val="0"/>
              <w:spacing w:after="0"/>
              <w:ind w:right="281"/>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Spray onto the textiles</w:t>
            </w:r>
          </w:p>
          <w:p w14:paraId="42669B39" w14:textId="77777777" w:rsidR="00525001" w:rsidRPr="005240CE" w:rsidRDefault="00525001" w:rsidP="00025892">
            <w:pPr>
              <w:keepNext/>
              <w:autoSpaceDE w:val="0"/>
              <w:autoSpaceDN w:val="0"/>
              <w:adjustRightInd w:val="0"/>
              <w:spacing w:after="0"/>
              <w:ind w:right="281"/>
              <w:rPr>
                <w:rFonts w:eastAsia="Calibri" w:cs="Arial"/>
                <w:color w:val="000000" w:themeColor="text1"/>
                <w:sz w:val="16"/>
                <w:szCs w:val="18"/>
                <w:lang w:val="sv-SE" w:eastAsia="sv-SE"/>
              </w:rPr>
            </w:pPr>
          </w:p>
          <w:p w14:paraId="2C532262" w14:textId="782FB765"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Protection time : 6 hours in temperate conditions</w:t>
            </w:r>
          </w:p>
          <w:p w14:paraId="12C78C7B" w14:textId="434FE647"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p>
        </w:tc>
        <w:tc>
          <w:tcPr>
            <w:tcW w:w="3827" w:type="dxa"/>
          </w:tcPr>
          <w:p w14:paraId="5C55D1EC"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5240CE">
              <w:rPr>
                <w:rFonts w:cs="Arial"/>
                <w:bCs/>
                <w:color w:val="000000" w:themeColor="text1"/>
                <w:sz w:val="16"/>
                <w:szCs w:val="18"/>
                <w:lang w:eastAsia="fr-FR"/>
              </w:rPr>
              <w:t>Do not apply on clothes of children younger than 1 year</w:t>
            </w:r>
          </w:p>
          <w:p w14:paraId="63633BA6" w14:textId="77777777" w:rsidR="00C25A73" w:rsidRPr="00A23B15"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treatment against ticks, do not apply the product simultaneously on the skin and on clothes.</w:t>
            </w:r>
          </w:p>
          <w:p w14:paraId="70F4453D" w14:textId="77777777" w:rsidR="00C25A73" w:rsidRPr="005240CE" w:rsidRDefault="00C25A73" w:rsidP="00C25A73">
            <w:pPr>
              <w:spacing w:before="0" w:after="0"/>
              <w:contextualSpacing/>
              <w:jc w:val="both"/>
              <w:rPr>
                <w:rFonts w:cs="Arial"/>
                <w:bCs/>
                <w:color w:val="000000" w:themeColor="text1"/>
                <w:sz w:val="16"/>
                <w:szCs w:val="18"/>
                <w:lang w:eastAsia="fr-FR"/>
              </w:rPr>
            </w:pPr>
          </w:p>
          <w:p w14:paraId="353D8887" w14:textId="307D8BDA" w:rsidR="00525001" w:rsidRPr="005240CE" w:rsidDel="003F6CA6" w:rsidRDefault="00525001" w:rsidP="00C25A73">
            <w:pPr>
              <w:keepNext/>
              <w:autoSpaceDE w:val="0"/>
              <w:autoSpaceDN w:val="0"/>
              <w:adjustRightInd w:val="0"/>
              <w:spacing w:after="0"/>
              <w:ind w:right="281"/>
              <w:rPr>
                <w:rFonts w:eastAsia="Calibri" w:cs="Arial"/>
                <w:color w:val="000000" w:themeColor="text1"/>
                <w:sz w:val="16"/>
                <w:szCs w:val="18"/>
                <w:lang w:val="sv-SE" w:eastAsia="sv-SE"/>
              </w:rPr>
            </w:pPr>
          </w:p>
        </w:tc>
        <w:tc>
          <w:tcPr>
            <w:tcW w:w="5245" w:type="dxa"/>
          </w:tcPr>
          <w:p w14:paraId="5B6AEA8F"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5240CE">
              <w:rPr>
                <w:rFonts w:cs="Arial"/>
                <w:bCs/>
                <w:color w:val="000000" w:themeColor="text1"/>
                <w:sz w:val="16"/>
                <w:szCs w:val="18"/>
                <w:lang w:eastAsia="fr-FR"/>
              </w:rPr>
              <w:t>Do not apply on clothes of children younger than 1 year.</w:t>
            </w:r>
          </w:p>
          <w:p w14:paraId="6C5E2DD3" w14:textId="2FB5566A" w:rsidR="00525001" w:rsidRPr="005240CE" w:rsidDel="003F6CA6" w:rsidRDefault="00C25A73" w:rsidP="00A23B15">
            <w:pPr>
              <w:pStyle w:val="Paragraphedeliste"/>
              <w:numPr>
                <w:ilvl w:val="0"/>
                <w:numId w:val="16"/>
              </w:numPr>
              <w:spacing w:before="0" w:after="0"/>
              <w:jc w:val="both"/>
              <w:rPr>
                <w:rFonts w:eastAsia="Calibri" w:cs="Arial"/>
                <w:color w:val="000000" w:themeColor="text1"/>
                <w:sz w:val="16"/>
                <w:szCs w:val="18"/>
                <w:lang w:val="sv-SE" w:eastAsia="sv-SE"/>
              </w:rPr>
            </w:pPr>
            <w:r w:rsidRPr="00A23B15">
              <w:rPr>
                <w:rFonts w:cs="Arial"/>
                <w:bCs/>
                <w:color w:val="000000" w:themeColor="text1"/>
                <w:sz w:val="16"/>
                <w:szCs w:val="18"/>
                <w:lang w:eastAsia="fr-FR"/>
              </w:rPr>
              <w:t>For treatment against ticks, do not apply the product simultaneously on the skin of children younger than 6 years and on their clothes.</w:t>
            </w:r>
          </w:p>
        </w:tc>
      </w:tr>
      <w:tr w:rsidR="00525001" w:rsidRPr="00043187" w14:paraId="6F24A170" w14:textId="7410F72D" w:rsidTr="00937BBF">
        <w:trPr>
          <w:trHeight w:val="1155"/>
        </w:trPr>
        <w:tc>
          <w:tcPr>
            <w:tcW w:w="1844" w:type="dxa"/>
            <w:vMerge/>
            <w:shd w:val="clear" w:color="auto" w:fill="auto"/>
            <w:vAlign w:val="center"/>
          </w:tcPr>
          <w:p w14:paraId="6D0662EA" w14:textId="77777777" w:rsidR="00525001" w:rsidRPr="005240CE" w:rsidRDefault="00525001" w:rsidP="003C5407">
            <w:pPr>
              <w:keepNext/>
              <w:tabs>
                <w:tab w:val="left" w:pos="426"/>
              </w:tabs>
              <w:spacing w:after="0"/>
              <w:ind w:right="281"/>
              <w:textAlignment w:val="top"/>
              <w:rPr>
                <w:rFonts w:eastAsia="Calibri" w:cs="Arial"/>
                <w:color w:val="000000" w:themeColor="text1"/>
                <w:sz w:val="16"/>
                <w:szCs w:val="18"/>
                <w:lang w:val="sv-SE" w:eastAsia="sv-SE"/>
              </w:rPr>
            </w:pPr>
          </w:p>
        </w:tc>
        <w:tc>
          <w:tcPr>
            <w:tcW w:w="1701" w:type="dxa"/>
            <w:shd w:val="clear" w:color="auto" w:fill="auto"/>
            <w:vAlign w:val="center"/>
          </w:tcPr>
          <w:p w14:paraId="61348324" w14:textId="0D995275"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 xml:space="preserve">0.6 </w:t>
            </w:r>
            <w:r w:rsidR="009E2CCB" w:rsidRPr="005240CE">
              <w:rPr>
                <w:rFonts w:eastAsia="Calibri" w:cs="Arial"/>
                <w:color w:val="000000" w:themeColor="text1"/>
                <w:sz w:val="16"/>
                <w:szCs w:val="18"/>
                <w:lang w:val="sv-SE" w:eastAsia="sv-SE"/>
              </w:rPr>
              <w:t>m</w:t>
            </w:r>
            <w:r w:rsidRPr="005240CE">
              <w:rPr>
                <w:rFonts w:eastAsia="Calibri" w:cs="Arial"/>
                <w:color w:val="000000" w:themeColor="text1"/>
                <w:sz w:val="16"/>
                <w:szCs w:val="18"/>
                <w:lang w:val="sv-SE" w:eastAsia="sv-SE"/>
              </w:rPr>
              <w:t>g of product per cm² of skin :</w:t>
            </w:r>
          </w:p>
          <w:p w14:paraId="79076755" w14:textId="77777777"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p>
          <w:p w14:paraId="45CC37EC" w14:textId="6066458A"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p>
        </w:tc>
        <w:tc>
          <w:tcPr>
            <w:tcW w:w="2126" w:type="dxa"/>
            <w:shd w:val="clear" w:color="auto" w:fill="auto"/>
            <w:vAlign w:val="center"/>
          </w:tcPr>
          <w:p w14:paraId="5028F9C3" w14:textId="77777777"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p>
          <w:p w14:paraId="0842D998" w14:textId="5D2D707D" w:rsidR="00525001" w:rsidRPr="005240CE" w:rsidRDefault="00525001" w:rsidP="00025892">
            <w:pPr>
              <w:keepNext/>
              <w:autoSpaceDE w:val="0"/>
              <w:autoSpaceDN w:val="0"/>
              <w:adjustRightInd w:val="0"/>
              <w:spacing w:after="0"/>
              <w:ind w:right="281"/>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Spray on skin</w:t>
            </w:r>
          </w:p>
          <w:p w14:paraId="5AAF9AF1" w14:textId="77777777" w:rsidR="00525001" w:rsidRPr="005240CE" w:rsidRDefault="00525001" w:rsidP="00025892">
            <w:pPr>
              <w:keepNext/>
              <w:autoSpaceDE w:val="0"/>
              <w:autoSpaceDN w:val="0"/>
              <w:adjustRightInd w:val="0"/>
              <w:spacing w:after="0"/>
              <w:ind w:right="281"/>
              <w:rPr>
                <w:rFonts w:eastAsia="Calibri" w:cs="Arial"/>
                <w:color w:val="000000" w:themeColor="text1"/>
                <w:sz w:val="16"/>
                <w:szCs w:val="18"/>
                <w:lang w:val="sv-SE" w:eastAsia="sv-SE"/>
              </w:rPr>
            </w:pPr>
          </w:p>
          <w:p w14:paraId="0DBAEABA" w14:textId="199DF439"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r w:rsidRPr="005240CE">
              <w:rPr>
                <w:rFonts w:eastAsia="Calibri" w:cs="Arial"/>
                <w:color w:val="000000" w:themeColor="text1"/>
                <w:sz w:val="16"/>
                <w:szCs w:val="18"/>
                <w:lang w:val="sv-SE" w:eastAsia="sv-SE"/>
              </w:rPr>
              <w:t>Protection time : 4 hours in temperate conditions</w:t>
            </w:r>
          </w:p>
          <w:p w14:paraId="46860914" w14:textId="77777777" w:rsidR="00525001" w:rsidRPr="005240CE"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p>
        </w:tc>
        <w:tc>
          <w:tcPr>
            <w:tcW w:w="3827" w:type="dxa"/>
          </w:tcPr>
          <w:p w14:paraId="0EFBFB99"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5240CE">
              <w:rPr>
                <w:rFonts w:cs="Arial"/>
                <w:bCs/>
                <w:color w:val="000000" w:themeColor="text1"/>
                <w:sz w:val="16"/>
                <w:szCs w:val="18"/>
                <w:lang w:eastAsia="fr-FR"/>
              </w:rPr>
              <w:t>Apply only one time per day</w:t>
            </w:r>
            <w:r w:rsidRPr="005240CE" w:rsidDel="006161D3">
              <w:rPr>
                <w:rFonts w:cs="Arial"/>
                <w:bCs/>
                <w:color w:val="000000" w:themeColor="text1"/>
                <w:sz w:val="16"/>
                <w:szCs w:val="18"/>
                <w:lang w:eastAsia="fr-FR"/>
              </w:rPr>
              <w:t xml:space="preserve"> </w:t>
            </w:r>
          </w:p>
          <w:p w14:paraId="73EFC664"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treatment against ticks, do not apply the product simultaneously on the skin and on clothes.</w:t>
            </w:r>
          </w:p>
          <w:p w14:paraId="100B50FC" w14:textId="77777777" w:rsidR="00525001" w:rsidRPr="005240CE" w:rsidDel="003F6CA6" w:rsidRDefault="00525001" w:rsidP="005240CE">
            <w:pPr>
              <w:spacing w:before="0" w:after="0"/>
              <w:ind w:left="360"/>
              <w:jc w:val="both"/>
              <w:rPr>
                <w:rFonts w:eastAsia="Calibri" w:cs="Arial"/>
                <w:color w:val="000000" w:themeColor="text1"/>
                <w:sz w:val="16"/>
                <w:szCs w:val="18"/>
                <w:lang w:eastAsia="sv-SE"/>
              </w:rPr>
            </w:pPr>
          </w:p>
        </w:tc>
        <w:tc>
          <w:tcPr>
            <w:tcW w:w="5245" w:type="dxa"/>
          </w:tcPr>
          <w:p w14:paraId="3E9D0043"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5240CE">
              <w:rPr>
                <w:rFonts w:cs="Arial"/>
                <w:bCs/>
                <w:color w:val="000000" w:themeColor="text1"/>
                <w:sz w:val="16"/>
                <w:szCs w:val="18"/>
                <w:lang w:eastAsia="fr-FR"/>
              </w:rPr>
              <w:t>Apply only on head, arms, hands and legs.</w:t>
            </w:r>
          </w:p>
          <w:p w14:paraId="281FE89A"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adult and children of 6 years and more, apply up to two times per day</w:t>
            </w:r>
          </w:p>
          <w:p w14:paraId="6B2B22C0"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children younger than 6 years, apply one time per day</w:t>
            </w:r>
            <w:r w:rsidRPr="005240CE" w:rsidDel="005D6363">
              <w:rPr>
                <w:rFonts w:cs="Arial"/>
                <w:bCs/>
                <w:color w:val="000000" w:themeColor="text1"/>
                <w:sz w:val="16"/>
                <w:szCs w:val="18"/>
                <w:lang w:eastAsia="fr-FR"/>
              </w:rPr>
              <w:t xml:space="preserve"> </w:t>
            </w:r>
          </w:p>
          <w:p w14:paraId="70E1128A"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For adult and children of 6 years and more, if the product is used in combination with clothes treatment, do not apply the product on skin more than one time per day and do not apply the product on skin under clothes.</w:t>
            </w:r>
          </w:p>
          <w:p w14:paraId="05911C77" w14:textId="77777777" w:rsidR="00C25A73" w:rsidRPr="005240CE" w:rsidRDefault="00C25A73" w:rsidP="00A23B15">
            <w:pPr>
              <w:pStyle w:val="Paragraphedeliste"/>
              <w:numPr>
                <w:ilvl w:val="0"/>
                <w:numId w:val="16"/>
              </w:numPr>
              <w:spacing w:before="0" w:after="0"/>
              <w:jc w:val="both"/>
              <w:rPr>
                <w:rFonts w:cs="Arial"/>
                <w:bCs/>
                <w:color w:val="000000" w:themeColor="text1"/>
                <w:sz w:val="16"/>
                <w:szCs w:val="18"/>
                <w:lang w:eastAsia="fr-FR"/>
              </w:rPr>
            </w:pPr>
            <w:r w:rsidRPr="00A23B15">
              <w:rPr>
                <w:rFonts w:cs="Arial"/>
                <w:bCs/>
                <w:color w:val="000000" w:themeColor="text1"/>
                <w:sz w:val="16"/>
                <w:szCs w:val="18"/>
                <w:lang w:eastAsia="fr-FR"/>
              </w:rPr>
              <w:t>Do not apply the product simultaneously on the skin of children younger than 6 years and on their clothes.</w:t>
            </w:r>
          </w:p>
          <w:p w14:paraId="49E77F8B" w14:textId="77777777" w:rsidR="00525001" w:rsidRPr="005240CE" w:rsidDel="003F6CA6" w:rsidRDefault="00525001" w:rsidP="003C5407">
            <w:pPr>
              <w:keepNext/>
              <w:autoSpaceDE w:val="0"/>
              <w:autoSpaceDN w:val="0"/>
              <w:adjustRightInd w:val="0"/>
              <w:spacing w:after="0"/>
              <w:ind w:right="281"/>
              <w:rPr>
                <w:rFonts w:eastAsia="Calibri" w:cs="Arial"/>
                <w:color w:val="000000" w:themeColor="text1"/>
                <w:sz w:val="16"/>
                <w:szCs w:val="18"/>
                <w:lang w:val="sv-SE" w:eastAsia="sv-SE"/>
              </w:rPr>
            </w:pPr>
          </w:p>
        </w:tc>
      </w:tr>
    </w:tbl>
    <w:p w14:paraId="09BA342B" w14:textId="77777777" w:rsidR="002D196C" w:rsidRDefault="002D196C" w:rsidP="00BF5A0D">
      <w:pPr>
        <w:spacing w:line="260" w:lineRule="atLeast"/>
        <w:rPr>
          <w:rFonts w:eastAsia="Calibri"/>
          <w:lang w:val="en-US" w:eastAsia="en-US"/>
        </w:rPr>
        <w:sectPr w:rsidR="002D196C" w:rsidSect="002D196C">
          <w:pgSz w:w="16838" w:h="11906" w:orient="landscape"/>
          <w:pgMar w:top="1446" w:right="1474" w:bottom="1247" w:left="2013" w:header="851" w:footer="851" w:gutter="0"/>
          <w:cols w:space="720"/>
          <w:titlePg/>
          <w:docGrid w:linePitch="272"/>
        </w:sectPr>
      </w:pPr>
    </w:p>
    <w:p w14:paraId="6AB37B33" w14:textId="076A07CF" w:rsidR="003C5407" w:rsidRDefault="003C5407" w:rsidP="00BF5A0D">
      <w:pPr>
        <w:spacing w:line="260" w:lineRule="atLeast"/>
        <w:rPr>
          <w:rFonts w:eastAsia="Calibri"/>
          <w:lang w:val="en-US" w:eastAsia="en-US"/>
        </w:rPr>
      </w:pPr>
    </w:p>
    <w:p w14:paraId="6E56B870" w14:textId="77777777" w:rsidR="00943A25" w:rsidRPr="00BD2EF1" w:rsidRDefault="00943A25" w:rsidP="00943A25">
      <w:pPr>
        <w:pStyle w:val="Titre1"/>
      </w:pPr>
      <w:bookmarkStart w:id="6" w:name="_Toc93326462"/>
      <w:r w:rsidRPr="00BD2EF1">
        <w:t>Assessment Report</w:t>
      </w:r>
      <w:bookmarkEnd w:id="6"/>
    </w:p>
    <w:p w14:paraId="0FEEA2B1" w14:textId="77777777" w:rsidR="00943A25" w:rsidRPr="00BD2EF1" w:rsidRDefault="00943A25" w:rsidP="00943A25">
      <w:pPr>
        <w:pStyle w:val="Titre2"/>
      </w:pPr>
      <w:bookmarkStart w:id="7" w:name="_Toc93326463"/>
      <w:r w:rsidRPr="00BD2EF1">
        <w:t>Summary of the product assessment</w:t>
      </w:r>
      <w:bookmarkEnd w:id="7"/>
    </w:p>
    <w:p w14:paraId="7EC2D0F8" w14:textId="77777777" w:rsidR="00B50969" w:rsidRDefault="00B50969" w:rsidP="00B50969">
      <w:pPr>
        <w:pStyle w:val="Titre3"/>
        <w:numPr>
          <w:ilvl w:val="2"/>
          <w:numId w:val="29"/>
        </w:numPr>
        <w:tabs>
          <w:tab w:val="clear" w:pos="284"/>
          <w:tab w:val="num" w:pos="0"/>
        </w:tabs>
        <w:suppressAutoHyphens/>
        <w:spacing w:before="0"/>
        <w:ind w:left="720"/>
      </w:pPr>
      <w:bookmarkStart w:id="8" w:name="_Toc2155621"/>
      <w:bookmarkStart w:id="9" w:name="_Toc93326464"/>
      <w:r>
        <w:t>Administrative information</w:t>
      </w:r>
      <w:bookmarkEnd w:id="8"/>
      <w:bookmarkEnd w:id="9"/>
    </w:p>
    <w:p w14:paraId="12D7C098" w14:textId="77777777" w:rsidR="00B50969" w:rsidRDefault="00B50969" w:rsidP="00B50969">
      <w:pPr>
        <w:pStyle w:val="Titre4"/>
        <w:numPr>
          <w:ilvl w:val="3"/>
          <w:numId w:val="29"/>
        </w:numPr>
        <w:suppressAutoHyphens/>
        <w:rPr>
          <w:b/>
          <w:bCs/>
          <w:lang w:eastAsia="en-GB"/>
        </w:rPr>
      </w:pPr>
      <w:bookmarkStart w:id="10" w:name="d0e10"/>
      <w:bookmarkStart w:id="11" w:name="_Toc2155622"/>
      <w:bookmarkStart w:id="12" w:name="_Toc93326465"/>
      <w:r>
        <w:t>Identifier of the product</w:t>
      </w:r>
      <w:bookmarkEnd w:id="10"/>
      <w:bookmarkEnd w:id="11"/>
      <w:bookmarkEnd w:id="12"/>
    </w:p>
    <w:tbl>
      <w:tblPr>
        <w:tblW w:w="0" w:type="auto"/>
        <w:tblInd w:w="5" w:type="dxa"/>
        <w:tblLayout w:type="fixed"/>
        <w:tblCellMar>
          <w:left w:w="0" w:type="dxa"/>
          <w:right w:w="0" w:type="dxa"/>
        </w:tblCellMar>
        <w:tblLook w:val="0000" w:firstRow="0" w:lastRow="0" w:firstColumn="0" w:lastColumn="0" w:noHBand="0" w:noVBand="0"/>
      </w:tblPr>
      <w:tblGrid>
        <w:gridCol w:w="1975"/>
        <w:gridCol w:w="7102"/>
      </w:tblGrid>
      <w:tr w:rsidR="00B50969" w14:paraId="5DE3FA28" w14:textId="77777777" w:rsidTr="00FB463E">
        <w:trPr>
          <w:tblHeader/>
        </w:trPr>
        <w:tc>
          <w:tcPr>
            <w:tcW w:w="1975" w:type="dxa"/>
            <w:tcBorders>
              <w:top w:val="single" w:sz="4" w:space="0" w:color="000000"/>
              <w:left w:val="single" w:sz="4" w:space="0" w:color="000000"/>
              <w:bottom w:val="single" w:sz="4" w:space="0" w:color="000000"/>
            </w:tcBorders>
            <w:shd w:val="clear" w:color="auto" w:fill="auto"/>
          </w:tcPr>
          <w:p w14:paraId="7A043C7D" w14:textId="77777777" w:rsidR="00B50969" w:rsidRDefault="00B50969" w:rsidP="007F63F1">
            <w:pPr>
              <w:rPr>
                <w:b/>
                <w:bCs/>
                <w:szCs w:val="24"/>
                <w:lang w:eastAsia="en-GB"/>
              </w:rPr>
            </w:pPr>
            <w:r>
              <w:rPr>
                <w:b/>
                <w:bCs/>
                <w:szCs w:val="24"/>
                <w:lang w:eastAsia="en-GB"/>
              </w:rPr>
              <w:t>Identifier</w:t>
            </w:r>
            <w:r>
              <w:rPr>
                <w:rStyle w:val="Caractresdenotedebasdepage"/>
                <w:b/>
                <w:bCs/>
                <w:szCs w:val="24"/>
                <w:lang w:eastAsia="en-GB"/>
              </w:rPr>
              <w:footnoteReference w:id="2"/>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0F918D3C" w14:textId="77777777" w:rsidR="00B50969" w:rsidRDefault="00B50969" w:rsidP="007F63F1">
            <w:r>
              <w:rPr>
                <w:b/>
                <w:bCs/>
                <w:szCs w:val="24"/>
                <w:lang w:eastAsia="en-GB"/>
              </w:rPr>
              <w:t>Country (if relevant)</w:t>
            </w:r>
          </w:p>
        </w:tc>
      </w:tr>
      <w:tr w:rsidR="00B50969" w:rsidRPr="009B1335" w14:paraId="558BE9F4" w14:textId="77777777" w:rsidTr="00FB463E">
        <w:tc>
          <w:tcPr>
            <w:tcW w:w="1975" w:type="dxa"/>
            <w:tcBorders>
              <w:left w:val="single" w:sz="4" w:space="0" w:color="000000"/>
              <w:bottom w:val="single" w:sz="4" w:space="0" w:color="000000"/>
            </w:tcBorders>
            <w:shd w:val="clear" w:color="auto" w:fill="auto"/>
          </w:tcPr>
          <w:p w14:paraId="0E00B5B0" w14:textId="77777777" w:rsidR="00B50969" w:rsidRDefault="00B50969" w:rsidP="007F63F1">
            <w:pPr>
              <w:snapToGrid w:val="0"/>
            </w:pPr>
          </w:p>
        </w:tc>
        <w:tc>
          <w:tcPr>
            <w:tcW w:w="7102" w:type="dxa"/>
            <w:tcBorders>
              <w:left w:val="single" w:sz="4" w:space="0" w:color="000000"/>
              <w:bottom w:val="single" w:sz="4" w:space="0" w:color="000000"/>
              <w:right w:val="single" w:sz="4" w:space="0" w:color="000000"/>
            </w:tcBorders>
            <w:shd w:val="clear" w:color="auto" w:fill="auto"/>
          </w:tcPr>
          <w:p w14:paraId="2DE497AF"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SPRAY R</w:t>
            </w:r>
            <w:r>
              <w:rPr>
                <w:rFonts w:ascii="Arial" w:hAnsi="Arial" w:cs="Arial"/>
              </w:rPr>
              <w:t>É</w:t>
            </w:r>
            <w:r w:rsidRPr="00FE5249">
              <w:rPr>
                <w:rFonts w:ascii="Arial" w:hAnsi="Arial" w:cs="Arial"/>
              </w:rPr>
              <w:t>PULSIF ANTIPOUX CHEVEUX</w:t>
            </w:r>
          </w:p>
          <w:p w14:paraId="359BD62D"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LOTION ANTI-POUX</w:t>
            </w:r>
          </w:p>
          <w:p w14:paraId="36744404"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LOTION ANTI-POUX CHEVEUX</w:t>
            </w:r>
          </w:p>
          <w:p w14:paraId="25623083"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ABATOUT ANTI-POUX</w:t>
            </w:r>
          </w:p>
          <w:p w14:paraId="42EBCA03"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REPUL'S ANTI-POUX</w:t>
            </w:r>
          </w:p>
          <w:p w14:paraId="6AB1A64F"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K-OVERT ANTI-POUX</w:t>
            </w:r>
          </w:p>
          <w:p w14:paraId="3C462101"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K-OCIDE ANTI-POUX</w:t>
            </w:r>
          </w:p>
          <w:p w14:paraId="696D0A50"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VNM ANTI-POUX</w:t>
            </w:r>
          </w:p>
          <w:p w14:paraId="17318EEF"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SPRAY RÉPULSIF ANTIMOUSTIQUE PEAU</w:t>
            </w:r>
          </w:p>
          <w:p w14:paraId="63452191"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LOTION ANTI-MOUSTIQUE PEAU</w:t>
            </w:r>
          </w:p>
          <w:p w14:paraId="6E25A119"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SPRAY RÉPULSIF ANTIMOUSTIQUE PEAU – FAMILLE</w:t>
            </w:r>
          </w:p>
          <w:p w14:paraId="34A22BBA"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LOTION ANTI-MOUSTIQUE PEAU – FAMILLE</w:t>
            </w:r>
          </w:p>
          <w:p w14:paraId="4C744AEC"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PEAU SPÉCIAL RANDO</w:t>
            </w:r>
          </w:p>
          <w:p w14:paraId="246B1D19"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PEAU SPÉCIAL SPORT</w:t>
            </w:r>
          </w:p>
          <w:p w14:paraId="3C4807FF"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ABATOUT ANTI-MOUSTIQUE</w:t>
            </w:r>
          </w:p>
          <w:p w14:paraId="32679927"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REPUL'S ANTI-MOUSTIQUE</w:t>
            </w:r>
          </w:p>
          <w:p w14:paraId="4B6B4D00"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K-OVERT ANTI-MOUSTIQUE</w:t>
            </w:r>
          </w:p>
          <w:p w14:paraId="6E75DF0D"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K-OCIDE ANTI-MOUSTIQUE</w:t>
            </w:r>
          </w:p>
          <w:p w14:paraId="3AFADEB3"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SPRAY R</w:t>
            </w:r>
            <w:r>
              <w:rPr>
                <w:rFonts w:ascii="Arial" w:hAnsi="Arial" w:cs="Arial"/>
              </w:rPr>
              <w:t>É</w:t>
            </w:r>
            <w:r w:rsidRPr="00FE5249">
              <w:rPr>
                <w:rFonts w:ascii="Arial" w:hAnsi="Arial" w:cs="Arial"/>
              </w:rPr>
              <w:t>PULSIF ANTIMOUSTIQUE PEAU – TROPIQUE</w:t>
            </w:r>
          </w:p>
          <w:p w14:paraId="453E3EEF"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LOTION ANTI-MOUSTIQUE PEAU – TROPIQUE</w:t>
            </w:r>
          </w:p>
          <w:p w14:paraId="000142BA"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ABATOUT ANTI-MOUSTIQUE ZONE TROPICALE</w:t>
            </w:r>
          </w:p>
          <w:p w14:paraId="4B697C43"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REPUL'S ANTI-MOUSTIQUE ZONE TROPICALE</w:t>
            </w:r>
          </w:p>
          <w:p w14:paraId="28D0F401"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K-OVERT ANTI-MOUSTIQUE ZONE TROPICALE</w:t>
            </w:r>
          </w:p>
          <w:p w14:paraId="732D8DA5"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K-OCIDE ANTI-MOUSTIQUE ZONE TROPICALE</w:t>
            </w:r>
          </w:p>
          <w:p w14:paraId="359FF77E"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VNM ANTI-MOUSTIQUE ZONE TROPICALE</w:t>
            </w:r>
          </w:p>
          <w:p w14:paraId="54E65CB0"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R</w:t>
            </w:r>
            <w:r>
              <w:rPr>
                <w:rFonts w:ascii="Arial" w:hAnsi="Arial" w:cs="Arial"/>
              </w:rPr>
              <w:t>É</w:t>
            </w:r>
            <w:r w:rsidRPr="00FE5249">
              <w:rPr>
                <w:rFonts w:ascii="Arial" w:hAnsi="Arial" w:cs="Arial"/>
              </w:rPr>
              <w:t>PULSIF CORPOREL SP</w:t>
            </w:r>
            <w:r>
              <w:rPr>
                <w:rFonts w:ascii="Arial" w:hAnsi="Arial" w:cs="Arial"/>
              </w:rPr>
              <w:t>É</w:t>
            </w:r>
            <w:r w:rsidRPr="00FE5249">
              <w:rPr>
                <w:rFonts w:ascii="Arial" w:hAnsi="Arial" w:cs="Arial"/>
              </w:rPr>
              <w:t>CIAL TROPIQUE</w:t>
            </w:r>
          </w:p>
          <w:p w14:paraId="247EA375"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SPRAY R</w:t>
            </w:r>
            <w:r>
              <w:rPr>
                <w:rFonts w:ascii="Arial" w:hAnsi="Arial" w:cs="Arial"/>
              </w:rPr>
              <w:t>É</w:t>
            </w:r>
            <w:r w:rsidRPr="00FE5249">
              <w:rPr>
                <w:rFonts w:ascii="Arial" w:hAnsi="Arial" w:cs="Arial"/>
              </w:rPr>
              <w:t>PULSIF ANTIMOUSTIQUE V</w:t>
            </w:r>
            <w:r>
              <w:rPr>
                <w:rFonts w:ascii="Arial" w:hAnsi="Arial" w:cs="Arial"/>
              </w:rPr>
              <w:t>Ê</w:t>
            </w:r>
            <w:r w:rsidRPr="00FE5249">
              <w:rPr>
                <w:rFonts w:ascii="Arial" w:hAnsi="Arial" w:cs="Arial"/>
              </w:rPr>
              <w:t>TEMENT</w:t>
            </w:r>
          </w:p>
          <w:p w14:paraId="295178FA"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LOTION ANTI-MOUSTIQUE V</w:t>
            </w:r>
            <w:r>
              <w:rPr>
                <w:rFonts w:ascii="Arial" w:hAnsi="Arial" w:cs="Arial"/>
              </w:rPr>
              <w:t>Ê</w:t>
            </w:r>
            <w:r w:rsidRPr="00FE5249">
              <w:rPr>
                <w:rFonts w:ascii="Arial" w:hAnsi="Arial" w:cs="Arial"/>
              </w:rPr>
              <w:t>TEMENT</w:t>
            </w:r>
          </w:p>
          <w:p w14:paraId="359ACE83"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SPRAY R</w:t>
            </w:r>
            <w:r>
              <w:rPr>
                <w:rFonts w:ascii="Arial" w:hAnsi="Arial" w:cs="Arial"/>
              </w:rPr>
              <w:t>É</w:t>
            </w:r>
            <w:r w:rsidRPr="00FE5249">
              <w:rPr>
                <w:rFonts w:ascii="Arial" w:hAnsi="Arial" w:cs="Arial"/>
              </w:rPr>
              <w:t>PULSIF ANTIMOUSTIQUE V</w:t>
            </w:r>
            <w:r>
              <w:rPr>
                <w:rFonts w:ascii="Arial" w:hAnsi="Arial" w:cs="Arial"/>
              </w:rPr>
              <w:t>Ê</w:t>
            </w:r>
            <w:r w:rsidRPr="00FE5249">
              <w:rPr>
                <w:rFonts w:ascii="Arial" w:hAnsi="Arial" w:cs="Arial"/>
              </w:rPr>
              <w:t>TEMENT – FAMILLE</w:t>
            </w:r>
          </w:p>
          <w:p w14:paraId="0EF13A34"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ANTI-MOUSTIQUE V</w:t>
            </w:r>
            <w:r>
              <w:rPr>
                <w:rFonts w:ascii="Arial" w:hAnsi="Arial" w:cs="Arial"/>
              </w:rPr>
              <w:t>Ê</w:t>
            </w:r>
            <w:r w:rsidRPr="00010823">
              <w:rPr>
                <w:rFonts w:ascii="Arial" w:hAnsi="Arial" w:cs="Arial"/>
              </w:rPr>
              <w:t>TEMENT – FAMILLE</w:t>
            </w:r>
          </w:p>
          <w:p w14:paraId="5752A2B9"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VÊTEMENT LONGUE DURÉE</w:t>
            </w:r>
          </w:p>
          <w:p w14:paraId="18397823"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VÊTEMENT LONGUE DURÉE</w:t>
            </w:r>
          </w:p>
          <w:p w14:paraId="6FC2A3E3"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VÊTEMENT SPÉCIAL RANDO</w:t>
            </w:r>
          </w:p>
          <w:p w14:paraId="19163F1E"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VÊTEMENT SPÉCIAL SPORT</w:t>
            </w:r>
          </w:p>
          <w:p w14:paraId="05801AEC"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K-OCIDE ANTI-MOUSTIQUE V</w:t>
            </w:r>
            <w:r>
              <w:rPr>
                <w:rFonts w:ascii="Arial" w:hAnsi="Arial" w:cs="Arial"/>
              </w:rPr>
              <w:t>Ê</w:t>
            </w:r>
            <w:r w:rsidRPr="00010823">
              <w:rPr>
                <w:rFonts w:ascii="Arial" w:hAnsi="Arial" w:cs="Arial"/>
              </w:rPr>
              <w:t>TEMENT</w:t>
            </w:r>
          </w:p>
          <w:p w14:paraId="1E958BFB" w14:textId="77777777" w:rsidR="00F83154" w:rsidRPr="003C0F3A" w:rsidRDefault="00F83154" w:rsidP="00F83154">
            <w:pPr>
              <w:pStyle w:val="Paragraphedeliste"/>
              <w:numPr>
                <w:ilvl w:val="0"/>
                <w:numId w:val="74"/>
              </w:numPr>
              <w:spacing w:before="0" w:after="0"/>
              <w:ind w:left="248" w:right="43" w:hanging="248"/>
              <w:jc w:val="both"/>
              <w:rPr>
                <w:rFonts w:ascii="Arial" w:hAnsi="Arial" w:cs="Arial"/>
              </w:rPr>
            </w:pPr>
            <w:r w:rsidRPr="003C0F3A">
              <w:rPr>
                <w:rFonts w:ascii="Arial" w:hAnsi="Arial" w:cs="Arial"/>
              </w:rPr>
              <w:t>K-OVERT ANTI-MOUSTIQUE V</w:t>
            </w:r>
            <w:r>
              <w:rPr>
                <w:rFonts w:ascii="Arial" w:hAnsi="Arial" w:cs="Arial"/>
              </w:rPr>
              <w:t>Ê</w:t>
            </w:r>
            <w:r w:rsidRPr="003C0F3A">
              <w:rPr>
                <w:rFonts w:ascii="Arial" w:hAnsi="Arial" w:cs="Arial"/>
              </w:rPr>
              <w:t>TEMENT</w:t>
            </w:r>
          </w:p>
          <w:p w14:paraId="6A27D128" w14:textId="77777777" w:rsidR="00F83154" w:rsidRPr="003C0F3A" w:rsidRDefault="00F83154" w:rsidP="00F83154">
            <w:pPr>
              <w:pStyle w:val="Paragraphedeliste"/>
              <w:numPr>
                <w:ilvl w:val="0"/>
                <w:numId w:val="74"/>
              </w:numPr>
              <w:spacing w:before="0" w:after="0"/>
              <w:ind w:left="248" w:right="43" w:hanging="248"/>
              <w:jc w:val="both"/>
              <w:rPr>
                <w:rFonts w:ascii="Arial" w:hAnsi="Arial" w:cs="Arial"/>
              </w:rPr>
            </w:pPr>
            <w:r w:rsidRPr="003C0F3A">
              <w:rPr>
                <w:rFonts w:ascii="Arial" w:hAnsi="Arial" w:cs="Arial"/>
              </w:rPr>
              <w:t>ABATOUT ANTI-MOUSTIQUE V</w:t>
            </w:r>
            <w:r>
              <w:rPr>
                <w:rFonts w:ascii="Arial" w:hAnsi="Arial" w:cs="Arial"/>
              </w:rPr>
              <w:t>Ê</w:t>
            </w:r>
            <w:r w:rsidRPr="003C0F3A">
              <w:rPr>
                <w:rFonts w:ascii="Arial" w:hAnsi="Arial" w:cs="Arial"/>
              </w:rPr>
              <w:t>TEMENT</w:t>
            </w:r>
          </w:p>
          <w:p w14:paraId="148FD57C" w14:textId="77777777" w:rsidR="00F83154" w:rsidRPr="003C0F3A" w:rsidRDefault="00F83154" w:rsidP="00F83154">
            <w:pPr>
              <w:pStyle w:val="Paragraphedeliste"/>
              <w:numPr>
                <w:ilvl w:val="0"/>
                <w:numId w:val="74"/>
              </w:numPr>
              <w:spacing w:before="0" w:after="0"/>
              <w:ind w:left="248" w:right="43" w:hanging="248"/>
              <w:jc w:val="both"/>
              <w:rPr>
                <w:rFonts w:ascii="Arial" w:hAnsi="Arial" w:cs="Arial"/>
              </w:rPr>
            </w:pPr>
            <w:r w:rsidRPr="003C0F3A">
              <w:rPr>
                <w:rFonts w:ascii="Arial" w:hAnsi="Arial" w:cs="Arial"/>
              </w:rPr>
              <w:t>REPUL'S ANTI-MOUSTIQUE V</w:t>
            </w:r>
            <w:r>
              <w:rPr>
                <w:rFonts w:ascii="Arial" w:hAnsi="Arial" w:cs="Arial"/>
              </w:rPr>
              <w:t>Ê</w:t>
            </w:r>
            <w:r w:rsidRPr="003C0F3A">
              <w:rPr>
                <w:rFonts w:ascii="Arial" w:hAnsi="Arial" w:cs="Arial"/>
              </w:rPr>
              <w:t>TEMENT</w:t>
            </w:r>
          </w:p>
          <w:p w14:paraId="6CFDA360" w14:textId="77777777" w:rsidR="00F83154" w:rsidRPr="003C0F3A" w:rsidRDefault="00F83154" w:rsidP="00F83154">
            <w:pPr>
              <w:pStyle w:val="Paragraphedeliste"/>
              <w:numPr>
                <w:ilvl w:val="0"/>
                <w:numId w:val="74"/>
              </w:numPr>
              <w:spacing w:before="0" w:after="0"/>
              <w:ind w:left="248" w:right="43" w:hanging="248"/>
              <w:jc w:val="both"/>
              <w:rPr>
                <w:rFonts w:ascii="Arial" w:hAnsi="Arial" w:cs="Arial"/>
              </w:rPr>
            </w:pPr>
            <w:r w:rsidRPr="003C0F3A">
              <w:rPr>
                <w:rFonts w:ascii="Arial" w:hAnsi="Arial" w:cs="Arial"/>
              </w:rPr>
              <w:t>VNM ANTI-MOUSTIQUE V</w:t>
            </w:r>
            <w:r>
              <w:rPr>
                <w:rFonts w:ascii="Arial" w:hAnsi="Arial" w:cs="Arial"/>
              </w:rPr>
              <w:t>Ê</w:t>
            </w:r>
            <w:r w:rsidRPr="003C0F3A">
              <w:rPr>
                <w:rFonts w:ascii="Arial" w:hAnsi="Arial" w:cs="Arial"/>
              </w:rPr>
              <w:t>TEMENT</w:t>
            </w:r>
          </w:p>
          <w:p w14:paraId="597195F4"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CINQ SUR CINQ SPRAY ANTI-MOUSTIQUES VÊTEMENTS</w:t>
            </w:r>
          </w:p>
          <w:p w14:paraId="7592AA0C"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INSECT ECRAN</w:t>
            </w:r>
          </w:p>
          <w:p w14:paraId="16928A98"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lastRenderedPageBreak/>
              <w:t>INSECT EXPERT</w:t>
            </w:r>
          </w:p>
          <w:p w14:paraId="0EDBA2FE"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SPRAY R</w:t>
            </w:r>
            <w:r>
              <w:rPr>
                <w:rFonts w:ascii="Arial" w:hAnsi="Arial" w:cs="Arial"/>
              </w:rPr>
              <w:t>É</w:t>
            </w:r>
            <w:r w:rsidRPr="00010823">
              <w:rPr>
                <w:rFonts w:ascii="Arial" w:hAnsi="Arial" w:cs="Arial"/>
              </w:rPr>
              <w:t>PULSIF ANTI-TIQUE V</w:t>
            </w:r>
            <w:r>
              <w:rPr>
                <w:rFonts w:ascii="Arial" w:hAnsi="Arial" w:cs="Arial"/>
              </w:rPr>
              <w:t>Ê</w:t>
            </w:r>
            <w:r w:rsidRPr="00010823">
              <w:rPr>
                <w:rFonts w:ascii="Arial" w:hAnsi="Arial" w:cs="Arial"/>
              </w:rPr>
              <w:t>TEMENT</w:t>
            </w:r>
          </w:p>
          <w:p w14:paraId="1B089F7A"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ANTI-TIQUE V</w:t>
            </w:r>
            <w:r>
              <w:rPr>
                <w:rFonts w:ascii="Arial" w:hAnsi="Arial" w:cs="Arial"/>
              </w:rPr>
              <w:t>Ê</w:t>
            </w:r>
            <w:r w:rsidRPr="00010823">
              <w:rPr>
                <w:rFonts w:ascii="Arial" w:hAnsi="Arial" w:cs="Arial"/>
              </w:rPr>
              <w:t>TEMENT</w:t>
            </w:r>
          </w:p>
          <w:p w14:paraId="34DABD73"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SPRAY REPULSIF ANTI-TIQUE V</w:t>
            </w:r>
            <w:r>
              <w:rPr>
                <w:rFonts w:ascii="Arial" w:hAnsi="Arial" w:cs="Arial"/>
              </w:rPr>
              <w:t>Ê</w:t>
            </w:r>
            <w:r w:rsidRPr="00010823">
              <w:rPr>
                <w:rFonts w:ascii="Arial" w:hAnsi="Arial" w:cs="Arial"/>
              </w:rPr>
              <w:t>TEMENT – FAMILLE</w:t>
            </w:r>
          </w:p>
          <w:p w14:paraId="46A2AC1C"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ANTI-TIQUE V</w:t>
            </w:r>
            <w:r>
              <w:rPr>
                <w:rFonts w:ascii="Arial" w:hAnsi="Arial" w:cs="Arial"/>
              </w:rPr>
              <w:t>Ê</w:t>
            </w:r>
            <w:r w:rsidRPr="00010823">
              <w:rPr>
                <w:rFonts w:ascii="Arial" w:hAnsi="Arial" w:cs="Arial"/>
              </w:rPr>
              <w:t>TEMENT – FAMILLE</w:t>
            </w:r>
          </w:p>
          <w:p w14:paraId="69B18503"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VÊTEMENT LONGUE DURÉE</w:t>
            </w:r>
          </w:p>
          <w:p w14:paraId="5A48B1EF"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ANTI-TIQUE VÊTEMENT LONGUE DURÉE</w:t>
            </w:r>
          </w:p>
          <w:p w14:paraId="31DF029B"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SPRAY R</w:t>
            </w:r>
            <w:r>
              <w:rPr>
                <w:rFonts w:ascii="Arial" w:hAnsi="Arial" w:cs="Arial"/>
              </w:rPr>
              <w:t>É</w:t>
            </w:r>
            <w:r w:rsidRPr="00010823">
              <w:rPr>
                <w:rFonts w:ascii="Arial" w:hAnsi="Arial" w:cs="Arial"/>
              </w:rPr>
              <w:t>PULSIF ANTI-TIQUE TEXTILE</w:t>
            </w:r>
          </w:p>
          <w:p w14:paraId="5373B38C"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ANTI-TIQUE TEXTILE</w:t>
            </w:r>
          </w:p>
          <w:p w14:paraId="18BBE764"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TEXTILE – FAMILLE</w:t>
            </w:r>
          </w:p>
          <w:p w14:paraId="7BA89F85"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ANTI-TIQUE TEXTILE – FAMILLE</w:t>
            </w:r>
          </w:p>
          <w:p w14:paraId="0EFCBA5D"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TEXTILE LONGUE DURÉE</w:t>
            </w:r>
          </w:p>
          <w:p w14:paraId="10863DCE"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ANTI-TIQUE TEXTILE LONGUE DURÉE</w:t>
            </w:r>
          </w:p>
          <w:p w14:paraId="08FDCE46"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VÊTEMENT SPÉCIAL RANDO</w:t>
            </w:r>
          </w:p>
          <w:p w14:paraId="0BDEFD05"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VÊTEMENT SPÉCIAL SPORT</w:t>
            </w:r>
          </w:p>
          <w:p w14:paraId="049D5507"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K-OCIDE ANTI-TIQUE V</w:t>
            </w:r>
            <w:r>
              <w:rPr>
                <w:rFonts w:ascii="Arial" w:hAnsi="Arial" w:cs="Arial"/>
              </w:rPr>
              <w:t>Ê</w:t>
            </w:r>
            <w:r w:rsidRPr="00010823">
              <w:rPr>
                <w:rFonts w:ascii="Arial" w:hAnsi="Arial" w:cs="Arial"/>
              </w:rPr>
              <w:t>TEMENT</w:t>
            </w:r>
          </w:p>
          <w:p w14:paraId="22D3A777" w14:textId="77777777" w:rsidR="00F83154" w:rsidRPr="003C0F3A" w:rsidRDefault="00F83154" w:rsidP="00F83154">
            <w:pPr>
              <w:pStyle w:val="Paragraphedeliste"/>
              <w:numPr>
                <w:ilvl w:val="0"/>
                <w:numId w:val="74"/>
              </w:numPr>
              <w:spacing w:before="0" w:after="0"/>
              <w:ind w:left="248" w:right="43" w:hanging="248"/>
              <w:jc w:val="both"/>
              <w:rPr>
                <w:rFonts w:ascii="Arial" w:hAnsi="Arial" w:cs="Arial"/>
              </w:rPr>
            </w:pPr>
            <w:r w:rsidRPr="003C0F3A">
              <w:rPr>
                <w:rFonts w:ascii="Arial" w:hAnsi="Arial" w:cs="Arial"/>
              </w:rPr>
              <w:t>K-OVERT ANTI-TIQUE V</w:t>
            </w:r>
            <w:r>
              <w:rPr>
                <w:rFonts w:ascii="Arial" w:hAnsi="Arial" w:cs="Arial"/>
              </w:rPr>
              <w:t>Ê</w:t>
            </w:r>
            <w:r w:rsidRPr="003C0F3A">
              <w:rPr>
                <w:rFonts w:ascii="Arial" w:hAnsi="Arial" w:cs="Arial"/>
              </w:rPr>
              <w:t>TEMENT</w:t>
            </w:r>
          </w:p>
          <w:p w14:paraId="2CCC435E" w14:textId="77777777" w:rsidR="00F83154" w:rsidRPr="003C0F3A" w:rsidRDefault="00F83154" w:rsidP="00F83154">
            <w:pPr>
              <w:pStyle w:val="Paragraphedeliste"/>
              <w:numPr>
                <w:ilvl w:val="0"/>
                <w:numId w:val="74"/>
              </w:numPr>
              <w:spacing w:before="0" w:after="0"/>
              <w:ind w:left="248" w:right="43" w:hanging="248"/>
              <w:jc w:val="both"/>
              <w:rPr>
                <w:rFonts w:ascii="Arial" w:hAnsi="Arial" w:cs="Arial"/>
              </w:rPr>
            </w:pPr>
            <w:r w:rsidRPr="003C0F3A">
              <w:rPr>
                <w:rFonts w:ascii="Arial" w:hAnsi="Arial" w:cs="Arial"/>
              </w:rPr>
              <w:t>ABATOUT ANTI-TIQUE V</w:t>
            </w:r>
            <w:r>
              <w:rPr>
                <w:rFonts w:ascii="Arial" w:hAnsi="Arial" w:cs="Arial"/>
              </w:rPr>
              <w:t>Ê</w:t>
            </w:r>
            <w:r w:rsidRPr="003C0F3A">
              <w:rPr>
                <w:rFonts w:ascii="Arial" w:hAnsi="Arial" w:cs="Arial"/>
              </w:rPr>
              <w:t>TEMENT</w:t>
            </w:r>
          </w:p>
          <w:p w14:paraId="33413D66" w14:textId="77777777" w:rsidR="00F83154" w:rsidRPr="003C0F3A" w:rsidRDefault="00F83154" w:rsidP="00F83154">
            <w:pPr>
              <w:pStyle w:val="Paragraphedeliste"/>
              <w:numPr>
                <w:ilvl w:val="0"/>
                <w:numId w:val="74"/>
              </w:numPr>
              <w:spacing w:before="0" w:after="0"/>
              <w:ind w:left="248" w:right="43" w:hanging="248"/>
              <w:jc w:val="both"/>
              <w:rPr>
                <w:rFonts w:ascii="Arial" w:hAnsi="Arial" w:cs="Arial"/>
              </w:rPr>
            </w:pPr>
            <w:r w:rsidRPr="003C0F3A">
              <w:rPr>
                <w:rFonts w:ascii="Arial" w:hAnsi="Arial" w:cs="Arial"/>
              </w:rPr>
              <w:t>REPUL'S ANTI-TIQUE V</w:t>
            </w:r>
            <w:r>
              <w:rPr>
                <w:rFonts w:ascii="Arial" w:hAnsi="Arial" w:cs="Arial"/>
              </w:rPr>
              <w:t>Ê</w:t>
            </w:r>
            <w:r w:rsidRPr="003C0F3A">
              <w:rPr>
                <w:rFonts w:ascii="Arial" w:hAnsi="Arial" w:cs="Arial"/>
              </w:rPr>
              <w:t>TEMENT</w:t>
            </w:r>
          </w:p>
          <w:p w14:paraId="68DD3A22" w14:textId="77777777" w:rsidR="00F83154" w:rsidRPr="003C0F3A" w:rsidRDefault="00F83154" w:rsidP="00F83154">
            <w:pPr>
              <w:pStyle w:val="Paragraphedeliste"/>
              <w:numPr>
                <w:ilvl w:val="0"/>
                <w:numId w:val="74"/>
              </w:numPr>
              <w:spacing w:before="0" w:after="0"/>
              <w:ind w:left="248" w:right="43" w:hanging="248"/>
              <w:jc w:val="both"/>
              <w:rPr>
                <w:rFonts w:ascii="Arial" w:hAnsi="Arial" w:cs="Arial"/>
              </w:rPr>
            </w:pPr>
            <w:r w:rsidRPr="003C0F3A">
              <w:rPr>
                <w:rFonts w:ascii="Arial" w:hAnsi="Arial" w:cs="Arial"/>
              </w:rPr>
              <w:t>VNM ANTI-TIQUE V</w:t>
            </w:r>
            <w:r>
              <w:rPr>
                <w:rFonts w:ascii="Arial" w:hAnsi="Arial" w:cs="Arial"/>
              </w:rPr>
              <w:t>Ê</w:t>
            </w:r>
            <w:r w:rsidRPr="003C0F3A">
              <w:rPr>
                <w:rFonts w:ascii="Arial" w:hAnsi="Arial" w:cs="Arial"/>
              </w:rPr>
              <w:t>TEMENT</w:t>
            </w:r>
          </w:p>
          <w:p w14:paraId="0A0C2084"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SPRAY R</w:t>
            </w:r>
            <w:r>
              <w:rPr>
                <w:rFonts w:ascii="Arial" w:hAnsi="Arial" w:cs="Arial"/>
              </w:rPr>
              <w:t>É</w:t>
            </w:r>
            <w:r w:rsidRPr="00010823">
              <w:rPr>
                <w:rFonts w:ascii="Arial" w:hAnsi="Arial" w:cs="Arial"/>
              </w:rPr>
              <w:t>PULSIF ANTI-TIQUE – PEAU</w:t>
            </w:r>
          </w:p>
          <w:p w14:paraId="0E482C97"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ANTI-TIQUE – PEAU</w:t>
            </w:r>
          </w:p>
          <w:p w14:paraId="01E35F05"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 PEAU – FAMILLE</w:t>
            </w:r>
          </w:p>
          <w:p w14:paraId="0AC10535"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ANTI-TIQUE - PEAU – FAMILLE</w:t>
            </w:r>
          </w:p>
          <w:p w14:paraId="29F17330"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ABATOUT ANTI-TIQUE</w:t>
            </w:r>
          </w:p>
          <w:p w14:paraId="2EDCB3FF"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REPUL'S ANTI-TIQUE</w:t>
            </w:r>
          </w:p>
          <w:p w14:paraId="63F217BC" w14:textId="77777777" w:rsidR="00F83154" w:rsidRPr="00FE5249" w:rsidRDefault="00F83154" w:rsidP="00F83154">
            <w:pPr>
              <w:pStyle w:val="Paragraphedeliste"/>
              <w:numPr>
                <w:ilvl w:val="0"/>
                <w:numId w:val="74"/>
              </w:numPr>
              <w:spacing w:before="0" w:after="0"/>
              <w:ind w:left="248" w:right="43" w:hanging="248"/>
              <w:jc w:val="both"/>
              <w:rPr>
                <w:rFonts w:ascii="Arial" w:hAnsi="Arial" w:cs="Arial"/>
              </w:rPr>
            </w:pPr>
            <w:r w:rsidRPr="00FE5249">
              <w:rPr>
                <w:rFonts w:ascii="Arial" w:hAnsi="Arial" w:cs="Arial"/>
              </w:rPr>
              <w:t>K-OVERT ANTI-TIQUE</w:t>
            </w:r>
          </w:p>
          <w:p w14:paraId="5985848A"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K-OCIDE ANTI-TIQUE</w:t>
            </w:r>
          </w:p>
          <w:p w14:paraId="723A803D"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PEAU</w:t>
            </w:r>
          </w:p>
          <w:p w14:paraId="4956A9C2"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PEAU</w:t>
            </w:r>
          </w:p>
          <w:p w14:paraId="1CBB4C39"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PEAU – FAMILLE</w:t>
            </w:r>
          </w:p>
          <w:p w14:paraId="5867EAE4"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PEAU – FAMILLE</w:t>
            </w:r>
          </w:p>
          <w:p w14:paraId="25AB11E9"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K-OCIDE LOTION INSECTIFUGE</w:t>
            </w:r>
          </w:p>
          <w:p w14:paraId="2EDACC65"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K-OVERT LOTION INSECTIFUGE</w:t>
            </w:r>
          </w:p>
          <w:p w14:paraId="1AE013BD"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ABATOUT LOTION INSECTIFUGE</w:t>
            </w:r>
          </w:p>
          <w:p w14:paraId="2161F35B"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REPUL'S LOTION INSECTIFUGE</w:t>
            </w:r>
          </w:p>
          <w:p w14:paraId="45C1BEA7"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VNM LOTION INSECTIFUGE</w:t>
            </w:r>
          </w:p>
          <w:p w14:paraId="34BBE948"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VÊTEMENT</w:t>
            </w:r>
          </w:p>
          <w:p w14:paraId="27F1361D"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VÊTEMENT</w:t>
            </w:r>
          </w:p>
          <w:p w14:paraId="6BB5D0E5"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VÊTEMENT – FAMILLE</w:t>
            </w:r>
          </w:p>
          <w:p w14:paraId="391BE3A4"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VÊTEMENT – FAMILLE</w:t>
            </w:r>
          </w:p>
          <w:p w14:paraId="7DF8ED8E"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 VÊTEMENT LONGUE DURÉE</w:t>
            </w:r>
          </w:p>
          <w:p w14:paraId="51BE5EC4"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VÊTEMENT LONGUE DURÉE</w:t>
            </w:r>
          </w:p>
          <w:p w14:paraId="0F465A8D"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TEXTILE</w:t>
            </w:r>
          </w:p>
          <w:p w14:paraId="190C826E"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VÊTEMENT LONGUE DURÉE – FAMILLE</w:t>
            </w:r>
          </w:p>
          <w:p w14:paraId="0FF47A13"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TEXTILE</w:t>
            </w:r>
          </w:p>
          <w:p w14:paraId="30FBE2A6"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TEXTILE – FAMILLE</w:t>
            </w:r>
          </w:p>
          <w:p w14:paraId="4A32D98A"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TEXTILE – FAMILLE</w:t>
            </w:r>
          </w:p>
          <w:p w14:paraId="1BD057CE"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TEXTILE LONGUE DURÉE</w:t>
            </w:r>
          </w:p>
          <w:p w14:paraId="22C5370E"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TEXTILE LONGUE DURÉE</w:t>
            </w:r>
          </w:p>
          <w:p w14:paraId="02DDD6ED"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lastRenderedPageBreak/>
              <w:t>LOTION ANTI-MOUSTIQUE ANTI-TIQUE TEXTILE LONGUE DURÉE – FAMILLE</w:t>
            </w:r>
          </w:p>
          <w:p w14:paraId="138AF67A"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K-OCIDE V</w:t>
            </w:r>
            <w:r>
              <w:rPr>
                <w:rFonts w:ascii="Arial" w:hAnsi="Arial" w:cs="Arial"/>
              </w:rPr>
              <w:t>Ê</w:t>
            </w:r>
            <w:r w:rsidRPr="00010823">
              <w:rPr>
                <w:rFonts w:ascii="Arial" w:hAnsi="Arial" w:cs="Arial"/>
              </w:rPr>
              <w:t>TEMENT</w:t>
            </w:r>
          </w:p>
          <w:p w14:paraId="551E5886"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K-OVERT V</w:t>
            </w:r>
            <w:r>
              <w:rPr>
                <w:rFonts w:ascii="Arial" w:hAnsi="Arial" w:cs="Arial"/>
              </w:rPr>
              <w:t>Ê</w:t>
            </w:r>
            <w:r w:rsidRPr="00010823">
              <w:rPr>
                <w:rFonts w:ascii="Arial" w:hAnsi="Arial" w:cs="Arial"/>
              </w:rPr>
              <w:t>TEMENT</w:t>
            </w:r>
          </w:p>
          <w:p w14:paraId="0836F1FD"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ABATOUT V</w:t>
            </w:r>
            <w:r>
              <w:rPr>
                <w:rFonts w:ascii="Arial" w:hAnsi="Arial" w:cs="Arial"/>
              </w:rPr>
              <w:t>Ê</w:t>
            </w:r>
            <w:r w:rsidRPr="00010823">
              <w:rPr>
                <w:rFonts w:ascii="Arial" w:hAnsi="Arial" w:cs="Arial"/>
              </w:rPr>
              <w:t>TEMENT</w:t>
            </w:r>
          </w:p>
          <w:p w14:paraId="3EEE1A34"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REPUL'S V</w:t>
            </w:r>
            <w:r>
              <w:rPr>
                <w:rFonts w:ascii="Arial" w:hAnsi="Arial" w:cs="Arial"/>
              </w:rPr>
              <w:t>Ê</w:t>
            </w:r>
            <w:r w:rsidRPr="00010823">
              <w:rPr>
                <w:rFonts w:ascii="Arial" w:hAnsi="Arial" w:cs="Arial"/>
              </w:rPr>
              <w:t>TEMENT</w:t>
            </w:r>
          </w:p>
          <w:p w14:paraId="4F700592"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VNM V</w:t>
            </w:r>
            <w:r>
              <w:rPr>
                <w:rFonts w:ascii="Arial" w:hAnsi="Arial" w:cs="Arial"/>
              </w:rPr>
              <w:t>Ê</w:t>
            </w:r>
            <w:r w:rsidRPr="00010823">
              <w:rPr>
                <w:rFonts w:ascii="Arial" w:hAnsi="Arial" w:cs="Arial"/>
              </w:rPr>
              <w:t>TEMENT</w:t>
            </w:r>
          </w:p>
          <w:p w14:paraId="17929339"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PEAU &amp; VÊTEMENT</w:t>
            </w:r>
          </w:p>
          <w:p w14:paraId="6D26BBBC"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PEAU &amp; VÊTEMENT</w:t>
            </w:r>
          </w:p>
          <w:p w14:paraId="01FD06D3"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PEAU &amp; VÊTEMENT – FAMILLE</w:t>
            </w:r>
          </w:p>
          <w:p w14:paraId="62FB72F0"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PEAU &amp; VÊTEMENT – FAMILLE</w:t>
            </w:r>
          </w:p>
          <w:p w14:paraId="63755A6C"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PEAU &amp; VÊTEMENT LONGUE DURÉE</w:t>
            </w:r>
          </w:p>
          <w:p w14:paraId="281ACE08"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PEAU &amp; VÊTEMENT LONGUE DURÉE</w:t>
            </w:r>
          </w:p>
          <w:p w14:paraId="275ED8DB"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PEAU &amp; TEXTILE</w:t>
            </w:r>
          </w:p>
          <w:p w14:paraId="7CB21C20"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PEAU &amp; TEXTILE</w:t>
            </w:r>
          </w:p>
          <w:p w14:paraId="57EDFE45"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PEAU &amp; TEXTILE – FAMILLE</w:t>
            </w:r>
          </w:p>
          <w:p w14:paraId="604086A4"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PEAU &amp; TEXTILE – FAMILLE</w:t>
            </w:r>
          </w:p>
          <w:p w14:paraId="267A18CC"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PEAU &amp; TEXTILE LONGUE DURÉE</w:t>
            </w:r>
          </w:p>
          <w:p w14:paraId="35160E12"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ANTI-TIQUE PEAU &amp; TEXTILE LONGUE DURÉE</w:t>
            </w:r>
          </w:p>
          <w:p w14:paraId="2A2698B7"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K-OCIDE REPULSIF TOTAL CORPS ET TEXTILE</w:t>
            </w:r>
          </w:p>
          <w:p w14:paraId="25BD6598"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K-OVERT REPULSIF TOTAL CORPS ET TEXTILE</w:t>
            </w:r>
          </w:p>
          <w:p w14:paraId="6DEF4C23"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ABATOUT REPULSIF TOTAL CORPS ET TEXTILE</w:t>
            </w:r>
          </w:p>
          <w:p w14:paraId="1048C557"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REPUL'S REPULSIF TOTAL CORPS ET TEXTILE</w:t>
            </w:r>
          </w:p>
          <w:p w14:paraId="52C7605D"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VNM REPULSIF TOTAL CORPS ET TEXTILE</w:t>
            </w:r>
          </w:p>
          <w:p w14:paraId="45C8ADBF"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R</w:t>
            </w:r>
            <w:r>
              <w:rPr>
                <w:rFonts w:ascii="Arial" w:hAnsi="Arial" w:cs="Arial"/>
              </w:rPr>
              <w:t>É</w:t>
            </w:r>
            <w:r w:rsidRPr="00010823">
              <w:rPr>
                <w:rFonts w:ascii="Arial" w:hAnsi="Arial" w:cs="Arial"/>
              </w:rPr>
              <w:t>PULSIF CORPOREL ANTI-TIQUES</w:t>
            </w:r>
          </w:p>
          <w:p w14:paraId="3EBE49AF"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R</w:t>
            </w:r>
            <w:r>
              <w:rPr>
                <w:rFonts w:ascii="Arial" w:hAnsi="Arial" w:cs="Arial"/>
              </w:rPr>
              <w:t>É</w:t>
            </w:r>
            <w:r w:rsidRPr="00010823">
              <w:rPr>
                <w:rFonts w:ascii="Arial" w:hAnsi="Arial" w:cs="Arial"/>
              </w:rPr>
              <w:t>PULSIF CORPOREL ANTI-MOUSTIQUES</w:t>
            </w:r>
          </w:p>
          <w:p w14:paraId="251D9B7D"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R</w:t>
            </w:r>
            <w:r>
              <w:rPr>
                <w:rFonts w:ascii="Arial" w:hAnsi="Arial" w:cs="Arial"/>
              </w:rPr>
              <w:t>É</w:t>
            </w:r>
            <w:r w:rsidRPr="00010823">
              <w:rPr>
                <w:rFonts w:ascii="Arial" w:hAnsi="Arial" w:cs="Arial"/>
              </w:rPr>
              <w:t>PULSIF CORPOREL MOUSTIQUES SP</w:t>
            </w:r>
            <w:r>
              <w:rPr>
                <w:rFonts w:ascii="Arial" w:hAnsi="Arial" w:cs="Arial"/>
              </w:rPr>
              <w:t>É</w:t>
            </w:r>
            <w:r w:rsidRPr="00010823">
              <w:rPr>
                <w:rFonts w:ascii="Arial" w:hAnsi="Arial" w:cs="Arial"/>
              </w:rPr>
              <w:t>CIAL V</w:t>
            </w:r>
            <w:r>
              <w:rPr>
                <w:rFonts w:ascii="Arial" w:hAnsi="Arial" w:cs="Arial"/>
              </w:rPr>
              <w:t>Ê</w:t>
            </w:r>
            <w:r w:rsidRPr="00010823">
              <w:rPr>
                <w:rFonts w:ascii="Arial" w:hAnsi="Arial" w:cs="Arial"/>
              </w:rPr>
              <w:t>TEMENTS</w:t>
            </w:r>
          </w:p>
          <w:p w14:paraId="7BE2C6E0"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PEAU &amp; VÊTEMENT</w:t>
            </w:r>
          </w:p>
          <w:p w14:paraId="45F46F9E"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ANTI-MOUSTIQUE PEAU &amp; V</w:t>
            </w:r>
            <w:r>
              <w:rPr>
                <w:rFonts w:ascii="Arial" w:hAnsi="Arial" w:cs="Arial"/>
              </w:rPr>
              <w:t>Ê</w:t>
            </w:r>
            <w:r w:rsidRPr="00010823">
              <w:rPr>
                <w:rFonts w:ascii="Arial" w:hAnsi="Arial" w:cs="Arial"/>
              </w:rPr>
              <w:t>TEMENT</w:t>
            </w:r>
          </w:p>
          <w:p w14:paraId="4D6ADE22"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PEAU &amp; VÊTEMENT – FAMILLE</w:t>
            </w:r>
          </w:p>
          <w:p w14:paraId="17D8A11C"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PEAU &amp; VÊTEMENT – FAMILLE</w:t>
            </w:r>
          </w:p>
          <w:p w14:paraId="6CA97215"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PEAU &amp; VÊTEMENT LONGUE DURÉE</w:t>
            </w:r>
          </w:p>
          <w:p w14:paraId="3B8A7156"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PEAU &amp; VÊTEMENT LONGUE DURÉE</w:t>
            </w:r>
          </w:p>
          <w:p w14:paraId="492AC4B0"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PEAU &amp; TEXTILE</w:t>
            </w:r>
          </w:p>
          <w:p w14:paraId="08C8629E"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ANTI-MOUSTIQUE PEAU &amp; TEXTILE</w:t>
            </w:r>
          </w:p>
          <w:p w14:paraId="0A7BF03D"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PEAU &amp; TEXTILE – FAMILLE</w:t>
            </w:r>
          </w:p>
          <w:p w14:paraId="4FBC0769"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PEAU &amp; TEXTILE – FAMILLE</w:t>
            </w:r>
          </w:p>
          <w:p w14:paraId="7B752A45"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PEAU &amp; TEXTILE LONGUE DURÉE</w:t>
            </w:r>
          </w:p>
          <w:p w14:paraId="58E3A52E"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ANTI-MOUSTIQUE PEAU &amp; TEXTILE LONGUE DURÉE</w:t>
            </w:r>
          </w:p>
          <w:p w14:paraId="3044C954"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VÊTEMENT SPÉCIAL RANDO</w:t>
            </w:r>
          </w:p>
          <w:p w14:paraId="59EC5968"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VÊTEMENT SPÉCIAL SPORT</w:t>
            </w:r>
          </w:p>
          <w:p w14:paraId="5B2EC5F8"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VÊTEMENT SPÉCIAL RANDO LONGUE DURÉE</w:t>
            </w:r>
          </w:p>
          <w:p w14:paraId="2C6D971B"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ANTI-MOUSTIQUE VÊTEMENT SPÉCIAL SPORT LONGUE DURÉE</w:t>
            </w:r>
          </w:p>
          <w:p w14:paraId="034AC2C0"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PEAU &amp; VÊTEMENT</w:t>
            </w:r>
          </w:p>
          <w:p w14:paraId="661DEE5A"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ANTI-TIQUE PEAU &amp; V</w:t>
            </w:r>
            <w:r>
              <w:rPr>
                <w:rFonts w:ascii="Arial" w:hAnsi="Arial" w:cs="Arial"/>
              </w:rPr>
              <w:t>Ê</w:t>
            </w:r>
            <w:r w:rsidRPr="00010823">
              <w:rPr>
                <w:rFonts w:ascii="Arial" w:hAnsi="Arial" w:cs="Arial"/>
              </w:rPr>
              <w:t>TEMENT</w:t>
            </w:r>
          </w:p>
          <w:p w14:paraId="254DF227" w14:textId="77777777" w:rsidR="00F83154" w:rsidRPr="003C0F3A" w:rsidRDefault="00F83154" w:rsidP="00F83154">
            <w:pPr>
              <w:pStyle w:val="Paragraphedeliste"/>
              <w:numPr>
                <w:ilvl w:val="0"/>
                <w:numId w:val="74"/>
              </w:numPr>
              <w:spacing w:before="0" w:after="0"/>
              <w:ind w:left="248" w:right="43" w:hanging="248"/>
              <w:jc w:val="both"/>
              <w:rPr>
                <w:rFonts w:ascii="Arial" w:hAnsi="Arial" w:cs="Arial"/>
              </w:rPr>
            </w:pPr>
            <w:r w:rsidRPr="003C0F3A">
              <w:rPr>
                <w:rFonts w:ascii="Arial" w:hAnsi="Arial" w:cs="Arial"/>
              </w:rPr>
              <w:t>SPRAY REPULSIF ANTI-TIQUE PEAU &amp; V</w:t>
            </w:r>
            <w:r>
              <w:rPr>
                <w:rFonts w:ascii="Arial" w:hAnsi="Arial" w:cs="Arial"/>
              </w:rPr>
              <w:t>Ê</w:t>
            </w:r>
            <w:r w:rsidRPr="003C0F3A">
              <w:rPr>
                <w:rFonts w:ascii="Arial" w:hAnsi="Arial" w:cs="Arial"/>
              </w:rPr>
              <w:t>TEMENT – FAMILLE</w:t>
            </w:r>
          </w:p>
          <w:p w14:paraId="3A4F8B86"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lastRenderedPageBreak/>
              <w:t>LOTION ANTI-TIQUE PEAU &amp; VÊTEMENT – FAMILLE</w:t>
            </w:r>
          </w:p>
          <w:p w14:paraId="18A866DA"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PEAU &amp; VÊTEMENT LONGUE DURÉE</w:t>
            </w:r>
          </w:p>
          <w:p w14:paraId="0F7E8480"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ANTI-TIQUE PEAU &amp; VÊTEMENT LONGUE DURÉE</w:t>
            </w:r>
          </w:p>
          <w:p w14:paraId="03ADEB09"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PEAU &amp; TEXTILE</w:t>
            </w:r>
          </w:p>
          <w:p w14:paraId="421E6527" w14:textId="77777777" w:rsidR="00F83154" w:rsidRPr="00010823" w:rsidRDefault="00F83154" w:rsidP="00F83154">
            <w:pPr>
              <w:pStyle w:val="Paragraphedeliste"/>
              <w:numPr>
                <w:ilvl w:val="0"/>
                <w:numId w:val="74"/>
              </w:numPr>
              <w:spacing w:before="0" w:after="0"/>
              <w:ind w:left="248" w:right="43" w:hanging="248"/>
              <w:jc w:val="both"/>
              <w:rPr>
                <w:rFonts w:ascii="Arial" w:hAnsi="Arial" w:cs="Arial"/>
              </w:rPr>
            </w:pPr>
            <w:r w:rsidRPr="00010823">
              <w:rPr>
                <w:rFonts w:ascii="Arial" w:hAnsi="Arial" w:cs="Arial"/>
              </w:rPr>
              <w:t>LOTION ANTI-TIQUE PEAU &amp; TEXTILE</w:t>
            </w:r>
          </w:p>
          <w:p w14:paraId="231B5B71"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PEAU &amp; TEXTILE – FAMILLE</w:t>
            </w:r>
          </w:p>
          <w:p w14:paraId="6B8FC275"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ANTI-TIQUE PEAU &amp; TEXTILE – FAMILLE</w:t>
            </w:r>
          </w:p>
          <w:p w14:paraId="0523FC7E"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PEAU &amp; TEXTILE LONGUE DURÉE</w:t>
            </w:r>
          </w:p>
          <w:p w14:paraId="509A1629"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LOTION ANTI-TIQUE PEAU &amp; TEXTILE LONGUE DURÉE</w:t>
            </w:r>
          </w:p>
          <w:p w14:paraId="4250F910"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PEAU ET VÊTEMENTS SPÉCIAL CO</w:t>
            </w:r>
          </w:p>
          <w:p w14:paraId="376FB04E"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PEAU &amp; VÊTEMENT SPÉCIAL RANDO</w:t>
            </w:r>
          </w:p>
          <w:p w14:paraId="52CB83D7"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PEAU &amp; VÊTEMENT SPÉCIAL SPORT</w:t>
            </w:r>
          </w:p>
          <w:p w14:paraId="648DB156"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PEAU &amp; VÊTEMENT SPÉCIAL RANDO LONGUE DURÉE</w:t>
            </w:r>
          </w:p>
          <w:p w14:paraId="2AD90F1A" w14:textId="77777777" w:rsidR="00F83154" w:rsidRPr="00FB463E" w:rsidRDefault="00F83154" w:rsidP="00F83154">
            <w:pPr>
              <w:pStyle w:val="Paragraphedeliste"/>
              <w:numPr>
                <w:ilvl w:val="0"/>
                <w:numId w:val="74"/>
              </w:numPr>
              <w:spacing w:before="0" w:after="0"/>
              <w:ind w:left="248" w:right="43" w:hanging="248"/>
              <w:jc w:val="both"/>
              <w:rPr>
                <w:rFonts w:ascii="Arial" w:hAnsi="Arial" w:cs="Arial"/>
                <w:lang w:val="fr-FR"/>
              </w:rPr>
            </w:pPr>
            <w:r w:rsidRPr="00FB463E">
              <w:rPr>
                <w:rFonts w:ascii="Arial" w:hAnsi="Arial" w:cs="Arial"/>
                <w:lang w:val="fr-FR"/>
              </w:rPr>
              <w:t>SPRAY RÉPULSIF ANTI-TIQUE PEAU &amp; VÊTEMENT SPÉCIAL SPORT LONGUE DURÉE</w:t>
            </w:r>
          </w:p>
          <w:p w14:paraId="642530A2"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SPRAY RÉPULSIF ANTIMOUSTIQUE CORPOREL</w:t>
            </w:r>
          </w:p>
          <w:p w14:paraId="01C7AF0A"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LOTION ANTI-MOUSTIQUE CORPOREL</w:t>
            </w:r>
          </w:p>
          <w:p w14:paraId="6492D398"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 xml:space="preserve">SPRAY RÉPULSIF ANTIMOUSTIQUE CORPOREL – FAMILLE </w:t>
            </w:r>
          </w:p>
          <w:p w14:paraId="6FCC5A91"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LOTION ANTI-MOUSTIQUE CORPOREL – FAMILLE</w:t>
            </w:r>
          </w:p>
          <w:p w14:paraId="0DBB502F"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lang w:val="fr-FR"/>
              </w:rPr>
            </w:pPr>
            <w:r w:rsidRPr="00FB463E">
              <w:rPr>
                <w:rFonts w:ascii="Arial" w:hAnsi="Arial" w:cs="Arial"/>
                <w:lang w:val="fr-FR"/>
              </w:rPr>
              <w:t xml:space="preserve">SPRAY RÉPULSIF ANTI-MOUSTIQUE CORPOREL SPÉCIAL RANDO </w:t>
            </w:r>
          </w:p>
          <w:p w14:paraId="65FFD6F1"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lang w:val="fr-FR"/>
              </w:rPr>
            </w:pPr>
            <w:r w:rsidRPr="00FB463E">
              <w:rPr>
                <w:rFonts w:ascii="Arial" w:hAnsi="Arial" w:cs="Arial"/>
                <w:lang w:val="fr-FR"/>
              </w:rPr>
              <w:t xml:space="preserve">SPRAY RÉPULSIF ANTI-MOUSTIQUE CORPOREL SPÉCIAL SPORT </w:t>
            </w:r>
          </w:p>
          <w:p w14:paraId="22E5BA69"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 xml:space="preserve">SPRAY RÉPULSIF ANTIMOUSTIQUE CORPOREL – TROPIQUE </w:t>
            </w:r>
          </w:p>
          <w:p w14:paraId="622D2655"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 xml:space="preserve">LOTION ANTI-MOUSTIQUE CORPOREL – TROPIQUE </w:t>
            </w:r>
          </w:p>
          <w:p w14:paraId="79248310"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 xml:space="preserve">SPRAY RÉPULSIF ANTI-TIQUE – CORPOREL </w:t>
            </w:r>
          </w:p>
          <w:p w14:paraId="08C4E424"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LOTION ANTI-TIQUE – CORPOREL</w:t>
            </w:r>
          </w:p>
          <w:p w14:paraId="0470FF24"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 xml:space="preserve">SPRAY RÉPULSIF ANTI-TIQUE - CORPOREL – FAMILLE </w:t>
            </w:r>
          </w:p>
          <w:p w14:paraId="7DF8B52E"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LOTION ANTI-TIQUE - CORPOREL – FAMILLE</w:t>
            </w:r>
          </w:p>
          <w:p w14:paraId="494BB340"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SPRAY RÉPULSIF ANTI-MOUSTIQUE ANTI-TIQUE CORPOREL</w:t>
            </w:r>
          </w:p>
          <w:p w14:paraId="78287CBB"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LOTION ANTI-MOUSTIQUE ANTI-TIQUE CORPOREL</w:t>
            </w:r>
          </w:p>
          <w:p w14:paraId="44461402"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 xml:space="preserve">SPRAY RÉPULSIF ANTI-MOUSTIQUE ANTI-TIQUE CORPOREL – FAMILLE </w:t>
            </w:r>
          </w:p>
          <w:p w14:paraId="4F7A7727"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LOTION ANTI-MOUSTIQUE ANTI-TIQUE CORPOREL – FAMILLE</w:t>
            </w:r>
          </w:p>
          <w:p w14:paraId="2839F89F"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 xml:space="preserve">SPRAY RÉPULSIF ANTI-MOUSTIQUE ANTI-TIQUE CORPOREL &amp; VÊTEMENT </w:t>
            </w:r>
          </w:p>
          <w:p w14:paraId="5303C35A"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LOTION ANTI-MOUSTIQUE ANTI-TIQUE CORPOREL &amp; VÊTEMENT</w:t>
            </w:r>
          </w:p>
          <w:p w14:paraId="526A3A7F"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CORPOREL &amp; VÊTEMENT – FAMILLE</w:t>
            </w:r>
          </w:p>
          <w:p w14:paraId="5052FC11"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LOTION ANTI-MOUSTIQUE ANTI-TIQUE CORPOREL &amp; VÊTEMENT – FAMILLE</w:t>
            </w:r>
          </w:p>
          <w:p w14:paraId="1A9D0187"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 xml:space="preserve">SPRAY RÉPULSIF ANTI-MOUSTIQUE ANTI-TIQUE CORPOREL &amp; VÊTEMENT LONGUE DURÉE </w:t>
            </w:r>
          </w:p>
          <w:p w14:paraId="14505A5C"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LOTION ANTI-MOUSTIQUE ANTI-TIQUE CORPOREL &amp; VÊTEMENT LONGUE DURÉE</w:t>
            </w:r>
          </w:p>
          <w:p w14:paraId="69A72561"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 xml:space="preserve">SPRAY RÉPULSIF ANTI-MOUSTIQUE ANTI-TIQUE CORPOREL &amp; TEXTILE </w:t>
            </w:r>
          </w:p>
          <w:p w14:paraId="4C51EFA7"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LOTION ANTI-MOUSTIQUE ANTI-TIQUE CORPOREL &amp; TEXTILE</w:t>
            </w:r>
          </w:p>
          <w:p w14:paraId="7E63A558"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CORPOREL &amp; TEXTILE – FAMILLE</w:t>
            </w:r>
          </w:p>
          <w:p w14:paraId="4FCB0C57"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LOTION ANTI-MOUSTIQUE ANTI-TIQUE CORPOREL &amp; TEXTILE – FAMILLE</w:t>
            </w:r>
          </w:p>
          <w:p w14:paraId="3BA54AAF"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SPRAY RÉPULSIF ANTI-MOUSTIQUE ANTI-TIQUE CORPOREL &amp; TEXTILE LONGUE DURÉE</w:t>
            </w:r>
          </w:p>
          <w:p w14:paraId="4F2EF6B0"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LOTION ANTI-MOUSTIQUE ANTI-TIQUE CORPOREL &amp; TEXTILE LONGUE DURÉE</w:t>
            </w:r>
          </w:p>
          <w:p w14:paraId="57BA92FB"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lastRenderedPageBreak/>
              <w:t>LOTION ANTI-MOUSTIQUE CORPOREL &amp; VÊTEMENT</w:t>
            </w:r>
          </w:p>
          <w:p w14:paraId="2BA5873E"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 xml:space="preserve">SPRAY RÉPULSIF ANTI-MOUSTIQUE CORPOREL &amp; VÊTEMENT – FAMILLE </w:t>
            </w:r>
          </w:p>
          <w:p w14:paraId="08422A1F"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LOTION ANTI-MOUSTIQUE CORPOREL &amp; VÊTEMENT – FAMILLE</w:t>
            </w:r>
          </w:p>
          <w:p w14:paraId="6D569D82"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SPRAY RÉPULSIF ANTI-MOUSTIQUE CORPOREL &amp; VÊTEMENT LONGUE DURÉE</w:t>
            </w:r>
          </w:p>
          <w:p w14:paraId="2EE5718C"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LOTION ANTI-MOUSTIQUE CORPOREL &amp; VÊTEMENT LONGUE DURÉE</w:t>
            </w:r>
          </w:p>
          <w:p w14:paraId="3341E24D"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SPRAY RÉPULSIF ANTI-MOUSTIQUE CORPOREL &amp; TEXTILE</w:t>
            </w:r>
          </w:p>
          <w:p w14:paraId="019360AB"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LOTION ANTI-MOUSTIQUE CORPOREL &amp; TEXTILE</w:t>
            </w:r>
          </w:p>
          <w:p w14:paraId="0DF0388C"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SPRAY RÉPULSIF ANTI-MOUSTIQUE CORPOREL &amp; TEXTILE – FAMILLE</w:t>
            </w:r>
          </w:p>
          <w:p w14:paraId="53B5FDB8"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LOTION ANTI-MOUSTIQUE CORPOREL &amp; TEXTILE – FAMILLE</w:t>
            </w:r>
          </w:p>
          <w:p w14:paraId="07D35D4B"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SPRAY RÉPULSIF ANTI-MOUSTIQUE CORPOREL &amp; TEXTILE LONGUE DURÉE</w:t>
            </w:r>
          </w:p>
          <w:p w14:paraId="52AEAF28"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LOTION ANTI-MOUSTIQUE CORPOREL &amp; TEXTILE LONGUE DURÉE</w:t>
            </w:r>
          </w:p>
          <w:p w14:paraId="1282721E"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lang w:val="fr-FR"/>
              </w:rPr>
            </w:pPr>
            <w:r w:rsidRPr="00FB463E">
              <w:rPr>
                <w:rFonts w:ascii="Arial" w:hAnsi="Arial" w:cs="Arial"/>
                <w:lang w:val="fr-FR"/>
              </w:rPr>
              <w:t>SPRAY RÉPULSIF ANTI-TIQUE CORPOREL &amp; VÊTEMENT</w:t>
            </w:r>
          </w:p>
          <w:p w14:paraId="3160A18C"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LOTION ANTI-TIQUE CORPOREL &amp; VÊTEMENT</w:t>
            </w:r>
          </w:p>
          <w:p w14:paraId="6322379F" w14:textId="77777777" w:rsidR="00F83154" w:rsidRPr="00FB463E" w:rsidRDefault="00F83154" w:rsidP="00F83154">
            <w:pPr>
              <w:pStyle w:val="Paragraphedeliste"/>
              <w:numPr>
                <w:ilvl w:val="0"/>
                <w:numId w:val="75"/>
              </w:numPr>
              <w:spacing w:before="0" w:after="0"/>
              <w:ind w:left="248" w:right="43" w:hanging="248"/>
              <w:jc w:val="both"/>
              <w:rPr>
                <w:rFonts w:ascii="Arial" w:hAnsi="Arial" w:cs="Arial"/>
              </w:rPr>
            </w:pPr>
            <w:r w:rsidRPr="00FB463E">
              <w:rPr>
                <w:rFonts w:ascii="Arial" w:hAnsi="Arial" w:cs="Arial"/>
              </w:rPr>
              <w:t>INSECT ECRAN VÊTEMENTS ET TISSUS</w:t>
            </w:r>
          </w:p>
          <w:p w14:paraId="32BCBEB5"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CINQ SUR CINQ SPRAY TISSUS</w:t>
            </w:r>
          </w:p>
          <w:p w14:paraId="0DECE778" w14:textId="77777777" w:rsidR="00F83154" w:rsidRPr="00FB463E" w:rsidRDefault="00F83154" w:rsidP="00F83154">
            <w:pPr>
              <w:pStyle w:val="Paragraphedeliste"/>
              <w:numPr>
                <w:ilvl w:val="0"/>
                <w:numId w:val="75"/>
              </w:numPr>
              <w:spacing w:before="0" w:after="0"/>
              <w:ind w:left="248" w:right="281" w:hanging="248"/>
              <w:jc w:val="both"/>
              <w:rPr>
                <w:rFonts w:ascii="Arial" w:hAnsi="Arial" w:cs="Arial"/>
              </w:rPr>
            </w:pPr>
            <w:r w:rsidRPr="00FB463E">
              <w:rPr>
                <w:rFonts w:ascii="Arial" w:hAnsi="Arial" w:cs="Arial"/>
              </w:rPr>
              <w:t xml:space="preserve">POUXIT RÉPULSIF </w:t>
            </w:r>
          </w:p>
          <w:p w14:paraId="53C9DF03" w14:textId="77777777" w:rsidR="00F83154" w:rsidRPr="00FB463E" w:rsidRDefault="00F83154" w:rsidP="00FB463E">
            <w:pPr>
              <w:pStyle w:val="Paragraphedeliste"/>
              <w:numPr>
                <w:ilvl w:val="0"/>
                <w:numId w:val="75"/>
              </w:numPr>
              <w:spacing w:before="0" w:after="0"/>
              <w:ind w:left="248" w:right="43" w:hanging="248"/>
              <w:jc w:val="both"/>
              <w:rPr>
                <w:rFonts w:ascii="Arial" w:hAnsi="Arial" w:cs="Arial"/>
              </w:rPr>
            </w:pPr>
            <w:r w:rsidRPr="00FB463E">
              <w:rPr>
                <w:rFonts w:ascii="Arial" w:hAnsi="Arial" w:cs="Arial"/>
              </w:rPr>
              <w:t>POUXIT RÉPULSIF 48H</w:t>
            </w:r>
          </w:p>
          <w:p w14:paraId="4C46DCA8" w14:textId="5115FE4E" w:rsidR="00B50969" w:rsidRPr="00FB463E" w:rsidRDefault="00F83154" w:rsidP="00FB463E">
            <w:pPr>
              <w:pStyle w:val="Paragraphedeliste"/>
              <w:numPr>
                <w:ilvl w:val="0"/>
                <w:numId w:val="75"/>
              </w:numPr>
              <w:spacing w:before="0" w:after="0"/>
              <w:ind w:left="248" w:right="43" w:hanging="248"/>
              <w:jc w:val="both"/>
              <w:rPr>
                <w:rFonts w:ascii="Arial" w:hAnsi="Arial" w:cs="Arial"/>
                <w:i/>
              </w:rPr>
            </w:pPr>
            <w:r w:rsidRPr="00FB463E">
              <w:rPr>
                <w:rFonts w:ascii="Arial" w:hAnsi="Arial" w:cs="Arial"/>
              </w:rPr>
              <w:t>POUXIT RÉPULSIF LONGUE DURÉE</w:t>
            </w:r>
          </w:p>
        </w:tc>
      </w:tr>
    </w:tbl>
    <w:p w14:paraId="739B1612" w14:textId="77777777" w:rsidR="00B50969" w:rsidRDefault="00B50969" w:rsidP="00B50969">
      <w:pPr>
        <w:pStyle w:val="Titre4"/>
        <w:numPr>
          <w:ilvl w:val="3"/>
          <w:numId w:val="29"/>
        </w:numPr>
        <w:suppressAutoHyphens/>
        <w:rPr>
          <w:b/>
          <w:bCs/>
          <w:color w:val="000000"/>
          <w:lang w:eastAsia="en-GB"/>
        </w:rPr>
      </w:pPr>
      <w:bookmarkStart w:id="13" w:name="_Toc2155623"/>
      <w:bookmarkStart w:id="14" w:name="_Toc93326466"/>
      <w:bookmarkStart w:id="15" w:name="d0e350"/>
      <w:r>
        <w:lastRenderedPageBreak/>
        <w:t>Authorisation holder</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B50969" w14:paraId="3DDD4B85" w14:textId="77777777" w:rsidTr="007F63F1">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1FAAA7FA" w14:textId="77777777" w:rsidR="00B50969" w:rsidRDefault="00B50969" w:rsidP="00B50969">
            <w:pPr>
              <w:rPr>
                <w:b/>
              </w:rPr>
            </w:pPr>
            <w:bookmarkStart w:id="16" w:name="d0e66"/>
            <w:bookmarkEnd w:id="16"/>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70FAE9F9" w14:textId="77777777" w:rsidR="00B50969" w:rsidRDefault="00B50969" w:rsidP="00B50969">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64EEF296" w14:textId="354CE6AF" w:rsidR="00B50969" w:rsidRDefault="00B50969" w:rsidP="00B50969">
            <w:pPr>
              <w:snapToGrid w:val="0"/>
              <w:rPr>
                <w:b/>
              </w:rPr>
            </w:pPr>
            <w:r>
              <w:t>ENVIROTECH</w:t>
            </w:r>
          </w:p>
        </w:tc>
      </w:tr>
      <w:tr w:rsidR="00B50969" w:rsidRPr="00D56C04" w14:paraId="21BF55E9" w14:textId="77777777" w:rsidTr="007F63F1">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DA6FDC9" w14:textId="77777777" w:rsidR="00B50969" w:rsidRDefault="00B50969" w:rsidP="00B50969"/>
        </w:tc>
        <w:tc>
          <w:tcPr>
            <w:tcW w:w="1115" w:type="dxa"/>
            <w:tcBorders>
              <w:left w:val="single" w:sz="4" w:space="0" w:color="auto"/>
              <w:bottom w:val="single" w:sz="4" w:space="0" w:color="000000"/>
            </w:tcBorders>
            <w:shd w:val="clear" w:color="auto" w:fill="auto"/>
          </w:tcPr>
          <w:p w14:paraId="3A630B5F" w14:textId="77777777" w:rsidR="00B50969" w:rsidRDefault="00B50969" w:rsidP="00B50969">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623A8FE1" w14:textId="77777777" w:rsidR="00B50969" w:rsidRPr="002407F0" w:rsidRDefault="00B50969" w:rsidP="00B50969">
            <w:pPr>
              <w:rPr>
                <w:lang w:val="fr-FR"/>
              </w:rPr>
            </w:pPr>
            <w:r w:rsidRPr="002407F0">
              <w:rPr>
                <w:lang w:val="fr-FR"/>
              </w:rPr>
              <w:t>638 Maisonneuve</w:t>
            </w:r>
          </w:p>
          <w:p w14:paraId="7BAE8F70" w14:textId="77777777" w:rsidR="00B50969" w:rsidRPr="002407F0" w:rsidRDefault="00B50969" w:rsidP="00B50969">
            <w:pPr>
              <w:rPr>
                <w:lang w:val="fr-FR"/>
              </w:rPr>
            </w:pPr>
            <w:r w:rsidRPr="002407F0">
              <w:rPr>
                <w:lang w:val="fr-FR"/>
              </w:rPr>
              <w:t>42320 ST-CHRISTO-EN-JAREZ</w:t>
            </w:r>
          </w:p>
          <w:p w14:paraId="04B7FF07" w14:textId="72C1C0AF" w:rsidR="00B50969" w:rsidRPr="00DF65A8" w:rsidRDefault="00B50969" w:rsidP="00B50969">
            <w:pPr>
              <w:snapToGrid w:val="0"/>
              <w:rPr>
                <w:b/>
                <w:lang w:val="fr-FR"/>
              </w:rPr>
            </w:pPr>
            <w:r w:rsidRPr="002407F0">
              <w:rPr>
                <w:lang w:val="fr-FR"/>
              </w:rPr>
              <w:t>Fr</w:t>
            </w:r>
            <w:r>
              <w:rPr>
                <w:lang w:val="fr-FR"/>
              </w:rPr>
              <w:t>ance</w:t>
            </w:r>
          </w:p>
        </w:tc>
      </w:tr>
      <w:tr w:rsidR="00B50969" w14:paraId="1C3A3F37" w14:textId="77777777" w:rsidTr="007F63F1">
        <w:tc>
          <w:tcPr>
            <w:tcW w:w="3397" w:type="dxa"/>
            <w:tcBorders>
              <w:top w:val="single" w:sz="4" w:space="0" w:color="auto"/>
              <w:left w:val="single" w:sz="4" w:space="0" w:color="auto"/>
              <w:bottom w:val="single" w:sz="4" w:space="0" w:color="auto"/>
              <w:right w:val="single" w:sz="4" w:space="0" w:color="auto"/>
            </w:tcBorders>
            <w:shd w:val="clear" w:color="auto" w:fill="auto"/>
          </w:tcPr>
          <w:p w14:paraId="444F7F1F" w14:textId="77777777" w:rsidR="00B50969" w:rsidRDefault="00B50969" w:rsidP="007F63F1">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38CC99EF" w14:textId="2683B86F" w:rsidR="00B50969" w:rsidRDefault="00B50969" w:rsidP="007F63F1">
            <w:pPr>
              <w:snapToGrid w:val="0"/>
              <w:rPr>
                <w:b/>
              </w:rPr>
            </w:pPr>
            <w:r>
              <w:t>FR-2018-0046</w:t>
            </w:r>
          </w:p>
        </w:tc>
      </w:tr>
      <w:tr w:rsidR="00F83154" w14:paraId="426168B5" w14:textId="77777777" w:rsidTr="007F63F1">
        <w:tc>
          <w:tcPr>
            <w:tcW w:w="3397" w:type="dxa"/>
            <w:tcBorders>
              <w:top w:val="single" w:sz="4" w:space="0" w:color="auto"/>
              <w:left w:val="single" w:sz="4" w:space="0" w:color="000000"/>
              <w:bottom w:val="single" w:sz="4" w:space="0" w:color="000000"/>
            </w:tcBorders>
            <w:shd w:val="clear" w:color="auto" w:fill="auto"/>
          </w:tcPr>
          <w:p w14:paraId="0197EF36" w14:textId="77777777" w:rsidR="00F83154" w:rsidRDefault="00F83154" w:rsidP="00F83154">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3CC09002" w14:textId="51D3F5EC" w:rsidR="00F83154" w:rsidRDefault="00F83154" w:rsidP="00F83154">
            <w:pPr>
              <w:snapToGrid w:val="0"/>
              <w:rPr>
                <w:b/>
              </w:rPr>
            </w:pPr>
            <w:r w:rsidRPr="00A409C1">
              <w:t>04/07/2018</w:t>
            </w:r>
          </w:p>
        </w:tc>
      </w:tr>
      <w:tr w:rsidR="00F83154" w14:paraId="52282831" w14:textId="77777777" w:rsidTr="007F63F1">
        <w:tc>
          <w:tcPr>
            <w:tcW w:w="3397" w:type="dxa"/>
            <w:tcBorders>
              <w:left w:val="single" w:sz="4" w:space="0" w:color="000000"/>
              <w:bottom w:val="single" w:sz="4" w:space="0" w:color="000000"/>
            </w:tcBorders>
            <w:shd w:val="clear" w:color="auto" w:fill="auto"/>
          </w:tcPr>
          <w:p w14:paraId="2DFAADBD" w14:textId="77777777" w:rsidR="00F83154" w:rsidRDefault="00F83154" w:rsidP="00F83154">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04E7F82A" w14:textId="4B8E3B45" w:rsidR="00F83154" w:rsidRDefault="00F83154" w:rsidP="00F83154">
            <w:pPr>
              <w:snapToGrid w:val="0"/>
              <w:rPr>
                <w:b/>
              </w:rPr>
            </w:pPr>
            <w:r w:rsidRPr="00A409C1">
              <w:t>06/04/2027</w:t>
            </w:r>
          </w:p>
        </w:tc>
      </w:tr>
    </w:tbl>
    <w:p w14:paraId="699ABDD5" w14:textId="77777777" w:rsidR="00B50969" w:rsidRDefault="00B50969" w:rsidP="00B50969">
      <w:pPr>
        <w:pStyle w:val="Titre4"/>
        <w:numPr>
          <w:ilvl w:val="3"/>
          <w:numId w:val="29"/>
        </w:numPr>
        <w:suppressAutoHyphens/>
        <w:rPr>
          <w:b/>
          <w:bCs/>
          <w:color w:val="000000"/>
          <w:lang w:eastAsia="en-GB"/>
        </w:rPr>
      </w:pPr>
      <w:bookmarkStart w:id="17" w:name="_Toc2155624"/>
      <w:bookmarkStart w:id="18" w:name="_Toc93326467"/>
      <w:bookmarkStart w:id="19" w:name="d0e146"/>
      <w:r>
        <w:t>Manufacturer(s) of the products</w:t>
      </w:r>
      <w:bookmarkEnd w:id="17"/>
      <w:bookmarkEnd w:id="18"/>
      <w:r>
        <w:t xml:space="preserve"> </w:t>
      </w:r>
      <w:bookmarkEnd w:id="19"/>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7F63F1" w14:paraId="3218873C" w14:textId="77777777" w:rsidTr="00DF65A8">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70719301" w14:textId="77777777" w:rsidR="007F63F1" w:rsidRDefault="007F63F1" w:rsidP="007F63F1">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7AEA5D46" w14:textId="092A0DE4" w:rsidR="007F63F1" w:rsidRDefault="007F63F1" w:rsidP="007F63F1">
            <w:pPr>
              <w:snapToGrid w:val="0"/>
              <w:rPr>
                <w:b/>
              </w:rPr>
            </w:pPr>
            <w:r>
              <w:t>MERCK KGaA</w:t>
            </w:r>
          </w:p>
        </w:tc>
      </w:tr>
      <w:tr w:rsidR="007F63F1" w14:paraId="44CEC230" w14:textId="77777777" w:rsidTr="00DF65A8">
        <w:tc>
          <w:tcPr>
            <w:tcW w:w="3397" w:type="dxa"/>
            <w:tcBorders>
              <w:left w:val="single" w:sz="4" w:space="0" w:color="000000"/>
              <w:bottom w:val="single" w:sz="4" w:space="0" w:color="000000"/>
              <w:right w:val="single" w:sz="4" w:space="0" w:color="auto"/>
            </w:tcBorders>
            <w:shd w:val="clear" w:color="auto" w:fill="auto"/>
          </w:tcPr>
          <w:p w14:paraId="7208D61F" w14:textId="77777777" w:rsidR="007F63F1" w:rsidRDefault="007F63F1" w:rsidP="007F63F1">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2D63901D" w14:textId="77777777" w:rsidR="007F63F1" w:rsidRDefault="007F63F1" w:rsidP="007F63F1">
            <w:r>
              <w:t>Frankfurter strasse 250</w:t>
            </w:r>
          </w:p>
          <w:p w14:paraId="5F9C696C" w14:textId="77777777" w:rsidR="007F63F1" w:rsidRDefault="007F63F1" w:rsidP="007F63F1">
            <w:r>
              <w:t>64293 Darmstadt</w:t>
            </w:r>
          </w:p>
          <w:p w14:paraId="5B40A2AA" w14:textId="0E85399E" w:rsidR="007F63F1" w:rsidRDefault="007F63F1" w:rsidP="007F63F1">
            <w:pPr>
              <w:snapToGrid w:val="0"/>
              <w:rPr>
                <w:b/>
              </w:rPr>
            </w:pPr>
            <w:r>
              <w:t>Germany</w:t>
            </w:r>
          </w:p>
        </w:tc>
      </w:tr>
      <w:tr w:rsidR="007F63F1" w14:paraId="2C6624BC" w14:textId="77777777" w:rsidTr="00DF65A8">
        <w:tc>
          <w:tcPr>
            <w:tcW w:w="3397" w:type="dxa"/>
            <w:tcBorders>
              <w:left w:val="single" w:sz="4" w:space="0" w:color="000000"/>
              <w:bottom w:val="single" w:sz="4" w:space="0" w:color="000000"/>
              <w:right w:val="single" w:sz="4" w:space="0" w:color="auto"/>
            </w:tcBorders>
            <w:shd w:val="clear" w:color="auto" w:fill="auto"/>
          </w:tcPr>
          <w:p w14:paraId="4AFC8ECB" w14:textId="77777777" w:rsidR="007F63F1" w:rsidRDefault="007F63F1" w:rsidP="007F63F1">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28000CA9" w14:textId="77777777" w:rsidR="007F63F1" w:rsidRDefault="007F63F1" w:rsidP="007F63F1">
            <w:r>
              <w:t>Frankfurter strasse 250</w:t>
            </w:r>
          </w:p>
          <w:p w14:paraId="24F273F5" w14:textId="77777777" w:rsidR="007F63F1" w:rsidRDefault="007F63F1" w:rsidP="007F63F1">
            <w:r>
              <w:t>64293 Darmstadt</w:t>
            </w:r>
          </w:p>
          <w:p w14:paraId="63DAB6D4" w14:textId="04573934" w:rsidR="007F63F1" w:rsidRDefault="007F63F1" w:rsidP="007F63F1">
            <w:pPr>
              <w:snapToGrid w:val="0"/>
              <w:rPr>
                <w:b/>
              </w:rPr>
            </w:pPr>
            <w:r>
              <w:t>Germany</w:t>
            </w:r>
          </w:p>
        </w:tc>
      </w:tr>
    </w:tbl>
    <w:p w14:paraId="3E1C4275" w14:textId="77777777" w:rsidR="007F63F1" w:rsidRPr="00DF65A8" w:rsidRDefault="007F63F1" w:rsidP="00DF65A8">
      <w:pPr>
        <w:pStyle w:val="Titre4"/>
        <w:numPr>
          <w:ilvl w:val="0"/>
          <w:numId w:val="0"/>
        </w:numPr>
        <w:suppressAutoHyphens/>
        <w:rPr>
          <w:b/>
          <w:bCs/>
          <w:color w:val="000000"/>
          <w:lang w:eastAsia="en-GB"/>
        </w:rPr>
      </w:pPr>
      <w:bookmarkStart w:id="20" w:name="_Toc2155625"/>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7F63F1" w14:paraId="60A69BF8" w14:textId="77777777" w:rsidTr="00DF65A8">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68866927" w14:textId="77777777" w:rsidR="007F63F1" w:rsidRDefault="007F63F1" w:rsidP="007F63F1">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45507EBF" w14:textId="7FE1B356" w:rsidR="007F63F1" w:rsidRDefault="007F63F1" w:rsidP="007F63F1">
            <w:pPr>
              <w:snapToGrid w:val="0"/>
              <w:rPr>
                <w:b/>
              </w:rPr>
            </w:pPr>
            <w:r>
              <w:t>Fabrication Chimique Ardéchoise</w:t>
            </w:r>
          </w:p>
        </w:tc>
      </w:tr>
      <w:tr w:rsidR="007F63F1" w14:paraId="557141AD" w14:textId="77777777" w:rsidTr="00DF65A8">
        <w:tc>
          <w:tcPr>
            <w:tcW w:w="3397" w:type="dxa"/>
            <w:tcBorders>
              <w:left w:val="single" w:sz="4" w:space="0" w:color="000000"/>
              <w:bottom w:val="single" w:sz="4" w:space="0" w:color="000000"/>
              <w:right w:val="single" w:sz="4" w:space="0" w:color="auto"/>
            </w:tcBorders>
            <w:shd w:val="clear" w:color="auto" w:fill="auto"/>
          </w:tcPr>
          <w:p w14:paraId="72BA5182" w14:textId="77777777" w:rsidR="007F63F1" w:rsidRDefault="007F63F1" w:rsidP="007F63F1">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10A9D6D1" w14:textId="77777777" w:rsidR="007F63F1" w:rsidRPr="0084013F" w:rsidRDefault="007F63F1" w:rsidP="007F63F1">
            <w:pPr>
              <w:rPr>
                <w:lang w:val="fr-FR"/>
              </w:rPr>
            </w:pPr>
            <w:r w:rsidRPr="0084013F">
              <w:rPr>
                <w:lang w:val="fr-FR"/>
              </w:rPr>
              <w:t>1041 Chemin de la digue du Rhône</w:t>
            </w:r>
          </w:p>
          <w:p w14:paraId="5EA2CB0B" w14:textId="77777777" w:rsidR="007F63F1" w:rsidRDefault="007F63F1" w:rsidP="007F63F1">
            <w:pPr>
              <w:rPr>
                <w:lang w:val="fr-FR"/>
              </w:rPr>
            </w:pPr>
            <w:r>
              <w:rPr>
                <w:lang w:val="fr-FR"/>
              </w:rPr>
              <w:lastRenderedPageBreak/>
              <w:t>07300 Tournon sur Rhône</w:t>
            </w:r>
          </w:p>
          <w:p w14:paraId="7D3E3B43" w14:textId="26544AE7" w:rsidR="007F63F1" w:rsidRDefault="007F63F1" w:rsidP="007F63F1">
            <w:pPr>
              <w:snapToGrid w:val="0"/>
              <w:rPr>
                <w:b/>
              </w:rPr>
            </w:pPr>
            <w:r>
              <w:rPr>
                <w:lang w:val="fr-FR"/>
              </w:rPr>
              <w:t>France</w:t>
            </w:r>
          </w:p>
        </w:tc>
      </w:tr>
      <w:tr w:rsidR="007F63F1" w14:paraId="0830034A" w14:textId="77777777" w:rsidTr="00DF65A8">
        <w:tc>
          <w:tcPr>
            <w:tcW w:w="3397" w:type="dxa"/>
            <w:tcBorders>
              <w:left w:val="single" w:sz="4" w:space="0" w:color="000000"/>
              <w:bottom w:val="single" w:sz="4" w:space="0" w:color="000000"/>
              <w:right w:val="single" w:sz="4" w:space="0" w:color="auto"/>
            </w:tcBorders>
            <w:shd w:val="clear" w:color="auto" w:fill="auto"/>
          </w:tcPr>
          <w:p w14:paraId="74F17E5C" w14:textId="77777777" w:rsidR="007F63F1" w:rsidRDefault="007F63F1" w:rsidP="007F63F1">
            <w:pPr>
              <w:rPr>
                <w:b/>
              </w:rPr>
            </w:pPr>
            <w:r>
              <w:rPr>
                <w:b/>
                <w:bCs/>
                <w:color w:val="000000"/>
                <w:szCs w:val="24"/>
                <w:lang w:eastAsia="en-GB"/>
              </w:rPr>
              <w:lastRenderedPageBreak/>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0ACA3499" w14:textId="77777777" w:rsidR="007F63F1" w:rsidRPr="00A440FB" w:rsidRDefault="007F63F1" w:rsidP="007F63F1">
            <w:pPr>
              <w:rPr>
                <w:lang w:val="fr-FR"/>
              </w:rPr>
            </w:pPr>
            <w:r w:rsidRPr="00A440FB">
              <w:rPr>
                <w:lang w:val="fr-FR"/>
              </w:rPr>
              <w:t>1041 Chemin de la digue du Rhône</w:t>
            </w:r>
          </w:p>
          <w:p w14:paraId="0A50794C" w14:textId="77777777" w:rsidR="007F63F1" w:rsidRDefault="007F63F1" w:rsidP="007F63F1">
            <w:pPr>
              <w:rPr>
                <w:lang w:val="fr-FR"/>
              </w:rPr>
            </w:pPr>
            <w:r>
              <w:rPr>
                <w:lang w:val="fr-FR"/>
              </w:rPr>
              <w:t>07300 Tournon sur Rhône</w:t>
            </w:r>
          </w:p>
          <w:p w14:paraId="2C0E284F" w14:textId="4C4A166D" w:rsidR="007F63F1" w:rsidRDefault="007F63F1" w:rsidP="007F63F1">
            <w:pPr>
              <w:snapToGrid w:val="0"/>
              <w:rPr>
                <w:b/>
              </w:rPr>
            </w:pPr>
            <w:r>
              <w:rPr>
                <w:lang w:val="fr-FR"/>
              </w:rPr>
              <w:t>France</w:t>
            </w:r>
          </w:p>
        </w:tc>
      </w:tr>
    </w:tbl>
    <w:p w14:paraId="5723676F" w14:textId="69F838F3" w:rsidR="007F63F1" w:rsidRDefault="007F63F1" w:rsidP="00DF65A8">
      <w:pPr>
        <w:pStyle w:val="Titre4"/>
        <w:numPr>
          <w:ilvl w:val="0"/>
          <w:numId w:val="0"/>
        </w:numPr>
        <w:suppressAutoHyphens/>
        <w:rPr>
          <w:b/>
          <w:bCs/>
          <w:color w:val="000000"/>
          <w:lang w:eastAsia="en-GB"/>
        </w:rPr>
      </w:pP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7F63F1" w14:paraId="5CEFF91E" w14:textId="77777777" w:rsidTr="00DF65A8">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1298F09A" w14:textId="77777777" w:rsidR="007F63F1" w:rsidRDefault="007F63F1" w:rsidP="007F63F1">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1D83D0B1" w14:textId="4243EC16" w:rsidR="007F63F1" w:rsidRDefault="007F63F1" w:rsidP="007F63F1">
            <w:pPr>
              <w:snapToGrid w:val="0"/>
              <w:rPr>
                <w:b/>
              </w:rPr>
            </w:pPr>
            <w:r w:rsidRPr="004101B6">
              <w:rPr>
                <w:lang w:val="fr-FR"/>
              </w:rPr>
              <w:t>SAS SPRING</w:t>
            </w:r>
          </w:p>
        </w:tc>
      </w:tr>
      <w:tr w:rsidR="007F63F1" w:rsidRPr="00D56C04" w14:paraId="101F1035" w14:textId="77777777" w:rsidTr="00DF65A8">
        <w:tc>
          <w:tcPr>
            <w:tcW w:w="3397" w:type="dxa"/>
            <w:tcBorders>
              <w:left w:val="single" w:sz="4" w:space="0" w:color="000000"/>
              <w:bottom w:val="single" w:sz="4" w:space="0" w:color="000000"/>
              <w:right w:val="single" w:sz="4" w:space="0" w:color="auto"/>
            </w:tcBorders>
            <w:shd w:val="clear" w:color="auto" w:fill="auto"/>
          </w:tcPr>
          <w:p w14:paraId="7D34D141" w14:textId="77777777" w:rsidR="007F63F1" w:rsidRDefault="007F63F1" w:rsidP="007F63F1">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42C4CE80" w14:textId="77777777" w:rsidR="007F63F1" w:rsidRDefault="007F63F1" w:rsidP="007F63F1">
            <w:pPr>
              <w:rPr>
                <w:lang w:val="fr-FR"/>
              </w:rPr>
            </w:pPr>
            <w:r w:rsidRPr="004101B6">
              <w:rPr>
                <w:lang w:val="fr-FR"/>
              </w:rPr>
              <w:t xml:space="preserve">ZI </w:t>
            </w:r>
            <w:r>
              <w:rPr>
                <w:lang w:val="fr-FR"/>
              </w:rPr>
              <w:t>du Bois de Leuze</w:t>
            </w:r>
          </w:p>
          <w:p w14:paraId="1332DB6B" w14:textId="77777777" w:rsidR="007F63F1" w:rsidRDefault="007F63F1" w:rsidP="007F63F1">
            <w:pPr>
              <w:rPr>
                <w:lang w:val="fr-FR"/>
              </w:rPr>
            </w:pPr>
            <w:r w:rsidRPr="004101B6">
              <w:rPr>
                <w:lang w:val="fr-FR"/>
              </w:rPr>
              <w:t xml:space="preserve">4 </w:t>
            </w:r>
            <w:r>
              <w:rPr>
                <w:lang w:val="fr-FR"/>
              </w:rPr>
              <w:t>rue</w:t>
            </w:r>
            <w:r w:rsidRPr="004101B6">
              <w:rPr>
                <w:lang w:val="fr-FR"/>
              </w:rPr>
              <w:t xml:space="preserve"> B</w:t>
            </w:r>
            <w:r>
              <w:rPr>
                <w:lang w:val="fr-FR"/>
              </w:rPr>
              <w:t>laise</w:t>
            </w:r>
            <w:r w:rsidRPr="004101B6">
              <w:rPr>
                <w:lang w:val="fr-FR"/>
              </w:rPr>
              <w:t xml:space="preserve"> P</w:t>
            </w:r>
            <w:r>
              <w:rPr>
                <w:lang w:val="fr-FR"/>
              </w:rPr>
              <w:t>ascal</w:t>
            </w:r>
          </w:p>
          <w:p w14:paraId="21186653" w14:textId="77777777" w:rsidR="007F63F1" w:rsidRDefault="007F63F1" w:rsidP="007F63F1">
            <w:pPr>
              <w:rPr>
                <w:lang w:val="fr-FR"/>
              </w:rPr>
            </w:pPr>
            <w:r w:rsidRPr="004101B6">
              <w:rPr>
                <w:lang w:val="fr-FR"/>
              </w:rPr>
              <w:t xml:space="preserve">13310 Saint </w:t>
            </w:r>
            <w:r>
              <w:rPr>
                <w:lang w:val="fr-FR"/>
              </w:rPr>
              <w:t>M</w:t>
            </w:r>
            <w:r w:rsidRPr="004101B6">
              <w:rPr>
                <w:lang w:val="fr-FR"/>
              </w:rPr>
              <w:t xml:space="preserve">artin de </w:t>
            </w:r>
            <w:r>
              <w:rPr>
                <w:lang w:val="fr-FR"/>
              </w:rPr>
              <w:t>C</w:t>
            </w:r>
            <w:r w:rsidRPr="004101B6">
              <w:rPr>
                <w:lang w:val="fr-FR"/>
              </w:rPr>
              <w:t>rau</w:t>
            </w:r>
          </w:p>
          <w:p w14:paraId="7B839FB5" w14:textId="401A3872" w:rsidR="007F63F1" w:rsidRPr="00DF65A8" w:rsidRDefault="007F63F1" w:rsidP="007F63F1">
            <w:pPr>
              <w:snapToGrid w:val="0"/>
              <w:rPr>
                <w:b/>
                <w:lang w:val="fr-FR"/>
              </w:rPr>
            </w:pPr>
            <w:r>
              <w:rPr>
                <w:lang w:val="fr-FR"/>
              </w:rPr>
              <w:t>France</w:t>
            </w:r>
          </w:p>
        </w:tc>
      </w:tr>
      <w:tr w:rsidR="007F63F1" w:rsidRPr="00D56C04" w14:paraId="1E243BAD" w14:textId="77777777" w:rsidTr="00DF65A8">
        <w:tc>
          <w:tcPr>
            <w:tcW w:w="3397" w:type="dxa"/>
            <w:tcBorders>
              <w:left w:val="single" w:sz="4" w:space="0" w:color="000000"/>
              <w:bottom w:val="single" w:sz="4" w:space="0" w:color="000000"/>
              <w:right w:val="single" w:sz="4" w:space="0" w:color="auto"/>
            </w:tcBorders>
            <w:shd w:val="clear" w:color="auto" w:fill="auto"/>
          </w:tcPr>
          <w:p w14:paraId="12BD81C5" w14:textId="77777777" w:rsidR="007F63F1" w:rsidRDefault="007F63F1" w:rsidP="007F63F1">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48F45364" w14:textId="77777777" w:rsidR="007F63F1" w:rsidRDefault="007F63F1" w:rsidP="007F63F1">
            <w:pPr>
              <w:rPr>
                <w:lang w:val="fr-FR"/>
              </w:rPr>
            </w:pPr>
            <w:r w:rsidRPr="004101B6">
              <w:rPr>
                <w:lang w:val="fr-FR"/>
              </w:rPr>
              <w:t xml:space="preserve">ZI </w:t>
            </w:r>
            <w:r>
              <w:rPr>
                <w:lang w:val="fr-FR"/>
              </w:rPr>
              <w:t>du Bois de Leuze</w:t>
            </w:r>
          </w:p>
          <w:p w14:paraId="60300555" w14:textId="77777777" w:rsidR="007F63F1" w:rsidRDefault="007F63F1" w:rsidP="007F63F1">
            <w:pPr>
              <w:rPr>
                <w:lang w:val="fr-FR"/>
              </w:rPr>
            </w:pPr>
            <w:r w:rsidRPr="004101B6">
              <w:rPr>
                <w:lang w:val="fr-FR"/>
              </w:rPr>
              <w:t xml:space="preserve">4 </w:t>
            </w:r>
            <w:r>
              <w:rPr>
                <w:lang w:val="fr-FR"/>
              </w:rPr>
              <w:t>rue</w:t>
            </w:r>
            <w:r w:rsidRPr="004101B6">
              <w:rPr>
                <w:lang w:val="fr-FR"/>
              </w:rPr>
              <w:t xml:space="preserve"> B</w:t>
            </w:r>
            <w:r>
              <w:rPr>
                <w:lang w:val="fr-FR"/>
              </w:rPr>
              <w:t>laise</w:t>
            </w:r>
            <w:r w:rsidRPr="004101B6">
              <w:rPr>
                <w:lang w:val="fr-FR"/>
              </w:rPr>
              <w:t xml:space="preserve"> P</w:t>
            </w:r>
            <w:r>
              <w:rPr>
                <w:lang w:val="fr-FR"/>
              </w:rPr>
              <w:t>ascal</w:t>
            </w:r>
          </w:p>
          <w:p w14:paraId="2D497E33" w14:textId="77777777" w:rsidR="007F63F1" w:rsidRDefault="007F63F1" w:rsidP="007F63F1">
            <w:pPr>
              <w:rPr>
                <w:lang w:val="fr-FR"/>
              </w:rPr>
            </w:pPr>
            <w:r w:rsidRPr="004101B6">
              <w:rPr>
                <w:lang w:val="fr-FR"/>
              </w:rPr>
              <w:t xml:space="preserve">13310 Saint </w:t>
            </w:r>
            <w:r>
              <w:rPr>
                <w:lang w:val="fr-FR"/>
              </w:rPr>
              <w:t>M</w:t>
            </w:r>
            <w:r w:rsidRPr="004101B6">
              <w:rPr>
                <w:lang w:val="fr-FR"/>
              </w:rPr>
              <w:t xml:space="preserve">artin de </w:t>
            </w:r>
            <w:r>
              <w:rPr>
                <w:lang w:val="fr-FR"/>
              </w:rPr>
              <w:t>C</w:t>
            </w:r>
            <w:r w:rsidRPr="004101B6">
              <w:rPr>
                <w:lang w:val="fr-FR"/>
              </w:rPr>
              <w:t>rau</w:t>
            </w:r>
          </w:p>
          <w:p w14:paraId="337E952C" w14:textId="777B28B7" w:rsidR="007F63F1" w:rsidRPr="00DF65A8" w:rsidRDefault="007F63F1" w:rsidP="007F63F1">
            <w:pPr>
              <w:snapToGrid w:val="0"/>
              <w:rPr>
                <w:b/>
                <w:lang w:val="fr-FR"/>
              </w:rPr>
            </w:pPr>
            <w:r>
              <w:rPr>
                <w:lang w:val="fr-FR"/>
              </w:rPr>
              <w:t>France</w:t>
            </w:r>
          </w:p>
        </w:tc>
      </w:tr>
    </w:tbl>
    <w:p w14:paraId="72ADAE52" w14:textId="5C786C0F" w:rsidR="007F63F1" w:rsidRPr="00DF65A8" w:rsidRDefault="007F63F1" w:rsidP="00DF65A8">
      <w:pPr>
        <w:rPr>
          <w:lang w:val="fr-FR" w:eastAsia="en-GB"/>
        </w:rPr>
      </w:pP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7F63F1" w14:paraId="7D3D9011" w14:textId="77777777" w:rsidTr="00DF65A8">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641A3BB9" w14:textId="77777777" w:rsidR="007F63F1" w:rsidRDefault="007F63F1" w:rsidP="007F63F1">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3AF83873" w14:textId="11E73C75" w:rsidR="007F63F1" w:rsidRDefault="007F63F1" w:rsidP="007F63F1">
            <w:pPr>
              <w:snapToGrid w:val="0"/>
              <w:rPr>
                <w:b/>
              </w:rPr>
            </w:pPr>
            <w:r w:rsidRPr="00F97BC0">
              <w:rPr>
                <w:lang w:val="it-IT"/>
              </w:rPr>
              <w:t>Pacome</w:t>
            </w:r>
          </w:p>
        </w:tc>
      </w:tr>
      <w:tr w:rsidR="007F63F1" w:rsidRPr="00D56C04" w14:paraId="30E48342" w14:textId="77777777" w:rsidTr="00DF65A8">
        <w:tc>
          <w:tcPr>
            <w:tcW w:w="3397" w:type="dxa"/>
            <w:tcBorders>
              <w:left w:val="single" w:sz="4" w:space="0" w:color="000000"/>
              <w:bottom w:val="single" w:sz="4" w:space="0" w:color="000000"/>
              <w:right w:val="single" w:sz="4" w:space="0" w:color="auto"/>
            </w:tcBorders>
            <w:shd w:val="clear" w:color="auto" w:fill="auto"/>
          </w:tcPr>
          <w:p w14:paraId="3DCCD483" w14:textId="77777777" w:rsidR="007F63F1" w:rsidRDefault="007F63F1" w:rsidP="007F63F1">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6F070DD2" w14:textId="77777777" w:rsidR="007F63F1" w:rsidRPr="00B7228D" w:rsidRDefault="007F63F1" w:rsidP="007F63F1">
            <w:pPr>
              <w:rPr>
                <w:lang w:val="fr-FR"/>
              </w:rPr>
            </w:pPr>
            <w:r w:rsidRPr="00B7228D">
              <w:rPr>
                <w:lang w:val="fr-FR"/>
              </w:rPr>
              <w:t>Lot N°17</w:t>
            </w:r>
          </w:p>
          <w:p w14:paraId="7CAA2FC4" w14:textId="77777777" w:rsidR="007F63F1" w:rsidRPr="00B7228D" w:rsidRDefault="007F63F1" w:rsidP="007F63F1">
            <w:pPr>
              <w:rPr>
                <w:lang w:val="fr-FR"/>
              </w:rPr>
            </w:pPr>
            <w:r w:rsidRPr="00B7228D">
              <w:rPr>
                <w:lang w:val="fr-FR"/>
              </w:rPr>
              <w:t>La Ziza</w:t>
            </w:r>
          </w:p>
          <w:p w14:paraId="27F7636C" w14:textId="77777777" w:rsidR="007F63F1" w:rsidRPr="00B7228D" w:rsidRDefault="007F63F1" w:rsidP="007F63F1">
            <w:pPr>
              <w:rPr>
                <w:lang w:val="fr-FR"/>
              </w:rPr>
            </w:pPr>
            <w:r w:rsidRPr="00B7228D">
              <w:rPr>
                <w:lang w:val="fr-FR"/>
              </w:rPr>
              <w:t>98890 Paita</w:t>
            </w:r>
          </w:p>
          <w:p w14:paraId="3EFF5F84" w14:textId="58ADEB64" w:rsidR="007F63F1" w:rsidRPr="00DF65A8" w:rsidRDefault="007F63F1" w:rsidP="007F63F1">
            <w:pPr>
              <w:snapToGrid w:val="0"/>
              <w:rPr>
                <w:b/>
                <w:lang w:val="fr-FR"/>
              </w:rPr>
            </w:pPr>
            <w:r w:rsidRPr="00991932">
              <w:rPr>
                <w:lang w:val="fr-FR"/>
              </w:rPr>
              <w:t>Nouvelle Calédonie</w:t>
            </w:r>
          </w:p>
        </w:tc>
      </w:tr>
      <w:tr w:rsidR="007F63F1" w:rsidRPr="00D56C04" w14:paraId="28A64826" w14:textId="77777777" w:rsidTr="00DF65A8">
        <w:tc>
          <w:tcPr>
            <w:tcW w:w="3397" w:type="dxa"/>
            <w:tcBorders>
              <w:left w:val="single" w:sz="4" w:space="0" w:color="000000"/>
              <w:bottom w:val="single" w:sz="4" w:space="0" w:color="000000"/>
              <w:right w:val="single" w:sz="4" w:space="0" w:color="auto"/>
            </w:tcBorders>
            <w:shd w:val="clear" w:color="auto" w:fill="auto"/>
          </w:tcPr>
          <w:p w14:paraId="498C4023" w14:textId="77777777" w:rsidR="007F63F1" w:rsidRDefault="007F63F1" w:rsidP="007F63F1">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232C4E45" w14:textId="77777777" w:rsidR="007F63F1" w:rsidRPr="00B7228D" w:rsidRDefault="007F63F1" w:rsidP="007F63F1">
            <w:pPr>
              <w:rPr>
                <w:lang w:val="fr-FR"/>
              </w:rPr>
            </w:pPr>
            <w:r w:rsidRPr="00B7228D">
              <w:rPr>
                <w:lang w:val="fr-FR"/>
              </w:rPr>
              <w:t>Lot N°17</w:t>
            </w:r>
          </w:p>
          <w:p w14:paraId="75C378F7" w14:textId="77777777" w:rsidR="007F63F1" w:rsidRPr="00B7228D" w:rsidRDefault="007F63F1" w:rsidP="007F63F1">
            <w:pPr>
              <w:rPr>
                <w:lang w:val="fr-FR"/>
              </w:rPr>
            </w:pPr>
            <w:r w:rsidRPr="00B7228D">
              <w:rPr>
                <w:lang w:val="fr-FR"/>
              </w:rPr>
              <w:t>La Ziza</w:t>
            </w:r>
          </w:p>
          <w:p w14:paraId="67049C01" w14:textId="77777777" w:rsidR="007F63F1" w:rsidRPr="00B7228D" w:rsidRDefault="007F63F1" w:rsidP="007F63F1">
            <w:pPr>
              <w:rPr>
                <w:lang w:val="fr-FR"/>
              </w:rPr>
            </w:pPr>
            <w:r w:rsidRPr="00B7228D">
              <w:rPr>
                <w:lang w:val="fr-FR"/>
              </w:rPr>
              <w:t>98890 Paita</w:t>
            </w:r>
          </w:p>
          <w:p w14:paraId="2D2341D8" w14:textId="36E1D15E" w:rsidR="007F63F1" w:rsidRPr="00DF65A8" w:rsidRDefault="007F63F1" w:rsidP="007F63F1">
            <w:pPr>
              <w:snapToGrid w:val="0"/>
              <w:rPr>
                <w:b/>
                <w:lang w:val="fr-FR"/>
              </w:rPr>
            </w:pPr>
            <w:r w:rsidRPr="00991932">
              <w:rPr>
                <w:lang w:val="fr-FR"/>
              </w:rPr>
              <w:t>Nouvelle Calédonie</w:t>
            </w:r>
          </w:p>
        </w:tc>
      </w:tr>
    </w:tbl>
    <w:p w14:paraId="12D672D0" w14:textId="77777777" w:rsidR="007F63F1" w:rsidRPr="00DF65A8" w:rsidRDefault="007F63F1" w:rsidP="00DF65A8">
      <w:pPr>
        <w:rPr>
          <w:lang w:val="fr-FR" w:eastAsia="en-GB"/>
        </w:rPr>
      </w:pPr>
    </w:p>
    <w:p w14:paraId="659C17BC" w14:textId="5D2E5FF0" w:rsidR="00B50969" w:rsidRDefault="00B50969" w:rsidP="00B50969">
      <w:pPr>
        <w:pStyle w:val="Titre4"/>
        <w:numPr>
          <w:ilvl w:val="3"/>
          <w:numId w:val="29"/>
        </w:numPr>
        <w:suppressAutoHyphens/>
        <w:rPr>
          <w:b/>
          <w:bCs/>
          <w:color w:val="000000"/>
          <w:lang w:eastAsia="en-GB"/>
        </w:rPr>
      </w:pPr>
      <w:bookmarkStart w:id="21" w:name="_Toc93326468"/>
      <w:r>
        <w:t>Manufacturer(s) of the active substance(s)</w:t>
      </w:r>
      <w:bookmarkEnd w:id="20"/>
      <w:bookmarkEnd w:id="21"/>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F63F1" w14:paraId="0BF40FCC" w14:textId="77777777" w:rsidTr="007F63F1">
        <w:tc>
          <w:tcPr>
            <w:tcW w:w="3397" w:type="dxa"/>
            <w:tcBorders>
              <w:top w:val="single" w:sz="4" w:space="0" w:color="000000"/>
              <w:left w:val="single" w:sz="4" w:space="0" w:color="000000"/>
              <w:bottom w:val="single" w:sz="4" w:space="0" w:color="000000"/>
            </w:tcBorders>
            <w:shd w:val="clear" w:color="auto" w:fill="auto"/>
          </w:tcPr>
          <w:p w14:paraId="30478687" w14:textId="77777777" w:rsidR="007F63F1" w:rsidRDefault="007F63F1" w:rsidP="007F63F1">
            <w:pPr>
              <w:rPr>
                <w:b/>
              </w:rPr>
            </w:pPr>
            <w:bookmarkStart w:id="22" w:name="d0e246"/>
            <w:bookmarkEnd w:id="22"/>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300ACDA" w14:textId="7B834D3B" w:rsidR="007F63F1" w:rsidRDefault="007F63F1" w:rsidP="007F63F1">
            <w:pPr>
              <w:snapToGrid w:val="0"/>
              <w:rPr>
                <w:b/>
              </w:rPr>
            </w:pPr>
            <w:r w:rsidRPr="00FB5258">
              <w:t>Ethyl butylacetylaminopropionate</w:t>
            </w:r>
            <w:r>
              <w:t xml:space="preserve"> (IR3535</w:t>
            </w:r>
            <w:r w:rsidRPr="0084013F">
              <w:rPr>
                <w:vertAlign w:val="superscript"/>
              </w:rPr>
              <w:t>®</w:t>
            </w:r>
            <w:r>
              <w:t>)</w:t>
            </w:r>
          </w:p>
        </w:tc>
      </w:tr>
      <w:tr w:rsidR="007F63F1" w14:paraId="02E500BA" w14:textId="77777777" w:rsidTr="007F63F1">
        <w:tc>
          <w:tcPr>
            <w:tcW w:w="3397" w:type="dxa"/>
            <w:tcBorders>
              <w:left w:val="single" w:sz="4" w:space="0" w:color="000000"/>
              <w:bottom w:val="single" w:sz="4" w:space="0" w:color="000000"/>
            </w:tcBorders>
            <w:shd w:val="clear" w:color="auto" w:fill="auto"/>
          </w:tcPr>
          <w:p w14:paraId="2D0ECE77" w14:textId="77777777" w:rsidR="007F63F1" w:rsidRDefault="007F63F1" w:rsidP="007F63F1">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C137E67" w14:textId="7736C58B" w:rsidR="007F63F1" w:rsidRDefault="007F63F1" w:rsidP="007F63F1">
            <w:pPr>
              <w:snapToGrid w:val="0"/>
              <w:rPr>
                <w:b/>
              </w:rPr>
            </w:pPr>
            <w:r w:rsidRPr="00FB5258">
              <w:t>Merck KGaA</w:t>
            </w:r>
          </w:p>
        </w:tc>
      </w:tr>
      <w:tr w:rsidR="007F63F1" w14:paraId="0423678F" w14:textId="77777777" w:rsidTr="007F63F1">
        <w:tc>
          <w:tcPr>
            <w:tcW w:w="3397" w:type="dxa"/>
            <w:tcBorders>
              <w:left w:val="single" w:sz="4" w:space="0" w:color="000000"/>
              <w:bottom w:val="single" w:sz="4" w:space="0" w:color="000000"/>
            </w:tcBorders>
            <w:shd w:val="clear" w:color="auto" w:fill="auto"/>
          </w:tcPr>
          <w:p w14:paraId="265981BD" w14:textId="77777777" w:rsidR="007F63F1" w:rsidRDefault="007F63F1" w:rsidP="007F63F1">
            <w:pPr>
              <w:rPr>
                <w:b/>
              </w:rPr>
            </w:pPr>
            <w:bookmarkStart w:id="23" w:name="d0e269"/>
            <w:bookmarkEnd w:id="23"/>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B45621B" w14:textId="77777777" w:rsidR="007F63F1" w:rsidRDefault="007F63F1" w:rsidP="007F63F1">
            <w:r>
              <w:t xml:space="preserve">Frankfurter Strasse 250 </w:t>
            </w:r>
          </w:p>
          <w:p w14:paraId="7FD15BFA" w14:textId="77777777" w:rsidR="007F63F1" w:rsidRDefault="007F63F1" w:rsidP="007F63F1">
            <w:r>
              <w:t xml:space="preserve">64293 Darmstadt </w:t>
            </w:r>
          </w:p>
          <w:p w14:paraId="52D302E8" w14:textId="1DC2928A" w:rsidR="007F63F1" w:rsidRDefault="007F63F1" w:rsidP="007F63F1">
            <w:pPr>
              <w:snapToGrid w:val="0"/>
              <w:rPr>
                <w:b/>
              </w:rPr>
            </w:pPr>
            <w:r>
              <w:t>GERMANY</w:t>
            </w:r>
          </w:p>
        </w:tc>
      </w:tr>
      <w:tr w:rsidR="007F63F1" w14:paraId="44ABB5FA" w14:textId="77777777" w:rsidTr="00DF65A8">
        <w:tc>
          <w:tcPr>
            <w:tcW w:w="3397" w:type="dxa"/>
            <w:tcBorders>
              <w:left w:val="single" w:sz="4" w:space="0" w:color="000000"/>
            </w:tcBorders>
            <w:shd w:val="clear" w:color="auto" w:fill="auto"/>
          </w:tcPr>
          <w:p w14:paraId="5D48944A" w14:textId="77777777" w:rsidR="007F63F1" w:rsidRDefault="007F63F1" w:rsidP="007F63F1">
            <w:pPr>
              <w:rPr>
                <w:b/>
              </w:rPr>
            </w:pPr>
            <w:r>
              <w:rPr>
                <w:b/>
                <w:bCs/>
                <w:color w:val="000000"/>
                <w:szCs w:val="24"/>
                <w:lang w:eastAsia="en-GB"/>
              </w:rPr>
              <w:t>Location of manufacturing sites</w:t>
            </w:r>
          </w:p>
        </w:tc>
        <w:tc>
          <w:tcPr>
            <w:tcW w:w="5638" w:type="dxa"/>
            <w:tcBorders>
              <w:left w:val="single" w:sz="4" w:space="0" w:color="000000"/>
              <w:right w:val="single" w:sz="4" w:space="0" w:color="000000"/>
            </w:tcBorders>
            <w:shd w:val="clear" w:color="auto" w:fill="auto"/>
          </w:tcPr>
          <w:p w14:paraId="4C7C7067" w14:textId="77777777" w:rsidR="007F63F1" w:rsidRPr="0084013F" w:rsidRDefault="007F63F1" w:rsidP="007F63F1">
            <w:pPr>
              <w:rPr>
                <w:lang w:val="it-IT"/>
              </w:rPr>
            </w:pPr>
            <w:r w:rsidRPr="0084013F">
              <w:rPr>
                <w:lang w:val="it-IT"/>
              </w:rPr>
              <w:t xml:space="preserve">Merck S.L.U. Poligono Merck </w:t>
            </w:r>
          </w:p>
          <w:p w14:paraId="5CF10911" w14:textId="77777777" w:rsidR="007F63F1" w:rsidRDefault="007F63F1" w:rsidP="007F63F1">
            <w:r>
              <w:t xml:space="preserve">08100 Mollet del Valles </w:t>
            </w:r>
          </w:p>
          <w:p w14:paraId="446DD5B1" w14:textId="25F5AF5D" w:rsidR="007F63F1" w:rsidRDefault="007F63F1" w:rsidP="007F63F1">
            <w:pPr>
              <w:snapToGrid w:val="0"/>
              <w:rPr>
                <w:b/>
              </w:rPr>
            </w:pPr>
            <w:r>
              <w:t>Spain</w:t>
            </w:r>
          </w:p>
        </w:tc>
      </w:tr>
      <w:tr w:rsidR="007F63F1" w14:paraId="7BDC4C31" w14:textId="77777777" w:rsidTr="00DF65A8">
        <w:trPr>
          <w:trHeight w:val="80"/>
        </w:trPr>
        <w:tc>
          <w:tcPr>
            <w:tcW w:w="3397" w:type="dxa"/>
            <w:tcBorders>
              <w:left w:val="single" w:sz="4" w:space="0" w:color="000000"/>
              <w:bottom w:val="single" w:sz="4" w:space="0" w:color="000000"/>
            </w:tcBorders>
            <w:shd w:val="clear" w:color="auto" w:fill="auto"/>
          </w:tcPr>
          <w:p w14:paraId="14B1E90A" w14:textId="3B860008" w:rsidR="007F63F1" w:rsidRDefault="007F63F1" w:rsidP="007F63F1">
            <w:pPr>
              <w:rPr>
                <w:b/>
                <w:bCs/>
                <w:color w:val="000000"/>
                <w:szCs w:val="24"/>
                <w:lang w:eastAsia="en-GB"/>
              </w:rPr>
            </w:pPr>
          </w:p>
        </w:tc>
        <w:tc>
          <w:tcPr>
            <w:tcW w:w="5638" w:type="dxa"/>
            <w:tcBorders>
              <w:left w:val="single" w:sz="4" w:space="0" w:color="000000"/>
              <w:bottom w:val="single" w:sz="4" w:space="0" w:color="000000"/>
              <w:right w:val="single" w:sz="4" w:space="0" w:color="000000"/>
            </w:tcBorders>
            <w:shd w:val="clear" w:color="auto" w:fill="auto"/>
          </w:tcPr>
          <w:p w14:paraId="0845E12E" w14:textId="77777777" w:rsidR="007F63F1" w:rsidRDefault="007F63F1" w:rsidP="007F63F1">
            <w:pPr>
              <w:snapToGrid w:val="0"/>
              <w:rPr>
                <w:b/>
              </w:rPr>
            </w:pPr>
          </w:p>
        </w:tc>
      </w:tr>
    </w:tbl>
    <w:p w14:paraId="0A710706" w14:textId="5021C275" w:rsidR="007F63F1" w:rsidRDefault="007F63F1" w:rsidP="00B50969"/>
    <w:p w14:paraId="3A2DE4A9" w14:textId="67C8953C" w:rsidR="007F63F1" w:rsidRDefault="007F63F1" w:rsidP="007F63F1"/>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F63F1" w14:paraId="0E19EAEB" w14:textId="77777777" w:rsidTr="007F63F1">
        <w:tc>
          <w:tcPr>
            <w:tcW w:w="3397" w:type="dxa"/>
            <w:tcBorders>
              <w:top w:val="single" w:sz="4" w:space="0" w:color="000000"/>
              <w:left w:val="single" w:sz="4" w:space="0" w:color="000000"/>
              <w:bottom w:val="single" w:sz="4" w:space="0" w:color="000000"/>
            </w:tcBorders>
            <w:shd w:val="clear" w:color="auto" w:fill="auto"/>
          </w:tcPr>
          <w:p w14:paraId="356FD77C" w14:textId="77777777" w:rsidR="007F63F1" w:rsidRDefault="007F63F1" w:rsidP="007F63F1">
            <w:pPr>
              <w:rPr>
                <w:b/>
              </w:rPr>
            </w:pPr>
            <w:r>
              <w:rPr>
                <w:b/>
                <w:bCs/>
                <w:color w:val="000000"/>
                <w:szCs w:val="24"/>
                <w:lang w:eastAsia="en-GB"/>
              </w:rPr>
              <w:lastRenderedPageBreak/>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EAA80BF" w14:textId="77777777" w:rsidR="007F63F1" w:rsidRDefault="007F63F1" w:rsidP="007F63F1">
            <w:pPr>
              <w:snapToGrid w:val="0"/>
              <w:rPr>
                <w:b/>
              </w:rPr>
            </w:pPr>
            <w:r w:rsidRPr="00FB5258">
              <w:t>Ethyl butylacetylaminopropionate</w:t>
            </w:r>
            <w:r>
              <w:t xml:space="preserve"> (IR3535</w:t>
            </w:r>
            <w:r w:rsidRPr="0084013F">
              <w:rPr>
                <w:vertAlign w:val="superscript"/>
              </w:rPr>
              <w:t>®</w:t>
            </w:r>
            <w:r>
              <w:t>)</w:t>
            </w:r>
          </w:p>
        </w:tc>
      </w:tr>
      <w:tr w:rsidR="007F63F1" w14:paraId="14429302" w14:textId="77777777" w:rsidTr="007F63F1">
        <w:tc>
          <w:tcPr>
            <w:tcW w:w="3397" w:type="dxa"/>
            <w:tcBorders>
              <w:left w:val="single" w:sz="4" w:space="0" w:color="000000"/>
              <w:bottom w:val="single" w:sz="4" w:space="0" w:color="000000"/>
            </w:tcBorders>
            <w:shd w:val="clear" w:color="auto" w:fill="auto"/>
          </w:tcPr>
          <w:p w14:paraId="1355F072" w14:textId="77777777" w:rsidR="007F63F1" w:rsidRDefault="007F63F1" w:rsidP="007F63F1">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62F60C4B" w14:textId="42C69DFE" w:rsidR="007F63F1" w:rsidRDefault="007F63F1" w:rsidP="007F63F1">
            <w:pPr>
              <w:snapToGrid w:val="0"/>
              <w:rPr>
                <w:b/>
              </w:rPr>
            </w:pPr>
            <w:r w:rsidRPr="00FB5258">
              <w:t xml:space="preserve">Merck </w:t>
            </w:r>
            <w:r>
              <w:t>S.L.U.</w:t>
            </w:r>
          </w:p>
        </w:tc>
      </w:tr>
      <w:tr w:rsidR="007F63F1" w14:paraId="3483FE84" w14:textId="77777777" w:rsidTr="007F63F1">
        <w:tc>
          <w:tcPr>
            <w:tcW w:w="3397" w:type="dxa"/>
            <w:tcBorders>
              <w:left w:val="single" w:sz="4" w:space="0" w:color="000000"/>
              <w:bottom w:val="single" w:sz="4" w:space="0" w:color="000000"/>
            </w:tcBorders>
            <w:shd w:val="clear" w:color="auto" w:fill="auto"/>
          </w:tcPr>
          <w:p w14:paraId="590E6D92" w14:textId="77777777" w:rsidR="007F63F1" w:rsidRDefault="007F63F1" w:rsidP="007F63F1">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B9917D0" w14:textId="77777777" w:rsidR="007F63F1" w:rsidRDefault="007F63F1" w:rsidP="007F63F1">
            <w:pPr>
              <w:rPr>
                <w:lang w:val="it-IT"/>
              </w:rPr>
            </w:pPr>
            <w:r w:rsidRPr="0084013F">
              <w:rPr>
                <w:lang w:val="it-IT"/>
              </w:rPr>
              <w:t>Calle Maria de Moli</w:t>
            </w:r>
            <w:r>
              <w:rPr>
                <w:lang w:val="it-IT"/>
              </w:rPr>
              <w:t>na, 40</w:t>
            </w:r>
          </w:p>
          <w:p w14:paraId="4B3357B6" w14:textId="77777777" w:rsidR="007F63F1" w:rsidRDefault="007F63F1" w:rsidP="007F63F1">
            <w:pPr>
              <w:rPr>
                <w:lang w:val="it-IT"/>
              </w:rPr>
            </w:pPr>
            <w:r>
              <w:rPr>
                <w:lang w:val="it-IT"/>
              </w:rPr>
              <w:t>28006 Madrid</w:t>
            </w:r>
          </w:p>
          <w:p w14:paraId="6C4880D9" w14:textId="0BB8B018" w:rsidR="007F63F1" w:rsidRDefault="007F63F1" w:rsidP="007F63F1">
            <w:pPr>
              <w:snapToGrid w:val="0"/>
              <w:rPr>
                <w:b/>
              </w:rPr>
            </w:pPr>
            <w:r>
              <w:rPr>
                <w:lang w:val="it-IT"/>
              </w:rPr>
              <w:t>SPAIN</w:t>
            </w:r>
          </w:p>
        </w:tc>
      </w:tr>
      <w:tr w:rsidR="007F63F1" w14:paraId="09A75D6D" w14:textId="77777777" w:rsidTr="00DF65A8">
        <w:trPr>
          <w:trHeight w:val="70"/>
        </w:trPr>
        <w:tc>
          <w:tcPr>
            <w:tcW w:w="3397" w:type="dxa"/>
            <w:tcBorders>
              <w:left w:val="single" w:sz="4" w:space="0" w:color="000000"/>
            </w:tcBorders>
            <w:shd w:val="clear" w:color="auto" w:fill="auto"/>
          </w:tcPr>
          <w:p w14:paraId="46C7E731" w14:textId="77777777" w:rsidR="007F63F1" w:rsidRDefault="007F63F1" w:rsidP="007F63F1">
            <w:pPr>
              <w:rPr>
                <w:b/>
              </w:rPr>
            </w:pPr>
            <w:r>
              <w:rPr>
                <w:b/>
                <w:bCs/>
                <w:color w:val="000000"/>
                <w:szCs w:val="24"/>
                <w:lang w:eastAsia="en-GB"/>
              </w:rPr>
              <w:t>Location of manufacturing sites</w:t>
            </w:r>
          </w:p>
        </w:tc>
        <w:tc>
          <w:tcPr>
            <w:tcW w:w="5638" w:type="dxa"/>
            <w:tcBorders>
              <w:left w:val="single" w:sz="4" w:space="0" w:color="000000"/>
              <w:right w:val="single" w:sz="4" w:space="0" w:color="000000"/>
            </w:tcBorders>
            <w:shd w:val="clear" w:color="auto" w:fill="auto"/>
          </w:tcPr>
          <w:p w14:paraId="15638737" w14:textId="77777777" w:rsidR="007F63F1" w:rsidRPr="00A440FB" w:rsidRDefault="007F63F1" w:rsidP="007F63F1">
            <w:pPr>
              <w:rPr>
                <w:lang w:val="it-IT"/>
              </w:rPr>
            </w:pPr>
            <w:r w:rsidRPr="00A440FB">
              <w:rPr>
                <w:lang w:val="it-IT"/>
              </w:rPr>
              <w:t xml:space="preserve">Merck S.L.U. Poligono Merck </w:t>
            </w:r>
          </w:p>
          <w:p w14:paraId="26471064" w14:textId="77777777" w:rsidR="007F63F1" w:rsidRDefault="007F63F1" w:rsidP="007F63F1">
            <w:r>
              <w:t xml:space="preserve">08100 Mollet del Valles </w:t>
            </w:r>
          </w:p>
          <w:p w14:paraId="5B19D904" w14:textId="0F4C83C7" w:rsidR="007F63F1" w:rsidRDefault="007F63F1" w:rsidP="007F63F1">
            <w:pPr>
              <w:snapToGrid w:val="0"/>
              <w:rPr>
                <w:b/>
              </w:rPr>
            </w:pPr>
            <w:r>
              <w:t>Spain</w:t>
            </w:r>
          </w:p>
        </w:tc>
      </w:tr>
      <w:tr w:rsidR="007F63F1" w14:paraId="72CD9651" w14:textId="77777777" w:rsidTr="007F63F1">
        <w:tc>
          <w:tcPr>
            <w:tcW w:w="3397" w:type="dxa"/>
            <w:tcBorders>
              <w:left w:val="single" w:sz="4" w:space="0" w:color="000000"/>
              <w:bottom w:val="single" w:sz="4" w:space="0" w:color="000000"/>
            </w:tcBorders>
            <w:shd w:val="clear" w:color="auto" w:fill="auto"/>
          </w:tcPr>
          <w:p w14:paraId="74B7D272" w14:textId="77777777" w:rsidR="007F63F1" w:rsidRDefault="007F63F1" w:rsidP="007F63F1">
            <w:pPr>
              <w:rPr>
                <w:b/>
                <w:bCs/>
                <w:color w:val="000000"/>
                <w:szCs w:val="24"/>
                <w:lang w:eastAsia="en-GB"/>
              </w:rPr>
            </w:pPr>
          </w:p>
        </w:tc>
        <w:tc>
          <w:tcPr>
            <w:tcW w:w="5638" w:type="dxa"/>
            <w:tcBorders>
              <w:left w:val="single" w:sz="4" w:space="0" w:color="000000"/>
              <w:bottom w:val="single" w:sz="4" w:space="0" w:color="000000"/>
              <w:right w:val="single" w:sz="4" w:space="0" w:color="000000"/>
            </w:tcBorders>
            <w:shd w:val="clear" w:color="auto" w:fill="auto"/>
          </w:tcPr>
          <w:p w14:paraId="4B1153ED" w14:textId="77777777" w:rsidR="007F63F1" w:rsidRDefault="007F63F1" w:rsidP="007F63F1">
            <w:pPr>
              <w:snapToGrid w:val="0"/>
              <w:rPr>
                <w:b/>
              </w:rPr>
            </w:pPr>
          </w:p>
        </w:tc>
      </w:tr>
    </w:tbl>
    <w:p w14:paraId="15121DBA" w14:textId="216D00DD" w:rsidR="007F63F1" w:rsidRDefault="007F63F1" w:rsidP="007F63F1"/>
    <w:p w14:paraId="6DC6E397" w14:textId="5C1C224D" w:rsidR="007F63F1" w:rsidRDefault="007F63F1" w:rsidP="007F63F1"/>
    <w:p w14:paraId="3E5CBE30" w14:textId="77777777" w:rsidR="00382D19" w:rsidRDefault="00382D19">
      <w:pPr>
        <w:sectPr w:rsidR="00382D19">
          <w:pgSz w:w="11906" w:h="16838"/>
          <w:pgMar w:top="1474" w:right="1247" w:bottom="2013" w:left="1446" w:header="850" w:footer="850" w:gutter="0"/>
          <w:cols w:space="720"/>
          <w:titlePg/>
          <w:docGrid w:linePitch="272"/>
        </w:sectPr>
      </w:pPr>
    </w:p>
    <w:p w14:paraId="2D27246F" w14:textId="77777777" w:rsidR="00B50969" w:rsidRDefault="00B50969" w:rsidP="00B50969">
      <w:pPr>
        <w:pStyle w:val="Titre3"/>
        <w:numPr>
          <w:ilvl w:val="2"/>
          <w:numId w:val="29"/>
        </w:numPr>
        <w:tabs>
          <w:tab w:val="clear" w:pos="284"/>
          <w:tab w:val="num" w:pos="0"/>
        </w:tabs>
        <w:suppressAutoHyphens/>
        <w:spacing w:before="0"/>
        <w:ind w:left="720"/>
        <w:rPr>
          <w:rFonts w:eastAsia="Calibri"/>
          <w:lang w:eastAsia="en-US"/>
        </w:rPr>
      </w:pPr>
      <w:bookmarkStart w:id="24" w:name="_Toc2155626"/>
      <w:bookmarkStart w:id="25" w:name="_Toc93326469"/>
      <w:r>
        <w:lastRenderedPageBreak/>
        <w:t>Product composition and formulation</w:t>
      </w:r>
      <w:bookmarkEnd w:id="24"/>
      <w:bookmarkEnd w:id="25"/>
    </w:p>
    <w:bookmarkEnd w:id="15"/>
    <w:p w14:paraId="51AD7317" w14:textId="77777777" w:rsidR="00B50969" w:rsidRDefault="00B50969" w:rsidP="00B50969">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06251F1D" w14:textId="77777777" w:rsidR="00B50969" w:rsidRDefault="00B50969" w:rsidP="00B50969">
      <w:pPr>
        <w:spacing w:line="260" w:lineRule="atLeast"/>
        <w:rPr>
          <w:rFonts w:eastAsia="Calibri"/>
          <w:lang w:eastAsia="en-US"/>
        </w:rPr>
      </w:pPr>
    </w:p>
    <w:p w14:paraId="59274246" w14:textId="77777777" w:rsidR="00B50969" w:rsidRDefault="00B50969" w:rsidP="00B50969">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52264DBF" w14:textId="77777777" w:rsidR="00B50969" w:rsidRDefault="00B50969" w:rsidP="00B50969">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6" w:name="__Fieldmark__1124_528645922"/>
      <w:r>
        <w:fldChar w:fldCharType="begin">
          <w:ffData>
            <w:name w:val=""/>
            <w:enabled/>
            <w:calcOnExit w:val="0"/>
            <w:checkBox>
              <w:sizeAuto/>
              <w:default w:val="0"/>
              <w:checked w:val="0"/>
            </w:checkBox>
          </w:ffData>
        </w:fldChar>
      </w:r>
      <w:r>
        <w:instrText xml:space="preserve"> FORMCHECKBOX </w:instrText>
      </w:r>
      <w:r w:rsidR="000D0DA7">
        <w:fldChar w:fldCharType="separate"/>
      </w:r>
      <w:r>
        <w:fldChar w:fldCharType="end"/>
      </w:r>
      <w:bookmarkEnd w:id="26"/>
    </w:p>
    <w:p w14:paraId="22817BD2" w14:textId="4F3EBF33" w:rsidR="00B50969" w:rsidRDefault="00B50969" w:rsidP="00B50969">
      <w:pPr>
        <w:spacing w:line="260" w:lineRule="atLeast"/>
        <w:ind w:left="720"/>
        <w:jc w:val="both"/>
      </w:pPr>
      <w:r>
        <w:rPr>
          <w:rFonts w:eastAsia="Calibri"/>
          <w:lang w:eastAsia="en-US"/>
        </w:rPr>
        <w:t xml:space="preserve">No </w:t>
      </w:r>
      <w:r>
        <w:rPr>
          <w:rFonts w:eastAsia="Calibri"/>
          <w:lang w:eastAsia="en-US"/>
        </w:rPr>
        <w:tab/>
      </w:r>
      <w:bookmarkStart w:id="27" w:name="__Fieldmark__1130_528645922"/>
      <w:r w:rsidR="007F63F1">
        <w:fldChar w:fldCharType="begin">
          <w:ffData>
            <w:name w:val=""/>
            <w:enabled/>
            <w:calcOnExit w:val="0"/>
            <w:checkBox>
              <w:sizeAuto/>
              <w:default w:val="1"/>
            </w:checkBox>
          </w:ffData>
        </w:fldChar>
      </w:r>
      <w:r w:rsidR="007F63F1">
        <w:instrText xml:space="preserve"> FORMCHECKBOX </w:instrText>
      </w:r>
      <w:r w:rsidR="000D0DA7">
        <w:fldChar w:fldCharType="separate"/>
      </w:r>
      <w:r w:rsidR="007F63F1">
        <w:fldChar w:fldCharType="end"/>
      </w:r>
      <w:bookmarkEnd w:id="27"/>
    </w:p>
    <w:p w14:paraId="5C77DC30" w14:textId="77777777" w:rsidR="00B50969" w:rsidRDefault="00B50969" w:rsidP="00B50969">
      <w:pPr>
        <w:pStyle w:val="Titre4"/>
        <w:numPr>
          <w:ilvl w:val="3"/>
          <w:numId w:val="29"/>
        </w:numPr>
        <w:suppressAutoHyphens/>
        <w:rPr>
          <w:b/>
        </w:rPr>
      </w:pPr>
      <w:bookmarkStart w:id="28" w:name="_Toc2155627"/>
      <w:bookmarkStart w:id="29" w:name="_Toc93326470"/>
      <w:r>
        <w:t>Identity of the active substance</w:t>
      </w:r>
      <w:bookmarkEnd w:id="28"/>
      <w:bookmarkEnd w:id="29"/>
    </w:p>
    <w:tbl>
      <w:tblPr>
        <w:tblW w:w="9440" w:type="dxa"/>
        <w:tblInd w:w="-5" w:type="dxa"/>
        <w:tblLayout w:type="fixed"/>
        <w:tblLook w:val="0000" w:firstRow="0" w:lastRow="0" w:firstColumn="0" w:lastColumn="0" w:noHBand="0" w:noVBand="0"/>
      </w:tblPr>
      <w:tblGrid>
        <w:gridCol w:w="4077"/>
        <w:gridCol w:w="5363"/>
      </w:tblGrid>
      <w:tr w:rsidR="00B50969" w14:paraId="27E7E0B0" w14:textId="77777777" w:rsidTr="007F63F1">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D47006A" w14:textId="77777777" w:rsidR="00B50969" w:rsidRDefault="00B50969" w:rsidP="007F63F1">
            <w:pPr>
              <w:spacing w:line="260" w:lineRule="atLeast"/>
              <w:jc w:val="center"/>
            </w:pPr>
            <w:r>
              <w:rPr>
                <w:rFonts w:eastAsia="Calibri"/>
                <w:b/>
                <w:lang w:eastAsia="en-US"/>
              </w:rPr>
              <w:t>Main constituent(s)</w:t>
            </w:r>
          </w:p>
        </w:tc>
      </w:tr>
      <w:tr w:rsidR="007F63F1" w14:paraId="51C863AE" w14:textId="77777777" w:rsidTr="007F63F1">
        <w:tc>
          <w:tcPr>
            <w:tcW w:w="4077" w:type="dxa"/>
            <w:tcBorders>
              <w:top w:val="single" w:sz="4" w:space="0" w:color="000000"/>
              <w:left w:val="single" w:sz="4" w:space="0" w:color="000000"/>
              <w:bottom w:val="single" w:sz="4" w:space="0" w:color="000000"/>
            </w:tcBorders>
            <w:shd w:val="clear" w:color="auto" w:fill="auto"/>
          </w:tcPr>
          <w:p w14:paraId="05A39549" w14:textId="77777777" w:rsidR="007F63F1" w:rsidRDefault="007F63F1" w:rsidP="007F63F1">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FA2C0B9" w14:textId="2E8990C9" w:rsidR="007F63F1" w:rsidRDefault="007F63F1" w:rsidP="007F63F1">
            <w:pPr>
              <w:snapToGrid w:val="0"/>
              <w:spacing w:line="260" w:lineRule="atLeast"/>
              <w:rPr>
                <w:rFonts w:eastAsia="Calibri"/>
                <w:b/>
                <w:lang w:eastAsia="en-US"/>
              </w:rPr>
            </w:pPr>
            <w:r w:rsidRPr="00FB5258">
              <w:rPr>
                <w:rFonts w:eastAsia="Calibri"/>
                <w:lang w:eastAsia="en-US"/>
              </w:rPr>
              <w:t>IR3535</w:t>
            </w:r>
            <w:r w:rsidRPr="0084013F">
              <w:rPr>
                <w:rFonts w:eastAsia="Calibri"/>
                <w:vertAlign w:val="superscript"/>
                <w:lang w:eastAsia="en-US"/>
              </w:rPr>
              <w:t>®</w:t>
            </w:r>
            <w:r w:rsidRPr="00FB5258">
              <w:rPr>
                <w:rFonts w:eastAsia="Calibri"/>
                <w:lang w:eastAsia="en-US"/>
              </w:rPr>
              <w:t>, Ethyl butylacetylaminopropionate</w:t>
            </w:r>
          </w:p>
        </w:tc>
      </w:tr>
      <w:tr w:rsidR="007F63F1" w14:paraId="3D5031BD" w14:textId="77777777" w:rsidTr="007F63F1">
        <w:tc>
          <w:tcPr>
            <w:tcW w:w="4077" w:type="dxa"/>
            <w:tcBorders>
              <w:top w:val="single" w:sz="4" w:space="0" w:color="000000"/>
              <w:left w:val="single" w:sz="4" w:space="0" w:color="000000"/>
              <w:bottom w:val="single" w:sz="4" w:space="0" w:color="000000"/>
            </w:tcBorders>
            <w:shd w:val="clear" w:color="auto" w:fill="auto"/>
          </w:tcPr>
          <w:p w14:paraId="0FA4E866" w14:textId="77777777" w:rsidR="007F63F1" w:rsidRDefault="007F63F1" w:rsidP="007F63F1">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47450E5" w14:textId="6E844329" w:rsidR="007F63F1" w:rsidRDefault="007F63F1" w:rsidP="007F63F1">
            <w:pPr>
              <w:snapToGrid w:val="0"/>
              <w:spacing w:line="260" w:lineRule="atLeast"/>
              <w:rPr>
                <w:rFonts w:eastAsia="Calibri"/>
                <w:b/>
                <w:lang w:eastAsia="en-US"/>
              </w:rPr>
            </w:pPr>
            <w:r w:rsidRPr="00FB5258">
              <w:rPr>
                <w:rFonts w:eastAsia="Calibri"/>
                <w:lang w:eastAsia="en-US"/>
              </w:rPr>
              <w:t>ethyl 3-[N-acetyl-N-butyl] aminopropionate</w:t>
            </w:r>
          </w:p>
        </w:tc>
      </w:tr>
      <w:tr w:rsidR="007F63F1" w14:paraId="257DC99E" w14:textId="77777777" w:rsidTr="007F63F1">
        <w:tc>
          <w:tcPr>
            <w:tcW w:w="4077" w:type="dxa"/>
            <w:tcBorders>
              <w:top w:val="single" w:sz="4" w:space="0" w:color="000000"/>
              <w:left w:val="single" w:sz="4" w:space="0" w:color="000000"/>
              <w:bottom w:val="single" w:sz="4" w:space="0" w:color="000000"/>
            </w:tcBorders>
            <w:shd w:val="clear" w:color="auto" w:fill="auto"/>
          </w:tcPr>
          <w:p w14:paraId="4891039D" w14:textId="77777777" w:rsidR="007F63F1" w:rsidRDefault="007F63F1" w:rsidP="007F63F1">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E4483B6" w14:textId="63117B6C" w:rsidR="007F63F1" w:rsidRDefault="007F63F1" w:rsidP="007F63F1">
            <w:pPr>
              <w:snapToGrid w:val="0"/>
              <w:spacing w:line="260" w:lineRule="atLeast"/>
              <w:rPr>
                <w:rFonts w:eastAsia="Calibri"/>
                <w:b/>
                <w:lang w:eastAsia="en-US"/>
              </w:rPr>
            </w:pPr>
            <w:r>
              <w:rPr>
                <w:rFonts w:eastAsia="Calibri"/>
                <w:lang w:eastAsia="en-US"/>
              </w:rPr>
              <w:t>257-835-0</w:t>
            </w:r>
          </w:p>
        </w:tc>
      </w:tr>
      <w:tr w:rsidR="007F63F1" w14:paraId="45BA38E0" w14:textId="77777777" w:rsidTr="007F63F1">
        <w:tc>
          <w:tcPr>
            <w:tcW w:w="4077" w:type="dxa"/>
            <w:tcBorders>
              <w:top w:val="single" w:sz="4" w:space="0" w:color="000000"/>
              <w:left w:val="single" w:sz="4" w:space="0" w:color="000000"/>
              <w:bottom w:val="single" w:sz="4" w:space="0" w:color="000000"/>
            </w:tcBorders>
            <w:shd w:val="clear" w:color="auto" w:fill="auto"/>
          </w:tcPr>
          <w:p w14:paraId="65AC6679" w14:textId="77777777" w:rsidR="007F63F1" w:rsidRDefault="007F63F1" w:rsidP="007F63F1">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1E41304" w14:textId="30B8BE12" w:rsidR="007F63F1" w:rsidRDefault="007F63F1" w:rsidP="007F63F1">
            <w:pPr>
              <w:snapToGrid w:val="0"/>
              <w:spacing w:line="260" w:lineRule="atLeast"/>
              <w:rPr>
                <w:rFonts w:eastAsia="Calibri"/>
                <w:b/>
                <w:lang w:eastAsia="en-US"/>
              </w:rPr>
            </w:pPr>
            <w:r>
              <w:rPr>
                <w:rFonts w:eastAsia="Calibri"/>
                <w:lang w:eastAsia="en-US"/>
              </w:rPr>
              <w:t>52304-36-6</w:t>
            </w:r>
          </w:p>
        </w:tc>
      </w:tr>
      <w:tr w:rsidR="007F63F1" w14:paraId="7A38DCA1" w14:textId="77777777" w:rsidTr="007F63F1">
        <w:tc>
          <w:tcPr>
            <w:tcW w:w="4077" w:type="dxa"/>
            <w:tcBorders>
              <w:top w:val="single" w:sz="4" w:space="0" w:color="000000"/>
              <w:left w:val="single" w:sz="4" w:space="0" w:color="000000"/>
              <w:bottom w:val="single" w:sz="4" w:space="0" w:color="000000"/>
            </w:tcBorders>
            <w:shd w:val="clear" w:color="auto" w:fill="auto"/>
          </w:tcPr>
          <w:p w14:paraId="1424BA9A" w14:textId="77777777" w:rsidR="007F63F1" w:rsidRDefault="007F63F1" w:rsidP="007F63F1">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0175586" w14:textId="77777777" w:rsidR="007F63F1" w:rsidRDefault="007F63F1" w:rsidP="007F63F1">
            <w:pPr>
              <w:snapToGrid w:val="0"/>
              <w:spacing w:line="260" w:lineRule="atLeast"/>
              <w:rPr>
                <w:rFonts w:eastAsia="Calibri"/>
                <w:b/>
                <w:lang w:eastAsia="en-US"/>
              </w:rPr>
            </w:pPr>
          </w:p>
        </w:tc>
      </w:tr>
      <w:tr w:rsidR="007F63F1" w14:paraId="2335E4A1" w14:textId="77777777" w:rsidTr="007F63F1">
        <w:tc>
          <w:tcPr>
            <w:tcW w:w="4077" w:type="dxa"/>
            <w:tcBorders>
              <w:top w:val="single" w:sz="4" w:space="0" w:color="000000"/>
              <w:left w:val="single" w:sz="4" w:space="0" w:color="000000"/>
              <w:bottom w:val="single" w:sz="4" w:space="0" w:color="000000"/>
            </w:tcBorders>
            <w:shd w:val="clear" w:color="auto" w:fill="auto"/>
          </w:tcPr>
          <w:p w14:paraId="7274FC5A" w14:textId="77777777" w:rsidR="007F63F1" w:rsidRDefault="007F63F1" w:rsidP="007F63F1">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D02103E" w14:textId="3A60783B" w:rsidR="007F63F1" w:rsidRDefault="007F63F1" w:rsidP="007F63F1">
            <w:pPr>
              <w:snapToGrid w:val="0"/>
              <w:spacing w:line="260" w:lineRule="atLeast"/>
              <w:rPr>
                <w:rFonts w:eastAsia="Calibri"/>
                <w:b/>
                <w:lang w:eastAsia="en-US"/>
              </w:rPr>
            </w:pPr>
            <w:r>
              <w:rPr>
                <w:rFonts w:eastAsia="Calibri"/>
                <w:lang w:eastAsia="en-US"/>
              </w:rPr>
              <w:t xml:space="preserve">&gt;99% </w:t>
            </w:r>
            <w:r w:rsidRPr="00F07537">
              <w:rPr>
                <w:rFonts w:eastAsia="Calibri"/>
                <w:lang w:eastAsia="en-US"/>
              </w:rPr>
              <w:t>w/w</w:t>
            </w:r>
          </w:p>
        </w:tc>
      </w:tr>
      <w:tr w:rsidR="00B50969" w14:paraId="3D30DED6" w14:textId="77777777" w:rsidTr="007F63F1">
        <w:trPr>
          <w:trHeight w:val="1359"/>
        </w:trPr>
        <w:tc>
          <w:tcPr>
            <w:tcW w:w="4077" w:type="dxa"/>
            <w:tcBorders>
              <w:top w:val="single" w:sz="4" w:space="0" w:color="000000"/>
              <w:left w:val="single" w:sz="4" w:space="0" w:color="000000"/>
              <w:bottom w:val="single" w:sz="4" w:space="0" w:color="000000"/>
            </w:tcBorders>
            <w:shd w:val="clear" w:color="auto" w:fill="auto"/>
          </w:tcPr>
          <w:p w14:paraId="6590C09D" w14:textId="77777777" w:rsidR="00B50969" w:rsidRDefault="00B50969" w:rsidP="007F63F1">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D3A35DA" w14:textId="77777777" w:rsidR="00B50969" w:rsidRPr="00F07537" w:rsidRDefault="00672D8A" w:rsidP="007F63F1">
            <w:pPr>
              <w:snapToGrid w:val="0"/>
              <w:spacing w:line="260" w:lineRule="atLeast"/>
              <w:rPr>
                <w:rFonts w:eastAsia="Calibri"/>
                <w:lang w:eastAsia="en-US"/>
              </w:rPr>
            </w:pPr>
            <w:r w:rsidRPr="00F07537">
              <w:rPr>
                <w:rFonts w:eastAsia="Calibri"/>
                <w:noProof/>
                <w:lang w:val="fr-FR" w:eastAsia="fr-FR"/>
              </w:rPr>
              <w:drawing>
                <wp:inline distT="0" distB="0" distL="0" distR="0" wp14:anchorId="5D244B50" wp14:editId="6BBB3CDF">
                  <wp:extent cx="2066786" cy="771525"/>
                  <wp:effectExtent l="0" t="0" r="0" b="0"/>
                  <wp:docPr id="2" name="Image 2" descr="C:\Users\l.chabanny\AppData\Local\Microsoft\Windows\INetCache\Content.MSO\4196B3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abanny\AppData\Local\Microsoft\Windows\INetCache\Content.MSO\4196B3E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6349" cy="778828"/>
                          </a:xfrm>
                          <a:prstGeom prst="rect">
                            <a:avLst/>
                          </a:prstGeom>
                          <a:noFill/>
                          <a:ln>
                            <a:noFill/>
                          </a:ln>
                        </pic:spPr>
                      </pic:pic>
                    </a:graphicData>
                  </a:graphic>
                </wp:inline>
              </w:drawing>
            </w:r>
          </w:p>
        </w:tc>
      </w:tr>
    </w:tbl>
    <w:p w14:paraId="16E18E4A" w14:textId="77777777" w:rsidR="00B50969" w:rsidRDefault="00B50969" w:rsidP="00B50969">
      <w:pPr>
        <w:spacing w:line="260" w:lineRule="atLeast"/>
        <w:jc w:val="both"/>
        <w:rPr>
          <w:rFonts w:eastAsia="Calibri"/>
          <w:lang w:eastAsia="fr-FR"/>
        </w:rPr>
      </w:pPr>
    </w:p>
    <w:p w14:paraId="661C587D" w14:textId="77777777" w:rsidR="00B50969" w:rsidRDefault="00B50969" w:rsidP="00B50969">
      <w:pPr>
        <w:pStyle w:val="Titre4"/>
        <w:numPr>
          <w:ilvl w:val="3"/>
          <w:numId w:val="29"/>
        </w:numPr>
        <w:suppressAutoHyphens/>
        <w:rPr>
          <w:rFonts w:ascii="Times New Roman" w:hAnsi="Times New Roman"/>
          <w:i w:val="0"/>
          <w:lang w:eastAsia="fr-FR"/>
        </w:rPr>
      </w:pPr>
      <w:bookmarkStart w:id="30" w:name="_Toc2155628"/>
      <w:bookmarkStart w:id="31" w:name="_Toc93326471"/>
      <w:r>
        <w:t>Candidate(s) for substitution</w:t>
      </w:r>
      <w:bookmarkEnd w:id="30"/>
      <w:bookmarkEnd w:id="31"/>
    </w:p>
    <w:p w14:paraId="6B02B296" w14:textId="572B8B62" w:rsidR="00B50969" w:rsidRDefault="007F63F1" w:rsidP="00B50969">
      <w:pPr>
        <w:spacing w:line="260" w:lineRule="atLeast"/>
        <w:jc w:val="both"/>
        <w:rPr>
          <w:rFonts w:ascii="Times New Roman" w:eastAsia="Calibri" w:hAnsi="Times New Roman"/>
          <w:i/>
          <w:lang w:eastAsia="fr-FR"/>
        </w:rPr>
      </w:pPr>
      <w:r>
        <w:rPr>
          <w:rFonts w:eastAsia="Calibri"/>
          <w:lang w:eastAsia="fr-FR"/>
        </w:rPr>
        <w:t>The active substance IR3535 is not a candidate for substitution.</w:t>
      </w:r>
    </w:p>
    <w:p w14:paraId="618A181B" w14:textId="77777777" w:rsidR="00B50969" w:rsidRDefault="00B50969" w:rsidP="00B50969">
      <w:pPr>
        <w:pStyle w:val="Titre4"/>
        <w:pageBreakBefore/>
        <w:numPr>
          <w:ilvl w:val="3"/>
          <w:numId w:val="29"/>
        </w:numPr>
        <w:suppressAutoHyphens/>
        <w:rPr>
          <w:b/>
          <w:bCs/>
          <w:color w:val="000000"/>
          <w:lang w:eastAsia="en-GB"/>
        </w:rPr>
      </w:pPr>
      <w:bookmarkStart w:id="32" w:name="_Toc2155629"/>
      <w:bookmarkStart w:id="33" w:name="_Toc93326472"/>
      <w:r>
        <w:lastRenderedPageBreak/>
        <w:t>Qualitative and quantitative information on the composition of the biocidal product</w:t>
      </w:r>
      <w:r>
        <w:rPr>
          <w:rStyle w:val="Appelnotedebasdep"/>
        </w:rPr>
        <w:footnoteReference w:id="3"/>
      </w:r>
      <w:bookmarkEnd w:id="32"/>
      <w:bookmarkEnd w:id="33"/>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B50969" w14:paraId="0F636315" w14:textId="77777777" w:rsidTr="007F63F1">
        <w:trPr>
          <w:tblHeader/>
        </w:trPr>
        <w:tc>
          <w:tcPr>
            <w:tcW w:w="2256" w:type="dxa"/>
            <w:tcBorders>
              <w:top w:val="single" w:sz="4" w:space="0" w:color="000000"/>
              <w:left w:val="single" w:sz="4" w:space="0" w:color="000000"/>
              <w:bottom w:val="single" w:sz="4" w:space="0" w:color="000000"/>
            </w:tcBorders>
            <w:shd w:val="clear" w:color="auto" w:fill="auto"/>
          </w:tcPr>
          <w:p w14:paraId="09CBA824" w14:textId="77777777" w:rsidR="00B50969" w:rsidRDefault="00B50969" w:rsidP="007F63F1">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64FE28DE" w14:textId="77777777" w:rsidR="00B50969" w:rsidRDefault="00B50969" w:rsidP="007F63F1">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0572CAE8" w14:textId="77777777" w:rsidR="00B50969" w:rsidRDefault="00B50969" w:rsidP="007F63F1">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1FDEDC3B" w14:textId="77777777" w:rsidR="00B50969" w:rsidRDefault="00B50969" w:rsidP="007F63F1">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43B394E1" w14:textId="77777777" w:rsidR="00B50969" w:rsidRDefault="00B50969" w:rsidP="007F63F1">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5B636696" w14:textId="77777777" w:rsidR="00B50969" w:rsidRDefault="00B50969" w:rsidP="007F63F1">
            <w:r>
              <w:rPr>
                <w:b/>
                <w:bCs/>
                <w:color w:val="000000"/>
                <w:szCs w:val="24"/>
                <w:lang w:eastAsia="en-GB"/>
              </w:rPr>
              <w:t>Content (%)</w:t>
            </w:r>
          </w:p>
        </w:tc>
      </w:tr>
      <w:tr w:rsidR="007F63F1" w14:paraId="61B9E5C2" w14:textId="77777777" w:rsidTr="007F63F1">
        <w:tc>
          <w:tcPr>
            <w:tcW w:w="2256" w:type="dxa"/>
            <w:tcBorders>
              <w:left w:val="single" w:sz="4" w:space="0" w:color="000000"/>
              <w:bottom w:val="single" w:sz="4" w:space="0" w:color="000000"/>
            </w:tcBorders>
            <w:shd w:val="clear" w:color="auto" w:fill="auto"/>
          </w:tcPr>
          <w:p w14:paraId="0F88704B" w14:textId="6238AD09" w:rsidR="007F63F1" w:rsidRDefault="00382D19" w:rsidP="007F63F1">
            <w:pPr>
              <w:rPr>
                <w:lang w:val="pl-PL"/>
              </w:rPr>
            </w:pPr>
            <w:r w:rsidRPr="00FB5258">
              <w:rPr>
                <w:rFonts w:eastAsia="Calibri"/>
                <w:lang w:eastAsia="en-US"/>
              </w:rPr>
              <w:t>IR3535</w:t>
            </w:r>
            <w:r w:rsidRPr="0084013F">
              <w:rPr>
                <w:rFonts w:eastAsia="Calibri"/>
                <w:vertAlign w:val="superscript"/>
                <w:lang w:eastAsia="en-US"/>
              </w:rPr>
              <w:t>®</w:t>
            </w:r>
          </w:p>
          <w:p w14:paraId="72DCE741" w14:textId="77777777" w:rsidR="007F63F1" w:rsidRDefault="007F63F1" w:rsidP="007F63F1">
            <w:pPr>
              <w:snapToGrid w:val="0"/>
              <w:rPr>
                <w:lang w:val="pl-PL"/>
              </w:rPr>
            </w:pPr>
          </w:p>
        </w:tc>
        <w:tc>
          <w:tcPr>
            <w:tcW w:w="1353" w:type="dxa"/>
            <w:tcBorders>
              <w:left w:val="single" w:sz="4" w:space="0" w:color="000000"/>
              <w:bottom w:val="single" w:sz="4" w:space="0" w:color="000000"/>
            </w:tcBorders>
            <w:shd w:val="clear" w:color="auto" w:fill="auto"/>
          </w:tcPr>
          <w:p w14:paraId="1FA0A585" w14:textId="00489962" w:rsidR="007F63F1" w:rsidRDefault="007F63F1" w:rsidP="007F63F1">
            <w:pPr>
              <w:snapToGrid w:val="0"/>
              <w:rPr>
                <w:lang w:val="pl-PL"/>
              </w:rPr>
            </w:pPr>
            <w:r w:rsidRPr="001B6A82">
              <w:t>ethyl 3-[N-acetyl-N-butyl] aminopropionate</w:t>
            </w:r>
          </w:p>
        </w:tc>
        <w:tc>
          <w:tcPr>
            <w:tcW w:w="1353" w:type="dxa"/>
            <w:tcBorders>
              <w:left w:val="single" w:sz="4" w:space="0" w:color="000000"/>
              <w:bottom w:val="single" w:sz="4" w:space="0" w:color="000000"/>
            </w:tcBorders>
            <w:shd w:val="clear" w:color="auto" w:fill="auto"/>
          </w:tcPr>
          <w:p w14:paraId="70FAB15C" w14:textId="380988D1" w:rsidR="007F63F1" w:rsidRDefault="007F63F1" w:rsidP="007F63F1">
            <w:r w:rsidRPr="00A26ED0">
              <w:t>Active substance</w:t>
            </w:r>
            <w:r w:rsidR="00C7238A">
              <w:t xml:space="preserve"> (technical)</w:t>
            </w:r>
          </w:p>
        </w:tc>
        <w:tc>
          <w:tcPr>
            <w:tcW w:w="1353" w:type="dxa"/>
            <w:tcBorders>
              <w:left w:val="single" w:sz="4" w:space="0" w:color="000000"/>
              <w:bottom w:val="single" w:sz="4" w:space="0" w:color="000000"/>
            </w:tcBorders>
            <w:shd w:val="clear" w:color="auto" w:fill="auto"/>
          </w:tcPr>
          <w:p w14:paraId="5C7312A7" w14:textId="766D41CD" w:rsidR="007F63F1" w:rsidRDefault="007F63F1" w:rsidP="007F63F1">
            <w:pPr>
              <w:snapToGrid w:val="0"/>
            </w:pPr>
            <w:r>
              <w:t>52304-36-6</w:t>
            </w:r>
          </w:p>
        </w:tc>
        <w:tc>
          <w:tcPr>
            <w:tcW w:w="1353" w:type="dxa"/>
            <w:tcBorders>
              <w:left w:val="single" w:sz="4" w:space="0" w:color="000000"/>
              <w:bottom w:val="single" w:sz="4" w:space="0" w:color="000000"/>
            </w:tcBorders>
            <w:shd w:val="clear" w:color="auto" w:fill="auto"/>
          </w:tcPr>
          <w:p w14:paraId="459F70CD" w14:textId="588249AF" w:rsidR="007F63F1" w:rsidRDefault="007F63F1" w:rsidP="007F63F1">
            <w:pPr>
              <w:snapToGrid w:val="0"/>
            </w:pPr>
            <w:r>
              <w:rPr>
                <w:rFonts w:eastAsia="Calibri"/>
                <w:lang w:eastAsia="en-US"/>
              </w:rPr>
              <w:t>257-835-0</w:t>
            </w:r>
          </w:p>
        </w:tc>
        <w:tc>
          <w:tcPr>
            <w:tcW w:w="1363" w:type="dxa"/>
            <w:tcBorders>
              <w:left w:val="single" w:sz="4" w:space="0" w:color="000000"/>
              <w:bottom w:val="single" w:sz="4" w:space="0" w:color="000000"/>
              <w:right w:val="single" w:sz="4" w:space="0" w:color="000000"/>
            </w:tcBorders>
            <w:shd w:val="clear" w:color="auto" w:fill="auto"/>
          </w:tcPr>
          <w:p w14:paraId="1951B44A" w14:textId="4B5D53EC" w:rsidR="007F63F1" w:rsidRDefault="007F63F1" w:rsidP="007F63F1">
            <w:r>
              <w:t>20.0</w:t>
            </w:r>
          </w:p>
          <w:p w14:paraId="6E7E3C11" w14:textId="77777777" w:rsidR="007F63F1" w:rsidRDefault="007F63F1" w:rsidP="007F63F1"/>
          <w:p w14:paraId="10B7440A" w14:textId="7BD3596C" w:rsidR="007F63F1" w:rsidRDefault="007F63F1" w:rsidP="007F63F1">
            <w:pPr>
              <w:snapToGrid w:val="0"/>
            </w:pPr>
            <w:r>
              <w:t>Purity: ≥ 99%</w:t>
            </w:r>
          </w:p>
        </w:tc>
      </w:tr>
    </w:tbl>
    <w:p w14:paraId="452B749E" w14:textId="77777777" w:rsidR="00B50969" w:rsidRDefault="00B50969" w:rsidP="00B50969">
      <w:pPr>
        <w:pStyle w:val="Titre4"/>
        <w:numPr>
          <w:ilvl w:val="3"/>
          <w:numId w:val="29"/>
        </w:numPr>
        <w:suppressAutoHyphens/>
        <w:rPr>
          <w:rFonts w:ascii="Times New Roman" w:hAnsi="Times New Roman"/>
          <w:i w:val="0"/>
          <w:lang w:eastAsia="fr-FR"/>
        </w:rPr>
      </w:pPr>
      <w:bookmarkStart w:id="34" w:name="d0e437"/>
      <w:bookmarkStart w:id="35" w:name="_Toc2155630"/>
      <w:bookmarkStart w:id="36" w:name="_Toc93326473"/>
      <w:bookmarkEnd w:id="34"/>
      <w:r>
        <w:t>Information on technical equivalence</w:t>
      </w:r>
      <w:bookmarkEnd w:id="35"/>
      <w:bookmarkEnd w:id="36"/>
    </w:p>
    <w:p w14:paraId="0F571076" w14:textId="31AEEE3B" w:rsidR="007B355D" w:rsidRPr="009461FB" w:rsidRDefault="007B355D" w:rsidP="007B355D">
      <w:pPr>
        <w:pStyle w:val="Paragraphedeliste"/>
        <w:numPr>
          <w:ilvl w:val="0"/>
          <w:numId w:val="68"/>
        </w:numPr>
        <w:rPr>
          <w:b/>
        </w:rPr>
      </w:pPr>
      <w:r w:rsidRPr="009461FB">
        <w:rPr>
          <w:b/>
        </w:rPr>
        <w:t>FIRST AUTHORISATION – 2017 (BE CA)</w:t>
      </w:r>
    </w:p>
    <w:p w14:paraId="08A568D5" w14:textId="5B52DA24" w:rsidR="00B50969" w:rsidRPr="003F6CA6" w:rsidRDefault="00E6645F" w:rsidP="003F6CA6">
      <w:pPr>
        <w:rPr>
          <w:rFonts w:ascii="Times New Roman" w:eastAsia="Calibri" w:hAnsi="Times New Roman"/>
          <w:i/>
          <w:szCs w:val="24"/>
          <w:lang w:eastAsia="en-US"/>
        </w:rPr>
      </w:pPr>
      <w:r>
        <w:t>Not needed, since the manufacturer is the same as included in the Union list of approved active substances.</w:t>
      </w:r>
      <w:r w:rsidRPr="00E6645F" w:rsidDel="00E6645F">
        <w:rPr>
          <w:rFonts w:ascii="Times New Roman" w:eastAsia="Calibri" w:hAnsi="Times New Roman"/>
          <w:i/>
          <w:szCs w:val="24"/>
          <w:lang w:eastAsia="en-US"/>
        </w:rPr>
        <w:t xml:space="preserve"> </w:t>
      </w:r>
    </w:p>
    <w:p w14:paraId="4CB37876" w14:textId="77777777" w:rsidR="00B50969" w:rsidRDefault="00B50969" w:rsidP="00B50969">
      <w:pPr>
        <w:spacing w:line="260" w:lineRule="atLeast"/>
        <w:jc w:val="both"/>
        <w:rPr>
          <w:rFonts w:eastAsia="Calibri" w:cs="Times"/>
          <w:bCs/>
          <w:szCs w:val="29"/>
        </w:rPr>
      </w:pPr>
    </w:p>
    <w:p w14:paraId="1C2132D7" w14:textId="77777777" w:rsidR="00B50969" w:rsidRDefault="00B50969" w:rsidP="00B50969">
      <w:pPr>
        <w:pStyle w:val="Titre4"/>
        <w:numPr>
          <w:ilvl w:val="3"/>
          <w:numId w:val="29"/>
        </w:numPr>
        <w:suppressAutoHyphens/>
      </w:pPr>
      <w:bookmarkStart w:id="37" w:name="_Toc2155633"/>
      <w:bookmarkStart w:id="38" w:name="_Toc93326474"/>
      <w:r>
        <w:t>Type of formulation</w:t>
      </w:r>
      <w:bookmarkEnd w:id="37"/>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50969" w14:paraId="0F97F588" w14:textId="77777777" w:rsidTr="007F63F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0A83221" w14:textId="7D9F0D5F" w:rsidR="00B50969" w:rsidRDefault="0054641C" w:rsidP="007F63F1">
            <w:pPr>
              <w:snapToGrid w:val="0"/>
            </w:pPr>
            <w:r>
              <w:t>AL – Any other liquid</w:t>
            </w:r>
          </w:p>
        </w:tc>
      </w:tr>
    </w:tbl>
    <w:p w14:paraId="53B31834" w14:textId="77777777" w:rsidR="00B50969" w:rsidRDefault="00B50969" w:rsidP="00B50969">
      <w:bookmarkStart w:id="39" w:name="d0e452"/>
    </w:p>
    <w:p w14:paraId="18B46CC4" w14:textId="77777777" w:rsidR="00B50969" w:rsidRDefault="00B50969" w:rsidP="00B50969"/>
    <w:p w14:paraId="5CBD67EE" w14:textId="77777777" w:rsidR="00B50969" w:rsidRDefault="00B50969" w:rsidP="00B50969">
      <w:pPr>
        <w:pStyle w:val="Titre3"/>
        <w:numPr>
          <w:ilvl w:val="2"/>
          <w:numId w:val="29"/>
        </w:numPr>
        <w:tabs>
          <w:tab w:val="clear" w:pos="284"/>
          <w:tab w:val="num" w:pos="0"/>
        </w:tabs>
        <w:suppressAutoHyphens/>
        <w:spacing w:before="0"/>
        <w:ind w:left="720"/>
      </w:pPr>
      <w:bookmarkStart w:id="40" w:name="_Toc2155634"/>
      <w:bookmarkStart w:id="41" w:name="_Toc93326475"/>
      <w:r>
        <w:t>Hazard and precautionary statements</w:t>
      </w:r>
      <w:r>
        <w:rPr>
          <w:rStyle w:val="Appelnotedebasdep"/>
        </w:rPr>
        <w:footnoteReference w:id="4"/>
      </w:r>
      <w:bookmarkEnd w:id="40"/>
      <w:bookmarkEnd w:id="41"/>
    </w:p>
    <w:p w14:paraId="6948EF4C" w14:textId="77777777" w:rsidR="00B50969" w:rsidRDefault="00B50969" w:rsidP="00B50969">
      <w:pPr>
        <w:rPr>
          <w:rFonts w:ascii="Times New Roman" w:hAnsi="Times New Roman"/>
          <w:i/>
          <w:szCs w:val="24"/>
          <w:lang w:eastAsia="en-GB"/>
        </w:rPr>
      </w:pPr>
      <w:r>
        <w:rPr>
          <w:b/>
        </w:rPr>
        <w:t>Classification and labelling of the products according to the Regulation (EC) 1272/2008</w:t>
      </w:r>
    </w:p>
    <w:p w14:paraId="64374954" w14:textId="77777777" w:rsidR="00B50969" w:rsidRDefault="00B50969" w:rsidP="00B50969">
      <w:pPr>
        <w:tabs>
          <w:tab w:val="left" w:pos="500"/>
        </w:tabs>
        <w:ind w:left="500" w:hanging="500"/>
        <w:rPr>
          <w:rFonts w:ascii="Times New Roman" w:hAnsi="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B50969" w14:paraId="3547A790" w14:textId="77777777" w:rsidTr="007F63F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805101B" w14:textId="77777777" w:rsidR="00B50969" w:rsidRDefault="00B50969" w:rsidP="007F63F1">
            <w:r>
              <w:rPr>
                <w:b/>
                <w:lang w:eastAsia="en-US"/>
              </w:rPr>
              <w:t>Classification</w:t>
            </w:r>
          </w:p>
        </w:tc>
      </w:tr>
      <w:tr w:rsidR="00B50969" w14:paraId="7A4491B8" w14:textId="77777777" w:rsidTr="007F63F1">
        <w:trPr>
          <w:cantSplit/>
        </w:trPr>
        <w:tc>
          <w:tcPr>
            <w:tcW w:w="2606" w:type="dxa"/>
            <w:tcBorders>
              <w:top w:val="single" w:sz="2" w:space="0" w:color="000000"/>
              <w:left w:val="single" w:sz="2" w:space="0" w:color="000000"/>
              <w:bottom w:val="single" w:sz="2" w:space="0" w:color="000000"/>
            </w:tcBorders>
            <w:shd w:val="clear" w:color="auto" w:fill="auto"/>
          </w:tcPr>
          <w:p w14:paraId="18F40B4B" w14:textId="77777777" w:rsidR="00B50969" w:rsidRDefault="00B50969" w:rsidP="007F63F1">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5F63251" w14:textId="77777777" w:rsidR="00B50969" w:rsidRDefault="0054641C" w:rsidP="00F07537">
            <w:pPr>
              <w:rPr>
                <w:lang w:eastAsia="fi-FI"/>
              </w:rPr>
            </w:pPr>
            <w:r>
              <w:rPr>
                <w:lang w:eastAsia="fi-FI"/>
              </w:rPr>
              <w:t>Flammable liquid, category 3</w:t>
            </w:r>
          </w:p>
          <w:p w14:paraId="6561F6C3" w14:textId="3FAE621A" w:rsidR="004C692E" w:rsidRDefault="004C692E" w:rsidP="00F07537">
            <w:pPr>
              <w:rPr>
                <w:lang w:eastAsia="fi-FI"/>
              </w:rPr>
            </w:pPr>
            <w:r>
              <w:rPr>
                <w:lang w:eastAsia="fi-FI"/>
              </w:rPr>
              <w:t>Eye irritation, category 2</w:t>
            </w:r>
          </w:p>
        </w:tc>
      </w:tr>
      <w:tr w:rsidR="00B50969" w14:paraId="676E684A" w14:textId="77777777" w:rsidTr="007F63F1">
        <w:trPr>
          <w:cantSplit/>
        </w:trPr>
        <w:tc>
          <w:tcPr>
            <w:tcW w:w="2606" w:type="dxa"/>
            <w:tcBorders>
              <w:top w:val="single" w:sz="2" w:space="0" w:color="000000"/>
              <w:left w:val="single" w:sz="2" w:space="0" w:color="000000"/>
              <w:bottom w:val="single" w:sz="2" w:space="0" w:color="000000"/>
            </w:tcBorders>
            <w:shd w:val="clear" w:color="auto" w:fill="auto"/>
          </w:tcPr>
          <w:p w14:paraId="33973BDA" w14:textId="77777777" w:rsidR="00B50969" w:rsidRDefault="00B50969" w:rsidP="007F63F1">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15146E2" w14:textId="77777777" w:rsidR="00B50969" w:rsidRDefault="0054641C" w:rsidP="00F07537">
            <w:pPr>
              <w:rPr>
                <w:lang w:eastAsia="fi-FI"/>
              </w:rPr>
            </w:pPr>
            <w:r>
              <w:rPr>
                <w:lang w:eastAsia="fi-FI"/>
              </w:rPr>
              <w:t>H226: flammable liquid and vapour</w:t>
            </w:r>
          </w:p>
          <w:p w14:paraId="4BDFE559" w14:textId="2FB320BF" w:rsidR="004C692E" w:rsidRDefault="004C692E" w:rsidP="00F07537">
            <w:pPr>
              <w:rPr>
                <w:lang w:eastAsia="fi-FI"/>
              </w:rPr>
            </w:pPr>
            <w:r>
              <w:rPr>
                <w:lang w:eastAsia="fi-FI"/>
              </w:rPr>
              <w:t>H319: Causes serious eye irritation</w:t>
            </w:r>
          </w:p>
        </w:tc>
      </w:tr>
      <w:tr w:rsidR="00B50969" w14:paraId="5131A008" w14:textId="77777777" w:rsidTr="007F63F1">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1A3BA60" w14:textId="77777777" w:rsidR="00B50969" w:rsidRDefault="00B50969" w:rsidP="007F63F1">
            <w:pPr>
              <w:snapToGrid w:val="0"/>
              <w:rPr>
                <w:lang w:eastAsia="fi-FI"/>
              </w:rPr>
            </w:pPr>
          </w:p>
        </w:tc>
      </w:tr>
      <w:tr w:rsidR="00B50969" w14:paraId="4BBA43AD" w14:textId="77777777" w:rsidTr="007F63F1">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7D544B8" w14:textId="77777777" w:rsidR="00B50969" w:rsidRDefault="00B50969" w:rsidP="007F63F1">
            <w:r>
              <w:rPr>
                <w:b/>
                <w:lang w:eastAsia="en-US"/>
              </w:rPr>
              <w:t>Labelling</w:t>
            </w:r>
          </w:p>
        </w:tc>
      </w:tr>
      <w:tr w:rsidR="00B50969" w14:paraId="3F58B97E" w14:textId="77777777" w:rsidTr="007F63F1">
        <w:trPr>
          <w:cantSplit/>
        </w:trPr>
        <w:tc>
          <w:tcPr>
            <w:tcW w:w="2606" w:type="dxa"/>
            <w:tcBorders>
              <w:top w:val="single" w:sz="2" w:space="0" w:color="000000"/>
              <w:left w:val="single" w:sz="2" w:space="0" w:color="000000"/>
              <w:bottom w:val="single" w:sz="2" w:space="0" w:color="000000"/>
            </w:tcBorders>
            <w:shd w:val="clear" w:color="auto" w:fill="auto"/>
          </w:tcPr>
          <w:p w14:paraId="43C30F00" w14:textId="77777777" w:rsidR="00B50969" w:rsidRDefault="00B50969" w:rsidP="007F63F1">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D2353F5" w14:textId="38528BED" w:rsidR="00B50969" w:rsidRDefault="004C692E" w:rsidP="00F07537">
            <w:pPr>
              <w:rPr>
                <w:lang w:eastAsia="fi-FI"/>
              </w:rPr>
            </w:pPr>
            <w:r>
              <w:rPr>
                <w:lang w:eastAsia="fi-FI"/>
              </w:rPr>
              <w:t>Warning</w:t>
            </w:r>
          </w:p>
        </w:tc>
      </w:tr>
      <w:tr w:rsidR="00B50969" w14:paraId="52207747" w14:textId="77777777" w:rsidTr="007F63F1">
        <w:trPr>
          <w:cantSplit/>
        </w:trPr>
        <w:tc>
          <w:tcPr>
            <w:tcW w:w="2606" w:type="dxa"/>
            <w:tcBorders>
              <w:top w:val="single" w:sz="2" w:space="0" w:color="000000"/>
              <w:left w:val="single" w:sz="2" w:space="0" w:color="000000"/>
              <w:bottom w:val="single" w:sz="2" w:space="0" w:color="000000"/>
            </w:tcBorders>
            <w:shd w:val="clear" w:color="auto" w:fill="auto"/>
          </w:tcPr>
          <w:p w14:paraId="49D0E84C" w14:textId="77777777" w:rsidR="00B50969" w:rsidRDefault="00B50969" w:rsidP="007F63F1">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945BAA6" w14:textId="77777777" w:rsidR="00B50969" w:rsidRDefault="0054641C" w:rsidP="00F07537">
            <w:pPr>
              <w:rPr>
                <w:lang w:eastAsia="fi-FI"/>
              </w:rPr>
            </w:pPr>
            <w:r>
              <w:rPr>
                <w:lang w:eastAsia="fi-FI"/>
              </w:rPr>
              <w:t>H226: flammable liquid and vapour</w:t>
            </w:r>
          </w:p>
          <w:p w14:paraId="6E6C770F" w14:textId="0800D887" w:rsidR="004C692E" w:rsidRDefault="004C692E" w:rsidP="00F07537">
            <w:pPr>
              <w:rPr>
                <w:lang w:eastAsia="fi-FI"/>
              </w:rPr>
            </w:pPr>
            <w:r>
              <w:rPr>
                <w:lang w:eastAsia="fi-FI"/>
              </w:rPr>
              <w:t>H319: Causes serious eye irritation</w:t>
            </w:r>
          </w:p>
        </w:tc>
      </w:tr>
      <w:tr w:rsidR="00B50969" w14:paraId="0469D386" w14:textId="77777777" w:rsidTr="007F63F1">
        <w:trPr>
          <w:cantSplit/>
        </w:trPr>
        <w:tc>
          <w:tcPr>
            <w:tcW w:w="2606" w:type="dxa"/>
            <w:tcBorders>
              <w:top w:val="single" w:sz="2" w:space="0" w:color="000000"/>
              <w:left w:val="single" w:sz="2" w:space="0" w:color="000000"/>
              <w:bottom w:val="single" w:sz="2" w:space="0" w:color="000000"/>
            </w:tcBorders>
            <w:shd w:val="clear" w:color="auto" w:fill="auto"/>
          </w:tcPr>
          <w:p w14:paraId="428CD04F" w14:textId="77777777" w:rsidR="00B50969" w:rsidRDefault="00B50969" w:rsidP="007F63F1">
            <w:pPr>
              <w:rPr>
                <w:lang w:eastAsia="fi-FI"/>
              </w:rPr>
            </w:pPr>
            <w:r>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863C1B0" w14:textId="78ECF5A0" w:rsidR="00B50969" w:rsidRDefault="0054641C" w:rsidP="00F07537">
            <w:pPr>
              <w:rPr>
                <w:lang w:eastAsia="fi-FI"/>
              </w:rPr>
            </w:pPr>
            <w:r>
              <w:rPr>
                <w:lang w:eastAsia="fi-FI"/>
              </w:rPr>
              <w:t>P210 Keep away from heat, hot surfaces, sparks, open flames and other ignition sources. No smoking</w:t>
            </w:r>
          </w:p>
          <w:p w14:paraId="75976020" w14:textId="7D49C0EE" w:rsidR="004C692E" w:rsidRDefault="004C692E" w:rsidP="00F07537">
            <w:pPr>
              <w:rPr>
                <w:lang w:eastAsia="fi-FI"/>
              </w:rPr>
            </w:pPr>
            <w:r>
              <w:rPr>
                <w:lang w:eastAsia="fi-FI"/>
              </w:rPr>
              <w:t xml:space="preserve">P264 </w:t>
            </w:r>
            <w:r w:rsidRPr="004C692E">
              <w:rPr>
                <w:lang w:eastAsia="fi-FI"/>
              </w:rPr>
              <w:t>Wash … thoroughly after handling</w:t>
            </w:r>
          </w:p>
          <w:p w14:paraId="56BC0867" w14:textId="698D231A" w:rsidR="004C692E" w:rsidRDefault="004C692E" w:rsidP="00F07537">
            <w:pPr>
              <w:rPr>
                <w:lang w:eastAsia="fi-FI"/>
              </w:rPr>
            </w:pPr>
            <w:r>
              <w:rPr>
                <w:lang w:eastAsia="fi-FI"/>
              </w:rPr>
              <w:t>P305+P351+P338</w:t>
            </w:r>
            <w:r w:rsidR="00F54A2A">
              <w:rPr>
                <w:lang w:eastAsia="fi-FI"/>
              </w:rPr>
              <w:t xml:space="preserve"> </w:t>
            </w:r>
            <w:r w:rsidR="00F54A2A" w:rsidRPr="00F54A2A">
              <w:rPr>
                <w:lang w:eastAsia="fi-FI"/>
              </w:rPr>
              <w:t>IF IN EYES: Rinse cautiously with water for several minutes. Remove contact lenses, if present and easy to do. Continue rinsing.</w:t>
            </w:r>
          </w:p>
          <w:p w14:paraId="2F2047A8" w14:textId="658549CE" w:rsidR="004C692E" w:rsidRDefault="004C692E" w:rsidP="00F07537">
            <w:pPr>
              <w:rPr>
                <w:lang w:eastAsia="fi-FI"/>
              </w:rPr>
            </w:pPr>
            <w:r>
              <w:rPr>
                <w:lang w:eastAsia="fi-FI"/>
              </w:rPr>
              <w:t>P337+P313</w:t>
            </w:r>
            <w:r w:rsidR="00F54A2A">
              <w:rPr>
                <w:lang w:eastAsia="fi-FI"/>
              </w:rPr>
              <w:t xml:space="preserve"> </w:t>
            </w:r>
            <w:r w:rsidR="00F54A2A" w:rsidRPr="00F54A2A">
              <w:rPr>
                <w:lang w:eastAsia="fi-FI"/>
              </w:rPr>
              <w:t>If eye irritation persists: Get medical advice/attention.</w:t>
            </w:r>
          </w:p>
        </w:tc>
      </w:tr>
      <w:tr w:rsidR="00B50969" w14:paraId="574A118F" w14:textId="77777777" w:rsidTr="007F63F1">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AE466D6" w14:textId="77777777" w:rsidR="00B50969" w:rsidRDefault="00B50969" w:rsidP="007F63F1">
            <w:pPr>
              <w:snapToGrid w:val="0"/>
              <w:rPr>
                <w:lang w:eastAsia="fi-FI"/>
              </w:rPr>
            </w:pPr>
          </w:p>
        </w:tc>
      </w:tr>
      <w:tr w:rsidR="00B50969" w14:paraId="15152E4A" w14:textId="77777777" w:rsidTr="007F63F1">
        <w:trPr>
          <w:cantSplit/>
        </w:trPr>
        <w:tc>
          <w:tcPr>
            <w:tcW w:w="2606" w:type="dxa"/>
            <w:tcBorders>
              <w:top w:val="single" w:sz="2" w:space="0" w:color="000000"/>
              <w:left w:val="single" w:sz="2" w:space="0" w:color="000000"/>
              <w:bottom w:val="single" w:sz="2" w:space="0" w:color="000000"/>
            </w:tcBorders>
            <w:shd w:val="clear" w:color="auto" w:fill="auto"/>
          </w:tcPr>
          <w:p w14:paraId="4F90717E" w14:textId="77777777" w:rsidR="00B50969" w:rsidRDefault="00B50969" w:rsidP="007F63F1">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35EC0BE" w14:textId="77777777" w:rsidR="00B50969" w:rsidRDefault="00B50969" w:rsidP="007F63F1">
            <w:pPr>
              <w:snapToGrid w:val="0"/>
              <w:rPr>
                <w:b/>
                <w:lang w:eastAsia="fi-FI"/>
              </w:rPr>
            </w:pPr>
          </w:p>
        </w:tc>
      </w:tr>
    </w:tbl>
    <w:p w14:paraId="689D8AB2" w14:textId="77777777" w:rsidR="00B50969" w:rsidRDefault="00B50969" w:rsidP="00B50969">
      <w:pPr>
        <w:tabs>
          <w:tab w:val="left" w:pos="500"/>
        </w:tabs>
        <w:ind w:left="500" w:hanging="500"/>
      </w:pPr>
    </w:p>
    <w:p w14:paraId="7EDEC93E" w14:textId="77777777" w:rsidR="00B50969" w:rsidRDefault="00B50969" w:rsidP="00B50969"/>
    <w:p w14:paraId="43DB5605" w14:textId="77777777" w:rsidR="00B50969" w:rsidRDefault="00B50969" w:rsidP="00B50969">
      <w:pPr>
        <w:pStyle w:val="Titre3"/>
        <w:numPr>
          <w:ilvl w:val="2"/>
          <w:numId w:val="29"/>
        </w:numPr>
        <w:tabs>
          <w:tab w:val="clear" w:pos="284"/>
          <w:tab w:val="num" w:pos="0"/>
        </w:tabs>
        <w:suppressAutoHyphens/>
        <w:spacing w:before="0"/>
        <w:ind w:left="720"/>
      </w:pPr>
      <w:bookmarkStart w:id="42" w:name="_Toc2155635"/>
      <w:bookmarkStart w:id="43" w:name="_Toc93326476"/>
      <w:r>
        <w:t>Authorised use(s)</w:t>
      </w:r>
      <w:bookmarkEnd w:id="42"/>
      <w:bookmarkEnd w:id="43"/>
    </w:p>
    <w:p w14:paraId="7B86A435" w14:textId="77777777" w:rsidR="007F63F1" w:rsidRDefault="007F63F1" w:rsidP="007F63F1">
      <w:pPr>
        <w:pStyle w:val="Titre4"/>
        <w:numPr>
          <w:ilvl w:val="3"/>
          <w:numId w:val="30"/>
        </w:numPr>
        <w:suppressAutoHyphens/>
      </w:pPr>
      <w:bookmarkStart w:id="44" w:name="_Toc2154505"/>
      <w:bookmarkStart w:id="45" w:name="_Toc517184299"/>
      <w:bookmarkStart w:id="46" w:name="_Toc93326477"/>
      <w:bookmarkStart w:id="47" w:name="_Toc2155636"/>
      <w:r>
        <w:t>Use description</w:t>
      </w:r>
      <w:bookmarkEnd w:id="44"/>
      <w:bookmarkEnd w:id="45"/>
      <w:bookmarkEnd w:id="46"/>
    </w:p>
    <w:p w14:paraId="77567053" w14:textId="443A909F" w:rsidR="007F63F1" w:rsidRDefault="007F63F1" w:rsidP="007F63F1">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sidR="00752A50">
        <w:rPr>
          <w:rFonts w:ascii="Verdana" w:hAnsi="Verdana" w:cs="Verdana"/>
          <w:noProof/>
        </w:rPr>
        <w:t>1</w:t>
      </w:r>
      <w:r>
        <w:rPr>
          <w:rFonts w:ascii="Verdana" w:hAnsi="Verdana" w:cs="Verdana"/>
        </w:rPr>
        <w:fldChar w:fldCharType="end"/>
      </w:r>
      <w:r>
        <w:rPr>
          <w:rFonts w:ascii="Verdana" w:hAnsi="Verdana"/>
        </w:rPr>
        <w:t xml:space="preserve">. Use # 1 – </w:t>
      </w:r>
      <w:r w:rsidR="00C767AB">
        <w:rPr>
          <w:rFonts w:ascii="Verdana" w:hAnsi="Verdana"/>
        </w:rPr>
        <w:t>Spray to repel human head lice (general public)</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C767AB" w14:paraId="0AC92F78" w14:textId="77777777" w:rsidTr="007F63F1">
        <w:tc>
          <w:tcPr>
            <w:tcW w:w="2707" w:type="dxa"/>
            <w:tcBorders>
              <w:top w:val="single" w:sz="4" w:space="0" w:color="000000"/>
              <w:left w:val="single" w:sz="4" w:space="0" w:color="000000"/>
              <w:bottom w:val="single" w:sz="4" w:space="0" w:color="000000"/>
              <w:right w:val="nil"/>
            </w:tcBorders>
            <w:hideMark/>
          </w:tcPr>
          <w:p w14:paraId="4A200FB8" w14:textId="77777777" w:rsidR="00C767AB" w:rsidRDefault="00C767AB" w:rsidP="00C767AB">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4B07F184" w14:textId="463E6A07" w:rsidR="00C767AB" w:rsidRDefault="00C767AB" w:rsidP="00C767AB">
            <w:pPr>
              <w:snapToGrid w:val="0"/>
              <w:spacing w:line="254" w:lineRule="auto"/>
              <w:rPr>
                <w:b/>
              </w:rPr>
            </w:pPr>
            <w:r w:rsidRPr="00D601DB">
              <w:t>PT19 - Repellents and attractants (Pest control)</w:t>
            </w:r>
          </w:p>
        </w:tc>
      </w:tr>
      <w:tr w:rsidR="00C767AB" w:rsidRPr="008766C7" w14:paraId="6BA98F63" w14:textId="77777777" w:rsidTr="007F63F1">
        <w:tc>
          <w:tcPr>
            <w:tcW w:w="2707" w:type="dxa"/>
            <w:tcBorders>
              <w:top w:val="nil"/>
              <w:left w:val="single" w:sz="4" w:space="0" w:color="000000"/>
              <w:bottom w:val="single" w:sz="4" w:space="0" w:color="000000"/>
              <w:right w:val="nil"/>
            </w:tcBorders>
            <w:hideMark/>
          </w:tcPr>
          <w:p w14:paraId="632ED241" w14:textId="77777777" w:rsidR="00C767AB" w:rsidRDefault="00C767AB" w:rsidP="00C767AB">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1644E248" w14:textId="77777777" w:rsidR="00C767AB" w:rsidRDefault="00C767AB" w:rsidP="00C767AB">
            <w:pPr>
              <w:snapToGrid w:val="0"/>
              <w:spacing w:line="254" w:lineRule="auto"/>
              <w:rPr>
                <w:b/>
              </w:rPr>
            </w:pPr>
          </w:p>
        </w:tc>
      </w:tr>
      <w:tr w:rsidR="00C767AB" w:rsidRPr="008766C7" w14:paraId="16AF4B76" w14:textId="77777777" w:rsidTr="007F63F1">
        <w:tc>
          <w:tcPr>
            <w:tcW w:w="2707" w:type="dxa"/>
            <w:tcBorders>
              <w:top w:val="nil"/>
              <w:left w:val="single" w:sz="4" w:space="0" w:color="000000"/>
              <w:bottom w:val="single" w:sz="4" w:space="0" w:color="000000"/>
              <w:right w:val="nil"/>
            </w:tcBorders>
            <w:hideMark/>
          </w:tcPr>
          <w:p w14:paraId="62EEC1BF" w14:textId="77777777" w:rsidR="00C767AB" w:rsidRDefault="00C767AB" w:rsidP="00C767AB">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9628183" w14:textId="77777777" w:rsidR="00C767AB" w:rsidRPr="00A7056E" w:rsidRDefault="00C767AB" w:rsidP="00C767AB">
            <w:pPr>
              <w:snapToGrid w:val="0"/>
              <w:spacing w:line="254" w:lineRule="auto"/>
            </w:pPr>
            <w:r w:rsidRPr="00A7056E">
              <w:t>Pediculidae</w:t>
            </w:r>
          </w:p>
          <w:p w14:paraId="7432EDA1" w14:textId="3EF19282" w:rsidR="00A7056E" w:rsidRPr="00A7056E" w:rsidRDefault="00A7056E" w:rsidP="00C767AB">
            <w:pPr>
              <w:snapToGrid w:val="0"/>
              <w:spacing w:line="254" w:lineRule="auto"/>
            </w:pPr>
            <w:r w:rsidRPr="00A7056E">
              <w:t>Human Head louse</w:t>
            </w:r>
            <w:r w:rsidR="001A385C">
              <w:t xml:space="preserve"> (</w:t>
            </w:r>
            <w:r w:rsidR="001A385C" w:rsidRPr="00407084">
              <w:rPr>
                <w:rFonts w:cs="Verdana"/>
                <w:i/>
                <w:lang w:eastAsia="zh-CN"/>
              </w:rPr>
              <w:t>Pedicul</w:t>
            </w:r>
            <w:r w:rsidR="009667BA">
              <w:rPr>
                <w:rFonts w:cs="Verdana"/>
                <w:i/>
                <w:lang w:eastAsia="zh-CN"/>
              </w:rPr>
              <w:t>us</w:t>
            </w:r>
            <w:r w:rsidR="001A385C" w:rsidRPr="00407084">
              <w:rPr>
                <w:rFonts w:cs="Verdana"/>
                <w:i/>
                <w:lang w:eastAsia="zh-CN"/>
              </w:rPr>
              <w:t xml:space="preserve"> humanus capitis</w:t>
            </w:r>
            <w:r w:rsidR="001A385C">
              <w:rPr>
                <w:rFonts w:cs="Verdana"/>
                <w:lang w:eastAsia="zh-CN"/>
              </w:rPr>
              <w:t>)</w:t>
            </w:r>
          </w:p>
          <w:p w14:paraId="7C8BB518" w14:textId="16CBB148" w:rsidR="00A7056E" w:rsidRPr="00A7056E" w:rsidRDefault="001A385C" w:rsidP="00C767AB">
            <w:pPr>
              <w:snapToGrid w:val="0"/>
              <w:spacing w:line="254" w:lineRule="auto"/>
            </w:pPr>
            <w:r w:rsidRPr="00A7056E">
              <w:t>A</w:t>
            </w:r>
            <w:r w:rsidR="00A7056E" w:rsidRPr="00A7056E">
              <w:t>dults</w:t>
            </w:r>
          </w:p>
        </w:tc>
      </w:tr>
      <w:tr w:rsidR="00C767AB" w14:paraId="5362B9DB" w14:textId="77777777" w:rsidTr="007F63F1">
        <w:tc>
          <w:tcPr>
            <w:tcW w:w="2707" w:type="dxa"/>
            <w:tcBorders>
              <w:top w:val="nil"/>
              <w:left w:val="single" w:sz="4" w:space="0" w:color="000000"/>
              <w:bottom w:val="single" w:sz="4" w:space="0" w:color="000000"/>
              <w:right w:val="nil"/>
            </w:tcBorders>
            <w:hideMark/>
          </w:tcPr>
          <w:p w14:paraId="5DEEBD84" w14:textId="77777777" w:rsidR="00C767AB" w:rsidRDefault="00C767AB" w:rsidP="00C767AB">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2AE94E04" w14:textId="5C0E7BCF" w:rsidR="00C767AB" w:rsidRPr="00814EB9" w:rsidRDefault="00A7056E" w:rsidP="00C767AB">
            <w:pPr>
              <w:snapToGrid w:val="0"/>
              <w:spacing w:line="254" w:lineRule="auto"/>
            </w:pPr>
            <w:r w:rsidRPr="00814EB9">
              <w:t xml:space="preserve">Indoor </w:t>
            </w:r>
          </w:p>
        </w:tc>
      </w:tr>
      <w:tr w:rsidR="00C767AB" w14:paraId="69C6384B" w14:textId="77777777" w:rsidTr="007F63F1">
        <w:tc>
          <w:tcPr>
            <w:tcW w:w="2707" w:type="dxa"/>
            <w:tcBorders>
              <w:top w:val="nil"/>
              <w:left w:val="single" w:sz="4" w:space="0" w:color="000000"/>
              <w:bottom w:val="single" w:sz="4" w:space="0" w:color="000000"/>
              <w:right w:val="nil"/>
            </w:tcBorders>
            <w:hideMark/>
          </w:tcPr>
          <w:p w14:paraId="0D80EE90" w14:textId="77777777" w:rsidR="00C767AB" w:rsidRDefault="00C767AB" w:rsidP="00C767AB">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264CC249" w14:textId="7AA1DB0A" w:rsidR="00C767AB" w:rsidRPr="00A7056E" w:rsidRDefault="00814EB9" w:rsidP="00C767AB">
            <w:pPr>
              <w:snapToGrid w:val="0"/>
              <w:spacing w:line="260" w:lineRule="atLeast"/>
            </w:pPr>
            <w:r>
              <w:t xml:space="preserve">Spraying </w:t>
            </w:r>
          </w:p>
        </w:tc>
      </w:tr>
      <w:tr w:rsidR="00C767AB" w:rsidRPr="008766C7" w14:paraId="614A00C0" w14:textId="77777777" w:rsidTr="007F63F1">
        <w:tc>
          <w:tcPr>
            <w:tcW w:w="2707" w:type="dxa"/>
            <w:tcBorders>
              <w:top w:val="nil"/>
              <w:left w:val="single" w:sz="4" w:space="0" w:color="000000"/>
              <w:bottom w:val="single" w:sz="4" w:space="0" w:color="000000"/>
              <w:right w:val="nil"/>
            </w:tcBorders>
            <w:hideMark/>
          </w:tcPr>
          <w:p w14:paraId="746A83EA" w14:textId="77777777" w:rsidR="00C767AB" w:rsidRDefault="00C767AB" w:rsidP="00C767AB">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4357AB8A" w14:textId="6AD89865" w:rsidR="00814EB9" w:rsidRDefault="00814EB9" w:rsidP="00814EB9">
            <w:pPr>
              <w:snapToGrid w:val="0"/>
              <w:spacing w:line="260" w:lineRule="atLeast"/>
            </w:pPr>
            <w:r>
              <w:t>Adults: up to 1.05 g product per application; Children from 0 to 11 years old: 0.5g per application - Ready-to-use (no dilution</w:t>
            </w:r>
          </w:p>
          <w:p w14:paraId="155CAE65" w14:textId="77777777" w:rsidR="00814EB9" w:rsidRDefault="00814EB9" w:rsidP="00814EB9">
            <w:pPr>
              <w:snapToGrid w:val="0"/>
              <w:spacing w:line="260" w:lineRule="atLeast"/>
            </w:pPr>
            <w:r>
              <w:t>needed) -</w:t>
            </w:r>
          </w:p>
          <w:p w14:paraId="0FC2175D" w14:textId="77777777" w:rsidR="00814EB9" w:rsidRDefault="00814EB9" w:rsidP="00814EB9">
            <w:pPr>
              <w:snapToGrid w:val="0"/>
              <w:spacing w:line="260" w:lineRule="atLeast"/>
            </w:pPr>
          </w:p>
          <w:p w14:paraId="1F9B0354" w14:textId="33EFC0BE" w:rsidR="00814EB9" w:rsidRDefault="00814EB9" w:rsidP="00814EB9">
            <w:pPr>
              <w:snapToGrid w:val="0"/>
              <w:spacing w:line="260" w:lineRule="atLeast"/>
            </w:pPr>
            <w:r>
              <w:t>RTU leave-on product</w:t>
            </w:r>
          </w:p>
          <w:p w14:paraId="1BFA1884" w14:textId="152964AC" w:rsidR="00814EB9" w:rsidRDefault="00814EB9" w:rsidP="00814EB9">
            <w:pPr>
              <w:snapToGrid w:val="0"/>
              <w:spacing w:line="260" w:lineRule="atLeast"/>
            </w:pPr>
            <w:r>
              <w:t>Timing:</w:t>
            </w:r>
            <w:r w:rsidR="00794E3D">
              <w:t xml:space="preserve"> </w:t>
            </w:r>
            <w:r>
              <w:t>Insect Repellent Pump Spray Lice IR3535® 20 % is intended to be used to prevent reinfestation with human head lice (Pediculus humanus capitis) only after a pediculicidal treatment. Reapply after washing the hair and at the latest after 2 days.</w:t>
            </w:r>
          </w:p>
          <w:p w14:paraId="096197F7" w14:textId="77777777" w:rsidR="00814EB9" w:rsidRDefault="00814EB9" w:rsidP="00814EB9">
            <w:pPr>
              <w:snapToGrid w:val="0"/>
              <w:spacing w:line="260" w:lineRule="atLeast"/>
            </w:pPr>
          </w:p>
          <w:p w14:paraId="648B4543" w14:textId="77777777" w:rsidR="00814EB9" w:rsidRDefault="00814EB9" w:rsidP="00814EB9">
            <w:pPr>
              <w:snapToGrid w:val="0"/>
              <w:spacing w:line="260" w:lineRule="atLeast"/>
            </w:pPr>
            <w:r>
              <w:t>Dose per application:</w:t>
            </w:r>
          </w:p>
          <w:p w14:paraId="4DECF5DA" w14:textId="05878738" w:rsidR="00814EB9" w:rsidRDefault="00814EB9" w:rsidP="00814EB9">
            <w:pPr>
              <w:snapToGrid w:val="0"/>
              <w:spacing w:line="260" w:lineRule="atLeast"/>
            </w:pPr>
            <w:r>
              <w:t>• Adults: up to 1.05 g product per application.</w:t>
            </w:r>
          </w:p>
          <w:p w14:paraId="16A09639" w14:textId="35D166BD" w:rsidR="00814EB9" w:rsidRDefault="00814EB9" w:rsidP="00814EB9">
            <w:pPr>
              <w:snapToGrid w:val="0"/>
              <w:spacing w:line="260" w:lineRule="atLeast"/>
            </w:pPr>
            <w:r>
              <w:t>• Children from 0 to 11 years old: 0.5g hubs per application</w:t>
            </w:r>
          </w:p>
          <w:p w14:paraId="6429153B" w14:textId="77777777" w:rsidR="00814EB9" w:rsidRDefault="00814EB9" w:rsidP="00814EB9">
            <w:pPr>
              <w:snapToGrid w:val="0"/>
              <w:spacing w:line="260" w:lineRule="atLeast"/>
            </w:pPr>
          </w:p>
          <w:p w14:paraId="6CEA06CE" w14:textId="77777777" w:rsidR="005240CE" w:rsidRDefault="00814EB9" w:rsidP="005240CE">
            <w:pPr>
              <w:pStyle w:val="Paragraphedeliste"/>
              <w:numPr>
                <w:ilvl w:val="0"/>
                <w:numId w:val="60"/>
              </w:numPr>
              <w:snapToGrid w:val="0"/>
              <w:spacing w:line="260" w:lineRule="atLeast"/>
            </w:pPr>
            <w:r>
              <w:t>Product is usually applied only once per day. When reapplying, respect the allowed maximum number of applications per day:</w:t>
            </w:r>
          </w:p>
          <w:p w14:paraId="321CF140" w14:textId="60C47C86" w:rsidR="00D3506D" w:rsidRDefault="00D3506D" w:rsidP="005240CE">
            <w:pPr>
              <w:pStyle w:val="Paragraphedeliste"/>
              <w:numPr>
                <w:ilvl w:val="0"/>
                <w:numId w:val="60"/>
              </w:numPr>
              <w:snapToGrid w:val="0"/>
              <w:spacing w:line="260" w:lineRule="atLeast"/>
            </w:pPr>
            <w:r>
              <w:lastRenderedPageBreak/>
              <w:t xml:space="preserve">For pump spray (100mL) : </w:t>
            </w:r>
          </w:p>
          <w:p w14:paraId="6AD9685E" w14:textId="56775FAF" w:rsidR="00D3506D" w:rsidRDefault="00D3506D" w:rsidP="005240CE">
            <w:pPr>
              <w:pStyle w:val="Paragraphedeliste"/>
              <w:numPr>
                <w:ilvl w:val="1"/>
                <w:numId w:val="60"/>
              </w:numPr>
              <w:snapToGrid w:val="0"/>
              <w:spacing w:line="260" w:lineRule="atLeast"/>
            </w:pPr>
            <w:r>
              <w:t>Adults</w:t>
            </w:r>
            <w:r w:rsidR="00794E3D">
              <w:t xml:space="preserve"> </w:t>
            </w:r>
            <w:r w:rsidR="00794E3D" w:rsidRPr="005363E6">
              <w:rPr>
                <w:rFonts w:cs="Arial"/>
                <w:bCs/>
                <w:lang w:eastAsia="fr-FR"/>
              </w:rPr>
              <w:t>and children</w:t>
            </w:r>
            <w:r w:rsidR="00794E3D">
              <w:rPr>
                <w:rFonts w:cs="Arial"/>
                <w:bCs/>
                <w:lang w:eastAsia="fr-FR"/>
              </w:rPr>
              <w:t xml:space="preserve"> &gt;</w:t>
            </w:r>
            <w:r w:rsidR="00794E3D" w:rsidRPr="005363E6">
              <w:rPr>
                <w:rFonts w:cs="Arial"/>
                <w:bCs/>
                <w:lang w:eastAsia="fr-FR"/>
              </w:rPr>
              <w:t>12 years</w:t>
            </w:r>
            <w:r>
              <w:t xml:space="preserve">: 11 sprays, 1 to 3 times a day </w:t>
            </w:r>
          </w:p>
          <w:p w14:paraId="70511841" w14:textId="1E5FC0B3" w:rsidR="00D3506D" w:rsidRDefault="00D3506D" w:rsidP="005240CE">
            <w:pPr>
              <w:pStyle w:val="Paragraphedeliste"/>
              <w:numPr>
                <w:ilvl w:val="1"/>
                <w:numId w:val="60"/>
              </w:numPr>
              <w:snapToGrid w:val="0"/>
              <w:spacing w:line="260" w:lineRule="atLeast"/>
            </w:pPr>
            <w:r>
              <w:t>Children (</w:t>
            </w:r>
            <w:r w:rsidR="00175802">
              <w:t xml:space="preserve">1 </w:t>
            </w:r>
            <w:r>
              <w:t>to &lt;12 years): 5 sprays, 1 to 3 times a day</w:t>
            </w:r>
          </w:p>
          <w:p w14:paraId="7398E441" w14:textId="61593FCF" w:rsidR="00D3506D" w:rsidRDefault="00D3506D" w:rsidP="005240CE">
            <w:pPr>
              <w:pStyle w:val="Paragraphedeliste"/>
              <w:numPr>
                <w:ilvl w:val="1"/>
                <w:numId w:val="60"/>
              </w:numPr>
              <w:snapToGrid w:val="0"/>
              <w:spacing w:line="260" w:lineRule="atLeast"/>
            </w:pPr>
            <w:r>
              <w:t xml:space="preserve">Infants ( &lt;1 year): 5 sprays, 1 to 2 times a day </w:t>
            </w:r>
          </w:p>
          <w:p w14:paraId="132BD65D" w14:textId="3661016F" w:rsidR="00D3506D" w:rsidRDefault="00D3506D" w:rsidP="005240CE">
            <w:pPr>
              <w:pStyle w:val="Paragraphedeliste"/>
              <w:numPr>
                <w:ilvl w:val="0"/>
                <w:numId w:val="60"/>
              </w:numPr>
              <w:snapToGrid w:val="0"/>
              <w:spacing w:line="260" w:lineRule="atLeast"/>
            </w:pPr>
            <w:r>
              <w:t>For trigger spray (250 mL) :</w:t>
            </w:r>
          </w:p>
          <w:p w14:paraId="47C22566" w14:textId="3E90FA0C" w:rsidR="00D3506D" w:rsidRDefault="00D3506D" w:rsidP="00D3506D">
            <w:pPr>
              <w:pStyle w:val="Paragraphedeliste"/>
              <w:numPr>
                <w:ilvl w:val="1"/>
                <w:numId w:val="60"/>
              </w:numPr>
              <w:snapToGrid w:val="0"/>
              <w:spacing w:line="260" w:lineRule="atLeast"/>
            </w:pPr>
            <w:r>
              <w:t xml:space="preserve">Adults : 2 sprays, 1 to 3 times a day </w:t>
            </w:r>
          </w:p>
          <w:p w14:paraId="7E2190F8" w14:textId="1B6BC953" w:rsidR="00D3506D" w:rsidRDefault="00D3506D" w:rsidP="00D3506D">
            <w:pPr>
              <w:pStyle w:val="Paragraphedeliste"/>
              <w:numPr>
                <w:ilvl w:val="1"/>
                <w:numId w:val="60"/>
              </w:numPr>
              <w:snapToGrid w:val="0"/>
              <w:spacing w:line="260" w:lineRule="atLeast"/>
            </w:pPr>
            <w:r>
              <w:t>Children (1 to &lt;12 years): 1 spray, 1 to 3 times a day</w:t>
            </w:r>
          </w:p>
          <w:p w14:paraId="4280D844" w14:textId="00CFE148" w:rsidR="00D3506D" w:rsidRDefault="00D3506D" w:rsidP="005240CE">
            <w:pPr>
              <w:pStyle w:val="Paragraphedeliste"/>
              <w:numPr>
                <w:ilvl w:val="1"/>
                <w:numId w:val="60"/>
              </w:numPr>
              <w:snapToGrid w:val="0"/>
              <w:spacing w:line="260" w:lineRule="atLeast"/>
            </w:pPr>
            <w:r>
              <w:t xml:space="preserve">Infants ( &lt;1 year): 1 spray, 1 to 2 times a day </w:t>
            </w:r>
          </w:p>
          <w:p w14:paraId="4E99E0C6" w14:textId="77777777" w:rsidR="00D3506D" w:rsidRDefault="00D3506D" w:rsidP="005240CE">
            <w:pPr>
              <w:snapToGrid w:val="0"/>
              <w:spacing w:line="260" w:lineRule="atLeast"/>
              <w:ind w:left="1080"/>
            </w:pPr>
          </w:p>
          <w:p w14:paraId="4F8C7658" w14:textId="79E0331B" w:rsidR="00814EB9" w:rsidRDefault="00814EB9" w:rsidP="00814EB9">
            <w:pPr>
              <w:snapToGrid w:val="0"/>
              <w:spacing w:line="260" w:lineRule="atLeast"/>
            </w:pPr>
            <w:r>
              <w:t>When the biocidal product is applied to children under 11 years old, the product should be applied by an adult</w:t>
            </w:r>
          </w:p>
          <w:p w14:paraId="35538CB6" w14:textId="280365E5" w:rsidR="00C767AB" w:rsidRPr="00A7056E" w:rsidRDefault="00C767AB" w:rsidP="00C767AB">
            <w:pPr>
              <w:snapToGrid w:val="0"/>
              <w:spacing w:line="260" w:lineRule="atLeast"/>
            </w:pPr>
          </w:p>
        </w:tc>
      </w:tr>
      <w:tr w:rsidR="00C767AB" w14:paraId="03799C71" w14:textId="77777777" w:rsidTr="007F63F1">
        <w:tc>
          <w:tcPr>
            <w:tcW w:w="2707" w:type="dxa"/>
            <w:tcBorders>
              <w:top w:val="nil"/>
              <w:left w:val="single" w:sz="4" w:space="0" w:color="000000"/>
              <w:bottom w:val="single" w:sz="4" w:space="0" w:color="000000"/>
              <w:right w:val="nil"/>
            </w:tcBorders>
            <w:hideMark/>
          </w:tcPr>
          <w:p w14:paraId="6F0BAF65" w14:textId="77777777" w:rsidR="00C767AB" w:rsidRDefault="00C767AB" w:rsidP="00C767AB">
            <w:pPr>
              <w:spacing w:line="254" w:lineRule="auto"/>
              <w:rPr>
                <w:b/>
              </w:rPr>
            </w:pPr>
            <w:r>
              <w:rPr>
                <w:b/>
                <w:bCs/>
                <w:szCs w:val="24"/>
                <w:lang w:eastAsia="en-GB"/>
              </w:rPr>
              <w:lastRenderedPageBreak/>
              <w:t>Category(ies) of users</w:t>
            </w:r>
          </w:p>
        </w:tc>
        <w:tc>
          <w:tcPr>
            <w:tcW w:w="6328" w:type="dxa"/>
            <w:tcBorders>
              <w:top w:val="nil"/>
              <w:left w:val="single" w:sz="4" w:space="0" w:color="000000"/>
              <w:bottom w:val="single" w:sz="4" w:space="0" w:color="000000"/>
              <w:right w:val="single" w:sz="4" w:space="0" w:color="000000"/>
            </w:tcBorders>
          </w:tcPr>
          <w:p w14:paraId="2E54BA3E" w14:textId="12886F23" w:rsidR="00C767AB" w:rsidRPr="00576E4E" w:rsidRDefault="00576E4E" w:rsidP="00C767AB">
            <w:pPr>
              <w:snapToGrid w:val="0"/>
              <w:spacing w:line="254" w:lineRule="auto"/>
            </w:pPr>
            <w:r>
              <w:t>General public (non-professional)</w:t>
            </w:r>
          </w:p>
        </w:tc>
      </w:tr>
      <w:tr w:rsidR="00C767AB" w:rsidRPr="008766C7" w14:paraId="33890D56" w14:textId="77777777" w:rsidTr="007F63F1">
        <w:tc>
          <w:tcPr>
            <w:tcW w:w="2707" w:type="dxa"/>
            <w:tcBorders>
              <w:top w:val="nil"/>
              <w:left w:val="single" w:sz="4" w:space="0" w:color="000000"/>
              <w:bottom w:val="single" w:sz="4" w:space="0" w:color="000000"/>
              <w:right w:val="nil"/>
            </w:tcBorders>
            <w:hideMark/>
          </w:tcPr>
          <w:p w14:paraId="6B734C34" w14:textId="77777777" w:rsidR="00C767AB" w:rsidRDefault="00C767AB" w:rsidP="00C767AB">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413F46B9" w14:textId="275CE07A" w:rsidR="00C767AB" w:rsidRDefault="00FB1AED" w:rsidP="00C767AB">
            <w:pPr>
              <w:spacing w:line="254" w:lineRule="auto"/>
            </w:pPr>
            <w:r>
              <w:t>100-250mL HDPE bottle (with sprayer)</w:t>
            </w:r>
          </w:p>
        </w:tc>
      </w:tr>
    </w:tbl>
    <w:p w14:paraId="2BD165D3" w14:textId="77777777" w:rsidR="007F63F1" w:rsidRDefault="007F63F1" w:rsidP="007F63F1">
      <w:pPr>
        <w:pStyle w:val="Titre5"/>
        <w:numPr>
          <w:ilvl w:val="4"/>
          <w:numId w:val="30"/>
        </w:numPr>
        <w:suppressAutoHyphens/>
        <w:spacing w:before="255" w:after="80" w:line="255" w:lineRule="exact"/>
        <w:rPr>
          <w:rFonts w:cs="Times"/>
          <w:bCs/>
          <w:szCs w:val="29"/>
        </w:rPr>
      </w:pPr>
      <w:bookmarkStart w:id="48" w:name="_Toc517184300"/>
      <w:bookmarkStart w:id="49" w:name="_Toc93326478"/>
      <w:r>
        <w:t>Use-specific instructions for use</w:t>
      </w:r>
      <w:bookmarkEnd w:id="48"/>
      <w:bookmarkEnd w:id="4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14:paraId="6A730216"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1F3478FC" w14:textId="77777777" w:rsidR="00D748E5" w:rsidRPr="007E29F8" w:rsidRDefault="00D748E5" w:rsidP="00D3506D">
            <w:pPr>
              <w:pStyle w:val="Paragraphedeliste"/>
              <w:numPr>
                <w:ilvl w:val="0"/>
                <w:numId w:val="33"/>
              </w:numPr>
            </w:pPr>
            <w:r w:rsidRPr="007E29F8">
              <w:rPr>
                <w:color w:val="000000"/>
              </w:rPr>
              <w:t>Ensure that no lice are present. First use a pediculicide.</w:t>
            </w:r>
          </w:p>
          <w:p w14:paraId="3B1226C7" w14:textId="77777777" w:rsidR="00D748E5" w:rsidRPr="007E29F8" w:rsidRDefault="00D748E5" w:rsidP="00D3506D">
            <w:pPr>
              <w:pStyle w:val="Paragraphedeliste"/>
              <w:numPr>
                <w:ilvl w:val="0"/>
                <w:numId w:val="33"/>
              </w:numPr>
            </w:pPr>
            <w:r w:rsidRPr="007E29F8">
              <w:rPr>
                <w:color w:val="000000"/>
              </w:rPr>
              <w:t>Evenly apply the product on clean and dry or towel dried hair close to the scalp and take care to first treat the nape of the neck and behind the ears. Then spray on the totality of hair like a lacquer. Make sure that the scalp and hair are sufficiently moistened.</w:t>
            </w:r>
          </w:p>
          <w:p w14:paraId="426661DB" w14:textId="77777777" w:rsidR="00D748E5" w:rsidRPr="007E29F8" w:rsidRDefault="00D748E5" w:rsidP="00D3506D">
            <w:pPr>
              <w:pStyle w:val="Paragraphedeliste"/>
              <w:numPr>
                <w:ilvl w:val="0"/>
                <w:numId w:val="33"/>
              </w:numPr>
            </w:pPr>
            <w:r w:rsidRPr="007E29F8">
              <w:rPr>
                <w:color w:val="000000"/>
              </w:rPr>
              <w:t>The application must be repeated after washing the hair.</w:t>
            </w:r>
          </w:p>
          <w:p w14:paraId="6CC4E5EC" w14:textId="40400699" w:rsidR="00D748E5" w:rsidRPr="005240CE" w:rsidRDefault="00D748E5" w:rsidP="00D3506D">
            <w:pPr>
              <w:pStyle w:val="Paragraphedeliste"/>
              <w:numPr>
                <w:ilvl w:val="0"/>
                <w:numId w:val="33"/>
              </w:numPr>
            </w:pPr>
            <w:r w:rsidRPr="007E29F8">
              <w:rPr>
                <w:color w:val="000000"/>
              </w:rPr>
              <w:t>The product is usually applied only once per day. When reapplying, respect the allowed maximum number of applications per day:</w:t>
            </w:r>
          </w:p>
          <w:p w14:paraId="028D6D03" w14:textId="36AB0CAF" w:rsidR="00D3506D" w:rsidRDefault="00D3506D" w:rsidP="005240CE">
            <w:pPr>
              <w:pStyle w:val="Paragraphedeliste"/>
              <w:numPr>
                <w:ilvl w:val="1"/>
                <w:numId w:val="33"/>
              </w:numPr>
              <w:snapToGrid w:val="0"/>
              <w:spacing w:line="260" w:lineRule="atLeast"/>
            </w:pPr>
            <w:r>
              <w:t>For pump spray (100mL</w:t>
            </w:r>
            <w:r w:rsidR="00606848">
              <w:t xml:space="preserve"> –</w:t>
            </w:r>
            <w:r w:rsidR="002F7770">
              <w:t xml:space="preserve"> 1</w:t>
            </w:r>
            <w:r w:rsidR="00606848">
              <w:t>00µL per spray</w:t>
            </w:r>
            <w:r>
              <w:t xml:space="preserve">): </w:t>
            </w:r>
          </w:p>
          <w:p w14:paraId="069BB59B" w14:textId="4DCEC4AD" w:rsidR="00D3506D" w:rsidRDefault="00D3506D" w:rsidP="005240CE">
            <w:pPr>
              <w:pStyle w:val="Paragraphedeliste"/>
              <w:numPr>
                <w:ilvl w:val="2"/>
                <w:numId w:val="33"/>
              </w:numPr>
              <w:snapToGrid w:val="0"/>
              <w:spacing w:line="260" w:lineRule="atLeast"/>
            </w:pPr>
            <w:r>
              <w:t>Adults</w:t>
            </w:r>
            <w:r w:rsidR="00794E3D">
              <w:t xml:space="preserve"> </w:t>
            </w:r>
            <w:r w:rsidR="00794E3D">
              <w:rPr>
                <w:rFonts w:cs="Arial"/>
                <w:bCs/>
                <w:lang w:eastAsia="fr-FR"/>
              </w:rPr>
              <w:t>and children &gt;</w:t>
            </w:r>
            <w:r w:rsidR="00794E3D" w:rsidRPr="005363E6">
              <w:rPr>
                <w:rFonts w:cs="Arial"/>
                <w:bCs/>
                <w:lang w:eastAsia="fr-FR"/>
              </w:rPr>
              <w:t>12 years</w:t>
            </w:r>
            <w:r>
              <w:t xml:space="preserve">: 11 sprays, 1 to 3 times a day </w:t>
            </w:r>
          </w:p>
          <w:p w14:paraId="1E92A08D" w14:textId="208590AB" w:rsidR="00D3506D" w:rsidRDefault="00D3506D" w:rsidP="005240CE">
            <w:pPr>
              <w:pStyle w:val="Paragraphedeliste"/>
              <w:numPr>
                <w:ilvl w:val="2"/>
                <w:numId w:val="33"/>
              </w:numPr>
              <w:snapToGrid w:val="0"/>
              <w:spacing w:line="260" w:lineRule="atLeast"/>
            </w:pPr>
            <w:r>
              <w:t>Children (</w:t>
            </w:r>
            <w:r w:rsidR="00175802">
              <w:t>1</w:t>
            </w:r>
            <w:r w:rsidR="00266F9D">
              <w:t xml:space="preserve"> </w:t>
            </w:r>
            <w:r>
              <w:t>to &lt;12 years): 5 sprays, 1 to 3 times a day</w:t>
            </w:r>
          </w:p>
          <w:p w14:paraId="7A261641" w14:textId="4D4EB144" w:rsidR="00D3506D" w:rsidRDefault="00D3506D" w:rsidP="005240CE">
            <w:pPr>
              <w:pStyle w:val="Paragraphedeliste"/>
              <w:numPr>
                <w:ilvl w:val="2"/>
                <w:numId w:val="33"/>
              </w:numPr>
              <w:snapToGrid w:val="0"/>
              <w:spacing w:line="260" w:lineRule="atLeast"/>
            </w:pPr>
            <w:r>
              <w:t xml:space="preserve">Infants ( &lt;1 year): 5 sprays, 1 to 2 times a day </w:t>
            </w:r>
          </w:p>
          <w:p w14:paraId="7F68A4EF" w14:textId="77777777" w:rsidR="00606848" w:rsidRDefault="00606848" w:rsidP="00606848">
            <w:pPr>
              <w:pStyle w:val="Paragraphedeliste"/>
              <w:numPr>
                <w:ilvl w:val="1"/>
                <w:numId w:val="33"/>
              </w:numPr>
              <w:snapToGrid w:val="0"/>
              <w:spacing w:line="260" w:lineRule="atLeast"/>
            </w:pPr>
            <w:r>
              <w:t xml:space="preserve">For pump spray (100mL – 300µL per spray): </w:t>
            </w:r>
          </w:p>
          <w:p w14:paraId="6C8C6613" w14:textId="70E2C141" w:rsidR="00606848" w:rsidRDefault="00606848" w:rsidP="00606848">
            <w:pPr>
              <w:pStyle w:val="Paragraphedeliste"/>
              <w:numPr>
                <w:ilvl w:val="2"/>
                <w:numId w:val="33"/>
              </w:numPr>
              <w:snapToGrid w:val="0"/>
              <w:spacing w:line="260" w:lineRule="atLeast"/>
            </w:pPr>
            <w:r>
              <w:t xml:space="preserve">Adults </w:t>
            </w:r>
            <w:r>
              <w:rPr>
                <w:rFonts w:cs="Arial"/>
                <w:bCs/>
                <w:lang w:eastAsia="fr-FR"/>
              </w:rPr>
              <w:t>and children &gt;</w:t>
            </w:r>
            <w:r w:rsidRPr="005363E6">
              <w:rPr>
                <w:rFonts w:cs="Arial"/>
                <w:bCs/>
                <w:lang w:eastAsia="fr-FR"/>
              </w:rPr>
              <w:t>12 years</w:t>
            </w:r>
            <w:r>
              <w:t xml:space="preserve">: </w:t>
            </w:r>
            <w:r w:rsidR="002F7770">
              <w:t>4</w:t>
            </w:r>
            <w:r>
              <w:t xml:space="preserve"> sprays, 1 to 3 times a day </w:t>
            </w:r>
          </w:p>
          <w:p w14:paraId="6134CD7A" w14:textId="464B2F37" w:rsidR="00606848" w:rsidRDefault="00606848" w:rsidP="00606848">
            <w:pPr>
              <w:pStyle w:val="Paragraphedeliste"/>
              <w:numPr>
                <w:ilvl w:val="2"/>
                <w:numId w:val="33"/>
              </w:numPr>
              <w:snapToGrid w:val="0"/>
              <w:spacing w:line="260" w:lineRule="atLeast"/>
            </w:pPr>
            <w:r>
              <w:t xml:space="preserve">Children (1 to &lt;12 years): </w:t>
            </w:r>
            <w:r w:rsidR="002F7770">
              <w:t>2</w:t>
            </w:r>
            <w:r>
              <w:t xml:space="preserve"> sprays, 1 to 3 times a day</w:t>
            </w:r>
          </w:p>
          <w:p w14:paraId="41BBB4C9" w14:textId="1D277800" w:rsidR="00606848" w:rsidRDefault="00606848" w:rsidP="00606848">
            <w:pPr>
              <w:pStyle w:val="Paragraphedeliste"/>
              <w:numPr>
                <w:ilvl w:val="2"/>
                <w:numId w:val="33"/>
              </w:numPr>
              <w:snapToGrid w:val="0"/>
              <w:spacing w:line="260" w:lineRule="atLeast"/>
            </w:pPr>
            <w:r>
              <w:t xml:space="preserve">Infants ( &lt;1 year): </w:t>
            </w:r>
            <w:r w:rsidR="002F7770">
              <w:t>2</w:t>
            </w:r>
            <w:r>
              <w:t xml:space="preserve"> sprays, 1 to 2 times a day </w:t>
            </w:r>
          </w:p>
          <w:p w14:paraId="5EF3507F" w14:textId="77777777" w:rsidR="00606848" w:rsidRDefault="00606848" w:rsidP="00FB463E">
            <w:pPr>
              <w:snapToGrid w:val="0"/>
              <w:spacing w:line="260" w:lineRule="atLeast"/>
            </w:pPr>
          </w:p>
          <w:p w14:paraId="2230B2CA" w14:textId="68677B28" w:rsidR="00D3506D" w:rsidRDefault="00D3506D" w:rsidP="005240CE">
            <w:pPr>
              <w:pStyle w:val="Paragraphedeliste"/>
              <w:numPr>
                <w:ilvl w:val="1"/>
                <w:numId w:val="33"/>
              </w:numPr>
              <w:snapToGrid w:val="0"/>
              <w:spacing w:line="260" w:lineRule="atLeast"/>
            </w:pPr>
            <w:r>
              <w:t>For trigger spray (250mL):</w:t>
            </w:r>
          </w:p>
          <w:p w14:paraId="4147B24B" w14:textId="41050A3A" w:rsidR="00D3506D" w:rsidRDefault="00D3506D" w:rsidP="005240CE">
            <w:pPr>
              <w:pStyle w:val="Paragraphedeliste"/>
              <w:numPr>
                <w:ilvl w:val="2"/>
                <w:numId w:val="33"/>
              </w:numPr>
              <w:snapToGrid w:val="0"/>
              <w:spacing w:line="260" w:lineRule="atLeast"/>
            </w:pPr>
            <w:r>
              <w:t>Adults</w:t>
            </w:r>
            <w:r w:rsidR="00794E3D">
              <w:t xml:space="preserve"> </w:t>
            </w:r>
            <w:r w:rsidR="00794E3D">
              <w:rPr>
                <w:rFonts w:cs="Arial"/>
                <w:bCs/>
                <w:lang w:eastAsia="fr-FR"/>
              </w:rPr>
              <w:t>and children &gt;</w:t>
            </w:r>
            <w:r w:rsidR="00794E3D" w:rsidRPr="005363E6">
              <w:rPr>
                <w:rFonts w:cs="Arial"/>
                <w:bCs/>
                <w:lang w:eastAsia="fr-FR"/>
              </w:rPr>
              <w:t>12 years</w:t>
            </w:r>
            <w:r>
              <w:t xml:space="preserve">: 2 sprays, 1 to 3 times a day </w:t>
            </w:r>
          </w:p>
          <w:p w14:paraId="768FC8F3" w14:textId="4F024E9D" w:rsidR="00D3506D" w:rsidRDefault="00D3506D" w:rsidP="005240CE">
            <w:pPr>
              <w:pStyle w:val="Paragraphedeliste"/>
              <w:numPr>
                <w:ilvl w:val="2"/>
                <w:numId w:val="33"/>
              </w:numPr>
              <w:snapToGrid w:val="0"/>
              <w:spacing w:line="260" w:lineRule="atLeast"/>
            </w:pPr>
            <w:r>
              <w:t>Children (1 to &lt;12 years) : 1 spray, 1 to 3 times a day</w:t>
            </w:r>
          </w:p>
          <w:p w14:paraId="051D0D17" w14:textId="1880BB2A" w:rsidR="00D3506D" w:rsidRDefault="00D3506D" w:rsidP="005240CE">
            <w:pPr>
              <w:pStyle w:val="Paragraphedeliste"/>
              <w:numPr>
                <w:ilvl w:val="2"/>
                <w:numId w:val="33"/>
              </w:numPr>
              <w:snapToGrid w:val="0"/>
              <w:spacing w:line="260" w:lineRule="atLeast"/>
            </w:pPr>
            <w:r>
              <w:t xml:space="preserve">Infants ( &lt;1 year): 1 spray, 1 to 2 times a day </w:t>
            </w:r>
          </w:p>
          <w:p w14:paraId="7349E409" w14:textId="77777777" w:rsidR="00D3506D" w:rsidRPr="007E29F8" w:rsidRDefault="00D3506D" w:rsidP="005240CE">
            <w:pPr>
              <w:ind w:left="360"/>
            </w:pPr>
          </w:p>
          <w:p w14:paraId="1B3C115E" w14:textId="7DA78EE9" w:rsidR="007F63F1" w:rsidRPr="00576E4E" w:rsidRDefault="00D748E5" w:rsidP="00D3506D">
            <w:pPr>
              <w:pStyle w:val="Paragraphedeliste"/>
              <w:widowControl w:val="0"/>
              <w:numPr>
                <w:ilvl w:val="0"/>
                <w:numId w:val="33"/>
              </w:numPr>
              <w:autoSpaceDE w:val="0"/>
              <w:snapToGrid w:val="0"/>
              <w:spacing w:before="80" w:after="0" w:line="260" w:lineRule="atLeast"/>
              <w:jc w:val="both"/>
              <w:rPr>
                <w:rFonts w:eastAsia="Calibri" w:cs="Times"/>
                <w:bCs/>
                <w:sz w:val="22"/>
                <w:szCs w:val="24"/>
                <w:lang w:val="sv-SE" w:eastAsia="sv-SE"/>
              </w:rPr>
            </w:pPr>
            <w:r w:rsidRPr="007E29F8">
              <w:rPr>
                <w:color w:val="000000"/>
              </w:rPr>
              <w:t>For continued protection: Reapply at the latest after 2 days on cleaned and dry or towel dried hair. Reapply earlier, if the hair was in contact with water (like after rain or swimming) until there is no longer a risk of infestation.</w:t>
            </w:r>
          </w:p>
        </w:tc>
      </w:tr>
    </w:tbl>
    <w:p w14:paraId="5923F602" w14:textId="77777777" w:rsidR="007F63F1" w:rsidRDefault="007F63F1" w:rsidP="007F63F1">
      <w:pPr>
        <w:pStyle w:val="Titre5"/>
        <w:numPr>
          <w:ilvl w:val="4"/>
          <w:numId w:val="30"/>
        </w:numPr>
        <w:suppressAutoHyphens/>
        <w:spacing w:before="255" w:after="80" w:line="255" w:lineRule="exact"/>
        <w:rPr>
          <w:rFonts w:cs="Times"/>
          <w:bCs/>
          <w:szCs w:val="29"/>
        </w:rPr>
      </w:pPr>
      <w:bookmarkStart w:id="50" w:name="_Toc517184301"/>
      <w:bookmarkStart w:id="51" w:name="_Toc93326479"/>
      <w:r>
        <w:t>Use-specific risk mitigation measures</w:t>
      </w:r>
      <w:bookmarkEnd w:id="50"/>
      <w:bookmarkEnd w:id="51"/>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14:paraId="7994FBBF"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53A199C5" w14:textId="2EA69844" w:rsidR="007F63F1" w:rsidRPr="00297096" w:rsidRDefault="00814FC2" w:rsidP="00EB3417">
            <w:pPr>
              <w:numPr>
                <w:ilvl w:val="0"/>
                <w:numId w:val="31"/>
              </w:numPr>
              <w:spacing w:before="0" w:after="0"/>
              <w:contextualSpacing/>
              <w:jc w:val="both"/>
              <w:rPr>
                <w:rFonts w:cs="Times"/>
                <w:bCs/>
                <w:szCs w:val="29"/>
                <w:lang w:val="en-US"/>
              </w:rPr>
            </w:pPr>
            <w:r w:rsidRPr="007F78F7">
              <w:rPr>
                <w:rFonts w:cs="Arial"/>
                <w:bCs/>
                <w:color w:val="000000"/>
                <w:lang w:eastAsia="fr-FR"/>
              </w:rPr>
              <w:t>Do not spray into the face or apply to eye area.</w:t>
            </w:r>
          </w:p>
        </w:tc>
      </w:tr>
    </w:tbl>
    <w:p w14:paraId="638ABEC7" w14:textId="77777777" w:rsidR="007F63F1" w:rsidRDefault="007F63F1" w:rsidP="007F63F1">
      <w:pPr>
        <w:pStyle w:val="Titre5"/>
        <w:numPr>
          <w:ilvl w:val="4"/>
          <w:numId w:val="30"/>
        </w:numPr>
        <w:suppressAutoHyphens/>
        <w:spacing w:before="255" w:after="80" w:line="255" w:lineRule="exact"/>
        <w:rPr>
          <w:rFonts w:cs="Times"/>
          <w:bCs/>
          <w:szCs w:val="29"/>
        </w:rPr>
      </w:pPr>
      <w:bookmarkStart w:id="52" w:name="_Toc517184302"/>
      <w:bookmarkStart w:id="53" w:name="_Toc93326480"/>
      <w:r>
        <w:lastRenderedPageBreak/>
        <w:t>Where specific to the use, the particulars of likely direct or indirect effects, first aid instructions and emergency measures to protect the environment</w:t>
      </w:r>
      <w:bookmarkEnd w:id="52"/>
      <w:bookmarkEnd w:id="5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29F5F581"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5CC5C3D0" w14:textId="7F2C8EF8" w:rsidR="007F63F1" w:rsidRDefault="009E0C2B" w:rsidP="00BC6688">
            <w:pPr>
              <w:widowControl w:val="0"/>
              <w:autoSpaceDE w:val="0"/>
              <w:snapToGrid w:val="0"/>
              <w:spacing w:before="80" w:line="254" w:lineRule="auto"/>
              <w:rPr>
                <w:rFonts w:cs="Times"/>
                <w:bCs/>
                <w:szCs w:val="29"/>
              </w:rPr>
            </w:pPr>
            <w:r>
              <w:rPr>
                <w:rFonts w:cs="Times"/>
                <w:bCs/>
                <w:szCs w:val="29"/>
              </w:rPr>
              <w:t>-</w:t>
            </w:r>
          </w:p>
        </w:tc>
      </w:tr>
    </w:tbl>
    <w:p w14:paraId="5BD821C4" w14:textId="77777777" w:rsidR="007F63F1" w:rsidRDefault="007F63F1" w:rsidP="007F63F1">
      <w:pPr>
        <w:pStyle w:val="Titre5"/>
        <w:numPr>
          <w:ilvl w:val="4"/>
          <w:numId w:val="30"/>
        </w:numPr>
        <w:suppressAutoHyphens/>
        <w:spacing w:before="255" w:after="80" w:line="255" w:lineRule="exact"/>
        <w:rPr>
          <w:rFonts w:cs="Times"/>
          <w:bCs/>
          <w:szCs w:val="29"/>
        </w:rPr>
      </w:pPr>
      <w:bookmarkStart w:id="54" w:name="_Toc517184303"/>
      <w:bookmarkStart w:id="55" w:name="_Toc93326481"/>
      <w:r>
        <w:t>Where specific to the use, the instructions for safe disposal of the product and its packaging</w:t>
      </w:r>
      <w:bookmarkEnd w:id="54"/>
      <w:bookmarkEnd w:id="55"/>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09ECF58B"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0D94361F" w14:textId="57D58C7B" w:rsidR="007F63F1" w:rsidRDefault="009E0C2B" w:rsidP="007F63F1">
            <w:pPr>
              <w:widowControl w:val="0"/>
              <w:autoSpaceDE w:val="0"/>
              <w:snapToGrid w:val="0"/>
              <w:spacing w:before="80" w:line="254" w:lineRule="auto"/>
              <w:rPr>
                <w:rFonts w:cs="Times"/>
                <w:bCs/>
                <w:szCs w:val="29"/>
              </w:rPr>
            </w:pPr>
            <w:r>
              <w:rPr>
                <w:rFonts w:cs="Times"/>
                <w:bCs/>
                <w:szCs w:val="29"/>
              </w:rPr>
              <w:t>-</w:t>
            </w:r>
          </w:p>
        </w:tc>
      </w:tr>
    </w:tbl>
    <w:p w14:paraId="62948466" w14:textId="77777777" w:rsidR="007F63F1" w:rsidRDefault="007F63F1" w:rsidP="007F63F1">
      <w:pPr>
        <w:pStyle w:val="Titre5"/>
        <w:numPr>
          <w:ilvl w:val="4"/>
          <w:numId w:val="30"/>
        </w:numPr>
        <w:suppressAutoHyphens/>
        <w:spacing w:before="255" w:after="80" w:line="255" w:lineRule="exact"/>
        <w:rPr>
          <w:rFonts w:cs="Times"/>
          <w:bCs/>
          <w:szCs w:val="29"/>
        </w:rPr>
      </w:pPr>
      <w:bookmarkStart w:id="56" w:name="_Toc517184304"/>
      <w:bookmarkStart w:id="57" w:name="_Toc93326482"/>
      <w:r>
        <w:t>Where specific to the use, the conditions of storage and shelf-life of the product under normal conditions of storage</w:t>
      </w:r>
      <w:bookmarkEnd w:id="56"/>
      <w:bookmarkEnd w:id="5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2D93B20C"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76A83204" w14:textId="7AE278A0" w:rsidR="007F63F1" w:rsidRDefault="009E0C2B" w:rsidP="007F63F1">
            <w:pPr>
              <w:widowControl w:val="0"/>
              <w:autoSpaceDE w:val="0"/>
              <w:snapToGrid w:val="0"/>
              <w:spacing w:before="80" w:line="254" w:lineRule="auto"/>
              <w:rPr>
                <w:rFonts w:cs="Times"/>
                <w:bCs/>
                <w:szCs w:val="29"/>
              </w:rPr>
            </w:pPr>
            <w:r>
              <w:rPr>
                <w:rFonts w:cs="Times"/>
                <w:bCs/>
                <w:szCs w:val="29"/>
              </w:rPr>
              <w:t>-</w:t>
            </w:r>
          </w:p>
        </w:tc>
      </w:tr>
    </w:tbl>
    <w:p w14:paraId="16225419" w14:textId="77777777" w:rsidR="007F63F1" w:rsidRDefault="007F63F1" w:rsidP="007F63F1">
      <w:pPr>
        <w:widowControl w:val="0"/>
        <w:autoSpaceDE w:val="0"/>
        <w:rPr>
          <w:rFonts w:cs="Times"/>
          <w:bCs/>
          <w:szCs w:val="29"/>
        </w:rPr>
      </w:pPr>
    </w:p>
    <w:p w14:paraId="5CE85446" w14:textId="77777777" w:rsidR="007F63F1" w:rsidRDefault="007F63F1" w:rsidP="007F63F1">
      <w:pPr>
        <w:widowControl w:val="0"/>
        <w:autoSpaceDE w:val="0"/>
        <w:rPr>
          <w:rFonts w:cs="Times"/>
          <w:bCs/>
          <w:szCs w:val="29"/>
        </w:rPr>
      </w:pPr>
    </w:p>
    <w:p w14:paraId="57F5E289" w14:textId="77777777" w:rsidR="007F63F1" w:rsidRDefault="007F63F1" w:rsidP="007F63F1">
      <w:pPr>
        <w:pStyle w:val="Titre4"/>
        <w:numPr>
          <w:ilvl w:val="3"/>
          <w:numId w:val="30"/>
        </w:numPr>
        <w:suppressAutoHyphens/>
      </w:pPr>
      <w:bookmarkStart w:id="58" w:name="_Toc2154507"/>
      <w:bookmarkStart w:id="59" w:name="_Toc93326483"/>
      <w:r>
        <w:t>Use description</w:t>
      </w:r>
      <w:bookmarkEnd w:id="58"/>
      <w:bookmarkEnd w:id="59"/>
    </w:p>
    <w:p w14:paraId="0F008B32" w14:textId="77777777" w:rsidR="007F63F1" w:rsidRDefault="007F63F1" w:rsidP="007F63F1">
      <w:pPr>
        <w:widowControl w:val="0"/>
        <w:autoSpaceDE w:val="0"/>
        <w:rPr>
          <w:rFonts w:cs="Times"/>
          <w:bCs/>
          <w:szCs w:val="29"/>
        </w:rPr>
      </w:pPr>
    </w:p>
    <w:p w14:paraId="22E8C672" w14:textId="3D489F58" w:rsidR="007F63F1" w:rsidRDefault="007F63F1" w:rsidP="007F63F1">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sidR="009E0C2B">
        <w:rPr>
          <w:rFonts w:ascii="Verdana" w:hAnsi="Verdana" w:cs="Verdana"/>
          <w:noProof/>
        </w:rPr>
        <w:t>2</w:t>
      </w:r>
      <w:r>
        <w:rPr>
          <w:rFonts w:ascii="Verdana" w:hAnsi="Verdana" w:cs="Verdana"/>
        </w:rPr>
        <w:fldChar w:fldCharType="end"/>
      </w:r>
      <w:r>
        <w:rPr>
          <w:rFonts w:ascii="Verdana" w:hAnsi="Verdana"/>
        </w:rPr>
        <w:t xml:space="preserve">. Use # </w:t>
      </w:r>
      <w:r w:rsidR="009E0C2B">
        <w:rPr>
          <w:rFonts w:ascii="Verdana" w:hAnsi="Verdana"/>
        </w:rPr>
        <w:t>2</w:t>
      </w:r>
      <w:r>
        <w:rPr>
          <w:rFonts w:ascii="Verdana" w:hAnsi="Verdana"/>
        </w:rPr>
        <w:t xml:space="preserve"> – </w:t>
      </w:r>
      <w:r w:rsidR="00E6645F" w:rsidRPr="005946A1">
        <w:rPr>
          <w:rFonts w:ascii="Verdana" w:hAnsi="Verdana"/>
          <w:color w:val="000000"/>
        </w:rPr>
        <w:t>Spray to be applied on clothes to repel mosquitoes</w:t>
      </w:r>
      <w:r w:rsidR="00165258">
        <w:rPr>
          <w:rFonts w:ascii="Verdana" w:hAnsi="Verdana"/>
          <w:color w:val="000000"/>
        </w:rPr>
        <w:t xml:space="preserve"> (</w:t>
      </w:r>
      <w:r w:rsidR="00920B43">
        <w:rPr>
          <w:rFonts w:ascii="Verdana" w:hAnsi="Verdana"/>
          <w:color w:val="000000"/>
        </w:rPr>
        <w:t>t</w:t>
      </w:r>
      <w:r w:rsidR="00165258">
        <w:rPr>
          <w:rFonts w:ascii="Verdana" w:hAnsi="Verdana"/>
          <w:color w:val="000000"/>
        </w:rPr>
        <w:t>emperate conditions)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213D27" w14:paraId="55A3F9CF" w14:textId="77777777" w:rsidTr="007F63F1">
        <w:tc>
          <w:tcPr>
            <w:tcW w:w="2707" w:type="dxa"/>
            <w:tcBorders>
              <w:top w:val="single" w:sz="4" w:space="0" w:color="000000"/>
              <w:left w:val="single" w:sz="4" w:space="0" w:color="000000"/>
              <w:bottom w:val="single" w:sz="4" w:space="0" w:color="000000"/>
              <w:right w:val="nil"/>
            </w:tcBorders>
            <w:hideMark/>
          </w:tcPr>
          <w:p w14:paraId="5711CF9D" w14:textId="77777777" w:rsidR="00213D27" w:rsidRDefault="00213D27" w:rsidP="007F63F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6156AFD2" w14:textId="2C93F42F" w:rsidR="00213D27" w:rsidRDefault="00213D27" w:rsidP="007F63F1">
            <w:pPr>
              <w:snapToGrid w:val="0"/>
              <w:spacing w:line="254" w:lineRule="auto"/>
              <w:rPr>
                <w:b/>
              </w:rPr>
            </w:pPr>
            <w:r w:rsidRPr="00D601DB">
              <w:t>PT19 - Repellents and attractants (Pest control)</w:t>
            </w:r>
          </w:p>
        </w:tc>
      </w:tr>
      <w:tr w:rsidR="00213D27" w:rsidRPr="008766C7" w14:paraId="01DBF536" w14:textId="77777777" w:rsidTr="007F63F1">
        <w:tc>
          <w:tcPr>
            <w:tcW w:w="2707" w:type="dxa"/>
            <w:tcBorders>
              <w:top w:val="nil"/>
              <w:left w:val="single" w:sz="4" w:space="0" w:color="000000"/>
              <w:bottom w:val="single" w:sz="4" w:space="0" w:color="000000"/>
              <w:right w:val="nil"/>
            </w:tcBorders>
            <w:hideMark/>
          </w:tcPr>
          <w:p w14:paraId="0EB350F8" w14:textId="77777777" w:rsidR="00213D27" w:rsidRDefault="00213D27" w:rsidP="007F63F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1035FA9C" w14:textId="678E30B9" w:rsidR="00213D27" w:rsidRDefault="00213D27" w:rsidP="007F63F1">
            <w:pPr>
              <w:snapToGrid w:val="0"/>
              <w:spacing w:line="254" w:lineRule="auto"/>
              <w:rPr>
                <w:b/>
              </w:rPr>
            </w:pPr>
            <w:r w:rsidRPr="00D601DB">
              <w:rPr>
                <w:color w:val="000000"/>
              </w:rPr>
              <w:t>Ready to use repellent product to treat clothes</w:t>
            </w:r>
            <w:r>
              <w:rPr>
                <w:color w:val="000000"/>
              </w:rPr>
              <w:t xml:space="preserve"> (cotton and polyester)</w:t>
            </w:r>
            <w:r w:rsidRPr="00D601DB">
              <w:rPr>
                <w:color w:val="000000"/>
              </w:rPr>
              <w:t xml:space="preserve"> </w:t>
            </w:r>
            <w:r>
              <w:rPr>
                <w:color w:val="000000"/>
              </w:rPr>
              <w:t xml:space="preserve">in order to protect the user </w:t>
            </w:r>
            <w:r w:rsidRPr="00D601DB">
              <w:rPr>
                <w:color w:val="000000"/>
              </w:rPr>
              <w:t>against mosquito</w:t>
            </w:r>
            <w:r w:rsidRPr="00D601DB" w:rsidDel="0087276A">
              <w:t xml:space="preserve"> </w:t>
            </w:r>
            <w:r>
              <w:t>bites.</w:t>
            </w:r>
          </w:p>
        </w:tc>
      </w:tr>
      <w:tr w:rsidR="00213D27" w:rsidRPr="008766C7" w14:paraId="3B837A2D" w14:textId="77777777" w:rsidTr="007F63F1">
        <w:tc>
          <w:tcPr>
            <w:tcW w:w="2707" w:type="dxa"/>
            <w:tcBorders>
              <w:top w:val="nil"/>
              <w:left w:val="single" w:sz="4" w:space="0" w:color="000000"/>
              <w:bottom w:val="single" w:sz="4" w:space="0" w:color="000000"/>
              <w:right w:val="nil"/>
            </w:tcBorders>
            <w:hideMark/>
          </w:tcPr>
          <w:p w14:paraId="6E5AD77B" w14:textId="77777777" w:rsidR="00213D27" w:rsidRDefault="00213D27" w:rsidP="007F63F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27774565" w14:textId="77777777" w:rsidR="00213D27" w:rsidRPr="000F3633" w:rsidRDefault="00213D27" w:rsidP="00362AED">
            <w:pPr>
              <w:contextualSpacing/>
              <w:rPr>
                <w:i/>
              </w:rPr>
            </w:pPr>
            <w:r w:rsidRPr="000F3633">
              <w:rPr>
                <w:i/>
              </w:rPr>
              <w:t>Aedes spp.</w:t>
            </w:r>
          </w:p>
          <w:p w14:paraId="25AE043E" w14:textId="77777777" w:rsidR="00213D27" w:rsidRPr="000F3633" w:rsidRDefault="00213D27" w:rsidP="00362AED">
            <w:pPr>
              <w:contextualSpacing/>
              <w:rPr>
                <w:i/>
              </w:rPr>
            </w:pPr>
            <w:r w:rsidRPr="000F3633">
              <w:rPr>
                <w:i/>
              </w:rPr>
              <w:t>Culex spp.</w:t>
            </w:r>
          </w:p>
          <w:p w14:paraId="41D74A37" w14:textId="77777777" w:rsidR="00213D27" w:rsidRPr="00875771" w:rsidRDefault="00213D27" w:rsidP="00362AED">
            <w:pPr>
              <w:contextualSpacing/>
            </w:pPr>
          </w:p>
          <w:p w14:paraId="2E0972BD" w14:textId="7B46E61C" w:rsidR="00213D27" w:rsidRDefault="00213D27" w:rsidP="007F63F1">
            <w:pPr>
              <w:snapToGrid w:val="0"/>
              <w:spacing w:line="254" w:lineRule="auto"/>
            </w:pPr>
            <w:r w:rsidRPr="00875771">
              <w:rPr>
                <w:color w:val="000000"/>
              </w:rPr>
              <w:t>Development stage: adults</w:t>
            </w:r>
          </w:p>
        </w:tc>
      </w:tr>
      <w:tr w:rsidR="00213D27" w14:paraId="7A24BF74" w14:textId="77777777" w:rsidTr="007F63F1">
        <w:tc>
          <w:tcPr>
            <w:tcW w:w="2707" w:type="dxa"/>
            <w:tcBorders>
              <w:top w:val="nil"/>
              <w:left w:val="single" w:sz="4" w:space="0" w:color="000000"/>
              <w:bottom w:val="single" w:sz="4" w:space="0" w:color="000000"/>
              <w:right w:val="nil"/>
            </w:tcBorders>
            <w:hideMark/>
          </w:tcPr>
          <w:p w14:paraId="3DF2EF0F" w14:textId="77777777" w:rsidR="00213D27" w:rsidRDefault="00213D27" w:rsidP="007F63F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2BC9DCB4" w14:textId="1C0A0910" w:rsidR="00213D27" w:rsidRDefault="00D91785" w:rsidP="00D91785">
            <w:pPr>
              <w:snapToGrid w:val="0"/>
              <w:spacing w:line="260" w:lineRule="atLeast"/>
              <w:jc w:val="both"/>
            </w:pPr>
            <w:r>
              <w:t>Application on clothes</w:t>
            </w:r>
          </w:p>
        </w:tc>
      </w:tr>
      <w:tr w:rsidR="00213D27" w14:paraId="59D3E04E" w14:textId="77777777" w:rsidTr="007F63F1">
        <w:tc>
          <w:tcPr>
            <w:tcW w:w="2707" w:type="dxa"/>
            <w:tcBorders>
              <w:top w:val="nil"/>
              <w:left w:val="single" w:sz="4" w:space="0" w:color="000000"/>
              <w:bottom w:val="single" w:sz="4" w:space="0" w:color="000000"/>
              <w:right w:val="nil"/>
            </w:tcBorders>
            <w:hideMark/>
          </w:tcPr>
          <w:p w14:paraId="6ED1ABB7" w14:textId="77777777" w:rsidR="00213D27" w:rsidRDefault="00213D27" w:rsidP="007F63F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3A55F396" w14:textId="77777777" w:rsidR="00213D27" w:rsidRPr="00D601DB" w:rsidRDefault="00213D27" w:rsidP="00362AED">
            <w:r w:rsidRPr="00D601DB">
              <w:t>Spraying</w:t>
            </w:r>
          </w:p>
          <w:p w14:paraId="7CB57EF1" w14:textId="0E6EA740" w:rsidR="00213D27" w:rsidRDefault="00213D27" w:rsidP="007F63F1">
            <w:pPr>
              <w:snapToGrid w:val="0"/>
              <w:spacing w:line="260" w:lineRule="atLeast"/>
            </w:pPr>
            <w:r w:rsidRPr="00D601DB">
              <w:rPr>
                <w:color w:val="000000"/>
              </w:rPr>
              <w:t>Spray directly onto the textiles</w:t>
            </w:r>
          </w:p>
        </w:tc>
      </w:tr>
      <w:tr w:rsidR="00213D27" w:rsidRPr="008766C7" w14:paraId="3BE276EF" w14:textId="77777777" w:rsidTr="007F63F1">
        <w:tc>
          <w:tcPr>
            <w:tcW w:w="2707" w:type="dxa"/>
            <w:tcBorders>
              <w:top w:val="nil"/>
              <w:left w:val="single" w:sz="4" w:space="0" w:color="000000"/>
              <w:bottom w:val="single" w:sz="4" w:space="0" w:color="000000"/>
              <w:right w:val="nil"/>
            </w:tcBorders>
            <w:hideMark/>
          </w:tcPr>
          <w:p w14:paraId="3050FACF" w14:textId="77777777" w:rsidR="00213D27" w:rsidRDefault="00213D27" w:rsidP="007F63F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5E81083A" w14:textId="16827985" w:rsidR="00213D27" w:rsidRPr="00AF20E5" w:rsidRDefault="00213D27" w:rsidP="00362AED">
            <w:r w:rsidRPr="00AF20E5">
              <w:t>0</w:t>
            </w:r>
            <w:r w:rsidR="00C3389D">
              <w:t>.6</w:t>
            </w:r>
            <w:r w:rsidRPr="00AF20E5">
              <w:t xml:space="preserve"> </w:t>
            </w:r>
            <w:r w:rsidR="00A22D8C">
              <w:t>m</w:t>
            </w:r>
            <w:r w:rsidRPr="00AF20E5">
              <w:t xml:space="preserve">g of product per </w:t>
            </w:r>
            <w:r w:rsidR="00C3389D">
              <w:t>c</w:t>
            </w:r>
            <w:r w:rsidRPr="00AF20E5">
              <w:t xml:space="preserve">m² of fabric </w:t>
            </w:r>
          </w:p>
          <w:p w14:paraId="5C21932F" w14:textId="20DACBC1" w:rsidR="00F76984" w:rsidRDefault="00CF3BC6" w:rsidP="0063427C">
            <w:r>
              <w:t>Protection time:</w:t>
            </w:r>
            <w:r w:rsidR="00213D27" w:rsidRPr="00AF20E5">
              <w:t xml:space="preserve"> 8 hours</w:t>
            </w:r>
            <w:r w:rsidR="00654B51">
              <w:t xml:space="preserve"> (</w:t>
            </w:r>
            <w:r w:rsidR="00654B51" w:rsidRPr="001D2CEA">
              <w:t>in temperate condition</w:t>
            </w:r>
            <w:r w:rsidR="00654B51">
              <w:t>s and tropicale conditions)</w:t>
            </w:r>
            <w:r w:rsidR="00213D27" w:rsidRPr="00AF20E5">
              <w:t>, even after up to 30 days of storage</w:t>
            </w:r>
            <w:r w:rsidR="001A385C">
              <w:t xml:space="preserve"> of the treated cloth (</w:t>
            </w:r>
            <w:r w:rsidR="001A385C" w:rsidRPr="001A385C">
              <w:t>before being worn</w:t>
            </w:r>
            <w:r w:rsidR="001A385C">
              <w:t>)</w:t>
            </w:r>
            <w:r w:rsidR="001D60E9">
              <w:t xml:space="preserve"> </w:t>
            </w:r>
            <w:r w:rsidR="001D60E9" w:rsidRPr="001D60E9">
              <w:t>in a closed packaging (such as a plastic bag)</w:t>
            </w:r>
            <w:r w:rsidR="00F76984">
              <w:t>.</w:t>
            </w:r>
            <w:r w:rsidR="00213D27">
              <w:t xml:space="preserve"> </w:t>
            </w:r>
            <w:r w:rsidR="00F76984">
              <w:t xml:space="preserve">  </w:t>
            </w:r>
          </w:p>
          <w:p w14:paraId="2DB2B550" w14:textId="2E8EBF9A" w:rsidR="00213D27" w:rsidRDefault="00F76984" w:rsidP="00213D27">
            <w:r>
              <w:t>Reapply after each washing</w:t>
            </w:r>
            <w:r w:rsidR="00222AA7">
              <w:t xml:space="preserve"> or use of the treated cloth</w:t>
            </w:r>
            <w:r>
              <w:t>.</w:t>
            </w:r>
          </w:p>
        </w:tc>
      </w:tr>
      <w:tr w:rsidR="00213D27" w14:paraId="6481D1F8" w14:textId="77777777" w:rsidTr="007F63F1">
        <w:tc>
          <w:tcPr>
            <w:tcW w:w="2707" w:type="dxa"/>
            <w:tcBorders>
              <w:top w:val="nil"/>
              <w:left w:val="single" w:sz="4" w:space="0" w:color="000000"/>
              <w:bottom w:val="single" w:sz="4" w:space="0" w:color="000000"/>
              <w:right w:val="nil"/>
            </w:tcBorders>
            <w:hideMark/>
          </w:tcPr>
          <w:p w14:paraId="79F9837D" w14:textId="77777777" w:rsidR="00213D27" w:rsidRDefault="00213D27" w:rsidP="007F63F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74365C5A" w14:textId="04DDED5E" w:rsidR="00213D27" w:rsidRDefault="00CF3BC6" w:rsidP="007F63F1">
            <w:pPr>
              <w:snapToGrid w:val="0"/>
              <w:spacing w:line="254" w:lineRule="auto"/>
              <w:rPr>
                <w:b/>
              </w:rPr>
            </w:pPr>
            <w:r w:rsidRPr="00D601DB">
              <w:t>General public (non-professional)</w:t>
            </w:r>
          </w:p>
        </w:tc>
      </w:tr>
      <w:tr w:rsidR="00213D27" w:rsidRPr="008766C7" w14:paraId="054B03F1" w14:textId="77777777" w:rsidTr="007F63F1">
        <w:tc>
          <w:tcPr>
            <w:tcW w:w="2707" w:type="dxa"/>
            <w:tcBorders>
              <w:top w:val="nil"/>
              <w:left w:val="single" w:sz="4" w:space="0" w:color="000000"/>
              <w:bottom w:val="single" w:sz="4" w:space="0" w:color="000000"/>
              <w:right w:val="nil"/>
            </w:tcBorders>
            <w:hideMark/>
          </w:tcPr>
          <w:p w14:paraId="6360F8E0" w14:textId="77777777" w:rsidR="00213D27" w:rsidRDefault="00213D27" w:rsidP="007F63F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A3884CA" w14:textId="7AA5E805" w:rsidR="00213D27" w:rsidRDefault="00727E86" w:rsidP="007F63F1">
            <w:pPr>
              <w:spacing w:line="254" w:lineRule="auto"/>
            </w:pPr>
            <w:r>
              <w:t xml:space="preserve">100 and </w:t>
            </w:r>
            <w:r w:rsidR="00FB1AED">
              <w:t>250mL HDPE bottle (with sprayer)</w:t>
            </w:r>
          </w:p>
        </w:tc>
      </w:tr>
    </w:tbl>
    <w:p w14:paraId="29E2DDC3" w14:textId="77777777" w:rsidR="007F63F1" w:rsidRDefault="007F63F1" w:rsidP="007F63F1">
      <w:pPr>
        <w:tabs>
          <w:tab w:val="left" w:pos="500"/>
        </w:tabs>
        <w:ind w:left="500" w:hanging="500"/>
      </w:pPr>
    </w:p>
    <w:p w14:paraId="7F6257EE" w14:textId="77777777" w:rsidR="007F63F1" w:rsidRDefault="007F63F1" w:rsidP="007F63F1">
      <w:pPr>
        <w:pStyle w:val="Titre5"/>
        <w:numPr>
          <w:ilvl w:val="4"/>
          <w:numId w:val="30"/>
        </w:numPr>
        <w:suppressAutoHyphens/>
        <w:spacing w:before="255" w:after="80" w:line="255" w:lineRule="exact"/>
        <w:rPr>
          <w:rFonts w:cs="Times"/>
          <w:bCs/>
          <w:szCs w:val="29"/>
        </w:rPr>
      </w:pPr>
      <w:bookmarkStart w:id="60" w:name="_Toc93326484"/>
      <w:r>
        <w:t>Use-specific instructions for use</w:t>
      </w:r>
      <w:bookmarkEnd w:id="6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14:paraId="3ACF4FF5"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142FD85F" w14:textId="77777777" w:rsidR="007F63F1" w:rsidRPr="009667BA" w:rsidRDefault="00EE04FB" w:rsidP="00EE04FB">
            <w:pPr>
              <w:widowControl w:val="0"/>
              <w:numPr>
                <w:ilvl w:val="0"/>
                <w:numId w:val="31"/>
              </w:numPr>
              <w:autoSpaceDE w:val="0"/>
              <w:snapToGrid w:val="0"/>
              <w:spacing w:before="80" w:after="0" w:line="260" w:lineRule="atLeast"/>
              <w:contextualSpacing/>
              <w:jc w:val="both"/>
              <w:rPr>
                <w:rFonts w:eastAsia="Calibri" w:cs="Times"/>
                <w:lang w:val="sv-SE" w:eastAsia="sv-SE"/>
              </w:rPr>
            </w:pPr>
            <w:r w:rsidRPr="00EE04FB">
              <w:rPr>
                <w:rFonts w:eastAsia="Calibri" w:cs="Times"/>
                <w:bCs/>
                <w:lang w:val="sv-SE" w:eastAsia="sv-SE"/>
              </w:rPr>
              <w:t>In case of storage before wearing, the treated clothes must be stored in a closed packaging (such as a plastic bag).</w:t>
            </w:r>
          </w:p>
          <w:p w14:paraId="39D5AD48" w14:textId="77777777" w:rsidR="007F63F1" w:rsidRPr="0096250C" w:rsidRDefault="009667BA" w:rsidP="009667BA">
            <w:pPr>
              <w:pStyle w:val="Paragraphedeliste"/>
              <w:numPr>
                <w:ilvl w:val="0"/>
                <w:numId w:val="31"/>
              </w:numPr>
              <w:spacing w:before="0" w:after="0" w:line="260" w:lineRule="atLeast"/>
              <w:rPr>
                <w:rFonts w:eastAsia="Calibri"/>
              </w:rPr>
            </w:pPr>
            <w:r w:rsidRPr="007177F7">
              <w:lastRenderedPageBreak/>
              <w:t>Retreat after water exposure without exceeding the maximal recommended application number.</w:t>
            </w:r>
          </w:p>
          <w:p w14:paraId="7128F0E7" w14:textId="77777777" w:rsidR="00013B67" w:rsidRDefault="00013B67" w:rsidP="0096250C">
            <w:pPr>
              <w:spacing w:before="0" w:after="0" w:line="260" w:lineRule="atLeast"/>
            </w:pPr>
          </w:p>
          <w:p w14:paraId="44BBEBF1" w14:textId="23C2747C" w:rsidR="00013B67" w:rsidRDefault="00013B67" w:rsidP="0096250C">
            <w:pPr>
              <w:spacing w:before="0" w:after="0" w:line="260" w:lineRule="atLeast"/>
            </w:pPr>
            <w:r>
              <w:t>Number of sprays:</w:t>
            </w:r>
          </w:p>
          <w:p w14:paraId="75FB7ECD" w14:textId="4CD02B4E" w:rsidR="002F7770" w:rsidRDefault="002F7770" w:rsidP="0096250C">
            <w:pPr>
              <w:spacing w:before="0" w:after="0" w:line="260" w:lineRule="atLeast"/>
            </w:pPr>
          </w:p>
          <w:p w14:paraId="7EE29686" w14:textId="6F775C40" w:rsidR="002F7770" w:rsidRDefault="002F7770" w:rsidP="002F7770">
            <w:pPr>
              <w:spacing w:before="0" w:after="0" w:line="260" w:lineRule="atLeast"/>
            </w:pPr>
            <w:r>
              <w:t>- 100 mL bottle (300µL per spray): Apply the following number of sprays to the front of clothing:</w:t>
            </w:r>
          </w:p>
          <w:p w14:paraId="55B588D7" w14:textId="0228C819" w:rsidR="002F7770" w:rsidRDefault="002F7770" w:rsidP="002F7770">
            <w:pPr>
              <w:spacing w:before="0" w:after="0" w:line="260" w:lineRule="atLeast"/>
              <w:ind w:left="708"/>
            </w:pPr>
            <w:r>
              <w:t>- For adults and children &gt; 12 years old: 6 per part body, 3 per leg, 1 per sleeve. Repeat on the back of the clothes.</w:t>
            </w:r>
          </w:p>
          <w:p w14:paraId="304F8B2E" w14:textId="76FB1B16" w:rsidR="002F7770" w:rsidRDefault="002F7770" w:rsidP="002F7770">
            <w:pPr>
              <w:spacing w:before="0" w:after="0" w:line="260" w:lineRule="atLeast"/>
              <w:ind w:left="708"/>
            </w:pPr>
            <w:r>
              <w:t>- For children from 2 to 12 years old: 2 to 3 per part body, 1 to 2 per leg, 1 per sleeve. Repeat on the back of the clothes.</w:t>
            </w:r>
          </w:p>
          <w:p w14:paraId="769B2CD7" w14:textId="31A1100A" w:rsidR="002F7770" w:rsidRDefault="002F7770" w:rsidP="002F7770">
            <w:pPr>
              <w:spacing w:before="0" w:after="0" w:line="260" w:lineRule="atLeast"/>
              <w:ind w:left="708"/>
            </w:pPr>
            <w:r>
              <w:t>- For children under 1 to 2 years old: 2 per part body, 1 per leg, 1 per sleeve. Repeat on the back of the clothes.</w:t>
            </w:r>
          </w:p>
          <w:p w14:paraId="691A2115" w14:textId="77777777" w:rsidR="002F7770" w:rsidRDefault="002F7770" w:rsidP="0096250C">
            <w:pPr>
              <w:spacing w:before="0" w:after="0" w:line="260" w:lineRule="atLeast"/>
            </w:pPr>
          </w:p>
          <w:p w14:paraId="67C3B81B" w14:textId="77777777" w:rsidR="004639A5" w:rsidRDefault="004639A5" w:rsidP="004639A5">
            <w:pPr>
              <w:spacing w:before="0" w:after="0" w:line="260" w:lineRule="atLeast"/>
            </w:pPr>
          </w:p>
          <w:p w14:paraId="66772FF2" w14:textId="03AAA739" w:rsidR="004639A5" w:rsidRDefault="004639A5" w:rsidP="004639A5">
            <w:pPr>
              <w:spacing w:before="0" w:after="0" w:line="260" w:lineRule="atLeast"/>
            </w:pPr>
            <w:r>
              <w:t>- 250 mL bottle: Apply the following number of sprays to the front of clothing:</w:t>
            </w:r>
          </w:p>
          <w:p w14:paraId="05773E3E" w14:textId="21150853" w:rsidR="004639A5" w:rsidRDefault="004639A5" w:rsidP="00EA7456">
            <w:pPr>
              <w:spacing w:before="0" w:after="0" w:line="260" w:lineRule="atLeast"/>
              <w:ind w:left="708"/>
            </w:pPr>
            <w:r>
              <w:t xml:space="preserve">- For adults and children &gt; 12 </w:t>
            </w:r>
            <w:r w:rsidR="003751D4">
              <w:t xml:space="preserve">years </w:t>
            </w:r>
            <w:r>
              <w:t>old: 4 per part body, 2 per leg, 1 per sleeve. Repeat on the back of the clothes.</w:t>
            </w:r>
          </w:p>
          <w:p w14:paraId="4A9B9682" w14:textId="30683F55" w:rsidR="004639A5" w:rsidRDefault="004639A5" w:rsidP="00EA7456">
            <w:pPr>
              <w:spacing w:before="0" w:after="0" w:line="260" w:lineRule="atLeast"/>
              <w:ind w:left="708"/>
            </w:pPr>
            <w:r>
              <w:t>- For children from 2 to 12 years old: 2 per part body, 1 per leg, 1 per sleeve. Repeat on the back of the clothes.</w:t>
            </w:r>
          </w:p>
          <w:p w14:paraId="19C96237" w14:textId="7AF7D4B8" w:rsidR="004639A5" w:rsidRDefault="004639A5" w:rsidP="00EA7456">
            <w:pPr>
              <w:spacing w:before="0" w:after="0" w:line="260" w:lineRule="atLeast"/>
              <w:ind w:left="708"/>
            </w:pPr>
            <w:r>
              <w:t>- For children under 1 to 2 years</w:t>
            </w:r>
            <w:r w:rsidR="003751D4">
              <w:t xml:space="preserve"> old</w:t>
            </w:r>
            <w:r>
              <w:t>: 1 per part body, 1 per leg, 1 per sleeve. Repeat on the back of the clothes.</w:t>
            </w:r>
          </w:p>
          <w:p w14:paraId="7AD43A59" w14:textId="1423CADA" w:rsidR="00BC6688" w:rsidRPr="00FF1650" w:rsidRDefault="00BC6688" w:rsidP="00CE561C">
            <w:pPr>
              <w:pStyle w:val="Paragraphedeliste"/>
              <w:numPr>
                <w:ilvl w:val="0"/>
                <w:numId w:val="31"/>
              </w:numPr>
              <w:spacing w:before="0" w:after="0" w:line="260" w:lineRule="atLeast"/>
              <w:rPr>
                <w:rFonts w:eastAsia="Calibri"/>
              </w:rPr>
            </w:pPr>
          </w:p>
        </w:tc>
      </w:tr>
    </w:tbl>
    <w:p w14:paraId="3E3B4BF0" w14:textId="77777777" w:rsidR="007F63F1" w:rsidRDefault="007F63F1" w:rsidP="007F63F1">
      <w:pPr>
        <w:pStyle w:val="Titre5"/>
        <w:numPr>
          <w:ilvl w:val="4"/>
          <w:numId w:val="30"/>
        </w:numPr>
        <w:suppressAutoHyphens/>
        <w:spacing w:before="255" w:after="80" w:line="255" w:lineRule="exact"/>
        <w:rPr>
          <w:rFonts w:cs="Times"/>
          <w:bCs/>
          <w:szCs w:val="29"/>
        </w:rPr>
      </w:pPr>
      <w:bookmarkStart w:id="61" w:name="_Toc93326485"/>
      <w:r>
        <w:lastRenderedPageBreak/>
        <w:t>Use-specific risk mitigation measures</w:t>
      </w:r>
      <w:bookmarkEnd w:id="61"/>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14:paraId="4F4FF5A9"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7166B385" w14:textId="77777777" w:rsidR="00814FC2" w:rsidRDefault="00814FC2" w:rsidP="00814FC2">
            <w:pPr>
              <w:spacing w:before="0" w:after="0"/>
              <w:contextualSpacing/>
              <w:jc w:val="both"/>
              <w:rPr>
                <w:rFonts w:cs="Arial"/>
                <w:spacing w:val="1"/>
                <w:lang w:eastAsia="fr-FR"/>
              </w:rPr>
            </w:pPr>
            <w:r>
              <w:rPr>
                <w:rFonts w:cs="Arial"/>
                <w:spacing w:val="1"/>
                <w:lang w:eastAsia="fr-FR"/>
              </w:rPr>
              <w:t xml:space="preserve">EU only: </w:t>
            </w:r>
          </w:p>
          <w:p w14:paraId="7F64B8A3" w14:textId="7D116389" w:rsidR="00814FC2" w:rsidRDefault="00814FC2" w:rsidP="00814FC2">
            <w:pPr>
              <w:spacing w:before="0" w:after="0"/>
              <w:contextualSpacing/>
              <w:jc w:val="both"/>
              <w:rPr>
                <w:rFonts w:cs="Arial"/>
                <w:spacing w:val="1"/>
                <w:lang w:eastAsia="fr-FR"/>
              </w:rPr>
            </w:pPr>
            <w:r>
              <w:rPr>
                <w:rFonts w:cs="Arial"/>
                <w:spacing w:val="1"/>
                <w:lang w:eastAsia="fr-FR"/>
              </w:rPr>
              <w:t>F</w:t>
            </w:r>
            <w:r w:rsidRPr="00D66F4F">
              <w:rPr>
                <w:rFonts w:cs="Arial"/>
                <w:spacing w:val="1"/>
                <w:lang w:eastAsia="fr-FR"/>
              </w:rPr>
              <w:t xml:space="preserve">or treatment against mosquitos in temperate conditions, do not apply the product </w:t>
            </w:r>
            <w:r>
              <w:rPr>
                <w:rFonts w:cs="Arial"/>
                <w:spacing w:val="1"/>
                <w:lang w:eastAsia="fr-FR"/>
              </w:rPr>
              <w:t>simultaneously</w:t>
            </w:r>
            <w:r w:rsidRPr="00AC648E">
              <w:rPr>
                <w:rFonts w:cs="Arial"/>
                <w:spacing w:val="1"/>
                <w:lang w:eastAsia="fr-FR"/>
              </w:rPr>
              <w:t xml:space="preserve"> </w:t>
            </w:r>
            <w:r w:rsidRPr="00673CDC">
              <w:rPr>
                <w:rFonts w:cs="Arial"/>
                <w:spacing w:val="1"/>
                <w:lang w:eastAsia="fr-FR"/>
              </w:rPr>
              <w:t xml:space="preserve">on the skin </w:t>
            </w:r>
            <w:r>
              <w:rPr>
                <w:rFonts w:cs="Arial"/>
                <w:spacing w:val="1"/>
                <w:lang w:eastAsia="fr-FR"/>
              </w:rPr>
              <w:t>of children</w:t>
            </w:r>
            <w:r w:rsidR="00592893" w:rsidRPr="00473E21">
              <w:rPr>
                <w:rFonts w:cs="Arial"/>
                <w:spacing w:val="1"/>
                <w:lang w:eastAsia="fr-FR"/>
              </w:rPr>
              <w:t xml:space="preserve"> </w:t>
            </w:r>
            <w:r w:rsidR="00592893">
              <w:rPr>
                <w:rFonts w:cs="Arial"/>
                <w:spacing w:val="1"/>
                <w:lang w:eastAsia="fr-FR"/>
              </w:rPr>
              <w:t>under 12 years</w:t>
            </w:r>
            <w:r>
              <w:rPr>
                <w:rFonts w:cs="Arial"/>
                <w:spacing w:val="1"/>
                <w:lang w:eastAsia="fr-FR"/>
              </w:rPr>
              <w:t xml:space="preserve"> and on</w:t>
            </w:r>
            <w:r w:rsidRPr="00673CDC">
              <w:rPr>
                <w:rFonts w:cs="Arial"/>
                <w:spacing w:val="1"/>
                <w:lang w:eastAsia="fr-FR"/>
              </w:rPr>
              <w:t xml:space="preserve"> </w:t>
            </w:r>
            <w:r>
              <w:rPr>
                <w:rFonts w:cs="Arial"/>
                <w:spacing w:val="1"/>
                <w:lang w:eastAsia="fr-FR"/>
              </w:rPr>
              <w:t xml:space="preserve">their </w:t>
            </w:r>
            <w:r w:rsidRPr="00673CDC">
              <w:rPr>
                <w:rFonts w:cs="Arial"/>
                <w:spacing w:val="1"/>
                <w:lang w:eastAsia="fr-FR"/>
              </w:rPr>
              <w:t>clothes</w:t>
            </w:r>
            <w:r w:rsidRPr="00D66F4F">
              <w:rPr>
                <w:rFonts w:cs="Arial"/>
                <w:spacing w:val="1"/>
                <w:lang w:eastAsia="fr-FR"/>
              </w:rPr>
              <w:t xml:space="preserve">. </w:t>
            </w:r>
          </w:p>
          <w:p w14:paraId="68741E39" w14:textId="77777777" w:rsidR="00592893" w:rsidRPr="007E29F8" w:rsidRDefault="00592893" w:rsidP="00814FC2">
            <w:pPr>
              <w:spacing w:before="0" w:after="0"/>
              <w:contextualSpacing/>
              <w:jc w:val="both"/>
              <w:rPr>
                <w:rFonts w:cs="Arial"/>
                <w:bCs/>
                <w:color w:val="2E74B5" w:themeColor="accent1" w:themeShade="BF"/>
                <w:lang w:eastAsia="fr-FR"/>
              </w:rPr>
            </w:pPr>
          </w:p>
          <w:p w14:paraId="62B2F3C7" w14:textId="77777777" w:rsidR="00814FC2" w:rsidRPr="007E29F8" w:rsidRDefault="00814FC2" w:rsidP="00814FC2">
            <w:pPr>
              <w:spacing w:before="0" w:after="0"/>
              <w:contextualSpacing/>
              <w:jc w:val="both"/>
              <w:rPr>
                <w:rFonts w:cs="Arial"/>
                <w:bCs/>
                <w:color w:val="2E74B5" w:themeColor="accent1" w:themeShade="BF"/>
                <w:lang w:eastAsia="fr-FR"/>
              </w:rPr>
            </w:pPr>
            <w:r w:rsidRPr="007E29F8">
              <w:rPr>
                <w:rFonts w:cs="Arial"/>
                <w:bCs/>
                <w:color w:val="2E74B5" w:themeColor="accent1" w:themeShade="BF"/>
                <w:lang w:eastAsia="fr-FR"/>
              </w:rPr>
              <w:t>In France only:</w:t>
            </w:r>
          </w:p>
          <w:p w14:paraId="03DCF92D" w14:textId="7BDEE822" w:rsidR="00013B67" w:rsidRPr="00814FC2" w:rsidRDefault="00814FC2" w:rsidP="00814FC2">
            <w:pPr>
              <w:spacing w:before="0" w:after="0"/>
              <w:contextualSpacing/>
              <w:jc w:val="both"/>
              <w:rPr>
                <w:rFonts w:cs="Arial"/>
                <w:bCs/>
                <w:color w:val="2E74B5" w:themeColor="accent1" w:themeShade="BF"/>
                <w:lang w:val="en-US" w:eastAsia="fr-FR"/>
              </w:rPr>
            </w:pPr>
            <w:r w:rsidRPr="00937BBF">
              <w:rPr>
                <w:rFonts w:cs="Arial"/>
                <w:bCs/>
                <w:color w:val="2E74B5" w:themeColor="accent1" w:themeShade="BF"/>
                <w:lang w:eastAsia="fr-FR"/>
              </w:rPr>
              <w:t>For treatment against mosquitos in temperate conditions, do not apply the product simultaneously on the skin of children younger than 2 years and on their clothes.</w:t>
            </w:r>
          </w:p>
        </w:tc>
      </w:tr>
    </w:tbl>
    <w:p w14:paraId="499024B8" w14:textId="77777777" w:rsidR="007F63F1" w:rsidRDefault="007F63F1" w:rsidP="007F63F1">
      <w:pPr>
        <w:pStyle w:val="Titre5"/>
        <w:numPr>
          <w:ilvl w:val="4"/>
          <w:numId w:val="30"/>
        </w:numPr>
        <w:suppressAutoHyphens/>
        <w:spacing w:before="255" w:after="80" w:line="255" w:lineRule="exact"/>
        <w:rPr>
          <w:rFonts w:cs="Times"/>
          <w:bCs/>
          <w:szCs w:val="29"/>
        </w:rPr>
      </w:pPr>
      <w:bookmarkStart w:id="62" w:name="_Toc93326486"/>
      <w:r>
        <w:t>Where specific to the use, the particulars of likely direct or indirect effects, first aid instructions and emergency measures to protect the environment</w:t>
      </w:r>
      <w:bookmarkEnd w:id="6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00009DE0"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39DD75E5" w14:textId="27C4E77A" w:rsidR="007F63F1" w:rsidRDefault="002D006E" w:rsidP="00CE67B2">
            <w:pPr>
              <w:widowControl w:val="0"/>
              <w:autoSpaceDE w:val="0"/>
              <w:snapToGrid w:val="0"/>
              <w:spacing w:before="80" w:line="254" w:lineRule="auto"/>
              <w:rPr>
                <w:rFonts w:cs="Times"/>
                <w:bCs/>
                <w:szCs w:val="29"/>
              </w:rPr>
            </w:pPr>
            <w:r>
              <w:rPr>
                <w:rFonts w:cs="Times"/>
                <w:bCs/>
                <w:szCs w:val="29"/>
              </w:rPr>
              <w:t>-</w:t>
            </w:r>
          </w:p>
        </w:tc>
      </w:tr>
    </w:tbl>
    <w:p w14:paraId="32B53906" w14:textId="77777777" w:rsidR="007F63F1" w:rsidRDefault="007F63F1" w:rsidP="007F63F1">
      <w:pPr>
        <w:pStyle w:val="Titre5"/>
        <w:numPr>
          <w:ilvl w:val="4"/>
          <w:numId w:val="30"/>
        </w:numPr>
        <w:suppressAutoHyphens/>
        <w:spacing w:before="255" w:after="80" w:line="255" w:lineRule="exact"/>
        <w:rPr>
          <w:rFonts w:cs="Times"/>
          <w:bCs/>
          <w:szCs w:val="29"/>
        </w:rPr>
      </w:pPr>
      <w:bookmarkStart w:id="63" w:name="_Toc93326487"/>
      <w:r>
        <w:t>Where specific to the use, the instructions for safe disposal of the product and its packaging</w:t>
      </w:r>
      <w:bookmarkEnd w:id="63"/>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17D7AF39"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6D5959D2" w14:textId="784CE95A" w:rsidR="007F63F1" w:rsidRDefault="002D006E" w:rsidP="007F63F1">
            <w:pPr>
              <w:widowControl w:val="0"/>
              <w:autoSpaceDE w:val="0"/>
              <w:snapToGrid w:val="0"/>
              <w:spacing w:before="80" w:line="254" w:lineRule="auto"/>
              <w:rPr>
                <w:rFonts w:cs="Times"/>
                <w:bCs/>
                <w:szCs w:val="29"/>
              </w:rPr>
            </w:pPr>
            <w:r>
              <w:rPr>
                <w:rFonts w:cs="Times"/>
                <w:bCs/>
                <w:szCs w:val="29"/>
              </w:rPr>
              <w:t>-</w:t>
            </w:r>
          </w:p>
        </w:tc>
      </w:tr>
    </w:tbl>
    <w:p w14:paraId="4869E0C5" w14:textId="77777777" w:rsidR="007F63F1" w:rsidRDefault="007F63F1" w:rsidP="007F63F1">
      <w:pPr>
        <w:pStyle w:val="Titre5"/>
        <w:numPr>
          <w:ilvl w:val="4"/>
          <w:numId w:val="30"/>
        </w:numPr>
        <w:suppressAutoHyphens/>
        <w:spacing w:before="255" w:after="80" w:line="255" w:lineRule="exact"/>
        <w:rPr>
          <w:rFonts w:cs="Times"/>
          <w:bCs/>
          <w:szCs w:val="29"/>
        </w:rPr>
      </w:pPr>
      <w:bookmarkStart w:id="64" w:name="_Toc93326488"/>
      <w:r>
        <w:t>Where specific to the use, the conditions of storage and shelf-life of the product under normal conditions of storage</w:t>
      </w:r>
      <w:bookmarkEnd w:id="6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66A08708"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20E0AED9" w14:textId="3A0FFDE9" w:rsidR="007F63F1" w:rsidRDefault="002D006E" w:rsidP="007F63F1">
            <w:pPr>
              <w:widowControl w:val="0"/>
              <w:autoSpaceDE w:val="0"/>
              <w:snapToGrid w:val="0"/>
              <w:spacing w:before="80" w:line="254" w:lineRule="auto"/>
              <w:rPr>
                <w:rFonts w:cs="Times"/>
                <w:bCs/>
                <w:szCs w:val="29"/>
              </w:rPr>
            </w:pPr>
            <w:r>
              <w:rPr>
                <w:rFonts w:cs="Times"/>
                <w:bCs/>
                <w:szCs w:val="29"/>
              </w:rPr>
              <w:t>-</w:t>
            </w:r>
          </w:p>
        </w:tc>
      </w:tr>
    </w:tbl>
    <w:p w14:paraId="376933B2" w14:textId="64643CAE" w:rsidR="007F63F1" w:rsidRDefault="007F63F1" w:rsidP="007F63F1">
      <w:pPr>
        <w:widowControl w:val="0"/>
        <w:autoSpaceDE w:val="0"/>
        <w:rPr>
          <w:rFonts w:cs="Times"/>
          <w:bCs/>
          <w:szCs w:val="29"/>
        </w:rPr>
      </w:pPr>
    </w:p>
    <w:p w14:paraId="7478D405" w14:textId="4C242FDF" w:rsidR="00FD0367" w:rsidRDefault="00FD0367" w:rsidP="007F63F1">
      <w:pPr>
        <w:widowControl w:val="0"/>
        <w:autoSpaceDE w:val="0"/>
        <w:rPr>
          <w:rFonts w:cs="Times"/>
          <w:bCs/>
          <w:szCs w:val="29"/>
        </w:rPr>
      </w:pPr>
    </w:p>
    <w:p w14:paraId="1FDAB863" w14:textId="77777777" w:rsidR="00FD0367" w:rsidRDefault="00FD0367" w:rsidP="00FD0367">
      <w:pPr>
        <w:pStyle w:val="Titre4"/>
        <w:numPr>
          <w:ilvl w:val="3"/>
          <w:numId w:val="30"/>
        </w:numPr>
        <w:suppressAutoHyphens/>
      </w:pPr>
      <w:bookmarkStart w:id="65" w:name="_Toc93326489"/>
      <w:r>
        <w:lastRenderedPageBreak/>
        <w:t>Use description</w:t>
      </w:r>
      <w:bookmarkEnd w:id="65"/>
    </w:p>
    <w:p w14:paraId="24E08290" w14:textId="77777777" w:rsidR="00FD0367" w:rsidRDefault="00FD0367" w:rsidP="00FD0367">
      <w:pPr>
        <w:widowControl w:val="0"/>
        <w:autoSpaceDE w:val="0"/>
        <w:rPr>
          <w:rFonts w:cs="Times"/>
          <w:bCs/>
          <w:szCs w:val="29"/>
        </w:rPr>
      </w:pPr>
    </w:p>
    <w:p w14:paraId="53FD848F" w14:textId="4DB65177" w:rsidR="00FD0367" w:rsidRDefault="00FD0367" w:rsidP="00FD0367">
      <w:pPr>
        <w:pStyle w:val="Lgende"/>
        <w:spacing w:after="120"/>
        <w:rPr>
          <w:rFonts w:ascii="Verdana" w:hAnsi="Verdana"/>
          <w:b/>
          <w:bCs/>
          <w:szCs w:val="24"/>
          <w:lang w:eastAsia="en-GB"/>
        </w:rPr>
      </w:pPr>
      <w:r>
        <w:rPr>
          <w:rFonts w:ascii="Verdana" w:hAnsi="Verdana" w:cs="Verdana"/>
        </w:rPr>
        <w:t xml:space="preserve">Table </w:t>
      </w:r>
      <w:r w:rsidR="00C3389D">
        <w:rPr>
          <w:rFonts w:ascii="Verdana" w:hAnsi="Verdana" w:cs="Verdana"/>
        </w:rPr>
        <w:t>3</w:t>
      </w:r>
      <w:r>
        <w:rPr>
          <w:rFonts w:ascii="Verdana" w:hAnsi="Verdana"/>
        </w:rPr>
        <w:t xml:space="preserve">. Use # </w:t>
      </w:r>
      <w:r w:rsidR="00C3389D">
        <w:rPr>
          <w:rFonts w:ascii="Verdana" w:hAnsi="Verdana"/>
        </w:rPr>
        <w:t xml:space="preserve">3 </w:t>
      </w:r>
      <w:r>
        <w:rPr>
          <w:rFonts w:ascii="Verdana" w:hAnsi="Verdana"/>
        </w:rPr>
        <w:t xml:space="preserve">– </w:t>
      </w:r>
      <w:r w:rsidRPr="005946A1">
        <w:rPr>
          <w:rFonts w:ascii="Verdana" w:hAnsi="Verdana"/>
          <w:color w:val="000000"/>
        </w:rPr>
        <w:t>Spray to be applied on clothes to repel mosquitoes</w:t>
      </w:r>
      <w:r w:rsidR="00165258">
        <w:rPr>
          <w:rFonts w:ascii="Verdana" w:hAnsi="Verdana"/>
          <w:color w:val="000000"/>
        </w:rPr>
        <w:t xml:space="preserve"> (tropical conditions)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FD0367" w14:paraId="730C2C0C" w14:textId="77777777" w:rsidTr="00165258">
        <w:tc>
          <w:tcPr>
            <w:tcW w:w="2707" w:type="dxa"/>
            <w:tcBorders>
              <w:top w:val="single" w:sz="4" w:space="0" w:color="000000"/>
              <w:left w:val="single" w:sz="4" w:space="0" w:color="000000"/>
              <w:bottom w:val="single" w:sz="4" w:space="0" w:color="000000"/>
              <w:right w:val="nil"/>
            </w:tcBorders>
            <w:hideMark/>
          </w:tcPr>
          <w:p w14:paraId="3FD34F45" w14:textId="77777777" w:rsidR="00FD0367" w:rsidRDefault="00FD0367" w:rsidP="00165258">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2894E46F" w14:textId="77777777" w:rsidR="00FD0367" w:rsidRDefault="00FD0367" w:rsidP="00165258">
            <w:pPr>
              <w:snapToGrid w:val="0"/>
              <w:spacing w:line="254" w:lineRule="auto"/>
              <w:rPr>
                <w:b/>
              </w:rPr>
            </w:pPr>
            <w:r w:rsidRPr="00D601DB">
              <w:t>PT19 - Repellents and attractants (Pest control)</w:t>
            </w:r>
          </w:p>
        </w:tc>
      </w:tr>
      <w:tr w:rsidR="00FD0367" w:rsidRPr="008766C7" w14:paraId="08FA9AB1" w14:textId="77777777" w:rsidTr="00165258">
        <w:tc>
          <w:tcPr>
            <w:tcW w:w="2707" w:type="dxa"/>
            <w:tcBorders>
              <w:top w:val="nil"/>
              <w:left w:val="single" w:sz="4" w:space="0" w:color="000000"/>
              <w:bottom w:val="single" w:sz="4" w:space="0" w:color="000000"/>
              <w:right w:val="nil"/>
            </w:tcBorders>
            <w:hideMark/>
          </w:tcPr>
          <w:p w14:paraId="3502AB44" w14:textId="77777777" w:rsidR="00FD0367" w:rsidRDefault="00FD0367" w:rsidP="00165258">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4271208D" w14:textId="77777777" w:rsidR="00FD0367" w:rsidRDefault="00FD0367" w:rsidP="00165258">
            <w:pPr>
              <w:snapToGrid w:val="0"/>
              <w:spacing w:line="254" w:lineRule="auto"/>
              <w:rPr>
                <w:b/>
              </w:rPr>
            </w:pPr>
            <w:r w:rsidRPr="00D601DB">
              <w:rPr>
                <w:color w:val="000000"/>
              </w:rPr>
              <w:t>Ready to use repellent product to treat clothes</w:t>
            </w:r>
            <w:r>
              <w:rPr>
                <w:color w:val="000000"/>
              </w:rPr>
              <w:t xml:space="preserve"> (cotton and polyester)</w:t>
            </w:r>
            <w:r w:rsidRPr="00D601DB">
              <w:rPr>
                <w:color w:val="000000"/>
              </w:rPr>
              <w:t xml:space="preserve"> </w:t>
            </w:r>
            <w:r>
              <w:rPr>
                <w:color w:val="000000"/>
              </w:rPr>
              <w:t xml:space="preserve">in order to protect the user </w:t>
            </w:r>
            <w:r w:rsidRPr="00D601DB">
              <w:rPr>
                <w:color w:val="000000"/>
              </w:rPr>
              <w:t>against mosquito</w:t>
            </w:r>
            <w:r w:rsidRPr="00D601DB" w:rsidDel="0087276A">
              <w:t xml:space="preserve"> </w:t>
            </w:r>
            <w:r>
              <w:t>bites.</w:t>
            </w:r>
          </w:p>
        </w:tc>
      </w:tr>
      <w:tr w:rsidR="00FD0367" w:rsidRPr="008766C7" w14:paraId="0D0A751B" w14:textId="77777777" w:rsidTr="00165258">
        <w:tc>
          <w:tcPr>
            <w:tcW w:w="2707" w:type="dxa"/>
            <w:tcBorders>
              <w:top w:val="nil"/>
              <w:left w:val="single" w:sz="4" w:space="0" w:color="000000"/>
              <w:bottom w:val="single" w:sz="4" w:space="0" w:color="000000"/>
              <w:right w:val="nil"/>
            </w:tcBorders>
            <w:hideMark/>
          </w:tcPr>
          <w:p w14:paraId="110D2722" w14:textId="77777777" w:rsidR="00FD0367" w:rsidRDefault="00FD0367" w:rsidP="00165258">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0A30AFC" w14:textId="77777777" w:rsidR="00FD0367" w:rsidRPr="000F3633" w:rsidRDefault="00FD0367" w:rsidP="00165258">
            <w:pPr>
              <w:contextualSpacing/>
              <w:rPr>
                <w:i/>
              </w:rPr>
            </w:pPr>
            <w:r w:rsidRPr="000F3633">
              <w:rPr>
                <w:i/>
              </w:rPr>
              <w:t>Aedes spp.</w:t>
            </w:r>
          </w:p>
          <w:p w14:paraId="122C21EB" w14:textId="77777777" w:rsidR="00FD0367" w:rsidRPr="000F3633" w:rsidRDefault="00FD0367" w:rsidP="00165258">
            <w:pPr>
              <w:contextualSpacing/>
              <w:rPr>
                <w:i/>
              </w:rPr>
            </w:pPr>
            <w:r w:rsidRPr="000F3633">
              <w:rPr>
                <w:i/>
              </w:rPr>
              <w:t>Anopheles spp.</w:t>
            </w:r>
          </w:p>
          <w:p w14:paraId="421DF449" w14:textId="77777777" w:rsidR="00FD0367" w:rsidRPr="00875771" w:rsidRDefault="00FD0367" w:rsidP="00165258">
            <w:pPr>
              <w:contextualSpacing/>
            </w:pPr>
          </w:p>
          <w:p w14:paraId="12316C0A" w14:textId="77777777" w:rsidR="00FD0367" w:rsidRDefault="00FD0367" w:rsidP="00165258">
            <w:pPr>
              <w:snapToGrid w:val="0"/>
              <w:spacing w:line="254" w:lineRule="auto"/>
            </w:pPr>
            <w:r w:rsidRPr="00875771">
              <w:rPr>
                <w:color w:val="000000"/>
              </w:rPr>
              <w:t>Development stage: adults</w:t>
            </w:r>
          </w:p>
        </w:tc>
      </w:tr>
      <w:tr w:rsidR="00FD0367" w14:paraId="2A1C575F" w14:textId="77777777" w:rsidTr="00165258">
        <w:tc>
          <w:tcPr>
            <w:tcW w:w="2707" w:type="dxa"/>
            <w:tcBorders>
              <w:top w:val="nil"/>
              <w:left w:val="single" w:sz="4" w:space="0" w:color="000000"/>
              <w:bottom w:val="single" w:sz="4" w:space="0" w:color="000000"/>
              <w:right w:val="nil"/>
            </w:tcBorders>
            <w:hideMark/>
          </w:tcPr>
          <w:p w14:paraId="653B4C7F" w14:textId="77777777" w:rsidR="00FD0367" w:rsidRDefault="00FD0367" w:rsidP="00165258">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2EF28D1D" w14:textId="2C812F43" w:rsidR="00FD0367" w:rsidRDefault="00D91785" w:rsidP="00165258">
            <w:pPr>
              <w:snapToGrid w:val="0"/>
              <w:spacing w:line="260" w:lineRule="atLeast"/>
              <w:jc w:val="both"/>
            </w:pPr>
            <w:r>
              <w:t>Application on clothes</w:t>
            </w:r>
          </w:p>
        </w:tc>
      </w:tr>
      <w:tr w:rsidR="00FD0367" w14:paraId="22FAF88E" w14:textId="77777777" w:rsidTr="00165258">
        <w:tc>
          <w:tcPr>
            <w:tcW w:w="2707" w:type="dxa"/>
            <w:tcBorders>
              <w:top w:val="nil"/>
              <w:left w:val="single" w:sz="4" w:space="0" w:color="000000"/>
              <w:bottom w:val="single" w:sz="4" w:space="0" w:color="000000"/>
              <w:right w:val="nil"/>
            </w:tcBorders>
            <w:hideMark/>
          </w:tcPr>
          <w:p w14:paraId="1C509614" w14:textId="4E479015" w:rsidR="00FD0367" w:rsidRDefault="00FD0367" w:rsidP="00165258">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5A9A4A71" w14:textId="77777777" w:rsidR="00FD0367" w:rsidRPr="00D601DB" w:rsidRDefault="00FD0367" w:rsidP="00165258">
            <w:r w:rsidRPr="00D601DB">
              <w:t>Spraying</w:t>
            </w:r>
          </w:p>
          <w:p w14:paraId="6C26AE56" w14:textId="77777777" w:rsidR="00FD0367" w:rsidRDefault="00FD0367" w:rsidP="00165258">
            <w:pPr>
              <w:snapToGrid w:val="0"/>
              <w:spacing w:line="260" w:lineRule="atLeast"/>
            </w:pPr>
            <w:r w:rsidRPr="00D601DB">
              <w:rPr>
                <w:color w:val="000000"/>
              </w:rPr>
              <w:t>Spray directly onto the textiles</w:t>
            </w:r>
          </w:p>
        </w:tc>
      </w:tr>
      <w:tr w:rsidR="00FD0367" w:rsidRPr="008766C7" w14:paraId="3CA17F9E" w14:textId="77777777" w:rsidTr="00165258">
        <w:tc>
          <w:tcPr>
            <w:tcW w:w="2707" w:type="dxa"/>
            <w:tcBorders>
              <w:top w:val="nil"/>
              <w:left w:val="single" w:sz="4" w:space="0" w:color="000000"/>
              <w:bottom w:val="single" w:sz="4" w:space="0" w:color="000000"/>
              <w:right w:val="nil"/>
            </w:tcBorders>
            <w:hideMark/>
          </w:tcPr>
          <w:p w14:paraId="111E14DD" w14:textId="77777777" w:rsidR="00FD0367" w:rsidRDefault="00FD0367" w:rsidP="00165258">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4A131B61" w14:textId="0CCDBC7E" w:rsidR="00FD0367" w:rsidRPr="00AF20E5" w:rsidRDefault="00C3389D" w:rsidP="00165258">
            <w:r>
              <w:t>0.6</w:t>
            </w:r>
            <w:r w:rsidR="00FD0367" w:rsidRPr="00AF20E5">
              <w:t xml:space="preserve"> </w:t>
            </w:r>
            <w:r w:rsidR="009E2CCB">
              <w:t>m</w:t>
            </w:r>
            <w:r w:rsidR="00FD0367" w:rsidRPr="00AF20E5">
              <w:t xml:space="preserve">g of product per </w:t>
            </w:r>
            <w:r>
              <w:t>c</w:t>
            </w:r>
            <w:r w:rsidR="00FD0367" w:rsidRPr="00AF20E5">
              <w:t xml:space="preserve">m² of fabric </w:t>
            </w:r>
          </w:p>
          <w:p w14:paraId="5A0E41D0" w14:textId="58218DA3" w:rsidR="00FD0367" w:rsidRDefault="00FD0367" w:rsidP="00165258">
            <w:r>
              <w:t>Protection time:</w:t>
            </w:r>
            <w:r w:rsidRPr="00AF20E5">
              <w:t xml:space="preserve"> 8 hours</w:t>
            </w:r>
            <w:r>
              <w:t xml:space="preserve"> (tropical conditions)</w:t>
            </w:r>
            <w:r w:rsidRPr="00AF20E5">
              <w:t>, even after up to 30 days of storage</w:t>
            </w:r>
            <w:r>
              <w:t xml:space="preserve"> of the treated cloth (</w:t>
            </w:r>
            <w:r w:rsidRPr="001A385C">
              <w:t>before being worn</w:t>
            </w:r>
            <w:r>
              <w:t xml:space="preserve">).   </w:t>
            </w:r>
          </w:p>
          <w:p w14:paraId="6FFF9FC7" w14:textId="305E77D1" w:rsidR="00FD0367" w:rsidRDefault="00FD0367" w:rsidP="00165258">
            <w:r>
              <w:t>Reapply after each washing or use of the treated cloth</w:t>
            </w:r>
            <w:r w:rsidR="001D60E9">
              <w:t xml:space="preserve"> </w:t>
            </w:r>
            <w:r w:rsidR="001D60E9" w:rsidRPr="001D60E9">
              <w:t>in a closed packaging (such as a plastic bag)</w:t>
            </w:r>
            <w:r>
              <w:t>.</w:t>
            </w:r>
          </w:p>
        </w:tc>
      </w:tr>
      <w:tr w:rsidR="00FD0367" w14:paraId="19084DC4" w14:textId="77777777" w:rsidTr="00165258">
        <w:tc>
          <w:tcPr>
            <w:tcW w:w="2707" w:type="dxa"/>
            <w:tcBorders>
              <w:top w:val="nil"/>
              <w:left w:val="single" w:sz="4" w:space="0" w:color="000000"/>
              <w:bottom w:val="single" w:sz="4" w:space="0" w:color="000000"/>
              <w:right w:val="nil"/>
            </w:tcBorders>
            <w:hideMark/>
          </w:tcPr>
          <w:p w14:paraId="1AA9A0A6" w14:textId="77777777" w:rsidR="00FD0367" w:rsidRDefault="00FD0367" w:rsidP="00165258">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7884C862" w14:textId="77777777" w:rsidR="00FD0367" w:rsidRDefault="00FD0367" w:rsidP="00165258">
            <w:pPr>
              <w:snapToGrid w:val="0"/>
              <w:spacing w:line="254" w:lineRule="auto"/>
              <w:rPr>
                <w:b/>
              </w:rPr>
            </w:pPr>
            <w:r w:rsidRPr="00D601DB">
              <w:t>General public (non-professional)</w:t>
            </w:r>
          </w:p>
        </w:tc>
      </w:tr>
      <w:tr w:rsidR="00FD0367" w:rsidRPr="008766C7" w14:paraId="130E5159" w14:textId="77777777" w:rsidTr="00165258">
        <w:tc>
          <w:tcPr>
            <w:tcW w:w="2707" w:type="dxa"/>
            <w:tcBorders>
              <w:top w:val="nil"/>
              <w:left w:val="single" w:sz="4" w:space="0" w:color="000000"/>
              <w:bottom w:val="single" w:sz="4" w:space="0" w:color="000000"/>
              <w:right w:val="nil"/>
            </w:tcBorders>
            <w:hideMark/>
          </w:tcPr>
          <w:p w14:paraId="6E9C1CE9" w14:textId="77777777" w:rsidR="00FD0367" w:rsidRDefault="00FD0367" w:rsidP="00165258">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60E0623" w14:textId="5DCED523" w:rsidR="00FD0367" w:rsidRDefault="00FD0367" w:rsidP="00165258">
            <w:pPr>
              <w:spacing w:line="254" w:lineRule="auto"/>
            </w:pPr>
            <w:r>
              <w:t>250mL HDPE bottle (with sprayer)</w:t>
            </w:r>
          </w:p>
        </w:tc>
      </w:tr>
    </w:tbl>
    <w:p w14:paraId="275374B6" w14:textId="77777777" w:rsidR="00FD0367" w:rsidRDefault="00FD0367" w:rsidP="00FD0367">
      <w:pPr>
        <w:tabs>
          <w:tab w:val="left" w:pos="500"/>
        </w:tabs>
        <w:ind w:left="500" w:hanging="500"/>
      </w:pPr>
    </w:p>
    <w:p w14:paraId="47B1387E" w14:textId="77777777" w:rsidR="00FD0367" w:rsidRDefault="00FD0367" w:rsidP="00FD0367">
      <w:pPr>
        <w:pStyle w:val="Titre5"/>
        <w:numPr>
          <w:ilvl w:val="4"/>
          <w:numId w:val="30"/>
        </w:numPr>
        <w:suppressAutoHyphens/>
        <w:spacing w:before="255" w:after="80" w:line="255" w:lineRule="exact"/>
        <w:rPr>
          <w:rFonts w:cs="Times"/>
          <w:bCs/>
          <w:szCs w:val="29"/>
        </w:rPr>
      </w:pPr>
      <w:bookmarkStart w:id="66" w:name="_Toc93326490"/>
      <w:r>
        <w:t>Use-specific instructions for use</w:t>
      </w:r>
      <w:bookmarkEnd w:id="6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D0367" w14:paraId="07E21E62" w14:textId="77777777" w:rsidTr="00165258">
        <w:tc>
          <w:tcPr>
            <w:tcW w:w="9036" w:type="dxa"/>
            <w:tcBorders>
              <w:top w:val="single" w:sz="4" w:space="0" w:color="000000"/>
              <w:left w:val="single" w:sz="4" w:space="0" w:color="000000"/>
              <w:bottom w:val="single" w:sz="4" w:space="0" w:color="000000"/>
              <w:right w:val="single" w:sz="4" w:space="0" w:color="000000"/>
            </w:tcBorders>
          </w:tcPr>
          <w:p w14:paraId="74D11376" w14:textId="77777777" w:rsidR="00FD0367" w:rsidRPr="009667BA" w:rsidRDefault="00FD0367" w:rsidP="00165258">
            <w:pPr>
              <w:widowControl w:val="0"/>
              <w:numPr>
                <w:ilvl w:val="0"/>
                <w:numId w:val="31"/>
              </w:numPr>
              <w:autoSpaceDE w:val="0"/>
              <w:snapToGrid w:val="0"/>
              <w:spacing w:before="80" w:after="0" w:line="260" w:lineRule="atLeast"/>
              <w:contextualSpacing/>
              <w:jc w:val="both"/>
              <w:rPr>
                <w:rFonts w:eastAsia="Calibri" w:cs="Times"/>
                <w:lang w:val="sv-SE" w:eastAsia="sv-SE"/>
              </w:rPr>
            </w:pPr>
            <w:r w:rsidRPr="00EE04FB">
              <w:rPr>
                <w:rFonts w:eastAsia="Calibri" w:cs="Times"/>
                <w:bCs/>
                <w:lang w:val="sv-SE" w:eastAsia="sv-SE"/>
              </w:rPr>
              <w:t>In case of storage before wearing, the treated clothes must be stored in a closed packaging (such as a plastic bag).</w:t>
            </w:r>
          </w:p>
          <w:p w14:paraId="13E47FF8" w14:textId="77777777" w:rsidR="00FD0367" w:rsidRPr="0096250C" w:rsidRDefault="00FD0367" w:rsidP="00165258">
            <w:pPr>
              <w:pStyle w:val="Paragraphedeliste"/>
              <w:numPr>
                <w:ilvl w:val="0"/>
                <w:numId w:val="31"/>
              </w:numPr>
              <w:spacing w:before="0" w:after="0" w:line="260" w:lineRule="atLeast"/>
              <w:rPr>
                <w:rFonts w:eastAsia="Calibri"/>
              </w:rPr>
            </w:pPr>
            <w:r w:rsidRPr="007177F7">
              <w:t>Retreat after water exposure without exceeding the maximal recommended application number.</w:t>
            </w:r>
          </w:p>
          <w:p w14:paraId="400E085D" w14:textId="77777777" w:rsidR="00FD0367" w:rsidRDefault="00FD0367" w:rsidP="00165258">
            <w:pPr>
              <w:spacing w:before="0" w:after="0" w:line="260" w:lineRule="atLeast"/>
            </w:pPr>
          </w:p>
          <w:p w14:paraId="7563A542" w14:textId="362FC8B4" w:rsidR="00FD0367" w:rsidRDefault="00FD0367" w:rsidP="00165258">
            <w:pPr>
              <w:spacing w:before="0" w:after="0" w:line="260" w:lineRule="atLeast"/>
            </w:pPr>
            <w:r>
              <w:t>Number of sprays:</w:t>
            </w:r>
          </w:p>
          <w:p w14:paraId="62336F04" w14:textId="19A66E66" w:rsidR="002F7770" w:rsidRDefault="002F7770" w:rsidP="00165258">
            <w:pPr>
              <w:spacing w:before="0" w:after="0" w:line="260" w:lineRule="atLeast"/>
            </w:pPr>
          </w:p>
          <w:p w14:paraId="3B15D355" w14:textId="77777777" w:rsidR="002F7770" w:rsidRDefault="002F7770" w:rsidP="002F7770">
            <w:pPr>
              <w:spacing w:before="0" w:after="0" w:line="260" w:lineRule="atLeast"/>
            </w:pPr>
            <w:r>
              <w:t>- 100 mL bottle (300µL per spray): Apply the following number of sprays to the front of clothing:</w:t>
            </w:r>
          </w:p>
          <w:p w14:paraId="4F592B36" w14:textId="77777777" w:rsidR="002F7770" w:rsidRDefault="002F7770" w:rsidP="002F7770">
            <w:pPr>
              <w:spacing w:before="0" w:after="0" w:line="260" w:lineRule="atLeast"/>
              <w:ind w:left="708"/>
            </w:pPr>
            <w:r>
              <w:t>- For adults and children &gt; 12 years old: 6 per part body, 3 per leg, 1 per sleeve. Repeat on the back of the clothes.</w:t>
            </w:r>
          </w:p>
          <w:p w14:paraId="2ADB8D76" w14:textId="77777777" w:rsidR="002F7770" w:rsidRDefault="002F7770" w:rsidP="002F7770">
            <w:pPr>
              <w:spacing w:before="0" w:after="0" w:line="260" w:lineRule="atLeast"/>
              <w:ind w:left="708"/>
            </w:pPr>
            <w:r>
              <w:t>- For children from 2 to 12 years old: 2 to 3 per part body, 1 to 2 per leg, 1 per sleeve. Repeat on the back of the clothes.</w:t>
            </w:r>
          </w:p>
          <w:p w14:paraId="43CEAF59" w14:textId="77777777" w:rsidR="002F7770" w:rsidRDefault="002F7770" w:rsidP="002F7770">
            <w:pPr>
              <w:spacing w:before="0" w:after="0" w:line="260" w:lineRule="atLeast"/>
              <w:ind w:left="708"/>
            </w:pPr>
            <w:r>
              <w:t>- For children under 1 to 2 years old: 2 per part body, 1 per leg, 1 per sleeve. Repeat on the back of the clothes.</w:t>
            </w:r>
          </w:p>
          <w:p w14:paraId="20E5F1EF" w14:textId="77777777" w:rsidR="002F7770" w:rsidRDefault="002F7770" w:rsidP="00165258">
            <w:pPr>
              <w:spacing w:before="0" w:after="0" w:line="260" w:lineRule="atLeast"/>
            </w:pPr>
          </w:p>
          <w:p w14:paraId="328769CC" w14:textId="77777777" w:rsidR="004639A5" w:rsidRDefault="004639A5" w:rsidP="004639A5">
            <w:pPr>
              <w:spacing w:before="0" w:after="0" w:line="260" w:lineRule="atLeast"/>
            </w:pPr>
            <w:r>
              <w:t>- 250 mL bottle: Apply the following number of sprays to the front of clothing:</w:t>
            </w:r>
          </w:p>
          <w:p w14:paraId="0FF2875C" w14:textId="65282764" w:rsidR="004639A5" w:rsidRDefault="004639A5" w:rsidP="004639A5">
            <w:pPr>
              <w:spacing w:before="0" w:after="0" w:line="260" w:lineRule="atLeast"/>
              <w:ind w:left="708"/>
            </w:pPr>
            <w:r>
              <w:t xml:space="preserve">- For adults and children &gt; 12 </w:t>
            </w:r>
            <w:r w:rsidR="003751D4">
              <w:t xml:space="preserve">years </w:t>
            </w:r>
            <w:r>
              <w:t>old: 4 per part body, 2 per leg, 1 per sleeve. Repeat on the back of the clothes.</w:t>
            </w:r>
          </w:p>
          <w:p w14:paraId="663F9C80" w14:textId="77777777" w:rsidR="004639A5" w:rsidRDefault="004639A5" w:rsidP="004639A5">
            <w:pPr>
              <w:spacing w:before="0" w:after="0" w:line="260" w:lineRule="atLeast"/>
              <w:ind w:left="708"/>
            </w:pPr>
            <w:r>
              <w:t>- For children from 2 to 12 years old: 2 per part body, 1 per leg, 1 per sleeve. Repeat on the back of the clothes.</w:t>
            </w:r>
          </w:p>
          <w:p w14:paraId="3163D0AA" w14:textId="3A528DCF" w:rsidR="004639A5" w:rsidRDefault="004639A5" w:rsidP="004639A5">
            <w:pPr>
              <w:spacing w:before="0" w:after="0" w:line="260" w:lineRule="atLeast"/>
              <w:ind w:left="708"/>
            </w:pPr>
            <w:r>
              <w:t>- For children under 1 to 2 years</w:t>
            </w:r>
            <w:r w:rsidR="003751D4">
              <w:t xml:space="preserve"> old</w:t>
            </w:r>
            <w:r>
              <w:t>: 1 per part body, 1 per leg, 1 per sleeve. Repeat on the back of the clothes.</w:t>
            </w:r>
          </w:p>
          <w:p w14:paraId="5E60C862" w14:textId="77777777" w:rsidR="004639A5" w:rsidRDefault="004639A5" w:rsidP="00165258">
            <w:pPr>
              <w:spacing w:before="0" w:after="0" w:line="260" w:lineRule="atLeast"/>
            </w:pPr>
          </w:p>
          <w:p w14:paraId="193B02AB" w14:textId="6D6571B5" w:rsidR="00FD0367" w:rsidRPr="00FF1650" w:rsidRDefault="00FD0367" w:rsidP="00165258">
            <w:pPr>
              <w:pStyle w:val="Paragraphedeliste"/>
              <w:numPr>
                <w:ilvl w:val="0"/>
                <w:numId w:val="31"/>
              </w:numPr>
              <w:spacing w:before="0" w:after="0" w:line="260" w:lineRule="atLeast"/>
              <w:rPr>
                <w:rFonts w:eastAsia="Calibri"/>
              </w:rPr>
            </w:pPr>
          </w:p>
        </w:tc>
      </w:tr>
    </w:tbl>
    <w:p w14:paraId="08B45B4A" w14:textId="77777777" w:rsidR="00FD0367" w:rsidRDefault="00FD0367" w:rsidP="00FD0367">
      <w:pPr>
        <w:pStyle w:val="Titre5"/>
        <w:numPr>
          <w:ilvl w:val="4"/>
          <w:numId w:val="30"/>
        </w:numPr>
        <w:suppressAutoHyphens/>
        <w:spacing w:before="255" w:after="80" w:line="255" w:lineRule="exact"/>
        <w:rPr>
          <w:rFonts w:cs="Times"/>
          <w:bCs/>
          <w:szCs w:val="29"/>
        </w:rPr>
      </w:pPr>
      <w:bookmarkStart w:id="67" w:name="_Toc93326491"/>
      <w:r>
        <w:lastRenderedPageBreak/>
        <w:t>Use-specific risk mitigation measures</w:t>
      </w:r>
      <w:bookmarkEnd w:id="67"/>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D0367" w14:paraId="7590BC9B" w14:textId="77777777" w:rsidTr="00165258">
        <w:tc>
          <w:tcPr>
            <w:tcW w:w="9036" w:type="dxa"/>
            <w:tcBorders>
              <w:top w:val="single" w:sz="4" w:space="0" w:color="000000"/>
              <w:left w:val="single" w:sz="4" w:space="0" w:color="000000"/>
              <w:bottom w:val="single" w:sz="4" w:space="0" w:color="000000"/>
              <w:right w:val="single" w:sz="4" w:space="0" w:color="000000"/>
            </w:tcBorders>
          </w:tcPr>
          <w:p w14:paraId="0A1ED684" w14:textId="77777777" w:rsidR="00FD0367" w:rsidRDefault="00FD0367" w:rsidP="00165258">
            <w:pPr>
              <w:spacing w:before="0" w:after="0"/>
              <w:contextualSpacing/>
              <w:jc w:val="both"/>
              <w:rPr>
                <w:rFonts w:cs="Arial"/>
                <w:spacing w:val="1"/>
                <w:lang w:eastAsia="fr-FR"/>
              </w:rPr>
            </w:pPr>
            <w:r>
              <w:rPr>
                <w:rFonts w:cs="Arial"/>
                <w:spacing w:val="1"/>
                <w:lang w:eastAsia="fr-FR"/>
              </w:rPr>
              <w:t xml:space="preserve">EU only: </w:t>
            </w:r>
          </w:p>
          <w:p w14:paraId="5C183502" w14:textId="3F28F6CC" w:rsidR="00FD0367" w:rsidRDefault="00FD0367" w:rsidP="00165258">
            <w:pPr>
              <w:spacing w:before="0" w:after="0"/>
              <w:contextualSpacing/>
              <w:jc w:val="both"/>
              <w:rPr>
                <w:rFonts w:cs="Arial"/>
                <w:bCs/>
                <w:color w:val="000000"/>
                <w:lang w:eastAsia="fr-FR"/>
              </w:rPr>
            </w:pPr>
            <w:r>
              <w:rPr>
                <w:rFonts w:cs="Arial"/>
                <w:spacing w:val="1"/>
                <w:lang w:eastAsia="fr-FR"/>
              </w:rPr>
              <w:t>F</w:t>
            </w:r>
            <w:r w:rsidRPr="00D66F4F">
              <w:rPr>
                <w:rFonts w:cs="Arial"/>
                <w:spacing w:val="1"/>
                <w:lang w:eastAsia="fr-FR"/>
              </w:rPr>
              <w:t xml:space="preserve">or treatment against mosquitos in tropical conditions, do not apply the product </w:t>
            </w:r>
            <w:r>
              <w:rPr>
                <w:rFonts w:cs="Arial"/>
                <w:spacing w:val="1"/>
                <w:lang w:eastAsia="fr-FR"/>
              </w:rPr>
              <w:t>simultaneously</w:t>
            </w:r>
            <w:r w:rsidRPr="00AC648E">
              <w:rPr>
                <w:rFonts w:cs="Arial"/>
                <w:spacing w:val="1"/>
                <w:lang w:eastAsia="fr-FR"/>
              </w:rPr>
              <w:t xml:space="preserve"> </w:t>
            </w:r>
            <w:r w:rsidRPr="00D66F4F">
              <w:rPr>
                <w:rFonts w:cs="Arial"/>
                <w:spacing w:val="1"/>
                <w:lang w:eastAsia="fr-FR"/>
              </w:rPr>
              <w:t xml:space="preserve">on the skin </w:t>
            </w:r>
            <w:r w:rsidR="00592893">
              <w:rPr>
                <w:rFonts w:cs="Arial"/>
                <w:spacing w:val="1"/>
                <w:lang w:eastAsia="fr-FR"/>
              </w:rPr>
              <w:t xml:space="preserve">of children under 12 years </w:t>
            </w:r>
            <w:r>
              <w:rPr>
                <w:rFonts w:cs="Arial"/>
                <w:spacing w:val="1"/>
                <w:lang w:eastAsia="fr-FR"/>
              </w:rPr>
              <w:t>and on</w:t>
            </w:r>
            <w:r w:rsidRPr="00D66F4F">
              <w:rPr>
                <w:rFonts w:cs="Arial"/>
                <w:spacing w:val="1"/>
                <w:lang w:eastAsia="fr-FR"/>
              </w:rPr>
              <w:t xml:space="preserve"> </w:t>
            </w:r>
            <w:r w:rsidR="00592893">
              <w:rPr>
                <w:rFonts w:cs="Arial"/>
                <w:spacing w:val="1"/>
                <w:lang w:eastAsia="fr-FR"/>
              </w:rPr>
              <w:t xml:space="preserve">their </w:t>
            </w:r>
            <w:r w:rsidRPr="00D66F4F">
              <w:rPr>
                <w:rFonts w:cs="Arial"/>
                <w:spacing w:val="1"/>
                <w:lang w:eastAsia="fr-FR"/>
              </w:rPr>
              <w:t>clothes</w:t>
            </w:r>
            <w:r w:rsidR="00592893">
              <w:rPr>
                <w:rFonts w:cs="Arial"/>
                <w:bCs/>
                <w:color w:val="000000"/>
                <w:lang w:eastAsia="fr-FR"/>
              </w:rPr>
              <w:t>.</w:t>
            </w:r>
          </w:p>
          <w:p w14:paraId="058B2FAF" w14:textId="77777777" w:rsidR="00592893" w:rsidRPr="007E29F8" w:rsidRDefault="00592893" w:rsidP="00165258">
            <w:pPr>
              <w:spacing w:before="0" w:after="0"/>
              <w:contextualSpacing/>
              <w:jc w:val="both"/>
              <w:rPr>
                <w:rFonts w:cs="Arial"/>
                <w:bCs/>
                <w:color w:val="2E74B5" w:themeColor="accent1" w:themeShade="BF"/>
                <w:lang w:eastAsia="fr-FR"/>
              </w:rPr>
            </w:pPr>
          </w:p>
          <w:p w14:paraId="31287C5D" w14:textId="77777777" w:rsidR="00FD0367" w:rsidRPr="007E29F8" w:rsidRDefault="00FD0367" w:rsidP="00165258">
            <w:pPr>
              <w:spacing w:before="0" w:after="0"/>
              <w:contextualSpacing/>
              <w:jc w:val="both"/>
              <w:rPr>
                <w:rFonts w:cs="Arial"/>
                <w:bCs/>
                <w:color w:val="2E74B5" w:themeColor="accent1" w:themeShade="BF"/>
                <w:lang w:eastAsia="fr-FR"/>
              </w:rPr>
            </w:pPr>
            <w:r w:rsidRPr="007E29F8">
              <w:rPr>
                <w:rFonts w:cs="Arial"/>
                <w:bCs/>
                <w:color w:val="2E74B5" w:themeColor="accent1" w:themeShade="BF"/>
                <w:lang w:eastAsia="fr-FR"/>
              </w:rPr>
              <w:t>In France only:</w:t>
            </w:r>
          </w:p>
          <w:p w14:paraId="6A08FAF7" w14:textId="5F06FB64" w:rsidR="00FD0367" w:rsidRPr="00FF1650" w:rsidRDefault="00FD0367" w:rsidP="00165258">
            <w:pPr>
              <w:spacing w:before="0" w:after="0"/>
              <w:contextualSpacing/>
              <w:jc w:val="both"/>
              <w:rPr>
                <w:rFonts w:cs="Arial"/>
                <w:bCs/>
                <w:color w:val="2E74B5" w:themeColor="accent1" w:themeShade="BF"/>
                <w:lang w:eastAsia="fr-FR"/>
              </w:rPr>
            </w:pPr>
            <w:r w:rsidRPr="00C3389D">
              <w:rPr>
                <w:rFonts w:cs="Arial"/>
                <w:bCs/>
                <w:color w:val="2E74B5" w:themeColor="accent1" w:themeShade="BF"/>
                <w:lang w:eastAsia="fr-FR"/>
              </w:rPr>
              <w:t>For treatm</w:t>
            </w:r>
            <w:r w:rsidRPr="00FF1650">
              <w:rPr>
                <w:rFonts w:cs="Arial"/>
                <w:bCs/>
                <w:color w:val="2E74B5" w:themeColor="accent1" w:themeShade="BF"/>
                <w:lang w:eastAsia="fr-FR"/>
              </w:rPr>
              <w:t xml:space="preserve">ent against mosquitos in tropical conditions, do not apply the product simultaneously on the skin </w:t>
            </w:r>
            <w:r w:rsidR="00FF1650" w:rsidRPr="00FF1650">
              <w:rPr>
                <w:rFonts w:cs="Arial"/>
                <w:bCs/>
                <w:color w:val="2E74B5" w:themeColor="accent1" w:themeShade="BF"/>
                <w:lang w:eastAsia="fr-FR"/>
              </w:rPr>
              <w:t>of</w:t>
            </w:r>
            <w:r w:rsidR="00794E3D">
              <w:rPr>
                <w:rFonts w:cs="Arial"/>
                <w:bCs/>
                <w:color w:val="2E74B5" w:themeColor="accent1" w:themeShade="BF"/>
                <w:lang w:eastAsia="fr-FR"/>
              </w:rPr>
              <w:t xml:space="preserve"> </w:t>
            </w:r>
            <w:r w:rsidRPr="00FF1650">
              <w:rPr>
                <w:rFonts w:cs="Arial"/>
                <w:bCs/>
                <w:color w:val="2E74B5" w:themeColor="accent1" w:themeShade="BF"/>
                <w:lang w:eastAsia="fr-FR"/>
              </w:rPr>
              <w:t>children younger than 6 years</w:t>
            </w:r>
            <w:r w:rsidR="00FF1650" w:rsidRPr="00FF1650">
              <w:rPr>
                <w:rFonts w:cs="Arial"/>
                <w:bCs/>
                <w:color w:val="2E74B5" w:themeColor="accent1" w:themeShade="BF"/>
                <w:lang w:eastAsia="fr-FR"/>
              </w:rPr>
              <w:t xml:space="preserve"> and on their clothes</w:t>
            </w:r>
            <w:r w:rsidRPr="00FF1650">
              <w:rPr>
                <w:rFonts w:cs="Arial"/>
                <w:bCs/>
                <w:color w:val="2E74B5" w:themeColor="accent1" w:themeShade="BF"/>
                <w:lang w:eastAsia="fr-FR"/>
              </w:rPr>
              <w:t xml:space="preserve">. </w:t>
            </w:r>
          </w:p>
        </w:tc>
      </w:tr>
    </w:tbl>
    <w:p w14:paraId="4CA06F35" w14:textId="77777777" w:rsidR="00FD0367" w:rsidRDefault="00FD0367" w:rsidP="00FD0367">
      <w:pPr>
        <w:pStyle w:val="Titre5"/>
        <w:numPr>
          <w:ilvl w:val="4"/>
          <w:numId w:val="30"/>
        </w:numPr>
        <w:suppressAutoHyphens/>
        <w:spacing w:before="255" w:after="80" w:line="255" w:lineRule="exact"/>
        <w:rPr>
          <w:rFonts w:cs="Times"/>
          <w:bCs/>
          <w:szCs w:val="29"/>
        </w:rPr>
      </w:pPr>
      <w:bookmarkStart w:id="68" w:name="_Toc93326492"/>
      <w:r>
        <w:t>Where specific to the use, the particulars of likely direct or indirect effects, first aid instructions and emergency measures to protect the environment</w:t>
      </w:r>
      <w:bookmarkEnd w:id="6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D0367" w:rsidRPr="008766C7" w14:paraId="765F3CBB" w14:textId="77777777" w:rsidTr="00165258">
        <w:tc>
          <w:tcPr>
            <w:tcW w:w="9036" w:type="dxa"/>
            <w:tcBorders>
              <w:top w:val="single" w:sz="4" w:space="0" w:color="000000"/>
              <w:left w:val="single" w:sz="4" w:space="0" w:color="000000"/>
              <w:bottom w:val="single" w:sz="4" w:space="0" w:color="000000"/>
              <w:right w:val="single" w:sz="4" w:space="0" w:color="000000"/>
            </w:tcBorders>
          </w:tcPr>
          <w:p w14:paraId="41D7297B" w14:textId="16710459" w:rsidR="00FD0367" w:rsidRDefault="00C3389D" w:rsidP="00165258">
            <w:pPr>
              <w:widowControl w:val="0"/>
              <w:autoSpaceDE w:val="0"/>
              <w:snapToGrid w:val="0"/>
              <w:spacing w:before="80" w:line="254" w:lineRule="auto"/>
              <w:rPr>
                <w:rFonts w:cs="Times"/>
                <w:bCs/>
                <w:szCs w:val="29"/>
              </w:rPr>
            </w:pPr>
            <w:r>
              <w:rPr>
                <w:rFonts w:cs="Times"/>
                <w:bCs/>
                <w:szCs w:val="29"/>
              </w:rPr>
              <w:t>-</w:t>
            </w:r>
          </w:p>
        </w:tc>
      </w:tr>
    </w:tbl>
    <w:p w14:paraId="3EA9C519" w14:textId="77777777" w:rsidR="00FD0367" w:rsidRDefault="00FD0367" w:rsidP="00FD0367">
      <w:pPr>
        <w:pStyle w:val="Titre5"/>
        <w:numPr>
          <w:ilvl w:val="4"/>
          <w:numId w:val="30"/>
        </w:numPr>
        <w:suppressAutoHyphens/>
        <w:spacing w:before="255" w:after="80" w:line="255" w:lineRule="exact"/>
        <w:rPr>
          <w:rFonts w:cs="Times"/>
          <w:bCs/>
          <w:szCs w:val="29"/>
        </w:rPr>
      </w:pPr>
      <w:bookmarkStart w:id="69" w:name="_Toc93326493"/>
      <w:r>
        <w:t>Where specific to the use, the instructions for safe disposal of the product and its packaging</w:t>
      </w:r>
      <w:bookmarkEnd w:id="69"/>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D0367" w:rsidRPr="008766C7" w14:paraId="6C92483F" w14:textId="77777777" w:rsidTr="00165258">
        <w:tc>
          <w:tcPr>
            <w:tcW w:w="9036" w:type="dxa"/>
            <w:tcBorders>
              <w:top w:val="single" w:sz="4" w:space="0" w:color="000000"/>
              <w:left w:val="single" w:sz="4" w:space="0" w:color="000000"/>
              <w:bottom w:val="single" w:sz="4" w:space="0" w:color="000000"/>
              <w:right w:val="single" w:sz="4" w:space="0" w:color="000000"/>
            </w:tcBorders>
          </w:tcPr>
          <w:p w14:paraId="11FB30F8" w14:textId="5E90CDB1" w:rsidR="00FD0367" w:rsidRDefault="00C3389D" w:rsidP="00165258">
            <w:pPr>
              <w:widowControl w:val="0"/>
              <w:autoSpaceDE w:val="0"/>
              <w:snapToGrid w:val="0"/>
              <w:spacing w:before="80" w:line="254" w:lineRule="auto"/>
              <w:rPr>
                <w:rFonts w:cs="Times"/>
                <w:bCs/>
                <w:szCs w:val="29"/>
              </w:rPr>
            </w:pPr>
            <w:r>
              <w:rPr>
                <w:rFonts w:cs="Times"/>
                <w:bCs/>
                <w:szCs w:val="29"/>
              </w:rPr>
              <w:t>-</w:t>
            </w:r>
          </w:p>
        </w:tc>
      </w:tr>
    </w:tbl>
    <w:p w14:paraId="42EA94E5" w14:textId="77777777" w:rsidR="00FD0367" w:rsidRDefault="00FD0367" w:rsidP="00FD0367">
      <w:pPr>
        <w:pStyle w:val="Titre5"/>
        <w:numPr>
          <w:ilvl w:val="4"/>
          <w:numId w:val="30"/>
        </w:numPr>
        <w:suppressAutoHyphens/>
        <w:spacing w:before="255" w:after="80" w:line="255" w:lineRule="exact"/>
        <w:rPr>
          <w:rFonts w:cs="Times"/>
          <w:bCs/>
          <w:szCs w:val="29"/>
        </w:rPr>
      </w:pPr>
      <w:bookmarkStart w:id="70" w:name="_Toc93326494"/>
      <w:r>
        <w:t>Where specific to the use, the conditions of storage and shelf-life of the product under normal conditions of storage</w:t>
      </w:r>
      <w:bookmarkEnd w:id="7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D0367" w:rsidRPr="008766C7" w14:paraId="1ED170EE" w14:textId="77777777" w:rsidTr="00165258">
        <w:tc>
          <w:tcPr>
            <w:tcW w:w="9036" w:type="dxa"/>
            <w:tcBorders>
              <w:top w:val="single" w:sz="4" w:space="0" w:color="000000"/>
              <w:left w:val="single" w:sz="4" w:space="0" w:color="000000"/>
              <w:bottom w:val="single" w:sz="4" w:space="0" w:color="000000"/>
              <w:right w:val="single" w:sz="4" w:space="0" w:color="000000"/>
            </w:tcBorders>
          </w:tcPr>
          <w:p w14:paraId="3C5EE058" w14:textId="63759212" w:rsidR="00FD0367" w:rsidRDefault="00C3389D" w:rsidP="00165258">
            <w:pPr>
              <w:widowControl w:val="0"/>
              <w:autoSpaceDE w:val="0"/>
              <w:snapToGrid w:val="0"/>
              <w:spacing w:before="80" w:line="254" w:lineRule="auto"/>
              <w:rPr>
                <w:rFonts w:cs="Times"/>
                <w:bCs/>
                <w:szCs w:val="29"/>
              </w:rPr>
            </w:pPr>
            <w:r>
              <w:rPr>
                <w:rFonts w:cs="Times"/>
                <w:bCs/>
                <w:szCs w:val="29"/>
              </w:rPr>
              <w:t>-</w:t>
            </w:r>
          </w:p>
        </w:tc>
      </w:tr>
    </w:tbl>
    <w:p w14:paraId="234D6A5C" w14:textId="77777777" w:rsidR="00FD0367" w:rsidRDefault="00FD0367" w:rsidP="007F63F1">
      <w:pPr>
        <w:widowControl w:val="0"/>
        <w:autoSpaceDE w:val="0"/>
        <w:rPr>
          <w:rFonts w:cs="Times"/>
          <w:bCs/>
          <w:szCs w:val="29"/>
        </w:rPr>
      </w:pPr>
    </w:p>
    <w:p w14:paraId="59F0FBD2" w14:textId="77777777" w:rsidR="007F63F1" w:rsidRDefault="007F63F1" w:rsidP="007F63F1">
      <w:pPr>
        <w:pStyle w:val="Titre4"/>
        <w:numPr>
          <w:ilvl w:val="3"/>
          <w:numId w:val="30"/>
        </w:numPr>
        <w:suppressAutoHyphens/>
      </w:pPr>
      <w:bookmarkStart w:id="71" w:name="_Toc2154508"/>
      <w:bookmarkStart w:id="72" w:name="_Toc93326495"/>
      <w:r>
        <w:t>Use description</w:t>
      </w:r>
      <w:bookmarkEnd w:id="71"/>
      <w:bookmarkEnd w:id="72"/>
    </w:p>
    <w:p w14:paraId="0CF97E0F" w14:textId="77777777" w:rsidR="007F63F1" w:rsidRDefault="007F63F1" w:rsidP="007F63F1">
      <w:pPr>
        <w:widowControl w:val="0"/>
        <w:autoSpaceDE w:val="0"/>
        <w:rPr>
          <w:rFonts w:cs="Times"/>
          <w:bCs/>
          <w:szCs w:val="29"/>
        </w:rPr>
      </w:pPr>
    </w:p>
    <w:p w14:paraId="5A65C5F6" w14:textId="6FFBEB9B" w:rsidR="007F63F1" w:rsidRDefault="007F63F1" w:rsidP="007F63F1">
      <w:pPr>
        <w:pStyle w:val="Lgende"/>
        <w:spacing w:after="120"/>
        <w:rPr>
          <w:rFonts w:ascii="Verdana" w:hAnsi="Verdana"/>
          <w:b/>
          <w:bCs/>
          <w:szCs w:val="24"/>
          <w:lang w:eastAsia="en-GB"/>
        </w:rPr>
      </w:pPr>
      <w:r>
        <w:rPr>
          <w:rFonts w:ascii="Verdana" w:hAnsi="Verdana" w:cs="Verdana"/>
        </w:rPr>
        <w:t xml:space="preserve">Table </w:t>
      </w:r>
      <w:r w:rsidR="005240CE">
        <w:rPr>
          <w:rFonts w:ascii="Verdana" w:hAnsi="Verdana" w:cs="Verdana"/>
        </w:rPr>
        <w:t>4</w:t>
      </w:r>
      <w:r>
        <w:rPr>
          <w:rFonts w:ascii="Verdana" w:hAnsi="Verdana"/>
        </w:rPr>
        <w:t xml:space="preserve">. Use # </w:t>
      </w:r>
      <w:r w:rsidR="005240CE">
        <w:rPr>
          <w:rFonts w:ascii="Verdana" w:hAnsi="Verdana"/>
        </w:rPr>
        <w:t>4</w:t>
      </w:r>
      <w:r w:rsidR="007F78F7">
        <w:rPr>
          <w:rFonts w:ascii="Verdana" w:hAnsi="Verdana"/>
        </w:rPr>
        <w:t xml:space="preserve"> </w:t>
      </w:r>
      <w:r>
        <w:rPr>
          <w:rFonts w:ascii="Verdana" w:hAnsi="Verdana"/>
        </w:rPr>
        <w:t xml:space="preserve">– </w:t>
      </w:r>
      <w:r w:rsidR="00023136" w:rsidRPr="00165258">
        <w:rPr>
          <w:rFonts w:ascii="Verdana" w:hAnsi="Verdana"/>
        </w:rPr>
        <w:t xml:space="preserve">Spray for skin application to repel </w:t>
      </w:r>
      <w:r w:rsidR="00023136" w:rsidRPr="002400FE">
        <w:rPr>
          <w:rFonts w:ascii="Verdana" w:hAnsi="Verdana"/>
        </w:rPr>
        <w:t>mosquitoes</w:t>
      </w:r>
      <w:r w:rsidR="00023136" w:rsidRPr="00920B43" w:rsidDel="00023136">
        <w:rPr>
          <w:rStyle w:val="Marquedecommentaire"/>
          <w:rFonts w:ascii="Verdana" w:hAnsi="Verdana"/>
          <w:sz w:val="20"/>
        </w:rPr>
        <w:t xml:space="preserve"> </w:t>
      </w:r>
      <w:r w:rsidR="00043748" w:rsidRPr="00920B43">
        <w:rPr>
          <w:rStyle w:val="Marquedecommentaire"/>
          <w:rFonts w:ascii="Verdana" w:hAnsi="Verdana"/>
          <w:sz w:val="20"/>
        </w:rPr>
        <w:t>(temperate conditions)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D0EB6" w14:paraId="57D88382" w14:textId="77777777" w:rsidTr="007F63F1">
        <w:tc>
          <w:tcPr>
            <w:tcW w:w="2707" w:type="dxa"/>
            <w:tcBorders>
              <w:top w:val="single" w:sz="4" w:space="0" w:color="000000"/>
              <w:left w:val="single" w:sz="4" w:space="0" w:color="000000"/>
              <w:bottom w:val="single" w:sz="4" w:space="0" w:color="000000"/>
              <w:right w:val="nil"/>
            </w:tcBorders>
            <w:hideMark/>
          </w:tcPr>
          <w:p w14:paraId="0D685745" w14:textId="77777777" w:rsidR="006D0EB6" w:rsidRDefault="006D0EB6" w:rsidP="007F63F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76E8B0EE" w14:textId="5ADC1903" w:rsidR="006D0EB6" w:rsidRDefault="006D0EB6" w:rsidP="006D0EB6">
            <w:pPr>
              <w:snapToGrid w:val="0"/>
              <w:spacing w:line="254" w:lineRule="auto"/>
              <w:rPr>
                <w:b/>
              </w:rPr>
            </w:pPr>
            <w:r w:rsidRPr="00AF20E5">
              <w:t>PT19 - Repellents and attractants (Pest control)</w:t>
            </w:r>
          </w:p>
        </w:tc>
      </w:tr>
      <w:tr w:rsidR="006D0EB6" w:rsidRPr="008766C7" w14:paraId="19CB160D" w14:textId="77777777" w:rsidTr="007F63F1">
        <w:tc>
          <w:tcPr>
            <w:tcW w:w="2707" w:type="dxa"/>
            <w:tcBorders>
              <w:top w:val="nil"/>
              <w:left w:val="single" w:sz="4" w:space="0" w:color="000000"/>
              <w:bottom w:val="single" w:sz="4" w:space="0" w:color="000000"/>
              <w:right w:val="nil"/>
            </w:tcBorders>
            <w:hideMark/>
          </w:tcPr>
          <w:p w14:paraId="283A058B" w14:textId="77777777" w:rsidR="006D0EB6" w:rsidRDefault="006D0EB6" w:rsidP="007F63F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54F36DE0" w14:textId="77777777" w:rsidR="006D0EB6" w:rsidRDefault="006D0EB6" w:rsidP="007F63F1">
            <w:pPr>
              <w:snapToGrid w:val="0"/>
              <w:spacing w:line="254" w:lineRule="auto"/>
              <w:rPr>
                <w:b/>
              </w:rPr>
            </w:pPr>
          </w:p>
        </w:tc>
      </w:tr>
      <w:tr w:rsidR="006D0EB6" w:rsidRPr="008766C7" w14:paraId="10B6D8F0" w14:textId="77777777" w:rsidTr="007F63F1">
        <w:tc>
          <w:tcPr>
            <w:tcW w:w="2707" w:type="dxa"/>
            <w:tcBorders>
              <w:top w:val="nil"/>
              <w:left w:val="single" w:sz="4" w:space="0" w:color="000000"/>
              <w:bottom w:val="single" w:sz="4" w:space="0" w:color="000000"/>
              <w:right w:val="nil"/>
            </w:tcBorders>
            <w:hideMark/>
          </w:tcPr>
          <w:p w14:paraId="1F19A4E0" w14:textId="77777777" w:rsidR="006D0EB6" w:rsidRDefault="006D0EB6" w:rsidP="007F63F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157ABA23" w14:textId="4D461989" w:rsidR="006D0EB6" w:rsidRPr="000F3633" w:rsidRDefault="006D0EB6" w:rsidP="006D0EB6">
            <w:pPr>
              <w:contextualSpacing/>
              <w:rPr>
                <w:i/>
              </w:rPr>
            </w:pPr>
            <w:r w:rsidRPr="000F3633">
              <w:rPr>
                <w:i/>
              </w:rPr>
              <w:t>Aedes spp.</w:t>
            </w:r>
          </w:p>
          <w:p w14:paraId="2043931B" w14:textId="77777777" w:rsidR="006D0EB6" w:rsidRPr="000F3633" w:rsidRDefault="006D0EB6" w:rsidP="006D0EB6">
            <w:pPr>
              <w:contextualSpacing/>
              <w:rPr>
                <w:i/>
              </w:rPr>
            </w:pPr>
            <w:r w:rsidRPr="000F3633">
              <w:rPr>
                <w:i/>
              </w:rPr>
              <w:t>Culex spp.</w:t>
            </w:r>
          </w:p>
          <w:p w14:paraId="51BAD496" w14:textId="77777777" w:rsidR="006D0EB6" w:rsidRPr="00875771" w:rsidRDefault="006D0EB6" w:rsidP="006D0EB6">
            <w:pPr>
              <w:contextualSpacing/>
            </w:pPr>
          </w:p>
          <w:p w14:paraId="35D6E909" w14:textId="448C1673" w:rsidR="006D0EB6" w:rsidRDefault="006D0EB6" w:rsidP="006D0EB6">
            <w:pPr>
              <w:snapToGrid w:val="0"/>
              <w:spacing w:line="254" w:lineRule="auto"/>
            </w:pPr>
            <w:r w:rsidRPr="00875771">
              <w:rPr>
                <w:color w:val="000000"/>
              </w:rPr>
              <w:t>Development stage: adults</w:t>
            </w:r>
          </w:p>
        </w:tc>
      </w:tr>
      <w:tr w:rsidR="006D0EB6" w14:paraId="15F0C661" w14:textId="77777777" w:rsidTr="007F63F1">
        <w:tc>
          <w:tcPr>
            <w:tcW w:w="2707" w:type="dxa"/>
            <w:tcBorders>
              <w:top w:val="nil"/>
              <w:left w:val="single" w:sz="4" w:space="0" w:color="000000"/>
              <w:bottom w:val="single" w:sz="4" w:space="0" w:color="000000"/>
              <w:right w:val="nil"/>
            </w:tcBorders>
            <w:hideMark/>
          </w:tcPr>
          <w:p w14:paraId="51AD1A6C" w14:textId="77777777" w:rsidR="006D0EB6" w:rsidRDefault="006D0EB6" w:rsidP="007F63F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78DB73A7" w14:textId="659EE2E6" w:rsidR="006D0EB6" w:rsidRDefault="00D91785" w:rsidP="006D0EB6">
            <w:pPr>
              <w:snapToGrid w:val="0"/>
              <w:spacing w:line="260" w:lineRule="atLeast"/>
              <w:jc w:val="both"/>
            </w:pPr>
            <w:r>
              <w:t>S</w:t>
            </w:r>
            <w:r w:rsidR="0000263F">
              <w:t>kin application</w:t>
            </w:r>
          </w:p>
        </w:tc>
      </w:tr>
      <w:tr w:rsidR="006D0EB6" w14:paraId="2BFB8E92" w14:textId="77777777" w:rsidTr="007F63F1">
        <w:tc>
          <w:tcPr>
            <w:tcW w:w="2707" w:type="dxa"/>
            <w:tcBorders>
              <w:top w:val="nil"/>
              <w:left w:val="single" w:sz="4" w:space="0" w:color="000000"/>
              <w:bottom w:val="single" w:sz="4" w:space="0" w:color="000000"/>
              <w:right w:val="nil"/>
            </w:tcBorders>
            <w:hideMark/>
          </w:tcPr>
          <w:p w14:paraId="50F742B1" w14:textId="77777777" w:rsidR="006D0EB6" w:rsidRDefault="006D0EB6" w:rsidP="007F63F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5C4E8C90" w14:textId="6C4232D1" w:rsidR="006D0EB6" w:rsidRPr="00AF20E5" w:rsidRDefault="006D0EB6" w:rsidP="006D0EB6">
            <w:r w:rsidRPr="00AF20E5">
              <w:t>Spraying</w:t>
            </w:r>
          </w:p>
          <w:p w14:paraId="38C656C5" w14:textId="4C73473B" w:rsidR="006D0EB6" w:rsidRDefault="006D0EB6" w:rsidP="00762133">
            <w:pPr>
              <w:tabs>
                <w:tab w:val="left" w:pos="1200"/>
              </w:tabs>
              <w:snapToGrid w:val="0"/>
              <w:spacing w:line="260" w:lineRule="atLeast"/>
            </w:pPr>
            <w:r w:rsidRPr="00AF20E5">
              <w:rPr>
                <w:color w:val="000000"/>
              </w:rPr>
              <w:t>Spray directly on skin</w:t>
            </w:r>
          </w:p>
        </w:tc>
      </w:tr>
      <w:tr w:rsidR="006D0EB6" w:rsidRPr="008766C7" w14:paraId="54C2868F" w14:textId="77777777" w:rsidTr="007F63F1">
        <w:tc>
          <w:tcPr>
            <w:tcW w:w="2707" w:type="dxa"/>
            <w:tcBorders>
              <w:top w:val="nil"/>
              <w:left w:val="single" w:sz="4" w:space="0" w:color="000000"/>
              <w:bottom w:val="single" w:sz="4" w:space="0" w:color="000000"/>
              <w:right w:val="nil"/>
            </w:tcBorders>
            <w:hideMark/>
          </w:tcPr>
          <w:p w14:paraId="6C994A0F" w14:textId="77777777" w:rsidR="006D0EB6" w:rsidRDefault="006D0EB6" w:rsidP="007F63F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1F85DA14" w14:textId="32EBD299" w:rsidR="00762133" w:rsidRDefault="00762133" w:rsidP="00762133">
            <w:r>
              <w:t>Application rate i</w:t>
            </w:r>
            <w:r w:rsidRPr="00AF20E5">
              <w:t xml:space="preserve">n temperate conditions: </w:t>
            </w:r>
            <w:r w:rsidR="009E2CCB">
              <w:t>0,</w:t>
            </w:r>
            <w:r w:rsidRPr="00AF20E5">
              <w:t xml:space="preserve">6 </w:t>
            </w:r>
            <w:r w:rsidR="009E2CCB">
              <w:t>m</w:t>
            </w:r>
            <w:r w:rsidRPr="00AF20E5">
              <w:t xml:space="preserve">g of product per </w:t>
            </w:r>
            <w:r w:rsidR="009E2CCB">
              <w:t>c</w:t>
            </w:r>
            <w:r w:rsidRPr="00AF20E5">
              <w:t xml:space="preserve">m² </w:t>
            </w:r>
            <w:r>
              <w:t>of skin</w:t>
            </w:r>
            <w:r w:rsidRPr="00AF20E5">
              <w:t xml:space="preserve"> </w:t>
            </w:r>
          </w:p>
          <w:p w14:paraId="4FBB052E" w14:textId="3D602D59" w:rsidR="006D0EB6" w:rsidRPr="00762133" w:rsidRDefault="00762133" w:rsidP="00762133">
            <w:pPr>
              <w:rPr>
                <w:color w:val="000000"/>
                <w:lang w:val="en-US"/>
              </w:rPr>
            </w:pPr>
            <w:r>
              <w:t>Protection time: 4</w:t>
            </w:r>
            <w:r w:rsidRPr="001D2CEA">
              <w:t xml:space="preserve"> hours in temperate condition</w:t>
            </w:r>
            <w:r>
              <w:t>s</w:t>
            </w:r>
          </w:p>
        </w:tc>
      </w:tr>
      <w:tr w:rsidR="006D0EB6" w14:paraId="5F919905" w14:textId="77777777" w:rsidTr="007F63F1">
        <w:tc>
          <w:tcPr>
            <w:tcW w:w="2707" w:type="dxa"/>
            <w:tcBorders>
              <w:top w:val="nil"/>
              <w:left w:val="single" w:sz="4" w:space="0" w:color="000000"/>
              <w:bottom w:val="single" w:sz="4" w:space="0" w:color="000000"/>
              <w:right w:val="nil"/>
            </w:tcBorders>
            <w:hideMark/>
          </w:tcPr>
          <w:p w14:paraId="45B0F56A" w14:textId="77777777" w:rsidR="006D0EB6" w:rsidRDefault="006D0EB6" w:rsidP="007F63F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30C3B8B4" w14:textId="2EC2A3F9" w:rsidR="006D0EB6" w:rsidRPr="000E4EF0" w:rsidRDefault="000E4EF0" w:rsidP="007F63F1">
            <w:pPr>
              <w:snapToGrid w:val="0"/>
              <w:spacing w:line="254" w:lineRule="auto"/>
            </w:pPr>
            <w:r w:rsidRPr="00D601DB">
              <w:t>General public (non-professional)</w:t>
            </w:r>
          </w:p>
        </w:tc>
      </w:tr>
      <w:tr w:rsidR="006D0EB6" w:rsidRPr="008766C7" w14:paraId="45FC8AA1" w14:textId="77777777" w:rsidTr="007F63F1">
        <w:tc>
          <w:tcPr>
            <w:tcW w:w="2707" w:type="dxa"/>
            <w:tcBorders>
              <w:top w:val="nil"/>
              <w:left w:val="single" w:sz="4" w:space="0" w:color="000000"/>
              <w:bottom w:val="single" w:sz="4" w:space="0" w:color="000000"/>
              <w:right w:val="nil"/>
            </w:tcBorders>
            <w:hideMark/>
          </w:tcPr>
          <w:p w14:paraId="6FA84787" w14:textId="77777777" w:rsidR="006D0EB6" w:rsidRDefault="006D0EB6" w:rsidP="007F63F1">
            <w:pPr>
              <w:spacing w:line="254" w:lineRule="auto"/>
            </w:pPr>
            <w:r>
              <w:rPr>
                <w:b/>
                <w:bCs/>
                <w:szCs w:val="24"/>
                <w:lang w:eastAsia="en-GB"/>
              </w:rPr>
              <w:lastRenderedPageBreak/>
              <w:t>Pack sizes and packaging material</w:t>
            </w:r>
          </w:p>
        </w:tc>
        <w:tc>
          <w:tcPr>
            <w:tcW w:w="6328" w:type="dxa"/>
            <w:tcBorders>
              <w:top w:val="nil"/>
              <w:left w:val="single" w:sz="4" w:space="0" w:color="000000"/>
              <w:bottom w:val="single" w:sz="4" w:space="0" w:color="000000"/>
              <w:right w:val="single" w:sz="4" w:space="0" w:color="000000"/>
            </w:tcBorders>
          </w:tcPr>
          <w:p w14:paraId="25CD09C5" w14:textId="196CCFA2" w:rsidR="006D0EB6" w:rsidRDefault="00FB1AED" w:rsidP="007F63F1">
            <w:pPr>
              <w:spacing w:line="254" w:lineRule="auto"/>
            </w:pPr>
            <w:r>
              <w:t>100-250mL HDPE bottle (with sprayer)</w:t>
            </w:r>
          </w:p>
        </w:tc>
      </w:tr>
    </w:tbl>
    <w:p w14:paraId="045F27F2" w14:textId="77777777" w:rsidR="007F63F1" w:rsidRDefault="007F63F1" w:rsidP="007F63F1">
      <w:pPr>
        <w:tabs>
          <w:tab w:val="left" w:pos="500"/>
        </w:tabs>
        <w:ind w:left="500" w:hanging="500"/>
      </w:pPr>
    </w:p>
    <w:p w14:paraId="518C2024" w14:textId="77777777" w:rsidR="007F63F1" w:rsidRDefault="007F63F1" w:rsidP="007F63F1">
      <w:pPr>
        <w:pStyle w:val="Titre5"/>
        <w:numPr>
          <w:ilvl w:val="4"/>
          <w:numId w:val="30"/>
        </w:numPr>
        <w:suppressAutoHyphens/>
        <w:spacing w:before="255" w:after="80" w:line="255" w:lineRule="exact"/>
        <w:rPr>
          <w:rFonts w:cs="Times"/>
          <w:bCs/>
          <w:szCs w:val="29"/>
        </w:rPr>
      </w:pPr>
      <w:bookmarkStart w:id="73" w:name="_Toc93326496"/>
      <w:r>
        <w:t>Use-specific instructions for use</w:t>
      </w:r>
      <w:bookmarkEnd w:id="7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14:paraId="029AF8AC"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41AFF1DF" w14:textId="2CD9F67E" w:rsidR="00BA0C6D" w:rsidRPr="00043748" w:rsidRDefault="00BA0C6D" w:rsidP="00762133">
            <w:pPr>
              <w:numPr>
                <w:ilvl w:val="0"/>
                <w:numId w:val="31"/>
              </w:numPr>
              <w:spacing w:before="0" w:after="0"/>
              <w:contextualSpacing/>
              <w:jc w:val="both"/>
              <w:rPr>
                <w:rFonts w:cs="Arial"/>
                <w:bCs/>
                <w:color w:val="000000"/>
                <w:lang w:val="en-US" w:eastAsia="fr-FR"/>
              </w:rPr>
            </w:pPr>
            <w:r w:rsidRPr="00043748">
              <w:rPr>
                <w:lang w:eastAsia="en-US"/>
              </w:rPr>
              <w:t>Wash hands thoroughly after handling</w:t>
            </w:r>
            <w:r w:rsidRPr="00043748">
              <w:rPr>
                <w:rFonts w:cs="Arial"/>
                <w:bCs/>
                <w:color w:val="000000"/>
                <w:lang w:val="en-US" w:eastAsia="fr-FR"/>
              </w:rPr>
              <w:t xml:space="preserve"> </w:t>
            </w:r>
          </w:p>
          <w:p w14:paraId="4876961E" w14:textId="6EC9A91C" w:rsidR="00C5056E" w:rsidRPr="00043748" w:rsidRDefault="00BA0C6D" w:rsidP="00814FC2">
            <w:pPr>
              <w:numPr>
                <w:ilvl w:val="0"/>
                <w:numId w:val="31"/>
              </w:numPr>
              <w:spacing w:before="0" w:after="0"/>
              <w:contextualSpacing/>
              <w:jc w:val="both"/>
              <w:rPr>
                <w:rFonts w:cs="Arial"/>
                <w:bCs/>
                <w:color w:val="000000"/>
                <w:lang w:val="en-US" w:eastAsia="fr-FR"/>
              </w:rPr>
            </w:pPr>
            <w:r w:rsidRPr="00043748">
              <w:rPr>
                <w:rFonts w:cs="Arial"/>
                <w:bCs/>
                <w:color w:val="000000"/>
                <w:lang w:val="en-US" w:eastAsia="fr-FR"/>
              </w:rPr>
              <w:t>Do not apply the product on the hands of child</w:t>
            </w:r>
            <w:r w:rsidR="00F572E3">
              <w:rPr>
                <w:rFonts w:cs="Arial"/>
                <w:bCs/>
                <w:color w:val="000000"/>
                <w:lang w:val="en-US" w:eastAsia="fr-FR"/>
              </w:rPr>
              <w:t xml:space="preserve"> under 12 years.</w:t>
            </w:r>
          </w:p>
          <w:p w14:paraId="0BB82BE6" w14:textId="77777777" w:rsidR="00762133" w:rsidRDefault="00762133" w:rsidP="00762133">
            <w:pPr>
              <w:widowControl w:val="0"/>
              <w:numPr>
                <w:ilvl w:val="0"/>
                <w:numId w:val="31"/>
              </w:numPr>
              <w:autoSpaceDE w:val="0"/>
              <w:autoSpaceDN w:val="0"/>
              <w:adjustRightInd w:val="0"/>
              <w:spacing w:before="0" w:after="0"/>
            </w:pPr>
            <w:r w:rsidRPr="00BF33EC">
              <w:t>In case of a concomitant us</w:t>
            </w:r>
            <w:r>
              <w:t>e of the product with sunscreen</w:t>
            </w:r>
            <w:r w:rsidRPr="00BF33EC">
              <w:t>, first apply the sunscreen and wait 20 minutes before the application of the product.</w:t>
            </w:r>
          </w:p>
          <w:p w14:paraId="75A3DA2C" w14:textId="77777777" w:rsidR="007F63F1" w:rsidRPr="0096250C" w:rsidRDefault="00762133" w:rsidP="009667BA">
            <w:pPr>
              <w:pStyle w:val="Paragraphedeliste"/>
              <w:numPr>
                <w:ilvl w:val="0"/>
                <w:numId w:val="31"/>
              </w:numPr>
              <w:spacing w:before="0" w:after="0" w:line="260" w:lineRule="atLeast"/>
              <w:rPr>
                <w:rFonts w:eastAsia="Calibri"/>
              </w:rPr>
            </w:pPr>
            <w:r w:rsidRPr="007177F7">
              <w:t>Retreat after water exposure without exceeding the maximal recommended application number.</w:t>
            </w:r>
          </w:p>
          <w:p w14:paraId="148E9F68" w14:textId="7AB03F82" w:rsidR="0066271D" w:rsidRDefault="0066271D" w:rsidP="0066271D">
            <w:pPr>
              <w:widowControl w:val="0"/>
              <w:autoSpaceDE w:val="0"/>
              <w:snapToGrid w:val="0"/>
              <w:spacing w:before="80" w:after="0" w:line="260" w:lineRule="atLeast"/>
              <w:contextualSpacing/>
              <w:jc w:val="both"/>
              <w:rPr>
                <w:rFonts w:eastAsia="Calibri" w:cs="Times"/>
                <w:bCs/>
                <w:sz w:val="22"/>
                <w:szCs w:val="24"/>
                <w:lang w:val="sv-SE" w:eastAsia="sv-SE"/>
              </w:rPr>
            </w:pPr>
          </w:p>
          <w:p w14:paraId="3CA3AEF9" w14:textId="77777777" w:rsidR="00F00A50" w:rsidRPr="0010045B" w:rsidRDefault="00F00A50" w:rsidP="00F00A50">
            <w:pPr>
              <w:widowControl w:val="0"/>
              <w:autoSpaceDE w:val="0"/>
              <w:snapToGrid w:val="0"/>
              <w:spacing w:before="80" w:after="0" w:line="260" w:lineRule="atLeast"/>
              <w:contextualSpacing/>
              <w:jc w:val="both"/>
              <w:rPr>
                <w:rFonts w:cs="Arial"/>
                <w:bCs/>
                <w:lang w:eastAsia="fr-FR"/>
              </w:rPr>
            </w:pPr>
            <w:r w:rsidRPr="0010045B">
              <w:rPr>
                <w:rFonts w:cs="Arial"/>
                <w:bCs/>
                <w:lang w:eastAsia="fr-FR"/>
              </w:rPr>
              <w:t>EU only:</w:t>
            </w:r>
          </w:p>
          <w:p w14:paraId="6E7C6A8F" w14:textId="2D039F86" w:rsidR="00F00A50" w:rsidRPr="005363E6" w:rsidRDefault="00F00A50" w:rsidP="00F00A50">
            <w:pPr>
              <w:widowControl w:val="0"/>
              <w:autoSpaceDE w:val="0"/>
              <w:snapToGrid w:val="0"/>
              <w:spacing w:before="0" w:after="0" w:line="260" w:lineRule="atLeast"/>
              <w:jc w:val="both"/>
              <w:rPr>
                <w:rFonts w:cs="Arial"/>
                <w:b/>
                <w:bCs/>
                <w:lang w:eastAsia="fr-FR"/>
              </w:rPr>
            </w:pPr>
            <w:r w:rsidRPr="005363E6">
              <w:rPr>
                <w:rFonts w:cs="Arial"/>
                <w:b/>
                <w:bCs/>
                <w:lang w:eastAsia="fr-FR"/>
              </w:rPr>
              <w:t>Number of sprays (100ml</w:t>
            </w:r>
            <w:r w:rsidR="002F7770">
              <w:rPr>
                <w:rFonts w:cs="Arial"/>
                <w:b/>
                <w:bCs/>
                <w:lang w:eastAsia="fr-FR"/>
              </w:rPr>
              <w:t xml:space="preserve"> – 100 µL per spray</w:t>
            </w:r>
            <w:r w:rsidRPr="005363E6">
              <w:rPr>
                <w:rFonts w:cs="Arial"/>
                <w:b/>
                <w:bCs/>
                <w:lang w:eastAsia="fr-FR"/>
              </w:rPr>
              <w:t>):</w:t>
            </w:r>
          </w:p>
          <w:p w14:paraId="3610E391" w14:textId="58D04A1B" w:rsidR="00F00A50" w:rsidRPr="00266F9D" w:rsidRDefault="00F00A50" w:rsidP="00F00A50">
            <w:pPr>
              <w:widowControl w:val="0"/>
              <w:autoSpaceDE w:val="0"/>
              <w:snapToGrid w:val="0"/>
              <w:spacing w:before="0" w:after="0" w:line="260" w:lineRule="atLeast"/>
              <w:jc w:val="both"/>
              <w:rPr>
                <w:rFonts w:cs="Arial"/>
                <w:bCs/>
                <w:lang w:eastAsia="fr-FR"/>
              </w:rPr>
            </w:pPr>
            <w:r w:rsidRPr="005363E6">
              <w:rPr>
                <w:rFonts w:cs="Arial"/>
                <w:bCs/>
                <w:lang w:eastAsia="fr-FR"/>
              </w:rPr>
              <w:t>- Adult and children</w:t>
            </w:r>
            <w:r w:rsidR="00794E3D">
              <w:rPr>
                <w:rFonts w:cs="Arial"/>
                <w:bCs/>
                <w:lang w:eastAsia="fr-FR"/>
              </w:rPr>
              <w:t xml:space="preserve"> &gt;</w:t>
            </w:r>
            <w:r w:rsidRPr="005363E6">
              <w:rPr>
                <w:rFonts w:cs="Arial"/>
                <w:bCs/>
                <w:lang w:eastAsia="fr-FR"/>
              </w:rPr>
              <w:t>12 years</w:t>
            </w:r>
            <w:r w:rsidR="00794E3D">
              <w:rPr>
                <w:rFonts w:cs="Arial"/>
                <w:bCs/>
                <w:lang w:eastAsia="fr-FR"/>
              </w:rPr>
              <w:t xml:space="preserve"> old</w:t>
            </w:r>
            <w:r w:rsidRPr="005363E6">
              <w:rPr>
                <w:rFonts w:cs="Arial"/>
                <w:bCs/>
                <w:lang w:eastAsia="fr-FR"/>
              </w:rPr>
              <w:t xml:space="preserve">: apply 7 sprays to the head, </w:t>
            </w:r>
            <w:r>
              <w:rPr>
                <w:rFonts w:cs="Arial"/>
                <w:bCs/>
                <w:lang w:eastAsia="fr-FR"/>
              </w:rPr>
              <w:t>1 spray on the neck, 6</w:t>
            </w:r>
            <w:r w:rsidRPr="005363E6">
              <w:rPr>
                <w:rFonts w:cs="Arial"/>
                <w:bCs/>
                <w:lang w:eastAsia="fr-FR"/>
              </w:rPr>
              <w:t xml:space="preserve"> sprays per arm, 2 spray</w:t>
            </w:r>
            <w:r>
              <w:rPr>
                <w:rFonts w:cs="Arial"/>
                <w:bCs/>
                <w:lang w:eastAsia="fr-FR"/>
              </w:rPr>
              <w:t>s</w:t>
            </w:r>
            <w:r w:rsidRPr="005363E6">
              <w:rPr>
                <w:rFonts w:cs="Arial"/>
                <w:bCs/>
                <w:lang w:eastAsia="fr-FR"/>
              </w:rPr>
              <w:t xml:space="preserve"> </w:t>
            </w:r>
            <w:r w:rsidRPr="00266F9D">
              <w:rPr>
                <w:rFonts w:cs="Arial"/>
                <w:bCs/>
                <w:lang w:eastAsia="fr-FR"/>
              </w:rPr>
              <w:t>per hand, 13 sprays per leg and 3 sprays per foot, once a day.</w:t>
            </w:r>
          </w:p>
          <w:p w14:paraId="40F6EFA4" w14:textId="11D7A997" w:rsidR="00F00A50" w:rsidRPr="00266F9D" w:rsidRDefault="00F00A50" w:rsidP="00F00A50">
            <w:pPr>
              <w:widowControl w:val="0"/>
              <w:autoSpaceDE w:val="0"/>
              <w:snapToGrid w:val="0"/>
              <w:spacing w:before="0" w:after="0" w:line="260" w:lineRule="atLeast"/>
              <w:jc w:val="both"/>
              <w:rPr>
                <w:rFonts w:cs="Arial"/>
                <w:bCs/>
                <w:lang w:eastAsia="fr-FR"/>
              </w:rPr>
            </w:pPr>
            <w:r w:rsidRPr="00266F9D">
              <w:rPr>
                <w:rFonts w:cs="Arial"/>
                <w:bCs/>
                <w:lang w:eastAsia="fr-FR"/>
              </w:rPr>
              <w:t>- Children from 6 to &lt;12 years</w:t>
            </w:r>
            <w:r w:rsidR="00794E3D" w:rsidRPr="00266F9D">
              <w:rPr>
                <w:rFonts w:cs="Arial"/>
                <w:bCs/>
                <w:lang w:eastAsia="fr-FR"/>
              </w:rPr>
              <w:t xml:space="preserve"> old</w:t>
            </w:r>
            <w:r w:rsidRPr="00266F9D">
              <w:rPr>
                <w:rFonts w:cs="Arial"/>
                <w:bCs/>
                <w:lang w:eastAsia="fr-FR"/>
              </w:rPr>
              <w:t xml:space="preserve">: apply 3 sprays to the head, 1 spray on the neck, 3 sprays per arm, </w:t>
            </w:r>
            <w:r w:rsidRPr="00EA7456">
              <w:rPr>
                <w:rFonts w:cs="Arial"/>
                <w:bCs/>
                <w:lang w:eastAsia="fr-FR"/>
              </w:rPr>
              <w:t>1 spray per hand</w:t>
            </w:r>
            <w:r w:rsidRPr="00266F9D">
              <w:rPr>
                <w:rFonts w:cs="Arial"/>
                <w:bCs/>
                <w:lang w:eastAsia="fr-FR"/>
              </w:rPr>
              <w:t>, 7 sprays per leg and 1 spray per foot, once a day.</w:t>
            </w:r>
          </w:p>
          <w:p w14:paraId="5C5448BC" w14:textId="4CC1EC28" w:rsidR="00F00A50" w:rsidRPr="00266F9D" w:rsidRDefault="00F00A50" w:rsidP="00F00A50">
            <w:pPr>
              <w:widowControl w:val="0"/>
              <w:autoSpaceDE w:val="0"/>
              <w:snapToGrid w:val="0"/>
              <w:spacing w:before="0" w:after="0" w:line="260" w:lineRule="atLeast"/>
              <w:jc w:val="both"/>
              <w:rPr>
                <w:rFonts w:cs="Arial"/>
                <w:bCs/>
                <w:lang w:eastAsia="fr-FR"/>
              </w:rPr>
            </w:pPr>
            <w:r w:rsidRPr="00266F9D">
              <w:rPr>
                <w:rFonts w:cs="Arial"/>
                <w:bCs/>
                <w:lang w:eastAsia="fr-FR"/>
              </w:rPr>
              <w:t>- Children from 2 to &lt;6 years</w:t>
            </w:r>
            <w:r w:rsidR="00794E3D" w:rsidRPr="00266F9D">
              <w:rPr>
                <w:rFonts w:cs="Arial"/>
                <w:bCs/>
                <w:lang w:eastAsia="fr-FR"/>
              </w:rPr>
              <w:t xml:space="preserve"> old</w:t>
            </w:r>
            <w:r w:rsidRPr="00266F9D">
              <w:rPr>
                <w:rFonts w:cs="Arial"/>
                <w:bCs/>
                <w:lang w:eastAsia="fr-FR"/>
              </w:rPr>
              <w:t xml:space="preserve">: apply 3 sprays to the head, 1 spray on the neck, 2 sprays per arm, </w:t>
            </w:r>
            <w:r w:rsidRPr="00EA7456">
              <w:rPr>
                <w:rFonts w:cs="Arial"/>
                <w:bCs/>
                <w:lang w:eastAsia="fr-FR"/>
              </w:rPr>
              <w:t>1 spray per hand</w:t>
            </w:r>
            <w:r w:rsidRPr="00266F9D">
              <w:rPr>
                <w:rFonts w:cs="Arial"/>
                <w:bCs/>
                <w:lang w:eastAsia="fr-FR"/>
              </w:rPr>
              <w:t>, 4 sprays per leg and 1 spray per foot, once a day.</w:t>
            </w:r>
          </w:p>
          <w:p w14:paraId="28772C31" w14:textId="48902C4A" w:rsidR="00F00A50" w:rsidRPr="005363E6" w:rsidRDefault="00F00A50" w:rsidP="00F00A50">
            <w:pPr>
              <w:widowControl w:val="0"/>
              <w:autoSpaceDE w:val="0"/>
              <w:snapToGrid w:val="0"/>
              <w:spacing w:before="0" w:after="0" w:line="260" w:lineRule="atLeast"/>
              <w:jc w:val="both"/>
              <w:rPr>
                <w:rFonts w:cs="Arial"/>
                <w:bCs/>
                <w:lang w:eastAsia="fr-FR"/>
              </w:rPr>
            </w:pPr>
            <w:r w:rsidRPr="00266F9D">
              <w:rPr>
                <w:rFonts w:cs="Arial"/>
                <w:bCs/>
                <w:lang w:eastAsia="fr-FR"/>
              </w:rPr>
              <w:t>- Children 1 to &lt;2 years</w:t>
            </w:r>
            <w:r w:rsidR="00794E3D" w:rsidRPr="00266F9D">
              <w:rPr>
                <w:rFonts w:cs="Arial"/>
                <w:bCs/>
                <w:lang w:eastAsia="fr-FR"/>
              </w:rPr>
              <w:t xml:space="preserve"> old</w:t>
            </w:r>
            <w:r w:rsidRPr="00266F9D">
              <w:rPr>
                <w:rFonts w:cs="Arial"/>
                <w:bCs/>
                <w:lang w:eastAsia="fr-FR"/>
              </w:rPr>
              <w:t>: apply 2 sprays to the head, 1 spray on the neck, 1 spray per arm and 3 sprays per leg,</w:t>
            </w:r>
            <w:r w:rsidRPr="005363E6">
              <w:rPr>
                <w:rFonts w:cs="Arial"/>
                <w:bCs/>
                <w:lang w:eastAsia="fr-FR"/>
              </w:rPr>
              <w:t xml:space="preserve"> once a day.</w:t>
            </w:r>
          </w:p>
          <w:p w14:paraId="7EE709BF" w14:textId="611BD04C" w:rsidR="00F00A50" w:rsidRPr="005363E6" w:rsidRDefault="00F00A50" w:rsidP="00F00A50">
            <w:pPr>
              <w:widowControl w:val="0"/>
              <w:autoSpaceDE w:val="0"/>
              <w:snapToGrid w:val="0"/>
              <w:spacing w:before="0" w:after="0" w:line="260" w:lineRule="atLeast"/>
              <w:jc w:val="both"/>
              <w:rPr>
                <w:rFonts w:cs="Arial"/>
                <w:bCs/>
                <w:lang w:eastAsia="fr-FR"/>
              </w:rPr>
            </w:pPr>
            <w:r w:rsidRPr="005363E6">
              <w:rPr>
                <w:rFonts w:cs="Arial"/>
                <w:bCs/>
                <w:lang w:eastAsia="fr-FR"/>
              </w:rPr>
              <w:t>- Infants &lt;1 year</w:t>
            </w:r>
            <w:r w:rsidR="00794E3D">
              <w:rPr>
                <w:rFonts w:cs="Arial"/>
                <w:bCs/>
                <w:lang w:eastAsia="fr-FR"/>
              </w:rPr>
              <w:t xml:space="preserve"> old</w:t>
            </w:r>
            <w:r w:rsidRPr="005363E6">
              <w:rPr>
                <w:rFonts w:cs="Arial"/>
                <w:bCs/>
                <w:lang w:eastAsia="fr-FR"/>
              </w:rPr>
              <w:t xml:space="preserve">: </w:t>
            </w:r>
            <w:r w:rsidRPr="00217F26">
              <w:rPr>
                <w:rFonts w:cs="Arial"/>
                <w:bCs/>
                <w:lang w:eastAsia="fr-FR"/>
              </w:rPr>
              <w:t xml:space="preserve">apply </w:t>
            </w:r>
            <w:r w:rsidRPr="00F00A50">
              <w:rPr>
                <w:rFonts w:cs="Arial"/>
                <w:bCs/>
                <w:lang w:eastAsia="fr-FR"/>
              </w:rPr>
              <w:t>2</w:t>
            </w:r>
            <w:r w:rsidRPr="005363E6">
              <w:rPr>
                <w:rFonts w:cs="Arial"/>
                <w:bCs/>
                <w:lang w:eastAsia="fr-FR"/>
              </w:rPr>
              <w:t xml:space="preserve"> sprays to the head, 1 spray on the neck, 1 spray per arm and 2 spray per leg, once a day.</w:t>
            </w:r>
          </w:p>
          <w:p w14:paraId="006DDC34" w14:textId="4E1F04A1" w:rsidR="00F00A50" w:rsidRDefault="00F00A50" w:rsidP="00F00A50">
            <w:pPr>
              <w:widowControl w:val="0"/>
              <w:autoSpaceDE w:val="0"/>
              <w:snapToGrid w:val="0"/>
              <w:spacing w:before="80" w:after="0" w:line="260" w:lineRule="atLeast"/>
              <w:contextualSpacing/>
              <w:jc w:val="both"/>
              <w:rPr>
                <w:rFonts w:eastAsia="Calibri" w:cs="Times"/>
                <w:bCs/>
                <w:sz w:val="22"/>
                <w:szCs w:val="24"/>
                <w:lang w:eastAsia="sv-SE"/>
              </w:rPr>
            </w:pPr>
          </w:p>
          <w:p w14:paraId="364B92B6" w14:textId="0081ECE7" w:rsidR="002F7770" w:rsidRPr="005363E6" w:rsidRDefault="002F7770" w:rsidP="002F7770">
            <w:pPr>
              <w:widowControl w:val="0"/>
              <w:autoSpaceDE w:val="0"/>
              <w:snapToGrid w:val="0"/>
              <w:spacing w:before="0" w:after="0" w:line="260" w:lineRule="atLeast"/>
              <w:jc w:val="both"/>
              <w:rPr>
                <w:rFonts w:cs="Arial"/>
                <w:b/>
                <w:bCs/>
                <w:lang w:eastAsia="fr-FR"/>
              </w:rPr>
            </w:pPr>
            <w:r w:rsidRPr="005363E6">
              <w:rPr>
                <w:rFonts w:cs="Arial"/>
                <w:b/>
                <w:bCs/>
                <w:lang w:eastAsia="fr-FR"/>
              </w:rPr>
              <w:t>Number of sprays (100ml</w:t>
            </w:r>
            <w:r>
              <w:rPr>
                <w:rFonts w:cs="Arial"/>
                <w:b/>
                <w:bCs/>
                <w:lang w:eastAsia="fr-FR"/>
              </w:rPr>
              <w:t xml:space="preserve"> – 300 µL per spray</w:t>
            </w:r>
            <w:r w:rsidRPr="005363E6">
              <w:rPr>
                <w:rFonts w:cs="Arial"/>
                <w:b/>
                <w:bCs/>
                <w:lang w:eastAsia="fr-FR"/>
              </w:rPr>
              <w:t>):</w:t>
            </w:r>
          </w:p>
          <w:p w14:paraId="0C4810B5" w14:textId="7717C7A7" w:rsidR="002F7770" w:rsidRPr="00266F9D" w:rsidRDefault="002F7770" w:rsidP="002F7770">
            <w:pPr>
              <w:widowControl w:val="0"/>
              <w:autoSpaceDE w:val="0"/>
              <w:snapToGrid w:val="0"/>
              <w:spacing w:before="0" w:after="0" w:line="260" w:lineRule="atLeast"/>
              <w:jc w:val="both"/>
              <w:rPr>
                <w:rFonts w:cs="Arial"/>
                <w:bCs/>
                <w:lang w:eastAsia="fr-FR"/>
              </w:rPr>
            </w:pPr>
            <w:r w:rsidRPr="005363E6">
              <w:rPr>
                <w:rFonts w:cs="Arial"/>
                <w:bCs/>
                <w:lang w:eastAsia="fr-FR"/>
              </w:rPr>
              <w:t>- Adult and children</w:t>
            </w:r>
            <w:r>
              <w:rPr>
                <w:rFonts w:cs="Arial"/>
                <w:bCs/>
                <w:lang w:eastAsia="fr-FR"/>
              </w:rPr>
              <w:t xml:space="preserve"> &gt;</w:t>
            </w:r>
            <w:r w:rsidRPr="005363E6">
              <w:rPr>
                <w:rFonts w:cs="Arial"/>
                <w:bCs/>
                <w:lang w:eastAsia="fr-FR"/>
              </w:rPr>
              <w:t>12 years</w:t>
            </w:r>
            <w:r>
              <w:rPr>
                <w:rFonts w:cs="Arial"/>
                <w:bCs/>
                <w:lang w:eastAsia="fr-FR"/>
              </w:rPr>
              <w:t xml:space="preserve"> old</w:t>
            </w:r>
            <w:r w:rsidRPr="005363E6">
              <w:rPr>
                <w:rFonts w:cs="Arial"/>
                <w:bCs/>
                <w:lang w:eastAsia="fr-FR"/>
              </w:rPr>
              <w:t xml:space="preserve">: apply </w:t>
            </w:r>
            <w:r>
              <w:rPr>
                <w:rFonts w:cs="Arial"/>
                <w:bCs/>
                <w:lang w:eastAsia="fr-FR"/>
              </w:rPr>
              <w:t>2</w:t>
            </w:r>
            <w:r w:rsidRPr="005363E6">
              <w:rPr>
                <w:rFonts w:cs="Arial"/>
                <w:bCs/>
                <w:lang w:eastAsia="fr-FR"/>
              </w:rPr>
              <w:t xml:space="preserve"> sprays to the head, </w:t>
            </w:r>
            <w:r>
              <w:rPr>
                <w:rFonts w:cs="Arial"/>
                <w:bCs/>
                <w:lang w:eastAsia="fr-FR"/>
              </w:rPr>
              <w:t>1 spray on the neck, 2</w:t>
            </w:r>
            <w:r w:rsidRPr="005363E6">
              <w:rPr>
                <w:rFonts w:cs="Arial"/>
                <w:bCs/>
                <w:lang w:eastAsia="fr-FR"/>
              </w:rPr>
              <w:t xml:space="preserve"> sprays per arm, </w:t>
            </w:r>
            <w:r>
              <w:rPr>
                <w:rFonts w:cs="Arial"/>
                <w:bCs/>
                <w:lang w:eastAsia="fr-FR"/>
              </w:rPr>
              <w:t>1</w:t>
            </w:r>
            <w:r w:rsidRPr="005363E6">
              <w:rPr>
                <w:rFonts w:cs="Arial"/>
                <w:bCs/>
                <w:lang w:eastAsia="fr-FR"/>
              </w:rPr>
              <w:t xml:space="preserve"> spray </w:t>
            </w:r>
            <w:r w:rsidRPr="00266F9D">
              <w:rPr>
                <w:rFonts w:cs="Arial"/>
                <w:bCs/>
                <w:lang w:eastAsia="fr-FR"/>
              </w:rPr>
              <w:t xml:space="preserve">per hand, </w:t>
            </w:r>
            <w:r>
              <w:rPr>
                <w:rFonts w:cs="Arial"/>
                <w:bCs/>
                <w:lang w:eastAsia="fr-FR"/>
              </w:rPr>
              <w:t>5</w:t>
            </w:r>
            <w:r w:rsidRPr="00266F9D">
              <w:rPr>
                <w:rFonts w:cs="Arial"/>
                <w:bCs/>
                <w:lang w:eastAsia="fr-FR"/>
              </w:rPr>
              <w:t xml:space="preserve"> sprays per leg and </w:t>
            </w:r>
            <w:r>
              <w:rPr>
                <w:rFonts w:cs="Arial"/>
                <w:bCs/>
                <w:lang w:eastAsia="fr-FR"/>
              </w:rPr>
              <w:t>1</w:t>
            </w:r>
            <w:r w:rsidRPr="00266F9D">
              <w:rPr>
                <w:rFonts w:cs="Arial"/>
                <w:bCs/>
                <w:lang w:eastAsia="fr-FR"/>
              </w:rPr>
              <w:t xml:space="preserve"> sprays per foot, once a day.</w:t>
            </w:r>
          </w:p>
          <w:p w14:paraId="43B5B942" w14:textId="190F7DF6" w:rsidR="002F7770" w:rsidRPr="00266F9D" w:rsidRDefault="002F7770" w:rsidP="002F7770">
            <w:pPr>
              <w:widowControl w:val="0"/>
              <w:autoSpaceDE w:val="0"/>
              <w:snapToGrid w:val="0"/>
              <w:spacing w:before="0" w:after="0" w:line="260" w:lineRule="atLeast"/>
              <w:jc w:val="both"/>
              <w:rPr>
                <w:rFonts w:cs="Arial"/>
                <w:bCs/>
                <w:lang w:eastAsia="fr-FR"/>
              </w:rPr>
            </w:pPr>
            <w:r w:rsidRPr="00266F9D">
              <w:rPr>
                <w:rFonts w:cs="Arial"/>
                <w:bCs/>
                <w:lang w:eastAsia="fr-FR"/>
              </w:rPr>
              <w:t xml:space="preserve">- Children from 6 to &lt;12 years old: apply </w:t>
            </w:r>
            <w:r>
              <w:rPr>
                <w:rFonts w:cs="Arial"/>
                <w:bCs/>
                <w:lang w:eastAsia="fr-FR"/>
              </w:rPr>
              <w:t>1</w:t>
            </w:r>
            <w:r w:rsidRPr="00266F9D">
              <w:rPr>
                <w:rFonts w:cs="Arial"/>
                <w:bCs/>
                <w:lang w:eastAsia="fr-FR"/>
              </w:rPr>
              <w:t xml:space="preserve"> spray to the head, 1 spray on the neck, </w:t>
            </w:r>
            <w:r>
              <w:rPr>
                <w:rFonts w:cs="Arial"/>
                <w:bCs/>
                <w:lang w:eastAsia="fr-FR"/>
              </w:rPr>
              <w:t>1</w:t>
            </w:r>
            <w:r w:rsidRPr="00266F9D">
              <w:rPr>
                <w:rFonts w:cs="Arial"/>
                <w:bCs/>
                <w:lang w:eastAsia="fr-FR"/>
              </w:rPr>
              <w:t xml:space="preserve"> sprays per arm, </w:t>
            </w:r>
            <w:r w:rsidRPr="00EA7456">
              <w:rPr>
                <w:rFonts w:cs="Arial"/>
                <w:bCs/>
                <w:lang w:eastAsia="fr-FR"/>
              </w:rPr>
              <w:t>1 spray per hand</w:t>
            </w:r>
            <w:r w:rsidRPr="00266F9D">
              <w:rPr>
                <w:rFonts w:cs="Arial"/>
                <w:bCs/>
                <w:lang w:eastAsia="fr-FR"/>
              </w:rPr>
              <w:t xml:space="preserve">, </w:t>
            </w:r>
            <w:r>
              <w:rPr>
                <w:rFonts w:cs="Arial"/>
                <w:bCs/>
                <w:lang w:eastAsia="fr-FR"/>
              </w:rPr>
              <w:t>2</w:t>
            </w:r>
            <w:r w:rsidRPr="00266F9D">
              <w:rPr>
                <w:rFonts w:cs="Arial"/>
                <w:bCs/>
                <w:lang w:eastAsia="fr-FR"/>
              </w:rPr>
              <w:t xml:space="preserve"> sprays per leg and 1 spray per foot, once a day.</w:t>
            </w:r>
          </w:p>
          <w:p w14:paraId="2D90FA16" w14:textId="2FE3EAF5" w:rsidR="002F7770" w:rsidRPr="00266F9D" w:rsidRDefault="002F7770" w:rsidP="002F7770">
            <w:pPr>
              <w:widowControl w:val="0"/>
              <w:autoSpaceDE w:val="0"/>
              <w:snapToGrid w:val="0"/>
              <w:spacing w:before="0" w:after="0" w:line="260" w:lineRule="atLeast"/>
              <w:jc w:val="both"/>
              <w:rPr>
                <w:rFonts w:cs="Arial"/>
                <w:bCs/>
                <w:lang w:eastAsia="fr-FR"/>
              </w:rPr>
            </w:pPr>
            <w:r w:rsidRPr="00266F9D">
              <w:rPr>
                <w:rFonts w:cs="Arial"/>
                <w:bCs/>
                <w:lang w:eastAsia="fr-FR"/>
              </w:rPr>
              <w:t xml:space="preserve">- Children from 2 to &lt;6 years old: apply </w:t>
            </w:r>
            <w:r>
              <w:rPr>
                <w:rFonts w:cs="Arial"/>
                <w:bCs/>
                <w:lang w:eastAsia="fr-FR"/>
              </w:rPr>
              <w:t>1</w:t>
            </w:r>
            <w:r w:rsidRPr="00266F9D">
              <w:rPr>
                <w:rFonts w:cs="Arial"/>
                <w:bCs/>
                <w:lang w:eastAsia="fr-FR"/>
              </w:rPr>
              <w:t xml:space="preserve"> spray to the head, 1 spray on the neck, </w:t>
            </w:r>
            <w:r>
              <w:rPr>
                <w:rFonts w:cs="Arial"/>
                <w:bCs/>
                <w:lang w:eastAsia="fr-FR"/>
              </w:rPr>
              <w:t>1</w:t>
            </w:r>
            <w:r w:rsidRPr="00266F9D">
              <w:rPr>
                <w:rFonts w:cs="Arial"/>
                <w:bCs/>
                <w:lang w:eastAsia="fr-FR"/>
              </w:rPr>
              <w:t xml:space="preserve"> spray per arm, </w:t>
            </w:r>
            <w:r w:rsidRPr="00EA7456">
              <w:rPr>
                <w:rFonts w:cs="Arial"/>
                <w:bCs/>
                <w:lang w:eastAsia="fr-FR"/>
              </w:rPr>
              <w:t>1 spray per hand</w:t>
            </w:r>
            <w:r w:rsidRPr="00266F9D">
              <w:rPr>
                <w:rFonts w:cs="Arial"/>
                <w:bCs/>
                <w:lang w:eastAsia="fr-FR"/>
              </w:rPr>
              <w:t xml:space="preserve">, </w:t>
            </w:r>
            <w:r>
              <w:rPr>
                <w:rFonts w:cs="Arial"/>
                <w:bCs/>
                <w:lang w:eastAsia="fr-FR"/>
              </w:rPr>
              <w:t>2</w:t>
            </w:r>
            <w:r w:rsidRPr="00266F9D">
              <w:rPr>
                <w:rFonts w:cs="Arial"/>
                <w:bCs/>
                <w:lang w:eastAsia="fr-FR"/>
              </w:rPr>
              <w:t xml:space="preserve"> sprays per leg and 1 spray per foot, once a day.</w:t>
            </w:r>
          </w:p>
          <w:p w14:paraId="2DD6E10E" w14:textId="5503A981" w:rsidR="002F7770" w:rsidRPr="005363E6" w:rsidRDefault="002F7770" w:rsidP="002F7770">
            <w:pPr>
              <w:widowControl w:val="0"/>
              <w:autoSpaceDE w:val="0"/>
              <w:snapToGrid w:val="0"/>
              <w:spacing w:before="0" w:after="0" w:line="260" w:lineRule="atLeast"/>
              <w:jc w:val="both"/>
              <w:rPr>
                <w:rFonts w:cs="Arial"/>
                <w:bCs/>
                <w:lang w:eastAsia="fr-FR"/>
              </w:rPr>
            </w:pPr>
            <w:r w:rsidRPr="00266F9D">
              <w:rPr>
                <w:rFonts w:cs="Arial"/>
                <w:bCs/>
                <w:lang w:eastAsia="fr-FR"/>
              </w:rPr>
              <w:t xml:space="preserve">- Children 1 to &lt;2 years old: apply </w:t>
            </w:r>
            <w:r w:rsidR="00A66CCF">
              <w:rPr>
                <w:rFonts w:cs="Arial"/>
                <w:bCs/>
                <w:lang w:eastAsia="fr-FR"/>
              </w:rPr>
              <w:t>1</w:t>
            </w:r>
            <w:r w:rsidRPr="00266F9D">
              <w:rPr>
                <w:rFonts w:cs="Arial"/>
                <w:bCs/>
                <w:lang w:eastAsia="fr-FR"/>
              </w:rPr>
              <w:t xml:space="preserve"> spray to the head, 1 spray on the neck, 1 spray per arm and </w:t>
            </w:r>
            <w:r w:rsidR="00A66CCF">
              <w:rPr>
                <w:rFonts w:cs="Arial"/>
                <w:bCs/>
                <w:lang w:eastAsia="fr-FR"/>
              </w:rPr>
              <w:t>1</w:t>
            </w:r>
            <w:r w:rsidRPr="00266F9D">
              <w:rPr>
                <w:rFonts w:cs="Arial"/>
                <w:bCs/>
                <w:lang w:eastAsia="fr-FR"/>
              </w:rPr>
              <w:t xml:space="preserve"> spray per leg,</w:t>
            </w:r>
            <w:r w:rsidRPr="005363E6">
              <w:rPr>
                <w:rFonts w:cs="Arial"/>
                <w:bCs/>
                <w:lang w:eastAsia="fr-FR"/>
              </w:rPr>
              <w:t xml:space="preserve"> once a day.</w:t>
            </w:r>
          </w:p>
          <w:p w14:paraId="27849F5E" w14:textId="77777777" w:rsidR="002F7770" w:rsidRPr="005363E6" w:rsidRDefault="002F7770" w:rsidP="002F7770">
            <w:pPr>
              <w:widowControl w:val="0"/>
              <w:autoSpaceDE w:val="0"/>
              <w:snapToGrid w:val="0"/>
              <w:spacing w:before="0" w:after="0" w:line="260" w:lineRule="atLeast"/>
              <w:jc w:val="both"/>
              <w:rPr>
                <w:rFonts w:cs="Arial"/>
                <w:bCs/>
                <w:lang w:eastAsia="fr-FR"/>
              </w:rPr>
            </w:pPr>
            <w:r w:rsidRPr="005363E6">
              <w:rPr>
                <w:rFonts w:cs="Arial"/>
                <w:bCs/>
                <w:lang w:eastAsia="fr-FR"/>
              </w:rPr>
              <w:t>- Infants &lt;1 year</w:t>
            </w:r>
            <w:r>
              <w:rPr>
                <w:rFonts w:cs="Arial"/>
                <w:bCs/>
                <w:lang w:eastAsia="fr-FR"/>
              </w:rPr>
              <w:t xml:space="preserve"> old</w:t>
            </w:r>
            <w:r w:rsidRPr="005363E6">
              <w:rPr>
                <w:rFonts w:cs="Arial"/>
                <w:bCs/>
                <w:lang w:eastAsia="fr-FR"/>
              </w:rPr>
              <w:t xml:space="preserve">: </w:t>
            </w:r>
            <w:r w:rsidRPr="00217F26">
              <w:rPr>
                <w:rFonts w:cs="Arial"/>
                <w:bCs/>
                <w:lang w:eastAsia="fr-FR"/>
              </w:rPr>
              <w:t xml:space="preserve">apply </w:t>
            </w:r>
            <w:r w:rsidRPr="00F00A50">
              <w:rPr>
                <w:rFonts w:cs="Arial"/>
                <w:bCs/>
                <w:lang w:eastAsia="fr-FR"/>
              </w:rPr>
              <w:t>2</w:t>
            </w:r>
            <w:r w:rsidRPr="005363E6">
              <w:rPr>
                <w:rFonts w:cs="Arial"/>
                <w:bCs/>
                <w:lang w:eastAsia="fr-FR"/>
              </w:rPr>
              <w:t xml:space="preserve"> sprays to the head, 1 spray on the neck, 1 spray per arm and 2 spray per leg, once a day.</w:t>
            </w:r>
          </w:p>
          <w:p w14:paraId="17017F0A" w14:textId="77777777" w:rsidR="002F7770" w:rsidRPr="005363E6" w:rsidRDefault="002F7770" w:rsidP="00F00A50">
            <w:pPr>
              <w:widowControl w:val="0"/>
              <w:autoSpaceDE w:val="0"/>
              <w:snapToGrid w:val="0"/>
              <w:spacing w:before="80" w:after="0" w:line="260" w:lineRule="atLeast"/>
              <w:contextualSpacing/>
              <w:jc w:val="both"/>
              <w:rPr>
                <w:rFonts w:eastAsia="Calibri" w:cs="Times"/>
                <w:bCs/>
                <w:sz w:val="22"/>
                <w:szCs w:val="24"/>
                <w:lang w:eastAsia="sv-SE"/>
              </w:rPr>
            </w:pPr>
          </w:p>
          <w:p w14:paraId="11A55517" w14:textId="77777777" w:rsidR="00F00A50" w:rsidRPr="005363E6" w:rsidRDefault="00F00A50" w:rsidP="00F00A50">
            <w:pPr>
              <w:widowControl w:val="0"/>
              <w:autoSpaceDE w:val="0"/>
              <w:snapToGrid w:val="0"/>
              <w:spacing w:before="0" w:after="0" w:line="260" w:lineRule="atLeast"/>
              <w:jc w:val="both"/>
              <w:rPr>
                <w:rFonts w:cs="Arial"/>
                <w:b/>
                <w:bCs/>
                <w:lang w:eastAsia="fr-FR"/>
              </w:rPr>
            </w:pPr>
            <w:r w:rsidRPr="005363E6">
              <w:rPr>
                <w:rFonts w:cs="Arial"/>
                <w:b/>
                <w:bCs/>
                <w:lang w:eastAsia="fr-FR"/>
              </w:rPr>
              <w:t>Number of sprays (250ml):</w:t>
            </w:r>
          </w:p>
          <w:p w14:paraId="0EBE0E8E" w14:textId="74C149BE" w:rsidR="00F00A50" w:rsidRPr="005363E6" w:rsidRDefault="00F00A50" w:rsidP="00F00A50">
            <w:pPr>
              <w:widowControl w:val="0"/>
              <w:autoSpaceDE w:val="0"/>
              <w:snapToGrid w:val="0"/>
              <w:spacing w:before="0" w:after="0" w:line="260" w:lineRule="atLeast"/>
              <w:jc w:val="both"/>
              <w:rPr>
                <w:rFonts w:cs="Arial"/>
                <w:bCs/>
                <w:lang w:eastAsia="fr-FR"/>
              </w:rPr>
            </w:pPr>
            <w:r w:rsidRPr="005363E6">
              <w:rPr>
                <w:rFonts w:cs="Arial"/>
                <w:bCs/>
                <w:lang w:eastAsia="fr-FR"/>
              </w:rPr>
              <w:t>- Adult and children</w:t>
            </w:r>
            <w:r w:rsidR="00794E3D">
              <w:rPr>
                <w:rFonts w:cs="Arial"/>
                <w:bCs/>
                <w:lang w:eastAsia="fr-FR"/>
              </w:rPr>
              <w:t xml:space="preserve"> &gt;</w:t>
            </w:r>
            <w:r w:rsidRPr="005363E6">
              <w:rPr>
                <w:rFonts w:cs="Arial"/>
                <w:bCs/>
                <w:lang w:eastAsia="fr-FR"/>
              </w:rPr>
              <w:t>12 years</w:t>
            </w:r>
            <w:r w:rsidR="00794E3D">
              <w:rPr>
                <w:rFonts w:cs="Arial"/>
                <w:bCs/>
                <w:lang w:eastAsia="fr-FR"/>
              </w:rPr>
              <w:t xml:space="preserve"> old</w:t>
            </w:r>
            <w:r w:rsidRPr="005363E6">
              <w:rPr>
                <w:rFonts w:cs="Arial"/>
                <w:bCs/>
                <w:lang w:eastAsia="fr-FR"/>
              </w:rPr>
              <w:t xml:space="preserve">: </w:t>
            </w:r>
            <w:r w:rsidRPr="00217F26">
              <w:rPr>
                <w:rFonts w:cs="Arial"/>
                <w:bCs/>
                <w:lang w:eastAsia="fr-FR"/>
              </w:rPr>
              <w:t>apply</w:t>
            </w:r>
            <w:r w:rsidRPr="00F00A50">
              <w:rPr>
                <w:rFonts w:cs="Arial"/>
                <w:bCs/>
                <w:lang w:eastAsia="fr-FR"/>
              </w:rPr>
              <w:t xml:space="preserve"> 1 spray to the head,</w:t>
            </w:r>
            <w:r w:rsidRPr="005363E6">
              <w:rPr>
                <w:rFonts w:cs="Arial"/>
                <w:bCs/>
                <w:lang w:eastAsia="fr-FR"/>
              </w:rPr>
              <w:t xml:space="preserve"> 1 spray per arm, 3 sprays per leg and 1 spray per foot, once a day.</w:t>
            </w:r>
          </w:p>
          <w:p w14:paraId="2C41093C" w14:textId="657F0F53" w:rsidR="00F00A50" w:rsidRPr="005363E6" w:rsidRDefault="00F00A50" w:rsidP="00F00A50">
            <w:pPr>
              <w:widowControl w:val="0"/>
              <w:autoSpaceDE w:val="0"/>
              <w:snapToGrid w:val="0"/>
              <w:spacing w:before="0" w:after="0" w:line="260" w:lineRule="atLeast"/>
              <w:jc w:val="both"/>
              <w:rPr>
                <w:rFonts w:cs="Arial"/>
                <w:bCs/>
                <w:lang w:eastAsia="fr-FR"/>
              </w:rPr>
            </w:pPr>
            <w:r w:rsidRPr="005363E6">
              <w:rPr>
                <w:rFonts w:cs="Arial"/>
                <w:bCs/>
                <w:lang w:eastAsia="fr-FR"/>
              </w:rPr>
              <w:t>- Children from 6 to &lt;12 years</w:t>
            </w:r>
            <w:r w:rsidR="00794E3D">
              <w:rPr>
                <w:rFonts w:cs="Arial"/>
                <w:bCs/>
                <w:lang w:eastAsia="fr-FR"/>
              </w:rPr>
              <w:t xml:space="preserve"> old</w:t>
            </w:r>
            <w:r w:rsidRPr="005363E6">
              <w:rPr>
                <w:rFonts w:cs="Arial"/>
                <w:bCs/>
                <w:lang w:eastAsia="fr-FR"/>
              </w:rPr>
              <w:t xml:space="preserve">: </w:t>
            </w:r>
            <w:r w:rsidRPr="00217F26">
              <w:rPr>
                <w:rFonts w:cs="Arial"/>
                <w:bCs/>
                <w:lang w:eastAsia="fr-FR"/>
              </w:rPr>
              <w:t>apply</w:t>
            </w:r>
            <w:r w:rsidRPr="00F00A50">
              <w:rPr>
                <w:rFonts w:cs="Arial"/>
                <w:bCs/>
                <w:lang w:eastAsia="fr-FR"/>
              </w:rPr>
              <w:t xml:space="preserve"> </w:t>
            </w:r>
            <w:r w:rsidRPr="005363E6">
              <w:rPr>
                <w:rFonts w:cs="Arial"/>
                <w:bCs/>
                <w:lang w:eastAsia="fr-FR"/>
              </w:rPr>
              <w:t>2 sprays per arm and 2 sprays per leg, once a day.</w:t>
            </w:r>
          </w:p>
          <w:p w14:paraId="560C01FF" w14:textId="7939ACBD" w:rsidR="00F00A50" w:rsidRPr="005363E6" w:rsidRDefault="00F00A50" w:rsidP="00F00A50">
            <w:pPr>
              <w:widowControl w:val="0"/>
              <w:autoSpaceDE w:val="0"/>
              <w:snapToGrid w:val="0"/>
              <w:spacing w:before="0" w:after="0" w:line="260" w:lineRule="atLeast"/>
              <w:jc w:val="both"/>
              <w:rPr>
                <w:rFonts w:cs="Arial"/>
                <w:bCs/>
                <w:lang w:eastAsia="fr-FR"/>
              </w:rPr>
            </w:pPr>
            <w:r w:rsidRPr="005363E6">
              <w:rPr>
                <w:rFonts w:cs="Arial"/>
                <w:bCs/>
                <w:lang w:eastAsia="fr-FR"/>
              </w:rPr>
              <w:t>- Children from 2 to &lt;6 years</w:t>
            </w:r>
            <w:r w:rsidR="00794E3D">
              <w:rPr>
                <w:rFonts w:cs="Arial"/>
                <w:bCs/>
                <w:lang w:eastAsia="fr-FR"/>
              </w:rPr>
              <w:t xml:space="preserve"> old</w:t>
            </w:r>
            <w:r w:rsidRPr="005363E6">
              <w:rPr>
                <w:rFonts w:cs="Arial"/>
                <w:bCs/>
                <w:lang w:eastAsia="fr-FR"/>
              </w:rPr>
              <w:t xml:space="preserve">: </w:t>
            </w:r>
            <w:r w:rsidRPr="00217F26">
              <w:rPr>
                <w:rFonts w:cs="Arial"/>
                <w:bCs/>
                <w:lang w:eastAsia="fr-FR"/>
              </w:rPr>
              <w:t xml:space="preserve">apply </w:t>
            </w:r>
            <w:r w:rsidR="0035542E">
              <w:rPr>
                <w:rFonts w:cs="Arial"/>
                <w:bCs/>
                <w:lang w:eastAsia="fr-FR"/>
              </w:rPr>
              <w:t xml:space="preserve">1 </w:t>
            </w:r>
            <w:r w:rsidRPr="00F00A50">
              <w:rPr>
                <w:rFonts w:cs="Arial"/>
                <w:bCs/>
                <w:lang w:eastAsia="fr-FR"/>
              </w:rPr>
              <w:t xml:space="preserve">spray for both </w:t>
            </w:r>
            <w:r w:rsidRPr="005363E6">
              <w:rPr>
                <w:rFonts w:cs="Arial"/>
                <w:bCs/>
                <w:lang w:eastAsia="fr-FR"/>
              </w:rPr>
              <w:t>arms and 1 spray per leg, once a day.</w:t>
            </w:r>
          </w:p>
          <w:p w14:paraId="25B588DD" w14:textId="77CCEE9F" w:rsidR="00F00A50" w:rsidRPr="005363E6" w:rsidRDefault="00794E3D" w:rsidP="00F00A50">
            <w:pPr>
              <w:widowControl w:val="0"/>
              <w:autoSpaceDE w:val="0"/>
              <w:snapToGrid w:val="0"/>
              <w:spacing w:before="0" w:after="0" w:line="260" w:lineRule="atLeast"/>
              <w:jc w:val="both"/>
              <w:rPr>
                <w:rFonts w:cs="Arial"/>
                <w:bCs/>
                <w:lang w:eastAsia="fr-FR"/>
              </w:rPr>
            </w:pPr>
            <w:r>
              <w:rPr>
                <w:rFonts w:cs="Arial"/>
                <w:bCs/>
                <w:lang w:eastAsia="fr-FR"/>
              </w:rPr>
              <w:t>- Children 1 to &lt;2 years old</w:t>
            </w:r>
            <w:r w:rsidR="00F00A50" w:rsidRPr="005363E6">
              <w:rPr>
                <w:rFonts w:cs="Arial"/>
                <w:bCs/>
                <w:lang w:eastAsia="fr-FR"/>
              </w:rPr>
              <w:t xml:space="preserve">: </w:t>
            </w:r>
            <w:r w:rsidR="00F00A50" w:rsidRPr="00217F26">
              <w:rPr>
                <w:rFonts w:cs="Arial"/>
                <w:bCs/>
                <w:lang w:eastAsia="fr-FR"/>
              </w:rPr>
              <w:t>a</w:t>
            </w:r>
            <w:r w:rsidR="00F00A50" w:rsidRPr="005363E6">
              <w:rPr>
                <w:rFonts w:cs="Arial"/>
                <w:bCs/>
                <w:lang w:eastAsia="fr-FR"/>
              </w:rPr>
              <w:t xml:space="preserve">pply 1 spray for both arms and 1 spray </w:t>
            </w:r>
            <w:r w:rsidR="00F00A50" w:rsidRPr="00217F26">
              <w:rPr>
                <w:rFonts w:cs="Arial"/>
                <w:bCs/>
                <w:lang w:eastAsia="fr-FR"/>
              </w:rPr>
              <w:t>for b</w:t>
            </w:r>
            <w:r w:rsidR="00F00A50" w:rsidRPr="00F00A50">
              <w:rPr>
                <w:rFonts w:cs="Arial"/>
                <w:bCs/>
                <w:lang w:eastAsia="fr-FR"/>
              </w:rPr>
              <w:t>oth</w:t>
            </w:r>
            <w:r w:rsidR="00F00A50">
              <w:rPr>
                <w:rFonts w:cs="Arial"/>
                <w:bCs/>
                <w:lang w:eastAsia="fr-FR"/>
              </w:rPr>
              <w:t xml:space="preserve"> legs</w:t>
            </w:r>
            <w:r w:rsidR="00F00A50" w:rsidRPr="005363E6">
              <w:rPr>
                <w:rFonts w:cs="Arial"/>
                <w:bCs/>
                <w:lang w:eastAsia="fr-FR"/>
              </w:rPr>
              <w:t xml:space="preserve"> once a day.</w:t>
            </w:r>
          </w:p>
          <w:p w14:paraId="405053C3" w14:textId="33780188" w:rsidR="00F00A50" w:rsidRPr="005363E6" w:rsidRDefault="00F00A50" w:rsidP="00F00A50">
            <w:pPr>
              <w:widowControl w:val="0"/>
              <w:autoSpaceDE w:val="0"/>
              <w:snapToGrid w:val="0"/>
              <w:spacing w:before="80" w:after="0" w:line="260" w:lineRule="atLeast"/>
              <w:contextualSpacing/>
              <w:jc w:val="both"/>
              <w:rPr>
                <w:rFonts w:eastAsia="Calibri" w:cs="Times"/>
                <w:bCs/>
                <w:sz w:val="22"/>
                <w:szCs w:val="24"/>
                <w:lang w:eastAsia="sv-SE"/>
              </w:rPr>
            </w:pPr>
            <w:r w:rsidRPr="005363E6">
              <w:rPr>
                <w:rFonts w:cs="Arial"/>
                <w:bCs/>
                <w:lang w:eastAsia="fr-FR"/>
              </w:rPr>
              <w:t>- Infants &lt;1 year</w:t>
            </w:r>
            <w:r w:rsidR="00794E3D">
              <w:rPr>
                <w:rFonts w:cs="Arial"/>
                <w:bCs/>
                <w:lang w:eastAsia="fr-FR"/>
              </w:rPr>
              <w:t xml:space="preserve"> old</w:t>
            </w:r>
            <w:r w:rsidRPr="005363E6">
              <w:rPr>
                <w:rFonts w:cs="Arial"/>
                <w:bCs/>
                <w:lang w:eastAsia="fr-FR"/>
              </w:rPr>
              <w:t xml:space="preserve">: apply </w:t>
            </w:r>
            <w:r>
              <w:rPr>
                <w:rFonts w:cs="Arial"/>
                <w:bCs/>
                <w:lang w:eastAsia="fr-FR"/>
              </w:rPr>
              <w:t>2</w:t>
            </w:r>
            <w:r w:rsidRPr="005363E6">
              <w:rPr>
                <w:rFonts w:cs="Arial"/>
                <w:bCs/>
                <w:lang w:eastAsia="fr-FR"/>
              </w:rPr>
              <w:t xml:space="preserve"> spray</w:t>
            </w:r>
            <w:r>
              <w:rPr>
                <w:rFonts w:cs="Arial"/>
                <w:bCs/>
                <w:lang w:eastAsia="fr-FR"/>
              </w:rPr>
              <w:t>s</w:t>
            </w:r>
            <w:r w:rsidRPr="005363E6">
              <w:rPr>
                <w:rFonts w:cs="Arial"/>
                <w:bCs/>
                <w:lang w:eastAsia="fr-FR"/>
              </w:rPr>
              <w:t xml:space="preserve"> for the body, once a day.</w:t>
            </w:r>
          </w:p>
          <w:p w14:paraId="55AA40EC" w14:textId="77777777" w:rsidR="00F00A50" w:rsidRDefault="00F00A50" w:rsidP="0066271D">
            <w:pPr>
              <w:widowControl w:val="0"/>
              <w:autoSpaceDE w:val="0"/>
              <w:snapToGrid w:val="0"/>
              <w:spacing w:before="80" w:after="0" w:line="260" w:lineRule="atLeast"/>
              <w:contextualSpacing/>
              <w:jc w:val="both"/>
              <w:rPr>
                <w:rFonts w:eastAsia="Calibri" w:cs="Times"/>
                <w:bCs/>
                <w:sz w:val="22"/>
                <w:szCs w:val="24"/>
                <w:lang w:val="sv-SE" w:eastAsia="sv-SE"/>
              </w:rPr>
            </w:pPr>
          </w:p>
          <w:p w14:paraId="2FAF7952" w14:textId="1CB4D392" w:rsidR="00814FC2" w:rsidRPr="0010045B" w:rsidRDefault="00814FC2" w:rsidP="00814FC2">
            <w:pPr>
              <w:widowControl w:val="0"/>
              <w:autoSpaceDE w:val="0"/>
              <w:snapToGrid w:val="0"/>
              <w:spacing w:before="80" w:after="0" w:line="260" w:lineRule="atLeast"/>
              <w:contextualSpacing/>
              <w:jc w:val="both"/>
              <w:rPr>
                <w:rFonts w:cs="Arial"/>
                <w:bCs/>
                <w:lang w:eastAsia="fr-FR"/>
              </w:rPr>
            </w:pPr>
            <w:r w:rsidRPr="0010045B">
              <w:rPr>
                <w:rFonts w:cs="Arial"/>
                <w:bCs/>
                <w:lang w:eastAsia="fr-FR"/>
              </w:rPr>
              <w:t>In France only:</w:t>
            </w:r>
          </w:p>
          <w:p w14:paraId="3A3B3E17" w14:textId="31E45DB9" w:rsidR="00C54069" w:rsidRPr="00FF1650" w:rsidRDefault="00C54069" w:rsidP="00C54069">
            <w:pPr>
              <w:widowControl w:val="0"/>
              <w:autoSpaceDE w:val="0"/>
              <w:snapToGrid w:val="0"/>
              <w:spacing w:before="80" w:after="0" w:line="260" w:lineRule="atLeast"/>
              <w:contextualSpacing/>
              <w:jc w:val="both"/>
              <w:rPr>
                <w:rFonts w:cs="Arial"/>
                <w:b/>
                <w:bCs/>
                <w:color w:val="2E74B5" w:themeColor="accent1" w:themeShade="BF"/>
                <w:lang w:eastAsia="fr-FR"/>
              </w:rPr>
            </w:pPr>
            <w:r w:rsidRPr="00FF1650">
              <w:rPr>
                <w:rFonts w:cs="Arial"/>
                <w:b/>
                <w:bCs/>
                <w:color w:val="2E74B5" w:themeColor="accent1" w:themeShade="BF"/>
                <w:lang w:eastAsia="fr-FR"/>
              </w:rPr>
              <w:t>Number of sprays (100ml</w:t>
            </w:r>
            <w:r w:rsidR="002F7770">
              <w:rPr>
                <w:rFonts w:cs="Arial"/>
                <w:b/>
                <w:bCs/>
                <w:color w:val="2E74B5" w:themeColor="accent1" w:themeShade="BF"/>
                <w:lang w:eastAsia="fr-FR"/>
              </w:rPr>
              <w:t xml:space="preserve"> – 100 µL per spray)</w:t>
            </w:r>
            <w:r w:rsidRPr="00FF1650">
              <w:rPr>
                <w:rFonts w:cs="Arial"/>
                <w:b/>
                <w:bCs/>
                <w:color w:val="2E74B5" w:themeColor="accent1" w:themeShade="BF"/>
                <w:lang w:eastAsia="fr-FR"/>
              </w:rPr>
              <w:t>):</w:t>
            </w:r>
          </w:p>
          <w:p w14:paraId="22774852" w14:textId="7615FC88" w:rsidR="00C54069" w:rsidRPr="00FF1650" w:rsidRDefault="00C54069" w:rsidP="00C54069">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Adult and children</w:t>
            </w:r>
            <w:r w:rsidR="00794E3D">
              <w:rPr>
                <w:rFonts w:cs="Arial"/>
                <w:bCs/>
                <w:color w:val="2E74B5" w:themeColor="accent1" w:themeShade="BF"/>
                <w:lang w:eastAsia="fr-FR"/>
              </w:rPr>
              <w:t xml:space="preserve"> </w:t>
            </w:r>
            <w:r w:rsidRPr="00FF1650">
              <w:rPr>
                <w:rFonts w:cs="Arial"/>
                <w:bCs/>
                <w:color w:val="2E74B5" w:themeColor="accent1" w:themeShade="BF"/>
                <w:lang w:eastAsia="fr-FR"/>
              </w:rPr>
              <w:t>&gt;12 years</w:t>
            </w:r>
            <w:r w:rsidR="00794E3D">
              <w:rPr>
                <w:rFonts w:cs="Arial"/>
                <w:bCs/>
                <w:color w:val="2E74B5" w:themeColor="accent1" w:themeShade="BF"/>
                <w:lang w:eastAsia="fr-FR"/>
              </w:rPr>
              <w:t xml:space="preserve"> old</w:t>
            </w:r>
            <w:r w:rsidRPr="00FF1650">
              <w:rPr>
                <w:rFonts w:cs="Arial"/>
                <w:bCs/>
                <w:color w:val="2E74B5" w:themeColor="accent1" w:themeShade="BF"/>
                <w:lang w:eastAsia="fr-FR"/>
              </w:rPr>
              <w:t>: apply 7 sprays to the head, 5 sprays per arm, 2 spray per hand and 8 sprays per leg, once or twice daily.</w:t>
            </w:r>
          </w:p>
          <w:p w14:paraId="551E2676" w14:textId="2B031B6D" w:rsidR="00C54069" w:rsidRPr="00FF1650" w:rsidRDefault="00C54069" w:rsidP="00C54069">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lastRenderedPageBreak/>
              <w:t>- Children from 6 to &lt;12 years</w:t>
            </w:r>
            <w:r w:rsidR="00794E3D">
              <w:rPr>
                <w:rFonts w:cs="Arial"/>
                <w:bCs/>
                <w:color w:val="2E74B5" w:themeColor="accent1" w:themeShade="BF"/>
                <w:lang w:eastAsia="fr-FR"/>
              </w:rPr>
              <w:t xml:space="preserve"> old</w:t>
            </w:r>
            <w:r w:rsidRPr="00FF1650">
              <w:rPr>
                <w:rFonts w:cs="Arial"/>
                <w:bCs/>
                <w:color w:val="2E74B5" w:themeColor="accent1" w:themeShade="BF"/>
                <w:lang w:eastAsia="fr-FR"/>
              </w:rPr>
              <w:t>: Apply 3 sprays to the head and per arm, and 4 sprays per leg, once or twice daily.</w:t>
            </w:r>
          </w:p>
          <w:p w14:paraId="00B6714F" w14:textId="4AC97CAB" w:rsidR="00C54069" w:rsidRPr="00FF1650" w:rsidRDefault="00C54069" w:rsidP="00C54069">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2 to &lt;6 years</w:t>
            </w:r>
            <w:r w:rsidR="00794E3D">
              <w:rPr>
                <w:rFonts w:cs="Arial"/>
                <w:bCs/>
                <w:color w:val="2E74B5" w:themeColor="accent1" w:themeShade="BF"/>
                <w:lang w:eastAsia="fr-FR"/>
              </w:rPr>
              <w:t xml:space="preserve"> old</w:t>
            </w:r>
            <w:r w:rsidRPr="00FF1650">
              <w:rPr>
                <w:rFonts w:cs="Arial"/>
                <w:bCs/>
                <w:color w:val="2E74B5" w:themeColor="accent1" w:themeShade="BF"/>
                <w:lang w:eastAsia="fr-FR"/>
              </w:rPr>
              <w:t>: Apply 3 sprays to the head, 2 sprays per arm and per leg, once a day.</w:t>
            </w:r>
          </w:p>
          <w:p w14:paraId="7225A183" w14:textId="058ADE84" w:rsidR="00C54069" w:rsidRPr="00FF1650" w:rsidRDefault="00C54069" w:rsidP="00C54069">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1 to &lt;2 years</w:t>
            </w:r>
            <w:r w:rsidR="00794E3D">
              <w:rPr>
                <w:rFonts w:cs="Arial"/>
                <w:bCs/>
                <w:color w:val="2E74B5" w:themeColor="accent1" w:themeShade="BF"/>
                <w:lang w:eastAsia="fr-FR"/>
              </w:rPr>
              <w:t xml:space="preserve"> old</w:t>
            </w:r>
            <w:r w:rsidRPr="00FF1650">
              <w:rPr>
                <w:rFonts w:cs="Arial"/>
                <w:bCs/>
                <w:color w:val="2E74B5" w:themeColor="accent1" w:themeShade="BF"/>
                <w:lang w:eastAsia="fr-FR"/>
              </w:rPr>
              <w:t>: Apply 3 sprays to the head, 1 spray per arm and per leg once a day.</w:t>
            </w:r>
          </w:p>
          <w:p w14:paraId="28B2192D" w14:textId="4ADFD785" w:rsidR="00C54069" w:rsidRPr="00FF1650" w:rsidRDefault="00C54069" w:rsidP="00C54069">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Infants &lt;1 year</w:t>
            </w:r>
            <w:r w:rsidR="00794E3D">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2 sprays to the head, 1 spray per arm </w:t>
            </w:r>
            <w:r w:rsidR="00F572E3" w:rsidRPr="00FF1650">
              <w:rPr>
                <w:rFonts w:cs="Arial"/>
                <w:bCs/>
                <w:color w:val="2E74B5" w:themeColor="accent1" w:themeShade="BF"/>
                <w:lang w:eastAsia="fr-FR"/>
              </w:rPr>
              <w:t>and</w:t>
            </w:r>
            <w:r w:rsidRPr="00FF1650">
              <w:rPr>
                <w:rFonts w:cs="Arial"/>
                <w:bCs/>
                <w:color w:val="2E74B5" w:themeColor="accent1" w:themeShade="BF"/>
                <w:lang w:eastAsia="fr-FR"/>
              </w:rPr>
              <w:t xml:space="preserve"> per leg, once a day.</w:t>
            </w:r>
          </w:p>
          <w:p w14:paraId="39D1A433" w14:textId="09786D88" w:rsidR="00C54069" w:rsidRDefault="00C54069" w:rsidP="00814FC2">
            <w:pPr>
              <w:widowControl w:val="0"/>
              <w:autoSpaceDE w:val="0"/>
              <w:snapToGrid w:val="0"/>
              <w:spacing w:before="80" w:after="0" w:line="260" w:lineRule="atLeast"/>
              <w:contextualSpacing/>
              <w:jc w:val="both"/>
              <w:rPr>
                <w:rFonts w:eastAsia="Calibri" w:cs="Times"/>
                <w:bCs/>
                <w:color w:val="4472C4" w:themeColor="accent5"/>
                <w:sz w:val="22"/>
                <w:szCs w:val="24"/>
                <w:lang w:eastAsia="sv-SE"/>
              </w:rPr>
            </w:pPr>
          </w:p>
          <w:p w14:paraId="4412BA2D" w14:textId="397D59C5" w:rsidR="002F7770" w:rsidRPr="00FF1650" w:rsidRDefault="002F7770" w:rsidP="002F7770">
            <w:pPr>
              <w:widowControl w:val="0"/>
              <w:autoSpaceDE w:val="0"/>
              <w:snapToGrid w:val="0"/>
              <w:spacing w:before="80" w:after="0" w:line="260" w:lineRule="atLeast"/>
              <w:contextualSpacing/>
              <w:jc w:val="both"/>
              <w:rPr>
                <w:rFonts w:cs="Arial"/>
                <w:b/>
                <w:bCs/>
                <w:color w:val="2E74B5" w:themeColor="accent1" w:themeShade="BF"/>
                <w:lang w:eastAsia="fr-FR"/>
              </w:rPr>
            </w:pPr>
            <w:r w:rsidRPr="00FF1650">
              <w:rPr>
                <w:rFonts w:cs="Arial"/>
                <w:b/>
                <w:bCs/>
                <w:color w:val="2E74B5" w:themeColor="accent1" w:themeShade="BF"/>
                <w:lang w:eastAsia="fr-FR"/>
              </w:rPr>
              <w:t>Number of sprays (100ml</w:t>
            </w:r>
            <w:r>
              <w:rPr>
                <w:rFonts w:cs="Arial"/>
                <w:b/>
                <w:bCs/>
                <w:color w:val="2E74B5" w:themeColor="accent1" w:themeShade="BF"/>
                <w:lang w:eastAsia="fr-FR"/>
              </w:rPr>
              <w:t xml:space="preserve"> – 300 µL per spray)</w:t>
            </w:r>
            <w:r w:rsidRPr="00FF1650">
              <w:rPr>
                <w:rFonts w:cs="Arial"/>
                <w:b/>
                <w:bCs/>
                <w:color w:val="2E74B5" w:themeColor="accent1" w:themeShade="BF"/>
                <w:lang w:eastAsia="fr-FR"/>
              </w:rPr>
              <w:t>):</w:t>
            </w:r>
          </w:p>
          <w:p w14:paraId="1D7D31FB" w14:textId="0351A932" w:rsidR="002F7770" w:rsidRPr="00FF1650" w:rsidRDefault="002F7770" w:rsidP="002F7770">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Adult and children</w:t>
            </w:r>
            <w:r>
              <w:rPr>
                <w:rFonts w:cs="Arial"/>
                <w:bCs/>
                <w:color w:val="2E74B5" w:themeColor="accent1" w:themeShade="BF"/>
                <w:lang w:eastAsia="fr-FR"/>
              </w:rPr>
              <w:t xml:space="preserve"> </w:t>
            </w:r>
            <w:r w:rsidRPr="00FF1650">
              <w:rPr>
                <w:rFonts w:cs="Arial"/>
                <w:bCs/>
                <w:color w:val="2E74B5" w:themeColor="accent1" w:themeShade="BF"/>
                <w:lang w:eastAsia="fr-FR"/>
              </w:rPr>
              <w:t>&gt;12 years</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Pr>
                <w:rFonts w:cs="Arial"/>
                <w:bCs/>
                <w:color w:val="2E74B5" w:themeColor="accent1" w:themeShade="BF"/>
                <w:lang w:eastAsia="fr-FR"/>
              </w:rPr>
              <w:t>2</w:t>
            </w:r>
            <w:r w:rsidRPr="00FF1650">
              <w:rPr>
                <w:rFonts w:cs="Arial"/>
                <w:bCs/>
                <w:color w:val="2E74B5" w:themeColor="accent1" w:themeShade="BF"/>
                <w:lang w:eastAsia="fr-FR"/>
              </w:rPr>
              <w:t xml:space="preserve"> sprays to the head, </w:t>
            </w:r>
            <w:r>
              <w:rPr>
                <w:rFonts w:cs="Arial"/>
                <w:bCs/>
                <w:color w:val="2E74B5" w:themeColor="accent1" w:themeShade="BF"/>
                <w:lang w:eastAsia="fr-FR"/>
              </w:rPr>
              <w:t>2</w:t>
            </w:r>
            <w:r w:rsidRPr="00FF1650">
              <w:rPr>
                <w:rFonts w:cs="Arial"/>
                <w:bCs/>
                <w:color w:val="2E74B5" w:themeColor="accent1" w:themeShade="BF"/>
                <w:lang w:eastAsia="fr-FR"/>
              </w:rPr>
              <w:t xml:space="preserve"> sprays per arm, </w:t>
            </w:r>
            <w:r>
              <w:rPr>
                <w:rFonts w:cs="Arial"/>
                <w:bCs/>
                <w:color w:val="2E74B5" w:themeColor="accent1" w:themeShade="BF"/>
                <w:lang w:eastAsia="fr-FR"/>
              </w:rPr>
              <w:t>1</w:t>
            </w:r>
            <w:r w:rsidRPr="00FF1650">
              <w:rPr>
                <w:rFonts w:cs="Arial"/>
                <w:bCs/>
                <w:color w:val="2E74B5" w:themeColor="accent1" w:themeShade="BF"/>
                <w:lang w:eastAsia="fr-FR"/>
              </w:rPr>
              <w:t xml:space="preserve"> spray per hand and </w:t>
            </w:r>
            <w:r>
              <w:rPr>
                <w:rFonts w:cs="Arial"/>
                <w:bCs/>
                <w:color w:val="2E74B5" w:themeColor="accent1" w:themeShade="BF"/>
                <w:lang w:eastAsia="fr-FR"/>
              </w:rPr>
              <w:t>3</w:t>
            </w:r>
            <w:r w:rsidRPr="00FF1650">
              <w:rPr>
                <w:rFonts w:cs="Arial"/>
                <w:bCs/>
                <w:color w:val="2E74B5" w:themeColor="accent1" w:themeShade="BF"/>
                <w:lang w:eastAsia="fr-FR"/>
              </w:rPr>
              <w:t xml:space="preserve"> sprays per leg, once or twice daily.</w:t>
            </w:r>
          </w:p>
          <w:p w14:paraId="66F337A8" w14:textId="20B74E55" w:rsidR="002F7770" w:rsidRPr="00FF1650" w:rsidRDefault="002F7770" w:rsidP="002F7770">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6 to &lt;12 years</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Pr>
                <w:rFonts w:cs="Arial"/>
                <w:bCs/>
                <w:color w:val="2E74B5" w:themeColor="accent1" w:themeShade="BF"/>
                <w:lang w:eastAsia="fr-FR"/>
              </w:rPr>
              <w:t>1</w:t>
            </w:r>
            <w:r w:rsidRPr="00FF1650">
              <w:rPr>
                <w:rFonts w:cs="Arial"/>
                <w:bCs/>
                <w:color w:val="2E74B5" w:themeColor="accent1" w:themeShade="BF"/>
                <w:lang w:eastAsia="fr-FR"/>
              </w:rPr>
              <w:t xml:space="preserve"> spray to the head and per arm, and </w:t>
            </w:r>
            <w:r>
              <w:rPr>
                <w:rFonts w:cs="Arial"/>
                <w:bCs/>
                <w:color w:val="2E74B5" w:themeColor="accent1" w:themeShade="BF"/>
                <w:lang w:eastAsia="fr-FR"/>
              </w:rPr>
              <w:t>2</w:t>
            </w:r>
            <w:r w:rsidRPr="00FF1650">
              <w:rPr>
                <w:rFonts w:cs="Arial"/>
                <w:bCs/>
                <w:color w:val="2E74B5" w:themeColor="accent1" w:themeShade="BF"/>
                <w:lang w:eastAsia="fr-FR"/>
              </w:rPr>
              <w:t xml:space="preserve"> sprays per leg, once or twice daily.</w:t>
            </w:r>
          </w:p>
          <w:p w14:paraId="1BAB2131" w14:textId="423E45ED" w:rsidR="002F7770" w:rsidRPr="00FF1650" w:rsidRDefault="002F7770" w:rsidP="002F7770">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2 to &lt;6 years</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Pr>
                <w:rFonts w:cs="Arial"/>
                <w:bCs/>
                <w:color w:val="2E74B5" w:themeColor="accent1" w:themeShade="BF"/>
                <w:lang w:eastAsia="fr-FR"/>
              </w:rPr>
              <w:t>1</w:t>
            </w:r>
            <w:r w:rsidRPr="00FF1650">
              <w:rPr>
                <w:rFonts w:cs="Arial"/>
                <w:bCs/>
                <w:color w:val="2E74B5" w:themeColor="accent1" w:themeShade="BF"/>
                <w:lang w:eastAsia="fr-FR"/>
              </w:rPr>
              <w:t xml:space="preserve"> spray to the head, </w:t>
            </w:r>
            <w:r>
              <w:rPr>
                <w:rFonts w:cs="Arial"/>
                <w:bCs/>
                <w:color w:val="2E74B5" w:themeColor="accent1" w:themeShade="BF"/>
                <w:lang w:eastAsia="fr-FR"/>
              </w:rPr>
              <w:t>1</w:t>
            </w:r>
            <w:r w:rsidRPr="00FF1650">
              <w:rPr>
                <w:rFonts w:cs="Arial"/>
                <w:bCs/>
                <w:color w:val="2E74B5" w:themeColor="accent1" w:themeShade="BF"/>
                <w:lang w:eastAsia="fr-FR"/>
              </w:rPr>
              <w:t xml:space="preserve"> sprays per arm and per leg, once a day.</w:t>
            </w:r>
          </w:p>
          <w:p w14:paraId="0F2523A1" w14:textId="1DDFD481" w:rsidR="002F7770" w:rsidRPr="00FF1650" w:rsidRDefault="002F7770" w:rsidP="002F7770">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1 to &lt;2 years</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Pr>
                <w:rFonts w:cs="Arial"/>
                <w:bCs/>
                <w:color w:val="2E74B5" w:themeColor="accent1" w:themeShade="BF"/>
                <w:lang w:eastAsia="fr-FR"/>
              </w:rPr>
              <w:t>1</w:t>
            </w:r>
            <w:r w:rsidRPr="00FF1650">
              <w:rPr>
                <w:rFonts w:cs="Arial"/>
                <w:bCs/>
                <w:color w:val="2E74B5" w:themeColor="accent1" w:themeShade="BF"/>
                <w:lang w:eastAsia="fr-FR"/>
              </w:rPr>
              <w:t xml:space="preserve"> spray to the head, 1 spray per arm and per leg once a day.</w:t>
            </w:r>
          </w:p>
          <w:p w14:paraId="1ED48E43" w14:textId="47CFE998" w:rsidR="002F7770" w:rsidRPr="00FF1650" w:rsidRDefault="002F7770" w:rsidP="002F7770">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Infants &lt;1 year</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Pr>
                <w:rFonts w:cs="Arial"/>
                <w:bCs/>
                <w:color w:val="2E74B5" w:themeColor="accent1" w:themeShade="BF"/>
                <w:lang w:eastAsia="fr-FR"/>
              </w:rPr>
              <w:t>1</w:t>
            </w:r>
            <w:r w:rsidRPr="00FF1650">
              <w:rPr>
                <w:rFonts w:cs="Arial"/>
                <w:bCs/>
                <w:color w:val="2E74B5" w:themeColor="accent1" w:themeShade="BF"/>
                <w:lang w:eastAsia="fr-FR"/>
              </w:rPr>
              <w:t xml:space="preserve"> spray to the head, 1 spray per arm and per leg, once a day.</w:t>
            </w:r>
          </w:p>
          <w:p w14:paraId="6C0EB885" w14:textId="77777777" w:rsidR="002F7770" w:rsidRPr="00FF1650" w:rsidRDefault="002F7770" w:rsidP="00814FC2">
            <w:pPr>
              <w:widowControl w:val="0"/>
              <w:autoSpaceDE w:val="0"/>
              <w:snapToGrid w:val="0"/>
              <w:spacing w:before="80" w:after="0" w:line="260" w:lineRule="atLeast"/>
              <w:contextualSpacing/>
              <w:jc w:val="both"/>
              <w:rPr>
                <w:rFonts w:eastAsia="Calibri" w:cs="Times"/>
                <w:bCs/>
                <w:color w:val="4472C4" w:themeColor="accent5"/>
                <w:sz w:val="22"/>
                <w:szCs w:val="24"/>
                <w:lang w:eastAsia="sv-SE"/>
              </w:rPr>
            </w:pPr>
          </w:p>
          <w:p w14:paraId="7429C8BF" w14:textId="12DCDA7B" w:rsidR="00C54069" w:rsidRPr="00FF1650" w:rsidRDefault="00C54069" w:rsidP="00814FC2">
            <w:pPr>
              <w:widowControl w:val="0"/>
              <w:autoSpaceDE w:val="0"/>
              <w:snapToGrid w:val="0"/>
              <w:spacing w:before="80" w:after="0" w:line="260" w:lineRule="atLeast"/>
              <w:contextualSpacing/>
              <w:jc w:val="both"/>
              <w:rPr>
                <w:rFonts w:cs="Arial"/>
                <w:b/>
                <w:bCs/>
                <w:color w:val="2E74B5" w:themeColor="accent1" w:themeShade="BF"/>
                <w:lang w:eastAsia="fr-FR"/>
              </w:rPr>
            </w:pPr>
            <w:r w:rsidRPr="00FF1650">
              <w:rPr>
                <w:rFonts w:cs="Arial"/>
                <w:b/>
                <w:bCs/>
                <w:color w:val="2E74B5" w:themeColor="accent1" w:themeShade="BF"/>
                <w:lang w:eastAsia="fr-FR"/>
              </w:rPr>
              <w:t>Number of sprays (250ml):</w:t>
            </w:r>
          </w:p>
          <w:p w14:paraId="278C6BAC" w14:textId="34D5D403" w:rsidR="00C54069" w:rsidRPr="00FF1650" w:rsidRDefault="00C54069" w:rsidP="00C54069">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Adult and children</w:t>
            </w:r>
            <w:r w:rsidR="00794E3D">
              <w:rPr>
                <w:rFonts w:cs="Arial"/>
                <w:bCs/>
                <w:color w:val="2E74B5" w:themeColor="accent1" w:themeShade="BF"/>
                <w:lang w:eastAsia="fr-FR"/>
              </w:rPr>
              <w:t xml:space="preserve"> </w:t>
            </w:r>
            <w:r w:rsidRPr="00FF1650">
              <w:rPr>
                <w:rFonts w:cs="Arial"/>
                <w:bCs/>
                <w:color w:val="2E74B5" w:themeColor="accent1" w:themeShade="BF"/>
                <w:lang w:eastAsia="fr-FR"/>
              </w:rPr>
              <w:t>&gt;12 years</w:t>
            </w:r>
            <w:r w:rsidR="00794E3D">
              <w:rPr>
                <w:rFonts w:cs="Arial"/>
                <w:bCs/>
                <w:color w:val="2E74B5" w:themeColor="accent1" w:themeShade="BF"/>
                <w:lang w:eastAsia="fr-FR"/>
              </w:rPr>
              <w:t xml:space="preserve"> old</w:t>
            </w:r>
            <w:r w:rsidRPr="00FF1650">
              <w:rPr>
                <w:rFonts w:cs="Arial"/>
                <w:bCs/>
                <w:color w:val="2E74B5" w:themeColor="accent1" w:themeShade="BF"/>
                <w:lang w:eastAsia="fr-FR"/>
              </w:rPr>
              <w:t>: apply 1 spray to the head, 1 spray per arm, 1 spray per hand and 2 sprays per leg, once or twice daily.</w:t>
            </w:r>
          </w:p>
          <w:p w14:paraId="510B64F3" w14:textId="35D27177" w:rsidR="00C54069" w:rsidRPr="00FF1650" w:rsidRDefault="00C54069" w:rsidP="00C54069">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6 to &lt;12 years old: Apply 1 spray to the head, 1 spray per arm, and 1 spray per leg, once or twice daily.</w:t>
            </w:r>
          </w:p>
          <w:p w14:paraId="3D2C9259" w14:textId="16DF725F" w:rsidR="00C54069" w:rsidRPr="00FF1650" w:rsidRDefault="00C54069" w:rsidP="00C54069">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2 to &lt;6 years</w:t>
            </w:r>
            <w:r w:rsidR="00794E3D">
              <w:rPr>
                <w:rFonts w:cs="Arial"/>
                <w:bCs/>
                <w:color w:val="2E74B5" w:themeColor="accent1" w:themeShade="BF"/>
                <w:lang w:eastAsia="fr-FR"/>
              </w:rPr>
              <w:t xml:space="preserve"> old</w:t>
            </w:r>
            <w:r w:rsidRPr="00FF1650">
              <w:rPr>
                <w:rFonts w:cs="Arial"/>
                <w:bCs/>
                <w:color w:val="2E74B5" w:themeColor="accent1" w:themeShade="BF"/>
                <w:lang w:eastAsia="fr-FR"/>
              </w:rPr>
              <w:t>: Apply 1 spray to the head, 1 spray per arm and 1 spray per leg, once a day.</w:t>
            </w:r>
          </w:p>
          <w:p w14:paraId="71F73287" w14:textId="081DFEF9" w:rsidR="00C54069" w:rsidRPr="00FF1650" w:rsidRDefault="00C54069" w:rsidP="00C54069">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1 to &lt;2 years old: Apply 1 spray for both arms and 1 spray for both legs once a day.</w:t>
            </w:r>
          </w:p>
          <w:p w14:paraId="07B9EBE2" w14:textId="3D6F5D73" w:rsidR="0066271D" w:rsidRPr="00FF1650" w:rsidRDefault="00C54069" w:rsidP="00FF1650">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Infants &lt;1 year</w:t>
            </w:r>
            <w:r w:rsidR="00794E3D">
              <w:rPr>
                <w:rFonts w:cs="Arial"/>
                <w:bCs/>
                <w:color w:val="2E74B5" w:themeColor="accent1" w:themeShade="BF"/>
                <w:lang w:eastAsia="fr-FR"/>
              </w:rPr>
              <w:t xml:space="preserve"> old</w:t>
            </w:r>
            <w:r w:rsidRPr="00FF1650">
              <w:rPr>
                <w:rFonts w:cs="Arial"/>
                <w:bCs/>
                <w:color w:val="2E74B5" w:themeColor="accent1" w:themeShade="BF"/>
                <w:lang w:eastAsia="fr-FR"/>
              </w:rPr>
              <w:t>: apply 1 spray for the body, once a day.</w:t>
            </w:r>
          </w:p>
        </w:tc>
      </w:tr>
    </w:tbl>
    <w:p w14:paraId="0E42A179" w14:textId="77777777" w:rsidR="007F63F1" w:rsidRDefault="007F63F1" w:rsidP="007F63F1">
      <w:pPr>
        <w:pStyle w:val="Titre5"/>
        <w:numPr>
          <w:ilvl w:val="4"/>
          <w:numId w:val="30"/>
        </w:numPr>
        <w:suppressAutoHyphens/>
        <w:spacing w:before="255" w:after="80" w:line="255" w:lineRule="exact"/>
        <w:rPr>
          <w:rFonts w:cs="Times"/>
          <w:bCs/>
          <w:szCs w:val="29"/>
        </w:rPr>
      </w:pPr>
      <w:bookmarkStart w:id="74" w:name="_Toc93326497"/>
      <w:r>
        <w:lastRenderedPageBreak/>
        <w:t>Use-specific risk mitigation measures</w:t>
      </w:r>
      <w:bookmarkEnd w:id="74"/>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14:paraId="0D557B65"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5499CA8A" w14:textId="4C553BB0" w:rsidR="00814FC2" w:rsidRPr="0053704B" w:rsidRDefault="00814FC2" w:rsidP="0053704B">
            <w:pPr>
              <w:pStyle w:val="Paragraphedeliste"/>
              <w:numPr>
                <w:ilvl w:val="0"/>
                <w:numId w:val="31"/>
              </w:numPr>
              <w:rPr>
                <w:lang w:eastAsia="fr-FR"/>
              </w:rPr>
            </w:pPr>
            <w:r w:rsidRPr="007E29F8">
              <w:rPr>
                <w:shd w:val="clear" w:color="auto" w:fill="FFFFFF" w:themeFill="background1"/>
              </w:rPr>
              <w:t>When the biocidal product is applied to children</w:t>
            </w:r>
            <w:r w:rsidR="005A0944">
              <w:rPr>
                <w:shd w:val="clear" w:color="auto" w:fill="FFFFFF" w:themeFill="background1"/>
              </w:rPr>
              <w:t xml:space="preserve"> under 12 years</w:t>
            </w:r>
            <w:r w:rsidRPr="007E29F8">
              <w:rPr>
                <w:shd w:val="clear" w:color="auto" w:fill="FFFFFF" w:themeFill="background1"/>
              </w:rPr>
              <w:t>, the product should be applied by an adult</w:t>
            </w:r>
          </w:p>
          <w:p w14:paraId="36833BAF" w14:textId="77777777" w:rsidR="008A0CE0" w:rsidRDefault="008A0CE0" w:rsidP="0053704B">
            <w:pPr>
              <w:pStyle w:val="Paragraphedeliste"/>
              <w:widowControl w:val="0"/>
              <w:numPr>
                <w:ilvl w:val="0"/>
                <w:numId w:val="71"/>
              </w:numPr>
              <w:autoSpaceDE w:val="0"/>
              <w:autoSpaceDN w:val="0"/>
              <w:adjustRightInd w:val="0"/>
              <w:spacing w:before="0" w:after="0"/>
              <w:contextualSpacing w:val="0"/>
              <w:jc w:val="both"/>
              <w:rPr>
                <w:shd w:val="clear" w:color="auto" w:fill="FFFFFF" w:themeFill="background1"/>
              </w:rPr>
            </w:pPr>
            <w:r w:rsidRPr="0053704B">
              <w:rPr>
                <w:shd w:val="clear" w:color="auto" w:fill="FFFFFF" w:themeFill="background1"/>
              </w:rPr>
              <w:t>Do not apply directly on the face, spray the product in the hand and then spread it onto the face.</w:t>
            </w:r>
          </w:p>
          <w:p w14:paraId="52F3FD9F" w14:textId="316CD063" w:rsidR="008A0CE0" w:rsidRPr="0053704B" w:rsidRDefault="008A0CE0" w:rsidP="0053704B">
            <w:pPr>
              <w:pStyle w:val="Paragraphedeliste"/>
              <w:widowControl w:val="0"/>
              <w:numPr>
                <w:ilvl w:val="0"/>
                <w:numId w:val="71"/>
              </w:numPr>
              <w:autoSpaceDE w:val="0"/>
              <w:autoSpaceDN w:val="0"/>
              <w:adjustRightInd w:val="0"/>
              <w:spacing w:before="0" w:after="0"/>
              <w:contextualSpacing w:val="0"/>
              <w:jc w:val="both"/>
              <w:rPr>
                <w:shd w:val="clear" w:color="auto" w:fill="FFFFFF" w:themeFill="background1"/>
              </w:rPr>
            </w:pPr>
            <w:r w:rsidRPr="0053704B">
              <w:rPr>
                <w:shd w:val="clear" w:color="auto" w:fill="FFFFFF" w:themeFill="background1"/>
              </w:rPr>
              <w:t>Do not apply on the eye area</w:t>
            </w:r>
          </w:p>
          <w:p w14:paraId="42087626" w14:textId="77777777" w:rsidR="008A0CE0" w:rsidRPr="0053704B" w:rsidRDefault="008A0CE0" w:rsidP="0053704B">
            <w:pPr>
              <w:pStyle w:val="Paragraphedeliste"/>
              <w:widowControl w:val="0"/>
              <w:autoSpaceDE w:val="0"/>
              <w:autoSpaceDN w:val="0"/>
              <w:adjustRightInd w:val="0"/>
              <w:spacing w:before="0" w:after="0"/>
              <w:contextualSpacing w:val="0"/>
              <w:jc w:val="both"/>
              <w:rPr>
                <w:shd w:val="clear" w:color="auto" w:fill="FFFFFF" w:themeFill="background1"/>
              </w:rPr>
            </w:pPr>
          </w:p>
          <w:p w14:paraId="2AFBF3F0" w14:textId="77777777" w:rsidR="00814FC2" w:rsidRPr="007E29F8" w:rsidRDefault="00814FC2" w:rsidP="00814FC2">
            <w:pPr>
              <w:spacing w:before="0" w:after="0"/>
              <w:contextualSpacing/>
              <w:jc w:val="both"/>
              <w:rPr>
                <w:rFonts w:cs="Arial"/>
                <w:bCs/>
                <w:color w:val="000000"/>
                <w:lang w:eastAsia="fr-FR"/>
              </w:rPr>
            </w:pPr>
            <w:r>
              <w:rPr>
                <w:shd w:val="clear" w:color="auto" w:fill="FFFFFF" w:themeFill="background1"/>
              </w:rPr>
              <w:t>EU only:</w:t>
            </w:r>
          </w:p>
          <w:p w14:paraId="1ECA15EE" w14:textId="77777777" w:rsidR="00814FC2" w:rsidRPr="00D66F4F" w:rsidRDefault="00814FC2" w:rsidP="00043748">
            <w:pPr>
              <w:pStyle w:val="Paragraphedeliste"/>
              <w:widowControl w:val="0"/>
              <w:numPr>
                <w:ilvl w:val="0"/>
                <w:numId w:val="16"/>
              </w:numPr>
              <w:kinsoku w:val="0"/>
              <w:overflowPunct w:val="0"/>
              <w:autoSpaceDE w:val="0"/>
              <w:autoSpaceDN w:val="0"/>
              <w:adjustRightInd w:val="0"/>
              <w:spacing w:before="0" w:after="0"/>
              <w:ind w:right="216"/>
              <w:jc w:val="both"/>
              <w:textAlignment w:val="baseline"/>
              <w:rPr>
                <w:rFonts w:cs="Arial"/>
                <w:spacing w:val="1"/>
                <w:lang w:eastAsia="fr-FR"/>
              </w:rPr>
            </w:pPr>
            <w:r w:rsidRPr="00D66F4F">
              <w:rPr>
                <w:rFonts w:cs="Arial"/>
                <w:spacing w:val="1"/>
                <w:lang w:eastAsia="fr-FR"/>
              </w:rPr>
              <w:t>Temperate condition:</w:t>
            </w:r>
          </w:p>
          <w:p w14:paraId="49B819D6" w14:textId="40ED4F50" w:rsidR="00814FC2" w:rsidRDefault="00814FC2" w:rsidP="00814FC2">
            <w:pPr>
              <w:pStyle w:val="Paragraphedeliste"/>
              <w:numPr>
                <w:ilvl w:val="0"/>
                <w:numId w:val="31"/>
              </w:numPr>
              <w:rPr>
                <w:rFonts w:cs="Arial"/>
                <w:bCs/>
                <w:color w:val="000000"/>
                <w:lang w:eastAsia="fr-FR"/>
              </w:rPr>
            </w:pPr>
            <w:r>
              <w:rPr>
                <w:rFonts w:cs="Arial"/>
                <w:bCs/>
                <w:color w:val="000000"/>
                <w:lang w:eastAsia="fr-FR"/>
              </w:rPr>
              <w:t>Apply only one time per day</w:t>
            </w:r>
            <w:r w:rsidR="00FF1650">
              <w:rPr>
                <w:rFonts w:cs="Arial"/>
                <w:bCs/>
                <w:color w:val="000000"/>
                <w:lang w:eastAsia="fr-FR"/>
              </w:rPr>
              <w:t>.</w:t>
            </w:r>
          </w:p>
          <w:p w14:paraId="36C4006F" w14:textId="2CE3E204" w:rsidR="00814FC2" w:rsidRPr="0090387F" w:rsidRDefault="00814FC2" w:rsidP="00814FC2">
            <w:pPr>
              <w:pStyle w:val="Paragraphedeliste"/>
              <w:numPr>
                <w:ilvl w:val="0"/>
                <w:numId w:val="31"/>
              </w:numPr>
              <w:rPr>
                <w:rFonts w:cs="Arial"/>
                <w:bCs/>
                <w:color w:val="000000"/>
                <w:lang w:eastAsia="fr-FR"/>
              </w:rPr>
            </w:pPr>
            <w:r>
              <w:rPr>
                <w:rFonts w:cs="Arial"/>
                <w:spacing w:val="1"/>
                <w:lang w:eastAsia="fr-FR"/>
              </w:rPr>
              <w:t>D</w:t>
            </w:r>
            <w:r w:rsidRPr="00D66F4F">
              <w:rPr>
                <w:rFonts w:cs="Arial"/>
                <w:spacing w:val="1"/>
                <w:lang w:eastAsia="fr-FR"/>
              </w:rPr>
              <w:t xml:space="preserve">o not apply the product </w:t>
            </w:r>
            <w:r>
              <w:rPr>
                <w:rFonts w:cs="Arial"/>
                <w:spacing w:val="1"/>
                <w:lang w:eastAsia="fr-FR"/>
              </w:rPr>
              <w:t>simultaneously</w:t>
            </w:r>
            <w:r w:rsidRPr="00AC648E">
              <w:rPr>
                <w:rFonts w:cs="Arial"/>
                <w:spacing w:val="1"/>
                <w:lang w:eastAsia="fr-FR"/>
              </w:rPr>
              <w:t xml:space="preserve"> </w:t>
            </w:r>
            <w:r w:rsidRPr="00673CDC">
              <w:rPr>
                <w:rFonts w:cs="Arial"/>
                <w:spacing w:val="1"/>
                <w:lang w:eastAsia="fr-FR"/>
              </w:rPr>
              <w:t xml:space="preserve">on the skin </w:t>
            </w:r>
            <w:r>
              <w:rPr>
                <w:rFonts w:cs="Arial"/>
                <w:spacing w:val="1"/>
                <w:lang w:eastAsia="fr-FR"/>
              </w:rPr>
              <w:t xml:space="preserve">of children </w:t>
            </w:r>
            <w:r w:rsidR="00FF1650">
              <w:rPr>
                <w:rFonts w:cs="Arial"/>
                <w:spacing w:val="1"/>
                <w:lang w:eastAsia="fr-FR"/>
              </w:rPr>
              <w:t xml:space="preserve">under 12 years </w:t>
            </w:r>
            <w:r>
              <w:rPr>
                <w:rFonts w:cs="Arial"/>
                <w:spacing w:val="1"/>
                <w:lang w:eastAsia="fr-FR"/>
              </w:rPr>
              <w:t>and on</w:t>
            </w:r>
            <w:r w:rsidRPr="00673CDC">
              <w:rPr>
                <w:rFonts w:cs="Arial"/>
                <w:spacing w:val="1"/>
                <w:lang w:eastAsia="fr-FR"/>
              </w:rPr>
              <w:t xml:space="preserve"> </w:t>
            </w:r>
            <w:r>
              <w:rPr>
                <w:rFonts w:cs="Arial"/>
                <w:spacing w:val="1"/>
                <w:lang w:eastAsia="fr-FR"/>
              </w:rPr>
              <w:t xml:space="preserve">their </w:t>
            </w:r>
            <w:r w:rsidRPr="00673CDC">
              <w:rPr>
                <w:rFonts w:cs="Arial"/>
                <w:spacing w:val="1"/>
                <w:lang w:eastAsia="fr-FR"/>
              </w:rPr>
              <w:t>clothes</w:t>
            </w:r>
            <w:r w:rsidRPr="00D66F4F">
              <w:rPr>
                <w:rFonts w:cs="Arial"/>
                <w:spacing w:val="1"/>
                <w:lang w:eastAsia="fr-FR"/>
              </w:rPr>
              <w:t>.</w:t>
            </w:r>
          </w:p>
          <w:p w14:paraId="18516610" w14:textId="268D0DE9" w:rsidR="00814FC2" w:rsidRDefault="00814FC2" w:rsidP="00814FC2">
            <w:pPr>
              <w:pStyle w:val="Paragraphedeliste"/>
              <w:numPr>
                <w:ilvl w:val="0"/>
                <w:numId w:val="31"/>
              </w:numPr>
              <w:rPr>
                <w:lang w:eastAsia="fr-FR"/>
              </w:rPr>
            </w:pPr>
            <w:r>
              <w:rPr>
                <w:rFonts w:cs="Arial"/>
                <w:spacing w:val="1"/>
                <w:lang w:eastAsia="fr-FR"/>
              </w:rPr>
              <w:t xml:space="preserve">For </w:t>
            </w:r>
            <w:r w:rsidRPr="0010045B">
              <w:rPr>
                <w:rFonts w:cs="Arial"/>
                <w:spacing w:val="1"/>
                <w:lang w:eastAsia="fr-FR"/>
              </w:rPr>
              <w:t>adult</w:t>
            </w:r>
            <w:r w:rsidR="00FF1650" w:rsidRPr="0010045B">
              <w:rPr>
                <w:rFonts w:cs="Arial"/>
                <w:bCs/>
                <w:lang w:eastAsia="fr-FR"/>
              </w:rPr>
              <w:t xml:space="preserve"> and children </w:t>
            </w:r>
            <w:r w:rsidR="00FF1650" w:rsidRPr="0010045B">
              <w:rPr>
                <w:rFonts w:cs="Arial"/>
                <w:spacing w:val="1"/>
                <w:lang w:eastAsia="fr-FR"/>
              </w:rPr>
              <w:t xml:space="preserve">more </w:t>
            </w:r>
            <w:r w:rsidR="00FF1650">
              <w:rPr>
                <w:rFonts w:cs="Arial"/>
                <w:spacing w:val="1"/>
                <w:lang w:eastAsia="fr-FR"/>
              </w:rPr>
              <w:t>than 12 years</w:t>
            </w:r>
            <w:r>
              <w:rPr>
                <w:rFonts w:cs="Arial"/>
                <w:spacing w:val="1"/>
                <w:lang w:eastAsia="fr-FR"/>
              </w:rPr>
              <w:t xml:space="preserve">, </w:t>
            </w:r>
            <w:r w:rsidRPr="00D66F4F">
              <w:rPr>
                <w:rFonts w:cs="Arial"/>
                <w:spacing w:val="1"/>
                <w:lang w:eastAsia="fr-FR"/>
              </w:rPr>
              <w:t xml:space="preserve">do not apply the </w:t>
            </w:r>
            <w:r w:rsidRPr="00297E5D">
              <w:rPr>
                <w:rFonts w:cs="Arial"/>
                <w:spacing w:val="1"/>
                <w:lang w:eastAsia="fr-FR"/>
              </w:rPr>
              <w:t>product on</w:t>
            </w:r>
            <w:r w:rsidRPr="00D66F4F">
              <w:rPr>
                <w:rFonts w:cs="Arial"/>
                <w:spacing w:val="1"/>
                <w:lang w:eastAsia="fr-FR"/>
              </w:rPr>
              <w:t xml:space="preserve"> skin under clothes</w:t>
            </w:r>
            <w:r w:rsidR="00FF1650">
              <w:rPr>
                <w:rFonts w:cs="Arial"/>
                <w:bCs/>
                <w:color w:val="000000"/>
                <w:lang w:eastAsia="fr-FR"/>
              </w:rPr>
              <w:t>.</w:t>
            </w:r>
          </w:p>
          <w:p w14:paraId="53DC248B" w14:textId="77777777" w:rsidR="00814FC2" w:rsidRPr="007E29F8" w:rsidRDefault="00814FC2" w:rsidP="00FF1650">
            <w:pPr>
              <w:widowControl w:val="0"/>
              <w:autoSpaceDE w:val="0"/>
              <w:snapToGrid w:val="0"/>
              <w:spacing w:before="80" w:after="0" w:line="260" w:lineRule="atLeast"/>
              <w:contextualSpacing/>
              <w:jc w:val="both"/>
              <w:rPr>
                <w:rFonts w:cs="Arial"/>
                <w:bCs/>
                <w:color w:val="2E74B5" w:themeColor="accent1" w:themeShade="BF"/>
                <w:lang w:eastAsia="fr-FR"/>
              </w:rPr>
            </w:pPr>
            <w:r w:rsidRPr="007E29F8">
              <w:rPr>
                <w:rFonts w:cs="Arial"/>
                <w:bCs/>
                <w:color w:val="2E74B5" w:themeColor="accent1" w:themeShade="BF"/>
                <w:lang w:eastAsia="fr-FR"/>
              </w:rPr>
              <w:t>In France only:</w:t>
            </w:r>
          </w:p>
          <w:p w14:paraId="3F72C8A1" w14:textId="69B017F7" w:rsidR="00814FC2" w:rsidRPr="00FF1650" w:rsidRDefault="00814FC2" w:rsidP="00FF1650">
            <w:pPr>
              <w:pStyle w:val="Paragraphedeliste"/>
              <w:widowControl w:val="0"/>
              <w:numPr>
                <w:ilvl w:val="0"/>
                <w:numId w:val="31"/>
              </w:numPr>
              <w:autoSpaceDE w:val="0"/>
              <w:snapToGrid w:val="0"/>
              <w:spacing w:before="80" w:after="0" w:line="260" w:lineRule="atLeast"/>
              <w:jc w:val="both"/>
              <w:rPr>
                <w:rFonts w:cs="Arial"/>
                <w:bCs/>
                <w:color w:val="2E74B5" w:themeColor="accent1" w:themeShade="BF"/>
                <w:lang w:eastAsia="fr-FR"/>
              </w:rPr>
            </w:pPr>
            <w:r w:rsidRPr="00FF1650">
              <w:rPr>
                <w:rFonts w:cs="Arial"/>
                <w:bCs/>
                <w:color w:val="2E74B5" w:themeColor="accent1" w:themeShade="BF"/>
                <w:lang w:eastAsia="fr-FR"/>
              </w:rPr>
              <w:t>Apply only on head, arms, hands and legs.</w:t>
            </w:r>
          </w:p>
          <w:p w14:paraId="3BAD5F37" w14:textId="609D12AC" w:rsidR="00814FC2" w:rsidRPr="00FF1650" w:rsidRDefault="00814FC2" w:rsidP="00FF1650">
            <w:pPr>
              <w:pStyle w:val="Paragraphedeliste"/>
              <w:widowControl w:val="0"/>
              <w:numPr>
                <w:ilvl w:val="0"/>
                <w:numId w:val="31"/>
              </w:numPr>
              <w:autoSpaceDE w:val="0"/>
              <w:snapToGrid w:val="0"/>
              <w:spacing w:before="80" w:after="0" w:line="260" w:lineRule="atLeast"/>
              <w:jc w:val="both"/>
              <w:rPr>
                <w:rFonts w:cs="Arial"/>
                <w:bCs/>
                <w:color w:val="2E74B5" w:themeColor="accent1" w:themeShade="BF"/>
                <w:lang w:eastAsia="fr-FR"/>
              </w:rPr>
            </w:pPr>
            <w:r w:rsidRPr="00FF1650">
              <w:rPr>
                <w:rFonts w:cs="Arial"/>
                <w:bCs/>
                <w:color w:val="2E74B5" w:themeColor="accent1" w:themeShade="BF"/>
                <w:lang w:eastAsia="fr-FR"/>
              </w:rPr>
              <w:t xml:space="preserve">For adult and children </w:t>
            </w:r>
            <w:r w:rsidR="005A0944" w:rsidRPr="00FF1650">
              <w:rPr>
                <w:rFonts w:cs="Arial"/>
                <w:bCs/>
                <w:color w:val="2E74B5" w:themeColor="accent1" w:themeShade="BF"/>
                <w:lang w:eastAsia="fr-FR"/>
              </w:rPr>
              <w:t>of</w:t>
            </w:r>
            <w:r w:rsidRPr="00FF1650">
              <w:rPr>
                <w:rFonts w:cs="Arial"/>
                <w:bCs/>
                <w:color w:val="2E74B5" w:themeColor="accent1" w:themeShade="BF"/>
                <w:lang w:eastAsia="fr-FR"/>
              </w:rPr>
              <w:t xml:space="preserve"> 6 </w:t>
            </w:r>
            <w:r w:rsidR="00FF1650" w:rsidRPr="00FF1650">
              <w:rPr>
                <w:rFonts w:cs="Arial"/>
                <w:bCs/>
                <w:color w:val="2E74B5" w:themeColor="accent1" w:themeShade="BF"/>
                <w:lang w:eastAsia="fr-FR"/>
              </w:rPr>
              <w:t xml:space="preserve">years </w:t>
            </w:r>
            <w:r w:rsidRPr="00FF1650">
              <w:rPr>
                <w:rFonts w:cs="Arial"/>
                <w:bCs/>
                <w:color w:val="2E74B5" w:themeColor="accent1" w:themeShade="BF"/>
                <w:lang w:eastAsia="fr-FR"/>
              </w:rPr>
              <w:t xml:space="preserve">and </w:t>
            </w:r>
            <w:r w:rsidR="005A0944" w:rsidRPr="00FF1650">
              <w:rPr>
                <w:rFonts w:cs="Arial"/>
                <w:bCs/>
                <w:color w:val="2E74B5" w:themeColor="accent1" w:themeShade="BF"/>
                <w:lang w:eastAsia="fr-FR"/>
              </w:rPr>
              <w:t>more,</w:t>
            </w:r>
            <w:r w:rsidRPr="00FF1650">
              <w:rPr>
                <w:rFonts w:cs="Arial"/>
                <w:bCs/>
                <w:color w:val="2E74B5" w:themeColor="accent1" w:themeShade="BF"/>
                <w:lang w:eastAsia="fr-FR"/>
              </w:rPr>
              <w:t xml:space="preserve"> apply up to two times per day</w:t>
            </w:r>
            <w:r w:rsidR="00FF1650" w:rsidRPr="00FF1650">
              <w:rPr>
                <w:rFonts w:cs="Arial"/>
                <w:bCs/>
                <w:color w:val="2E74B5" w:themeColor="accent1" w:themeShade="BF"/>
                <w:lang w:eastAsia="fr-FR"/>
              </w:rPr>
              <w:t>.</w:t>
            </w:r>
          </w:p>
          <w:p w14:paraId="052A8851" w14:textId="738AAC36" w:rsidR="00814FC2" w:rsidRPr="00FF1650" w:rsidRDefault="00814FC2" w:rsidP="00FF1650">
            <w:pPr>
              <w:pStyle w:val="Paragraphedeliste"/>
              <w:widowControl w:val="0"/>
              <w:numPr>
                <w:ilvl w:val="0"/>
                <w:numId w:val="31"/>
              </w:numPr>
              <w:autoSpaceDE w:val="0"/>
              <w:snapToGrid w:val="0"/>
              <w:spacing w:before="80" w:after="0" w:line="260" w:lineRule="atLeast"/>
              <w:jc w:val="both"/>
              <w:rPr>
                <w:rFonts w:cs="Arial"/>
                <w:bCs/>
                <w:color w:val="2E74B5" w:themeColor="accent1" w:themeShade="BF"/>
                <w:lang w:eastAsia="fr-FR"/>
              </w:rPr>
            </w:pPr>
            <w:r w:rsidRPr="00FF1650">
              <w:rPr>
                <w:rFonts w:cs="Arial"/>
                <w:bCs/>
                <w:color w:val="2E74B5" w:themeColor="accent1" w:themeShade="BF"/>
                <w:lang w:eastAsia="fr-FR"/>
              </w:rPr>
              <w:t>For children younger than 6 years, apply one time per day</w:t>
            </w:r>
            <w:r w:rsidR="00FF1650" w:rsidRPr="00FF1650">
              <w:rPr>
                <w:rFonts w:cs="Arial"/>
                <w:bCs/>
                <w:color w:val="2E74B5" w:themeColor="accent1" w:themeShade="BF"/>
                <w:lang w:eastAsia="fr-FR"/>
              </w:rPr>
              <w:t>.</w:t>
            </w:r>
          </w:p>
          <w:p w14:paraId="0F52FAC4" w14:textId="24FE3E01" w:rsidR="00814FC2" w:rsidRPr="00FF1650" w:rsidRDefault="00814FC2" w:rsidP="00FF1650">
            <w:pPr>
              <w:pStyle w:val="Paragraphedeliste"/>
              <w:widowControl w:val="0"/>
              <w:numPr>
                <w:ilvl w:val="0"/>
                <w:numId w:val="31"/>
              </w:numPr>
              <w:autoSpaceDE w:val="0"/>
              <w:snapToGrid w:val="0"/>
              <w:spacing w:before="80" w:after="0" w:line="260" w:lineRule="atLeast"/>
              <w:jc w:val="both"/>
              <w:rPr>
                <w:rFonts w:cs="Arial"/>
                <w:bCs/>
                <w:color w:val="2E74B5" w:themeColor="accent1" w:themeShade="BF"/>
                <w:lang w:eastAsia="fr-FR"/>
              </w:rPr>
            </w:pPr>
            <w:r w:rsidRPr="00FF1650">
              <w:rPr>
                <w:rFonts w:cs="Arial"/>
                <w:bCs/>
                <w:color w:val="2E74B5" w:themeColor="accent1" w:themeShade="BF"/>
                <w:lang w:eastAsia="fr-FR"/>
              </w:rPr>
              <w:t>For children of 2 years and more, if the product is used in combination with clothes treatment, do not apply the product on skin more than one time per day</w:t>
            </w:r>
            <w:r w:rsidR="007F78F7" w:rsidRPr="00FF1650">
              <w:rPr>
                <w:rFonts w:cs="Arial"/>
                <w:bCs/>
                <w:color w:val="2E74B5" w:themeColor="accent1" w:themeShade="BF"/>
                <w:lang w:eastAsia="fr-FR"/>
              </w:rPr>
              <w:t>.</w:t>
            </w:r>
            <w:r w:rsidRPr="00FF1650">
              <w:rPr>
                <w:rFonts w:cs="Arial"/>
                <w:bCs/>
                <w:color w:val="2E74B5" w:themeColor="accent1" w:themeShade="BF"/>
                <w:lang w:eastAsia="fr-FR"/>
              </w:rPr>
              <w:t xml:space="preserve"> </w:t>
            </w:r>
            <w:r w:rsidR="007F78F7" w:rsidRPr="00FF1650">
              <w:rPr>
                <w:rFonts w:cs="Arial"/>
                <w:bCs/>
                <w:color w:val="2E74B5" w:themeColor="accent1" w:themeShade="BF"/>
                <w:lang w:eastAsia="fr-FR"/>
              </w:rPr>
              <w:t>D</w:t>
            </w:r>
            <w:r w:rsidRPr="00FF1650">
              <w:rPr>
                <w:rFonts w:cs="Arial"/>
                <w:bCs/>
                <w:color w:val="2E74B5" w:themeColor="accent1" w:themeShade="BF"/>
                <w:lang w:eastAsia="fr-FR"/>
              </w:rPr>
              <w:t>o not apply the product on skin under clothes.</w:t>
            </w:r>
          </w:p>
          <w:p w14:paraId="2D396146" w14:textId="31548013" w:rsidR="007F63F1" w:rsidRPr="00FF1650" w:rsidRDefault="00814FC2" w:rsidP="00FF1650">
            <w:pPr>
              <w:pStyle w:val="Paragraphedeliste"/>
              <w:widowControl w:val="0"/>
              <w:numPr>
                <w:ilvl w:val="0"/>
                <w:numId w:val="31"/>
              </w:numPr>
              <w:autoSpaceDE w:val="0"/>
              <w:snapToGrid w:val="0"/>
              <w:spacing w:before="80" w:after="0" w:line="260" w:lineRule="atLeast"/>
              <w:jc w:val="both"/>
              <w:rPr>
                <w:rFonts w:cs="Arial"/>
                <w:bCs/>
                <w:color w:val="2E74B5" w:themeColor="accent1" w:themeShade="BF"/>
                <w:lang w:eastAsia="fr-FR"/>
              </w:rPr>
            </w:pPr>
            <w:r w:rsidRPr="00FF1650">
              <w:rPr>
                <w:rFonts w:cs="Arial"/>
                <w:bCs/>
                <w:color w:val="2E74B5" w:themeColor="accent1" w:themeShade="BF"/>
                <w:lang w:eastAsia="fr-FR"/>
              </w:rPr>
              <w:lastRenderedPageBreak/>
              <w:t>Do not apply the product simultaneously on the skin of children younger than 2 years and on their clothes.</w:t>
            </w:r>
          </w:p>
        </w:tc>
      </w:tr>
    </w:tbl>
    <w:p w14:paraId="236B97AD" w14:textId="77777777" w:rsidR="007F63F1" w:rsidRDefault="007F63F1" w:rsidP="007F63F1">
      <w:pPr>
        <w:pStyle w:val="Titre5"/>
        <w:numPr>
          <w:ilvl w:val="4"/>
          <w:numId w:val="30"/>
        </w:numPr>
        <w:suppressAutoHyphens/>
        <w:spacing w:before="255" w:after="80" w:line="255" w:lineRule="exact"/>
        <w:rPr>
          <w:rFonts w:cs="Times"/>
          <w:bCs/>
          <w:szCs w:val="29"/>
        </w:rPr>
      </w:pPr>
      <w:bookmarkStart w:id="75" w:name="_Toc93326498"/>
      <w:r>
        <w:lastRenderedPageBreak/>
        <w:t>Where specific to the use, the particulars of likely direct or indirect effects, first aid instructions and emergency measures to protect the environment</w:t>
      </w:r>
      <w:bookmarkEnd w:id="7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1E9605A2"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71A69459" w14:textId="7784753A" w:rsidR="007F63F1" w:rsidRDefault="00043748" w:rsidP="00CE67B2">
            <w:pPr>
              <w:widowControl w:val="0"/>
              <w:autoSpaceDE w:val="0"/>
              <w:snapToGrid w:val="0"/>
              <w:spacing w:before="80" w:line="254" w:lineRule="auto"/>
              <w:rPr>
                <w:rFonts w:cs="Times"/>
                <w:bCs/>
                <w:szCs w:val="29"/>
              </w:rPr>
            </w:pPr>
            <w:r>
              <w:rPr>
                <w:rFonts w:cs="Times"/>
                <w:bCs/>
                <w:szCs w:val="29"/>
              </w:rPr>
              <w:t>-</w:t>
            </w:r>
          </w:p>
        </w:tc>
      </w:tr>
    </w:tbl>
    <w:p w14:paraId="7C62CF85" w14:textId="77777777" w:rsidR="007F63F1" w:rsidRDefault="007F63F1" w:rsidP="007F63F1">
      <w:pPr>
        <w:pStyle w:val="Titre5"/>
        <w:numPr>
          <w:ilvl w:val="4"/>
          <w:numId w:val="30"/>
        </w:numPr>
        <w:suppressAutoHyphens/>
        <w:spacing w:before="255" w:after="80" w:line="255" w:lineRule="exact"/>
        <w:rPr>
          <w:rFonts w:cs="Times"/>
          <w:bCs/>
          <w:szCs w:val="29"/>
        </w:rPr>
      </w:pPr>
      <w:bookmarkStart w:id="76" w:name="_Toc93326499"/>
      <w:r>
        <w:t>Where specific to the use, the instructions for safe disposal of the product and its packaging</w:t>
      </w:r>
      <w:bookmarkEnd w:id="76"/>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66965FDA"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75C01FF1" w14:textId="5799BEE9" w:rsidR="007F63F1" w:rsidRDefault="00043748" w:rsidP="007F63F1">
            <w:pPr>
              <w:widowControl w:val="0"/>
              <w:autoSpaceDE w:val="0"/>
              <w:snapToGrid w:val="0"/>
              <w:spacing w:before="80" w:line="254" w:lineRule="auto"/>
              <w:rPr>
                <w:rFonts w:cs="Times"/>
                <w:bCs/>
                <w:szCs w:val="29"/>
              </w:rPr>
            </w:pPr>
            <w:r>
              <w:rPr>
                <w:rFonts w:cs="Times"/>
                <w:bCs/>
                <w:szCs w:val="29"/>
              </w:rPr>
              <w:t>-</w:t>
            </w:r>
          </w:p>
        </w:tc>
      </w:tr>
    </w:tbl>
    <w:p w14:paraId="31E81F6A" w14:textId="77777777" w:rsidR="007F63F1" w:rsidRDefault="007F63F1" w:rsidP="007F63F1">
      <w:pPr>
        <w:pStyle w:val="Titre5"/>
        <w:numPr>
          <w:ilvl w:val="4"/>
          <w:numId w:val="30"/>
        </w:numPr>
        <w:suppressAutoHyphens/>
        <w:spacing w:before="255" w:after="80" w:line="255" w:lineRule="exact"/>
        <w:rPr>
          <w:rFonts w:cs="Times"/>
          <w:bCs/>
          <w:szCs w:val="29"/>
        </w:rPr>
      </w:pPr>
      <w:bookmarkStart w:id="77" w:name="_Toc93326500"/>
      <w:r>
        <w:t>Where specific to the use, the conditions of storage and shelf-life of the product under normal conditions of storage</w:t>
      </w:r>
      <w:bookmarkEnd w:id="7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64798ED3"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3109EA98" w14:textId="07E44FBD" w:rsidR="007F63F1" w:rsidRDefault="00043748" w:rsidP="007F63F1">
            <w:pPr>
              <w:widowControl w:val="0"/>
              <w:autoSpaceDE w:val="0"/>
              <w:snapToGrid w:val="0"/>
              <w:spacing w:before="80" w:line="254" w:lineRule="auto"/>
              <w:rPr>
                <w:rFonts w:cs="Times"/>
                <w:bCs/>
                <w:szCs w:val="29"/>
              </w:rPr>
            </w:pPr>
            <w:r>
              <w:rPr>
                <w:rFonts w:cs="Times"/>
                <w:bCs/>
                <w:szCs w:val="29"/>
              </w:rPr>
              <w:t>-</w:t>
            </w:r>
          </w:p>
        </w:tc>
      </w:tr>
    </w:tbl>
    <w:p w14:paraId="26692B0A" w14:textId="77777777" w:rsidR="007F63F1" w:rsidRDefault="007F63F1" w:rsidP="007F63F1">
      <w:pPr>
        <w:widowControl w:val="0"/>
        <w:autoSpaceDE w:val="0"/>
        <w:rPr>
          <w:rFonts w:cs="Times"/>
          <w:bCs/>
          <w:szCs w:val="29"/>
        </w:rPr>
      </w:pPr>
    </w:p>
    <w:p w14:paraId="3E8996A8" w14:textId="77777777" w:rsidR="00FD0367" w:rsidRDefault="00FD0367" w:rsidP="00FD0367">
      <w:pPr>
        <w:pStyle w:val="Titre4"/>
        <w:numPr>
          <w:ilvl w:val="3"/>
          <w:numId w:val="30"/>
        </w:numPr>
        <w:suppressAutoHyphens/>
      </w:pPr>
      <w:bookmarkStart w:id="78" w:name="_Toc93326501"/>
      <w:r>
        <w:t>Use description</w:t>
      </w:r>
      <w:bookmarkEnd w:id="78"/>
    </w:p>
    <w:p w14:paraId="3F65736A" w14:textId="77777777" w:rsidR="00FD0367" w:rsidRDefault="00FD0367" w:rsidP="00FD0367">
      <w:pPr>
        <w:widowControl w:val="0"/>
        <w:autoSpaceDE w:val="0"/>
        <w:rPr>
          <w:rFonts w:cs="Times"/>
          <w:bCs/>
          <w:szCs w:val="29"/>
        </w:rPr>
      </w:pPr>
    </w:p>
    <w:p w14:paraId="32096ED1" w14:textId="27995526" w:rsidR="00FD0367" w:rsidRDefault="00FD0367" w:rsidP="00FD0367">
      <w:pPr>
        <w:pStyle w:val="Lgende"/>
        <w:spacing w:after="120"/>
        <w:rPr>
          <w:rFonts w:ascii="Verdana" w:hAnsi="Verdana"/>
          <w:b/>
          <w:bCs/>
          <w:szCs w:val="24"/>
          <w:lang w:eastAsia="en-GB"/>
        </w:rPr>
      </w:pPr>
      <w:r>
        <w:rPr>
          <w:rFonts w:ascii="Verdana" w:hAnsi="Verdana" w:cs="Verdana"/>
        </w:rPr>
        <w:t xml:space="preserve">Table </w:t>
      </w:r>
      <w:r w:rsidR="005240CE">
        <w:rPr>
          <w:rFonts w:ascii="Verdana" w:hAnsi="Verdana" w:cs="Verdana"/>
        </w:rPr>
        <w:t>5</w:t>
      </w:r>
      <w:r>
        <w:rPr>
          <w:rFonts w:ascii="Verdana" w:hAnsi="Verdana"/>
        </w:rPr>
        <w:t xml:space="preserve">. Use # </w:t>
      </w:r>
      <w:r w:rsidR="005240CE">
        <w:rPr>
          <w:rFonts w:ascii="Verdana" w:hAnsi="Verdana"/>
        </w:rPr>
        <w:t>5</w:t>
      </w:r>
      <w:r>
        <w:rPr>
          <w:rFonts w:ascii="Verdana" w:hAnsi="Verdana"/>
        </w:rPr>
        <w:t xml:space="preserve"> – </w:t>
      </w:r>
      <w:r w:rsidRPr="0079118F">
        <w:rPr>
          <w:rFonts w:ascii="Verdana" w:hAnsi="Verdana"/>
        </w:rPr>
        <w:t xml:space="preserve">Spray for skin application to repel </w:t>
      </w:r>
      <w:r w:rsidRPr="002400FE">
        <w:rPr>
          <w:rFonts w:ascii="Verdana" w:hAnsi="Verdana"/>
        </w:rPr>
        <w:t>mosquitoes</w:t>
      </w:r>
      <w:r w:rsidR="00043748" w:rsidRPr="0053704B">
        <w:rPr>
          <w:rStyle w:val="Marquedecommentaire"/>
          <w:rFonts w:ascii="Verdana" w:hAnsi="Verdana"/>
          <w:sz w:val="20"/>
        </w:rPr>
        <w:t xml:space="preserve"> (tropical conditions)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FD0367" w14:paraId="25A77CC8" w14:textId="77777777" w:rsidTr="00165258">
        <w:tc>
          <w:tcPr>
            <w:tcW w:w="2707" w:type="dxa"/>
            <w:tcBorders>
              <w:top w:val="single" w:sz="4" w:space="0" w:color="000000"/>
              <w:left w:val="single" w:sz="4" w:space="0" w:color="000000"/>
              <w:bottom w:val="single" w:sz="4" w:space="0" w:color="000000"/>
              <w:right w:val="nil"/>
            </w:tcBorders>
            <w:hideMark/>
          </w:tcPr>
          <w:p w14:paraId="2EED2271" w14:textId="77777777" w:rsidR="00FD0367" w:rsidRDefault="00FD0367" w:rsidP="00165258">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A4F0CB6" w14:textId="77777777" w:rsidR="00FD0367" w:rsidRDefault="00FD0367" w:rsidP="00165258">
            <w:pPr>
              <w:snapToGrid w:val="0"/>
              <w:spacing w:line="254" w:lineRule="auto"/>
              <w:rPr>
                <w:b/>
              </w:rPr>
            </w:pPr>
            <w:r w:rsidRPr="00AF20E5">
              <w:t>PT19 - Repellents and attractants (Pest control)</w:t>
            </w:r>
          </w:p>
        </w:tc>
      </w:tr>
      <w:tr w:rsidR="00FD0367" w:rsidRPr="008766C7" w14:paraId="3680819E" w14:textId="77777777" w:rsidTr="00165258">
        <w:tc>
          <w:tcPr>
            <w:tcW w:w="2707" w:type="dxa"/>
            <w:tcBorders>
              <w:top w:val="nil"/>
              <w:left w:val="single" w:sz="4" w:space="0" w:color="000000"/>
              <w:bottom w:val="single" w:sz="4" w:space="0" w:color="000000"/>
              <w:right w:val="nil"/>
            </w:tcBorders>
            <w:hideMark/>
          </w:tcPr>
          <w:p w14:paraId="256AD641" w14:textId="77777777" w:rsidR="00FD0367" w:rsidRDefault="00FD0367" w:rsidP="00165258">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0EAA4E0A" w14:textId="77777777" w:rsidR="00FD0367" w:rsidRDefault="00FD0367" w:rsidP="00165258">
            <w:pPr>
              <w:snapToGrid w:val="0"/>
              <w:spacing w:line="254" w:lineRule="auto"/>
              <w:rPr>
                <w:b/>
              </w:rPr>
            </w:pPr>
          </w:p>
        </w:tc>
      </w:tr>
      <w:tr w:rsidR="00FD0367" w:rsidRPr="008766C7" w14:paraId="3B4C5BC3" w14:textId="77777777" w:rsidTr="00165258">
        <w:tc>
          <w:tcPr>
            <w:tcW w:w="2707" w:type="dxa"/>
            <w:tcBorders>
              <w:top w:val="nil"/>
              <w:left w:val="single" w:sz="4" w:space="0" w:color="000000"/>
              <w:bottom w:val="single" w:sz="4" w:space="0" w:color="000000"/>
              <w:right w:val="nil"/>
            </w:tcBorders>
            <w:hideMark/>
          </w:tcPr>
          <w:p w14:paraId="7AF955C6" w14:textId="77777777" w:rsidR="00FD0367" w:rsidRDefault="00FD0367" w:rsidP="00165258">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A5C82CB" w14:textId="77777777" w:rsidR="00FD0367" w:rsidRPr="000F3633" w:rsidRDefault="00FD0367" w:rsidP="00165258">
            <w:pPr>
              <w:contextualSpacing/>
              <w:rPr>
                <w:i/>
              </w:rPr>
            </w:pPr>
            <w:r w:rsidRPr="000F3633">
              <w:rPr>
                <w:i/>
              </w:rPr>
              <w:t>Aedes spp.</w:t>
            </w:r>
          </w:p>
          <w:p w14:paraId="111D4188" w14:textId="77777777" w:rsidR="00FD0367" w:rsidRPr="000F3633" w:rsidRDefault="00FD0367" w:rsidP="00165258">
            <w:pPr>
              <w:contextualSpacing/>
              <w:rPr>
                <w:i/>
              </w:rPr>
            </w:pPr>
            <w:r w:rsidRPr="000F3633">
              <w:rPr>
                <w:i/>
              </w:rPr>
              <w:t>Anopheles spp.</w:t>
            </w:r>
          </w:p>
          <w:p w14:paraId="2A67BB2D" w14:textId="77777777" w:rsidR="00FD0367" w:rsidRPr="00875771" w:rsidRDefault="00FD0367" w:rsidP="00165258">
            <w:pPr>
              <w:contextualSpacing/>
            </w:pPr>
          </w:p>
          <w:p w14:paraId="68846CBC" w14:textId="77777777" w:rsidR="00FD0367" w:rsidRDefault="00FD0367" w:rsidP="00165258">
            <w:pPr>
              <w:snapToGrid w:val="0"/>
              <w:spacing w:line="254" w:lineRule="auto"/>
            </w:pPr>
            <w:r w:rsidRPr="00875771">
              <w:rPr>
                <w:color w:val="000000"/>
              </w:rPr>
              <w:t>Development stage: adults</w:t>
            </w:r>
          </w:p>
        </w:tc>
      </w:tr>
      <w:tr w:rsidR="00FD0367" w14:paraId="30F4FA57" w14:textId="77777777" w:rsidTr="00165258">
        <w:tc>
          <w:tcPr>
            <w:tcW w:w="2707" w:type="dxa"/>
            <w:tcBorders>
              <w:top w:val="nil"/>
              <w:left w:val="single" w:sz="4" w:space="0" w:color="000000"/>
              <w:bottom w:val="single" w:sz="4" w:space="0" w:color="000000"/>
              <w:right w:val="nil"/>
            </w:tcBorders>
            <w:hideMark/>
          </w:tcPr>
          <w:p w14:paraId="7B691E27" w14:textId="77777777" w:rsidR="00FD0367" w:rsidRDefault="00FD0367" w:rsidP="00165258">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212203B5" w14:textId="0A369B8A" w:rsidR="00FD0367" w:rsidRDefault="00D91785" w:rsidP="00165258">
            <w:pPr>
              <w:snapToGrid w:val="0"/>
              <w:spacing w:line="260" w:lineRule="atLeast"/>
              <w:jc w:val="both"/>
            </w:pPr>
            <w:r>
              <w:t>S</w:t>
            </w:r>
            <w:r w:rsidR="0000263F">
              <w:t>kin application</w:t>
            </w:r>
          </w:p>
        </w:tc>
      </w:tr>
      <w:tr w:rsidR="00FD0367" w14:paraId="207A2634" w14:textId="77777777" w:rsidTr="00165258">
        <w:tc>
          <w:tcPr>
            <w:tcW w:w="2707" w:type="dxa"/>
            <w:tcBorders>
              <w:top w:val="nil"/>
              <w:left w:val="single" w:sz="4" w:space="0" w:color="000000"/>
              <w:bottom w:val="single" w:sz="4" w:space="0" w:color="000000"/>
              <w:right w:val="nil"/>
            </w:tcBorders>
            <w:hideMark/>
          </w:tcPr>
          <w:p w14:paraId="4134AF4D" w14:textId="77777777" w:rsidR="00FD0367" w:rsidRDefault="00FD0367" w:rsidP="00165258">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1D35F2B1" w14:textId="77777777" w:rsidR="00FD0367" w:rsidRPr="00AF20E5" w:rsidRDefault="00FD0367" w:rsidP="00165258">
            <w:r w:rsidRPr="00AF20E5">
              <w:t>Spraying</w:t>
            </w:r>
          </w:p>
          <w:p w14:paraId="39AC4259" w14:textId="77777777" w:rsidR="00FD0367" w:rsidRDefault="00FD0367" w:rsidP="00165258">
            <w:pPr>
              <w:tabs>
                <w:tab w:val="left" w:pos="1200"/>
              </w:tabs>
              <w:snapToGrid w:val="0"/>
              <w:spacing w:line="260" w:lineRule="atLeast"/>
            </w:pPr>
            <w:r w:rsidRPr="00AF20E5">
              <w:rPr>
                <w:color w:val="000000"/>
              </w:rPr>
              <w:t>Spray directly on skin</w:t>
            </w:r>
          </w:p>
        </w:tc>
      </w:tr>
      <w:tr w:rsidR="00FD0367" w:rsidRPr="008766C7" w14:paraId="4EBA6A17" w14:textId="77777777" w:rsidTr="00165258">
        <w:tc>
          <w:tcPr>
            <w:tcW w:w="2707" w:type="dxa"/>
            <w:tcBorders>
              <w:top w:val="nil"/>
              <w:left w:val="single" w:sz="4" w:space="0" w:color="000000"/>
              <w:bottom w:val="single" w:sz="4" w:space="0" w:color="000000"/>
              <w:right w:val="nil"/>
            </w:tcBorders>
            <w:hideMark/>
          </w:tcPr>
          <w:p w14:paraId="09185284" w14:textId="77777777" w:rsidR="00FD0367" w:rsidRDefault="00FD0367" w:rsidP="00165258">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673BDA10" w14:textId="77777777" w:rsidR="00FD0367" w:rsidRPr="001D2CEA" w:rsidRDefault="00FD0367" w:rsidP="00165258">
            <w:pPr>
              <w:rPr>
                <w:lang w:val="en-US"/>
              </w:rPr>
            </w:pPr>
          </w:p>
          <w:p w14:paraId="7E2975B2" w14:textId="136ADAB6" w:rsidR="00FD0367" w:rsidRPr="00AF20E5" w:rsidRDefault="00FD0367" w:rsidP="00165258">
            <w:r>
              <w:t>Application rate i</w:t>
            </w:r>
            <w:r w:rsidRPr="00AF20E5">
              <w:t xml:space="preserve">n tropical conditions: </w:t>
            </w:r>
            <w:r w:rsidR="009E2CCB">
              <w:t>0,</w:t>
            </w:r>
            <w:r w:rsidRPr="00AF20E5">
              <w:t xml:space="preserve">8 </w:t>
            </w:r>
            <w:r w:rsidR="009E2CCB">
              <w:t>m</w:t>
            </w:r>
            <w:r w:rsidRPr="00AF20E5">
              <w:t xml:space="preserve">g of product per </w:t>
            </w:r>
            <w:r w:rsidR="009E2CCB">
              <w:t>c</w:t>
            </w:r>
            <w:r w:rsidRPr="00AF20E5">
              <w:t xml:space="preserve">m² </w:t>
            </w:r>
            <w:r>
              <w:t>of skin</w:t>
            </w:r>
          </w:p>
          <w:p w14:paraId="17951E5C" w14:textId="77777777" w:rsidR="00FD0367" w:rsidRPr="00762133" w:rsidRDefault="00FD0367" w:rsidP="00165258">
            <w:pPr>
              <w:rPr>
                <w:color w:val="000000"/>
                <w:lang w:val="en-US"/>
              </w:rPr>
            </w:pPr>
            <w:r w:rsidRPr="001D2CEA">
              <w:rPr>
                <w:color w:val="000000"/>
                <w:lang w:val="en-US"/>
              </w:rPr>
              <w:t>Protection time: 3 hours in t</w:t>
            </w:r>
            <w:r>
              <w:rPr>
                <w:color w:val="000000"/>
                <w:lang w:val="en-US"/>
              </w:rPr>
              <w:t>ropical</w:t>
            </w:r>
            <w:r w:rsidRPr="001D2CEA">
              <w:rPr>
                <w:color w:val="000000"/>
                <w:lang w:val="en-US"/>
              </w:rPr>
              <w:t xml:space="preserve"> condition</w:t>
            </w:r>
            <w:r>
              <w:rPr>
                <w:color w:val="000000"/>
                <w:lang w:val="en-US"/>
              </w:rPr>
              <w:t>s</w:t>
            </w:r>
          </w:p>
        </w:tc>
      </w:tr>
      <w:tr w:rsidR="00FD0367" w14:paraId="0544ED90" w14:textId="77777777" w:rsidTr="00165258">
        <w:tc>
          <w:tcPr>
            <w:tcW w:w="2707" w:type="dxa"/>
            <w:tcBorders>
              <w:top w:val="nil"/>
              <w:left w:val="single" w:sz="4" w:space="0" w:color="000000"/>
              <w:bottom w:val="single" w:sz="4" w:space="0" w:color="000000"/>
              <w:right w:val="nil"/>
            </w:tcBorders>
            <w:hideMark/>
          </w:tcPr>
          <w:p w14:paraId="6084D6CF" w14:textId="77777777" w:rsidR="00FD0367" w:rsidRDefault="00FD0367" w:rsidP="00165258">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6331B6F6" w14:textId="77777777" w:rsidR="00FD0367" w:rsidRPr="000E4EF0" w:rsidRDefault="00FD0367" w:rsidP="00165258">
            <w:pPr>
              <w:snapToGrid w:val="0"/>
              <w:spacing w:line="254" w:lineRule="auto"/>
            </w:pPr>
            <w:r w:rsidRPr="00D601DB">
              <w:t>General public (non-professional)</w:t>
            </w:r>
          </w:p>
        </w:tc>
      </w:tr>
      <w:tr w:rsidR="00FD0367" w:rsidRPr="008766C7" w14:paraId="1DA79F89" w14:textId="77777777" w:rsidTr="00165258">
        <w:tc>
          <w:tcPr>
            <w:tcW w:w="2707" w:type="dxa"/>
            <w:tcBorders>
              <w:top w:val="nil"/>
              <w:left w:val="single" w:sz="4" w:space="0" w:color="000000"/>
              <w:bottom w:val="single" w:sz="4" w:space="0" w:color="000000"/>
              <w:right w:val="nil"/>
            </w:tcBorders>
            <w:hideMark/>
          </w:tcPr>
          <w:p w14:paraId="405A59E5" w14:textId="77777777" w:rsidR="00FD0367" w:rsidRDefault="00FD0367" w:rsidP="00165258">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653782F3" w14:textId="77777777" w:rsidR="00FD0367" w:rsidRDefault="00FD0367" w:rsidP="00165258">
            <w:pPr>
              <w:spacing w:line="254" w:lineRule="auto"/>
            </w:pPr>
            <w:r>
              <w:t>100-250mL HDPE bottle (with sprayer)</w:t>
            </w:r>
          </w:p>
        </w:tc>
      </w:tr>
    </w:tbl>
    <w:p w14:paraId="42A01CE4" w14:textId="77777777" w:rsidR="00FD0367" w:rsidRDefault="00FD0367" w:rsidP="00FD0367">
      <w:pPr>
        <w:tabs>
          <w:tab w:val="left" w:pos="500"/>
        </w:tabs>
        <w:ind w:left="500" w:hanging="500"/>
      </w:pPr>
    </w:p>
    <w:p w14:paraId="138133AB" w14:textId="77777777" w:rsidR="00FD0367" w:rsidRDefault="00FD0367" w:rsidP="00FD0367">
      <w:pPr>
        <w:pStyle w:val="Titre5"/>
        <w:numPr>
          <w:ilvl w:val="4"/>
          <w:numId w:val="30"/>
        </w:numPr>
        <w:suppressAutoHyphens/>
        <w:spacing w:before="255" w:after="80" w:line="255" w:lineRule="exact"/>
        <w:rPr>
          <w:rFonts w:cs="Times"/>
          <w:bCs/>
          <w:szCs w:val="29"/>
        </w:rPr>
      </w:pPr>
      <w:bookmarkStart w:id="79" w:name="_Toc93326502"/>
      <w:r>
        <w:t>Use-specific instructions for use</w:t>
      </w:r>
      <w:bookmarkEnd w:id="7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D0367" w14:paraId="641451AF" w14:textId="77777777" w:rsidTr="00165258">
        <w:tc>
          <w:tcPr>
            <w:tcW w:w="9036" w:type="dxa"/>
            <w:tcBorders>
              <w:top w:val="single" w:sz="4" w:space="0" w:color="000000"/>
              <w:left w:val="single" w:sz="4" w:space="0" w:color="000000"/>
              <w:bottom w:val="single" w:sz="4" w:space="0" w:color="000000"/>
              <w:right w:val="single" w:sz="4" w:space="0" w:color="000000"/>
            </w:tcBorders>
          </w:tcPr>
          <w:p w14:paraId="5EA7DC9E" w14:textId="77777777" w:rsidR="00FD0367" w:rsidRPr="0079118F" w:rsidRDefault="00FD0367" w:rsidP="00165258">
            <w:pPr>
              <w:numPr>
                <w:ilvl w:val="0"/>
                <w:numId w:val="31"/>
              </w:numPr>
              <w:spacing w:before="0" w:after="0"/>
              <w:contextualSpacing/>
              <w:jc w:val="both"/>
              <w:rPr>
                <w:rFonts w:cs="Arial"/>
                <w:bCs/>
                <w:color w:val="000000"/>
                <w:lang w:val="en-US" w:eastAsia="fr-FR"/>
              </w:rPr>
            </w:pPr>
            <w:r w:rsidRPr="0079118F">
              <w:rPr>
                <w:lang w:eastAsia="en-US"/>
              </w:rPr>
              <w:t>Wash hands thoroughly after handling</w:t>
            </w:r>
            <w:r w:rsidRPr="0079118F">
              <w:rPr>
                <w:rFonts w:cs="Arial"/>
                <w:bCs/>
                <w:color w:val="000000"/>
                <w:lang w:val="en-US" w:eastAsia="fr-FR"/>
              </w:rPr>
              <w:t xml:space="preserve"> </w:t>
            </w:r>
          </w:p>
          <w:p w14:paraId="68C78DC3" w14:textId="4A3BFC29" w:rsidR="00FD0367" w:rsidRPr="0079118F" w:rsidRDefault="00FD0367" w:rsidP="00165258">
            <w:pPr>
              <w:numPr>
                <w:ilvl w:val="0"/>
                <w:numId w:val="31"/>
              </w:numPr>
              <w:spacing w:before="0" w:after="0"/>
              <w:contextualSpacing/>
              <w:jc w:val="both"/>
              <w:rPr>
                <w:rFonts w:cs="Arial"/>
                <w:bCs/>
                <w:color w:val="000000"/>
                <w:lang w:val="en-US" w:eastAsia="fr-FR"/>
              </w:rPr>
            </w:pPr>
            <w:r w:rsidRPr="0079118F">
              <w:rPr>
                <w:rFonts w:cs="Arial"/>
                <w:bCs/>
                <w:color w:val="000000"/>
                <w:lang w:val="en-US" w:eastAsia="fr-FR"/>
              </w:rPr>
              <w:t>Do not apply the product on the hands of child</w:t>
            </w:r>
            <w:r w:rsidR="00F572E3">
              <w:rPr>
                <w:rFonts w:cs="Arial"/>
                <w:bCs/>
                <w:color w:val="000000"/>
                <w:lang w:val="en-US" w:eastAsia="fr-FR"/>
              </w:rPr>
              <w:t xml:space="preserve"> under 12 years.</w:t>
            </w:r>
          </w:p>
          <w:p w14:paraId="4A964F0D" w14:textId="77777777" w:rsidR="00FD0367" w:rsidRDefault="00FD0367" w:rsidP="00165258">
            <w:pPr>
              <w:widowControl w:val="0"/>
              <w:numPr>
                <w:ilvl w:val="0"/>
                <w:numId w:val="31"/>
              </w:numPr>
              <w:autoSpaceDE w:val="0"/>
              <w:autoSpaceDN w:val="0"/>
              <w:adjustRightInd w:val="0"/>
              <w:spacing w:before="0" w:after="0"/>
            </w:pPr>
            <w:r w:rsidRPr="00BF33EC">
              <w:t>In case of a concomitant us</w:t>
            </w:r>
            <w:r>
              <w:t>e of the product with sunscreen</w:t>
            </w:r>
            <w:r w:rsidRPr="00BF33EC">
              <w:t xml:space="preserve">, first apply the </w:t>
            </w:r>
            <w:r w:rsidRPr="00BF33EC">
              <w:lastRenderedPageBreak/>
              <w:t>sunscreen and wait 20 minutes before the application of the product.</w:t>
            </w:r>
          </w:p>
          <w:p w14:paraId="03637E11" w14:textId="77777777" w:rsidR="00FD0367" w:rsidRPr="0096250C" w:rsidRDefault="00FD0367" w:rsidP="00165258">
            <w:pPr>
              <w:pStyle w:val="Paragraphedeliste"/>
              <w:numPr>
                <w:ilvl w:val="0"/>
                <w:numId w:val="31"/>
              </w:numPr>
              <w:spacing w:before="0" w:after="0" w:line="260" w:lineRule="atLeast"/>
              <w:rPr>
                <w:rFonts w:eastAsia="Calibri"/>
              </w:rPr>
            </w:pPr>
            <w:r w:rsidRPr="007177F7">
              <w:t>Retreat after water exposure without exceeding the maximal recommended application number.</w:t>
            </w:r>
          </w:p>
          <w:p w14:paraId="1AE80B93" w14:textId="0405B4B7" w:rsidR="00FD0367" w:rsidRDefault="00FD0367" w:rsidP="00165258">
            <w:pPr>
              <w:spacing w:before="0" w:after="0" w:line="260" w:lineRule="atLeast"/>
            </w:pPr>
          </w:p>
          <w:p w14:paraId="01EB4D0A" w14:textId="77777777" w:rsidR="00F00A50" w:rsidRPr="0010045B" w:rsidRDefault="00F00A50" w:rsidP="00F00A50">
            <w:pPr>
              <w:widowControl w:val="0"/>
              <w:autoSpaceDE w:val="0"/>
              <w:snapToGrid w:val="0"/>
              <w:spacing w:before="80" w:after="0" w:line="260" w:lineRule="atLeast"/>
              <w:contextualSpacing/>
              <w:jc w:val="both"/>
              <w:rPr>
                <w:rFonts w:cs="Arial"/>
                <w:bCs/>
                <w:lang w:eastAsia="fr-FR"/>
              </w:rPr>
            </w:pPr>
            <w:r w:rsidRPr="009215DE">
              <w:rPr>
                <w:rFonts w:cs="Arial"/>
                <w:bCs/>
                <w:lang w:eastAsia="fr-FR"/>
              </w:rPr>
              <w:t>EU only:</w:t>
            </w:r>
          </w:p>
          <w:p w14:paraId="3AF732ED" w14:textId="3D4AFF95" w:rsidR="00F00A50" w:rsidRPr="005363E6" w:rsidRDefault="00F00A50" w:rsidP="00F00A50">
            <w:pPr>
              <w:widowControl w:val="0"/>
              <w:autoSpaceDE w:val="0"/>
              <w:snapToGrid w:val="0"/>
              <w:spacing w:before="0" w:after="0" w:line="260" w:lineRule="atLeast"/>
              <w:jc w:val="both"/>
              <w:rPr>
                <w:rFonts w:cs="Arial"/>
                <w:b/>
                <w:bCs/>
                <w:lang w:eastAsia="fr-FR"/>
              </w:rPr>
            </w:pPr>
            <w:r w:rsidRPr="005363E6">
              <w:rPr>
                <w:rFonts w:cs="Arial"/>
                <w:b/>
                <w:bCs/>
                <w:lang w:eastAsia="fr-FR"/>
              </w:rPr>
              <w:t>Number of sprays (100ml</w:t>
            </w:r>
            <w:r w:rsidR="00A66CCF">
              <w:rPr>
                <w:rFonts w:cs="Arial"/>
                <w:b/>
                <w:bCs/>
                <w:lang w:eastAsia="fr-FR"/>
              </w:rPr>
              <w:t xml:space="preserve"> – 100µL per spray</w:t>
            </w:r>
            <w:r w:rsidRPr="005363E6">
              <w:rPr>
                <w:rFonts w:cs="Arial"/>
                <w:b/>
                <w:bCs/>
                <w:lang w:eastAsia="fr-FR"/>
              </w:rPr>
              <w:t>):</w:t>
            </w:r>
          </w:p>
          <w:p w14:paraId="38699414" w14:textId="69E5A7FC" w:rsidR="00F00A50" w:rsidRPr="0010045B" w:rsidRDefault="00F00A50" w:rsidP="00F00A50">
            <w:pPr>
              <w:widowControl w:val="0"/>
              <w:autoSpaceDE w:val="0"/>
              <w:snapToGrid w:val="0"/>
              <w:spacing w:before="0" w:after="0" w:line="260" w:lineRule="atLeast"/>
              <w:jc w:val="both"/>
              <w:rPr>
                <w:rFonts w:cs="Arial"/>
                <w:bCs/>
                <w:lang w:eastAsia="fr-FR"/>
              </w:rPr>
            </w:pPr>
            <w:r w:rsidRPr="005363E6">
              <w:rPr>
                <w:rFonts w:cs="Arial"/>
                <w:bCs/>
                <w:lang w:eastAsia="fr-FR"/>
              </w:rPr>
              <w:t>- Adult and children</w:t>
            </w:r>
            <w:r w:rsidR="006947F8">
              <w:rPr>
                <w:rFonts w:cs="Arial"/>
                <w:bCs/>
                <w:lang w:eastAsia="fr-FR"/>
              </w:rPr>
              <w:t xml:space="preserve"> &gt;</w:t>
            </w:r>
            <w:r w:rsidRPr="005363E6">
              <w:rPr>
                <w:rFonts w:cs="Arial"/>
                <w:bCs/>
                <w:lang w:eastAsia="fr-FR"/>
              </w:rPr>
              <w:t>12 years</w:t>
            </w:r>
            <w:r w:rsidR="006947F8">
              <w:rPr>
                <w:rFonts w:cs="Arial"/>
                <w:bCs/>
                <w:lang w:eastAsia="fr-FR"/>
              </w:rPr>
              <w:t xml:space="preserve"> old</w:t>
            </w:r>
            <w:r w:rsidRPr="005363E6">
              <w:rPr>
                <w:rFonts w:cs="Arial"/>
                <w:bCs/>
                <w:lang w:eastAsia="fr-FR"/>
              </w:rPr>
              <w:t xml:space="preserve">: apply </w:t>
            </w:r>
            <w:r w:rsidR="00413CB7">
              <w:rPr>
                <w:rFonts w:cs="Arial"/>
                <w:bCs/>
                <w:lang w:eastAsia="fr-FR"/>
              </w:rPr>
              <w:t>9</w:t>
            </w:r>
            <w:r w:rsidRPr="005363E6">
              <w:rPr>
                <w:rFonts w:cs="Arial"/>
                <w:bCs/>
                <w:lang w:eastAsia="fr-FR"/>
              </w:rPr>
              <w:t xml:space="preserve"> sprays to the head, </w:t>
            </w:r>
            <w:r>
              <w:rPr>
                <w:rFonts w:cs="Arial"/>
                <w:bCs/>
                <w:lang w:eastAsia="fr-FR"/>
              </w:rPr>
              <w:t xml:space="preserve">1 spray </w:t>
            </w:r>
            <w:r w:rsidR="009215DE">
              <w:rPr>
                <w:rFonts w:cs="Arial"/>
                <w:bCs/>
                <w:lang w:eastAsia="fr-FR"/>
              </w:rPr>
              <w:t>to</w:t>
            </w:r>
            <w:r>
              <w:rPr>
                <w:rFonts w:cs="Arial"/>
                <w:bCs/>
                <w:lang w:eastAsia="fr-FR"/>
              </w:rPr>
              <w:t xml:space="preserve"> the neck, </w:t>
            </w:r>
            <w:r w:rsidR="00413CB7">
              <w:rPr>
                <w:rFonts w:cs="Arial"/>
                <w:bCs/>
                <w:lang w:eastAsia="fr-FR"/>
              </w:rPr>
              <w:t>8</w:t>
            </w:r>
            <w:r w:rsidRPr="005363E6">
              <w:rPr>
                <w:rFonts w:cs="Arial"/>
                <w:bCs/>
                <w:lang w:eastAsia="fr-FR"/>
              </w:rPr>
              <w:t xml:space="preserve"> sprays per arm, </w:t>
            </w:r>
            <w:r w:rsidR="00413CB7">
              <w:rPr>
                <w:rFonts w:cs="Arial"/>
                <w:bCs/>
                <w:lang w:eastAsia="fr-FR"/>
              </w:rPr>
              <w:t>3</w:t>
            </w:r>
            <w:r w:rsidRPr="005363E6">
              <w:rPr>
                <w:rFonts w:cs="Arial"/>
                <w:bCs/>
                <w:lang w:eastAsia="fr-FR"/>
              </w:rPr>
              <w:t xml:space="preserve"> spray</w:t>
            </w:r>
            <w:r>
              <w:rPr>
                <w:rFonts w:cs="Arial"/>
                <w:bCs/>
                <w:lang w:eastAsia="fr-FR"/>
              </w:rPr>
              <w:t>s</w:t>
            </w:r>
            <w:r w:rsidRPr="005363E6">
              <w:rPr>
                <w:rFonts w:cs="Arial"/>
                <w:bCs/>
                <w:lang w:eastAsia="fr-FR"/>
              </w:rPr>
              <w:t xml:space="preserve"> per hand</w:t>
            </w:r>
            <w:r>
              <w:rPr>
                <w:rFonts w:cs="Arial"/>
                <w:bCs/>
                <w:lang w:eastAsia="fr-FR"/>
              </w:rPr>
              <w:t xml:space="preserve">, </w:t>
            </w:r>
            <w:r w:rsidR="00413CB7">
              <w:rPr>
                <w:rFonts w:cs="Arial"/>
                <w:bCs/>
                <w:lang w:eastAsia="fr-FR"/>
              </w:rPr>
              <w:t>18</w:t>
            </w:r>
            <w:r>
              <w:rPr>
                <w:rFonts w:cs="Arial"/>
                <w:bCs/>
                <w:lang w:eastAsia="fr-FR"/>
              </w:rPr>
              <w:t xml:space="preserve"> sprays per leg and</w:t>
            </w:r>
            <w:r w:rsidRPr="005363E6">
              <w:rPr>
                <w:rFonts w:cs="Arial"/>
                <w:bCs/>
                <w:lang w:eastAsia="fr-FR"/>
              </w:rPr>
              <w:t xml:space="preserve"> </w:t>
            </w:r>
            <w:r w:rsidR="00413CB7">
              <w:rPr>
                <w:rFonts w:cs="Arial"/>
                <w:bCs/>
                <w:lang w:eastAsia="fr-FR"/>
              </w:rPr>
              <w:t>4</w:t>
            </w:r>
            <w:r w:rsidRPr="00A90416">
              <w:rPr>
                <w:rFonts w:cs="Arial"/>
                <w:bCs/>
                <w:lang w:eastAsia="fr-FR"/>
              </w:rPr>
              <w:t xml:space="preserve"> sprays per foot</w:t>
            </w:r>
            <w:r w:rsidRPr="0035542E">
              <w:rPr>
                <w:rFonts w:cs="Arial"/>
                <w:bCs/>
                <w:lang w:eastAsia="fr-FR"/>
              </w:rPr>
              <w:t xml:space="preserve">, once </w:t>
            </w:r>
            <w:r w:rsidRPr="0010045B">
              <w:rPr>
                <w:rFonts w:cs="Arial"/>
                <w:bCs/>
                <w:lang w:eastAsia="fr-FR"/>
              </w:rPr>
              <w:t>a day.</w:t>
            </w:r>
          </w:p>
          <w:p w14:paraId="456295E9" w14:textId="2884CC44" w:rsidR="00F00A50" w:rsidRPr="00266F9D" w:rsidRDefault="00F00A50" w:rsidP="00F00A50">
            <w:pPr>
              <w:widowControl w:val="0"/>
              <w:autoSpaceDE w:val="0"/>
              <w:snapToGrid w:val="0"/>
              <w:spacing w:before="0" w:after="0" w:line="260" w:lineRule="atLeast"/>
              <w:jc w:val="both"/>
              <w:rPr>
                <w:rFonts w:cs="Arial"/>
                <w:bCs/>
                <w:lang w:eastAsia="fr-FR"/>
              </w:rPr>
            </w:pPr>
            <w:r w:rsidRPr="0010045B">
              <w:rPr>
                <w:rFonts w:cs="Arial"/>
                <w:bCs/>
                <w:lang w:eastAsia="fr-FR"/>
              </w:rPr>
              <w:t xml:space="preserve">- Children from 6 to </w:t>
            </w:r>
            <w:r w:rsidRPr="00266F9D">
              <w:rPr>
                <w:rFonts w:cs="Arial"/>
                <w:bCs/>
                <w:lang w:eastAsia="fr-FR"/>
              </w:rPr>
              <w:t xml:space="preserve">&lt;12 years old: apply </w:t>
            </w:r>
            <w:r w:rsidR="00413CB7" w:rsidRPr="00266F9D">
              <w:rPr>
                <w:rFonts w:cs="Arial"/>
                <w:bCs/>
                <w:lang w:eastAsia="fr-FR"/>
              </w:rPr>
              <w:t>4</w:t>
            </w:r>
            <w:r w:rsidRPr="00266F9D">
              <w:rPr>
                <w:rFonts w:cs="Arial"/>
                <w:bCs/>
                <w:lang w:eastAsia="fr-FR"/>
              </w:rPr>
              <w:t xml:space="preserve"> sprays to the head, </w:t>
            </w:r>
            <w:r w:rsidR="00413CB7" w:rsidRPr="00266F9D">
              <w:rPr>
                <w:rFonts w:cs="Arial"/>
                <w:bCs/>
                <w:lang w:eastAsia="fr-FR"/>
              </w:rPr>
              <w:t>2</w:t>
            </w:r>
            <w:r w:rsidRPr="00266F9D">
              <w:rPr>
                <w:rFonts w:cs="Arial"/>
                <w:bCs/>
                <w:lang w:eastAsia="fr-FR"/>
              </w:rPr>
              <w:t xml:space="preserve"> spray</w:t>
            </w:r>
            <w:r w:rsidR="00413CB7" w:rsidRPr="00266F9D">
              <w:rPr>
                <w:rFonts w:cs="Arial"/>
                <w:bCs/>
                <w:lang w:eastAsia="fr-FR"/>
              </w:rPr>
              <w:t>s</w:t>
            </w:r>
            <w:r w:rsidRPr="00266F9D">
              <w:rPr>
                <w:rFonts w:cs="Arial"/>
                <w:bCs/>
                <w:lang w:eastAsia="fr-FR"/>
              </w:rPr>
              <w:t xml:space="preserve"> on the neck, </w:t>
            </w:r>
            <w:r w:rsidR="00413CB7" w:rsidRPr="00266F9D">
              <w:rPr>
                <w:rFonts w:cs="Arial"/>
                <w:bCs/>
                <w:lang w:eastAsia="fr-FR"/>
              </w:rPr>
              <w:t>4</w:t>
            </w:r>
            <w:r w:rsidRPr="00266F9D">
              <w:rPr>
                <w:rFonts w:cs="Arial"/>
                <w:bCs/>
                <w:lang w:eastAsia="fr-FR"/>
              </w:rPr>
              <w:t xml:space="preserve"> sprays per arm, </w:t>
            </w:r>
            <w:r w:rsidRPr="00EA7456">
              <w:rPr>
                <w:rFonts w:cs="Arial"/>
                <w:bCs/>
                <w:lang w:eastAsia="fr-FR"/>
              </w:rPr>
              <w:t>1 spray per hand</w:t>
            </w:r>
            <w:r w:rsidRPr="00266F9D">
              <w:rPr>
                <w:rFonts w:cs="Arial"/>
                <w:bCs/>
                <w:lang w:eastAsia="fr-FR"/>
              </w:rPr>
              <w:t xml:space="preserve">, </w:t>
            </w:r>
            <w:r w:rsidR="00413CB7" w:rsidRPr="00266F9D">
              <w:rPr>
                <w:rFonts w:cs="Arial"/>
                <w:bCs/>
                <w:lang w:eastAsia="fr-FR"/>
              </w:rPr>
              <w:t>9</w:t>
            </w:r>
            <w:r w:rsidRPr="00266F9D">
              <w:rPr>
                <w:rFonts w:cs="Arial"/>
                <w:bCs/>
                <w:lang w:eastAsia="fr-FR"/>
              </w:rPr>
              <w:t xml:space="preserve"> sprays per leg and </w:t>
            </w:r>
            <w:r w:rsidR="00413CB7" w:rsidRPr="00266F9D">
              <w:rPr>
                <w:rFonts w:cs="Arial"/>
                <w:bCs/>
                <w:lang w:eastAsia="fr-FR"/>
              </w:rPr>
              <w:t>2</w:t>
            </w:r>
            <w:r w:rsidRPr="00266F9D">
              <w:rPr>
                <w:rFonts w:cs="Arial"/>
                <w:bCs/>
                <w:lang w:eastAsia="fr-FR"/>
              </w:rPr>
              <w:t xml:space="preserve"> spray</w:t>
            </w:r>
            <w:r w:rsidR="00413CB7" w:rsidRPr="00266F9D">
              <w:rPr>
                <w:rFonts w:cs="Arial"/>
                <w:bCs/>
                <w:lang w:eastAsia="fr-FR"/>
              </w:rPr>
              <w:t>s</w:t>
            </w:r>
            <w:r w:rsidRPr="00266F9D">
              <w:rPr>
                <w:rFonts w:cs="Arial"/>
                <w:bCs/>
                <w:lang w:eastAsia="fr-FR"/>
              </w:rPr>
              <w:t xml:space="preserve"> per foot, once a day.</w:t>
            </w:r>
          </w:p>
          <w:p w14:paraId="721DF2E5" w14:textId="6441E653" w:rsidR="00F00A50" w:rsidRPr="00266F9D" w:rsidRDefault="00F00A50" w:rsidP="00F00A50">
            <w:pPr>
              <w:widowControl w:val="0"/>
              <w:autoSpaceDE w:val="0"/>
              <w:snapToGrid w:val="0"/>
              <w:spacing w:before="0" w:after="0" w:line="260" w:lineRule="atLeast"/>
              <w:jc w:val="both"/>
              <w:rPr>
                <w:rFonts w:cs="Arial"/>
                <w:bCs/>
                <w:lang w:eastAsia="fr-FR"/>
              </w:rPr>
            </w:pPr>
            <w:r w:rsidRPr="00266F9D">
              <w:rPr>
                <w:rFonts w:cs="Arial"/>
                <w:bCs/>
                <w:lang w:eastAsia="fr-FR"/>
              </w:rPr>
              <w:t>- Children from 2 to &lt;6 years</w:t>
            </w:r>
            <w:r w:rsidR="006947F8" w:rsidRPr="00266F9D">
              <w:rPr>
                <w:rFonts w:cs="Arial"/>
                <w:bCs/>
                <w:lang w:eastAsia="fr-FR"/>
              </w:rPr>
              <w:t xml:space="preserve"> old</w:t>
            </w:r>
            <w:r w:rsidRPr="00266F9D">
              <w:rPr>
                <w:rFonts w:cs="Arial"/>
                <w:bCs/>
                <w:lang w:eastAsia="fr-FR"/>
              </w:rPr>
              <w:t xml:space="preserve">: apply </w:t>
            </w:r>
            <w:r w:rsidR="00413CB7" w:rsidRPr="00266F9D">
              <w:rPr>
                <w:rFonts w:cs="Arial"/>
                <w:bCs/>
                <w:lang w:eastAsia="fr-FR"/>
              </w:rPr>
              <w:t>4</w:t>
            </w:r>
            <w:r w:rsidRPr="00266F9D">
              <w:rPr>
                <w:rFonts w:cs="Arial"/>
                <w:bCs/>
                <w:lang w:eastAsia="fr-FR"/>
              </w:rPr>
              <w:t xml:space="preserve"> sprays to the head, </w:t>
            </w:r>
            <w:r w:rsidR="00413CB7" w:rsidRPr="00266F9D">
              <w:rPr>
                <w:rFonts w:cs="Arial"/>
                <w:bCs/>
                <w:lang w:eastAsia="fr-FR"/>
              </w:rPr>
              <w:t>2</w:t>
            </w:r>
            <w:r w:rsidRPr="00266F9D">
              <w:rPr>
                <w:rFonts w:cs="Arial"/>
                <w:bCs/>
                <w:lang w:eastAsia="fr-FR"/>
              </w:rPr>
              <w:t xml:space="preserve"> spray</w:t>
            </w:r>
            <w:r w:rsidR="00413CB7" w:rsidRPr="00266F9D">
              <w:rPr>
                <w:rFonts w:cs="Arial"/>
                <w:bCs/>
                <w:lang w:eastAsia="fr-FR"/>
              </w:rPr>
              <w:t>s</w:t>
            </w:r>
            <w:r w:rsidRPr="00266F9D">
              <w:rPr>
                <w:rFonts w:cs="Arial"/>
                <w:bCs/>
                <w:lang w:eastAsia="fr-FR"/>
              </w:rPr>
              <w:t xml:space="preserve"> on the neck, </w:t>
            </w:r>
            <w:r w:rsidR="00413CB7" w:rsidRPr="00266F9D">
              <w:rPr>
                <w:rFonts w:cs="Arial"/>
                <w:bCs/>
                <w:lang w:eastAsia="fr-FR"/>
              </w:rPr>
              <w:t xml:space="preserve">3 </w:t>
            </w:r>
            <w:r w:rsidRPr="00266F9D">
              <w:rPr>
                <w:rFonts w:cs="Arial"/>
                <w:bCs/>
                <w:lang w:eastAsia="fr-FR"/>
              </w:rPr>
              <w:t xml:space="preserve">sprays per arm, </w:t>
            </w:r>
            <w:r w:rsidRPr="00EA7456">
              <w:rPr>
                <w:rFonts w:cs="Arial"/>
                <w:bCs/>
                <w:lang w:eastAsia="fr-FR"/>
              </w:rPr>
              <w:t>1 spray per hand</w:t>
            </w:r>
            <w:r w:rsidRPr="00266F9D">
              <w:rPr>
                <w:rFonts w:cs="Arial"/>
                <w:bCs/>
                <w:lang w:eastAsia="fr-FR"/>
              </w:rPr>
              <w:t xml:space="preserve">, </w:t>
            </w:r>
            <w:r w:rsidR="00413CB7" w:rsidRPr="00266F9D">
              <w:rPr>
                <w:rFonts w:cs="Arial"/>
                <w:bCs/>
                <w:lang w:eastAsia="fr-FR"/>
              </w:rPr>
              <w:t>6</w:t>
            </w:r>
            <w:r w:rsidRPr="00266F9D">
              <w:rPr>
                <w:rFonts w:cs="Arial"/>
                <w:bCs/>
                <w:lang w:eastAsia="fr-FR"/>
              </w:rPr>
              <w:t xml:space="preserve"> sprays per leg and 1 spray per foot, once a day.</w:t>
            </w:r>
          </w:p>
          <w:p w14:paraId="01FC2093" w14:textId="23460B2A" w:rsidR="00F00A50" w:rsidRPr="00266F9D" w:rsidRDefault="00F00A50" w:rsidP="00F00A50">
            <w:pPr>
              <w:widowControl w:val="0"/>
              <w:autoSpaceDE w:val="0"/>
              <w:snapToGrid w:val="0"/>
              <w:spacing w:before="0" w:after="0" w:line="260" w:lineRule="atLeast"/>
              <w:jc w:val="both"/>
              <w:rPr>
                <w:rFonts w:cs="Arial"/>
                <w:bCs/>
                <w:lang w:eastAsia="fr-FR"/>
              </w:rPr>
            </w:pPr>
            <w:r w:rsidRPr="00266F9D">
              <w:rPr>
                <w:rFonts w:cs="Arial"/>
                <w:bCs/>
                <w:lang w:eastAsia="fr-FR"/>
              </w:rPr>
              <w:t xml:space="preserve">- Children 1 to &lt;2 years old: apply </w:t>
            </w:r>
            <w:r w:rsidR="00413CB7" w:rsidRPr="00266F9D">
              <w:rPr>
                <w:rFonts w:cs="Arial"/>
                <w:bCs/>
                <w:lang w:eastAsia="fr-FR"/>
              </w:rPr>
              <w:t>3</w:t>
            </w:r>
            <w:r w:rsidRPr="00266F9D">
              <w:rPr>
                <w:rFonts w:cs="Arial"/>
                <w:bCs/>
                <w:lang w:eastAsia="fr-FR"/>
              </w:rPr>
              <w:t xml:space="preserve"> sprays to the head, 1 spray on the neck, </w:t>
            </w:r>
            <w:r w:rsidR="00413CB7" w:rsidRPr="00266F9D">
              <w:rPr>
                <w:rFonts w:cs="Arial"/>
                <w:bCs/>
                <w:lang w:eastAsia="fr-FR"/>
              </w:rPr>
              <w:t>2</w:t>
            </w:r>
            <w:r w:rsidRPr="00266F9D">
              <w:rPr>
                <w:rFonts w:cs="Arial"/>
                <w:bCs/>
                <w:lang w:eastAsia="fr-FR"/>
              </w:rPr>
              <w:t xml:space="preserve"> spray</w:t>
            </w:r>
            <w:r w:rsidR="00413CB7" w:rsidRPr="00266F9D">
              <w:rPr>
                <w:rFonts w:cs="Arial"/>
                <w:bCs/>
                <w:lang w:eastAsia="fr-FR"/>
              </w:rPr>
              <w:t>s</w:t>
            </w:r>
            <w:r w:rsidRPr="00266F9D">
              <w:rPr>
                <w:rFonts w:cs="Arial"/>
                <w:bCs/>
                <w:lang w:eastAsia="fr-FR"/>
              </w:rPr>
              <w:t xml:space="preserve"> per arm</w:t>
            </w:r>
            <w:r w:rsidR="00413CB7" w:rsidRPr="00266F9D">
              <w:rPr>
                <w:rFonts w:cs="Arial"/>
                <w:bCs/>
                <w:lang w:eastAsia="fr-FR"/>
              </w:rPr>
              <w:t>,</w:t>
            </w:r>
            <w:r w:rsidRPr="00266F9D">
              <w:rPr>
                <w:rFonts w:cs="Arial"/>
                <w:bCs/>
                <w:lang w:eastAsia="fr-FR"/>
              </w:rPr>
              <w:t xml:space="preserve"> </w:t>
            </w:r>
            <w:r w:rsidR="00413CB7" w:rsidRPr="00266F9D">
              <w:rPr>
                <w:rFonts w:cs="Arial"/>
                <w:bCs/>
                <w:lang w:eastAsia="fr-FR"/>
              </w:rPr>
              <w:t>4</w:t>
            </w:r>
            <w:r w:rsidRPr="00266F9D">
              <w:rPr>
                <w:rFonts w:cs="Arial"/>
                <w:bCs/>
                <w:lang w:eastAsia="fr-FR"/>
              </w:rPr>
              <w:t xml:space="preserve"> sprays per leg</w:t>
            </w:r>
            <w:r w:rsidR="00413CB7" w:rsidRPr="00266F9D">
              <w:rPr>
                <w:rFonts w:cs="Arial"/>
                <w:bCs/>
                <w:lang w:eastAsia="fr-FR"/>
              </w:rPr>
              <w:t xml:space="preserve"> and 1 spray per foot</w:t>
            </w:r>
            <w:r w:rsidRPr="00266F9D">
              <w:rPr>
                <w:rFonts w:cs="Arial"/>
                <w:bCs/>
                <w:lang w:eastAsia="fr-FR"/>
              </w:rPr>
              <w:t>, once a day.</w:t>
            </w:r>
          </w:p>
          <w:p w14:paraId="407A51BD" w14:textId="720E5958" w:rsidR="00F00A50" w:rsidRPr="00266F9D" w:rsidRDefault="00F00A50" w:rsidP="00F00A50">
            <w:pPr>
              <w:widowControl w:val="0"/>
              <w:autoSpaceDE w:val="0"/>
              <w:snapToGrid w:val="0"/>
              <w:spacing w:before="0" w:after="0" w:line="260" w:lineRule="atLeast"/>
              <w:jc w:val="both"/>
              <w:rPr>
                <w:rFonts w:cs="Arial"/>
                <w:bCs/>
                <w:lang w:eastAsia="fr-FR"/>
              </w:rPr>
            </w:pPr>
            <w:r w:rsidRPr="00266F9D">
              <w:rPr>
                <w:rFonts w:cs="Arial"/>
                <w:bCs/>
                <w:lang w:eastAsia="fr-FR"/>
              </w:rPr>
              <w:t>- Infants &lt;1 year</w:t>
            </w:r>
            <w:r w:rsidR="006947F8" w:rsidRPr="00266F9D">
              <w:rPr>
                <w:rFonts w:cs="Arial"/>
                <w:bCs/>
                <w:lang w:eastAsia="fr-FR"/>
              </w:rPr>
              <w:t xml:space="preserve"> old</w:t>
            </w:r>
            <w:r w:rsidRPr="004639A5">
              <w:rPr>
                <w:rFonts w:cs="Arial"/>
                <w:bCs/>
                <w:lang w:eastAsia="fr-FR"/>
              </w:rPr>
              <w:t xml:space="preserve">: apply 2 sprays to the head, 1 spray on the neck, </w:t>
            </w:r>
            <w:r w:rsidR="00413CB7" w:rsidRPr="004639A5">
              <w:rPr>
                <w:rFonts w:cs="Arial"/>
                <w:bCs/>
                <w:lang w:eastAsia="fr-FR"/>
              </w:rPr>
              <w:t>2</w:t>
            </w:r>
            <w:r w:rsidRPr="004639A5">
              <w:rPr>
                <w:rFonts w:cs="Arial"/>
                <w:bCs/>
                <w:lang w:eastAsia="fr-FR"/>
              </w:rPr>
              <w:t xml:space="preserve"> spray</w:t>
            </w:r>
            <w:r w:rsidR="00413CB7" w:rsidRPr="004639A5">
              <w:rPr>
                <w:rFonts w:cs="Arial"/>
                <w:bCs/>
                <w:lang w:eastAsia="fr-FR"/>
              </w:rPr>
              <w:t>s</w:t>
            </w:r>
            <w:r w:rsidRPr="004639A5">
              <w:rPr>
                <w:rFonts w:cs="Arial"/>
                <w:bCs/>
                <w:lang w:eastAsia="fr-FR"/>
              </w:rPr>
              <w:t xml:space="preserve"> per arm</w:t>
            </w:r>
            <w:r w:rsidR="00413CB7" w:rsidRPr="004639A5">
              <w:rPr>
                <w:rFonts w:cs="Arial"/>
                <w:bCs/>
                <w:lang w:eastAsia="fr-FR"/>
              </w:rPr>
              <w:t xml:space="preserve">, </w:t>
            </w:r>
            <w:r w:rsidR="00413CB7" w:rsidRPr="00266F9D">
              <w:rPr>
                <w:rFonts w:cs="Arial"/>
                <w:bCs/>
                <w:lang w:eastAsia="fr-FR"/>
              </w:rPr>
              <w:t>3</w:t>
            </w:r>
            <w:r w:rsidRPr="00266F9D">
              <w:rPr>
                <w:rFonts w:cs="Arial"/>
                <w:bCs/>
                <w:lang w:eastAsia="fr-FR"/>
              </w:rPr>
              <w:t xml:space="preserve"> spray</w:t>
            </w:r>
            <w:r w:rsidR="00413CB7" w:rsidRPr="00266F9D">
              <w:rPr>
                <w:rFonts w:cs="Arial"/>
                <w:bCs/>
                <w:lang w:eastAsia="fr-FR"/>
              </w:rPr>
              <w:t>s</w:t>
            </w:r>
            <w:r w:rsidRPr="00266F9D">
              <w:rPr>
                <w:rFonts w:cs="Arial"/>
                <w:bCs/>
                <w:lang w:eastAsia="fr-FR"/>
              </w:rPr>
              <w:t xml:space="preserve"> per leg</w:t>
            </w:r>
            <w:r w:rsidR="00413CB7" w:rsidRPr="00266F9D">
              <w:rPr>
                <w:rFonts w:cs="Arial"/>
                <w:bCs/>
                <w:lang w:eastAsia="fr-FR"/>
              </w:rPr>
              <w:t xml:space="preserve"> and 1 spray per foot</w:t>
            </w:r>
            <w:r w:rsidRPr="00266F9D">
              <w:rPr>
                <w:rFonts w:cs="Arial"/>
                <w:bCs/>
                <w:lang w:eastAsia="fr-FR"/>
              </w:rPr>
              <w:t>, once a day.</w:t>
            </w:r>
          </w:p>
          <w:p w14:paraId="2F9E8B31" w14:textId="5EA5583E" w:rsidR="00F00A50" w:rsidRDefault="00F00A50" w:rsidP="00F00A50">
            <w:pPr>
              <w:widowControl w:val="0"/>
              <w:autoSpaceDE w:val="0"/>
              <w:snapToGrid w:val="0"/>
              <w:spacing w:before="80" w:after="0" w:line="260" w:lineRule="atLeast"/>
              <w:contextualSpacing/>
              <w:jc w:val="both"/>
              <w:rPr>
                <w:rFonts w:eastAsia="Calibri" w:cs="Times"/>
                <w:bCs/>
                <w:sz w:val="22"/>
                <w:szCs w:val="24"/>
                <w:lang w:eastAsia="sv-SE"/>
              </w:rPr>
            </w:pPr>
          </w:p>
          <w:p w14:paraId="5C3BA066" w14:textId="73CDAFCA" w:rsidR="00A66CCF" w:rsidRPr="005363E6" w:rsidRDefault="00A66CCF" w:rsidP="00A66CCF">
            <w:pPr>
              <w:widowControl w:val="0"/>
              <w:autoSpaceDE w:val="0"/>
              <w:snapToGrid w:val="0"/>
              <w:spacing w:before="0" w:after="0" w:line="260" w:lineRule="atLeast"/>
              <w:jc w:val="both"/>
              <w:rPr>
                <w:rFonts w:cs="Arial"/>
                <w:b/>
                <w:bCs/>
                <w:lang w:eastAsia="fr-FR"/>
              </w:rPr>
            </w:pPr>
            <w:r w:rsidRPr="005363E6">
              <w:rPr>
                <w:rFonts w:cs="Arial"/>
                <w:b/>
                <w:bCs/>
                <w:lang w:eastAsia="fr-FR"/>
              </w:rPr>
              <w:t>Number of sprays (100ml</w:t>
            </w:r>
            <w:r>
              <w:rPr>
                <w:rFonts w:cs="Arial"/>
                <w:b/>
                <w:bCs/>
                <w:lang w:eastAsia="fr-FR"/>
              </w:rPr>
              <w:t xml:space="preserve"> – 300 µL per spray</w:t>
            </w:r>
            <w:r w:rsidRPr="005363E6">
              <w:rPr>
                <w:rFonts w:cs="Arial"/>
                <w:b/>
                <w:bCs/>
                <w:lang w:eastAsia="fr-FR"/>
              </w:rPr>
              <w:t>):</w:t>
            </w:r>
          </w:p>
          <w:p w14:paraId="768555D9" w14:textId="2D89ABA1" w:rsidR="00A66CCF" w:rsidRPr="0010045B" w:rsidRDefault="00A66CCF" w:rsidP="00A66CCF">
            <w:pPr>
              <w:widowControl w:val="0"/>
              <w:autoSpaceDE w:val="0"/>
              <w:snapToGrid w:val="0"/>
              <w:spacing w:before="0" w:after="0" w:line="260" w:lineRule="atLeast"/>
              <w:jc w:val="both"/>
              <w:rPr>
                <w:rFonts w:cs="Arial"/>
                <w:bCs/>
                <w:lang w:eastAsia="fr-FR"/>
              </w:rPr>
            </w:pPr>
            <w:r w:rsidRPr="005363E6">
              <w:rPr>
                <w:rFonts w:cs="Arial"/>
                <w:bCs/>
                <w:lang w:eastAsia="fr-FR"/>
              </w:rPr>
              <w:t>- Adult and children</w:t>
            </w:r>
            <w:r>
              <w:rPr>
                <w:rFonts w:cs="Arial"/>
                <w:bCs/>
                <w:lang w:eastAsia="fr-FR"/>
              </w:rPr>
              <w:t xml:space="preserve"> &gt;</w:t>
            </w:r>
            <w:r w:rsidRPr="005363E6">
              <w:rPr>
                <w:rFonts w:cs="Arial"/>
                <w:bCs/>
                <w:lang w:eastAsia="fr-FR"/>
              </w:rPr>
              <w:t>12 years</w:t>
            </w:r>
            <w:r>
              <w:rPr>
                <w:rFonts w:cs="Arial"/>
                <w:bCs/>
                <w:lang w:eastAsia="fr-FR"/>
              </w:rPr>
              <w:t xml:space="preserve"> old</w:t>
            </w:r>
            <w:r w:rsidRPr="005363E6">
              <w:rPr>
                <w:rFonts w:cs="Arial"/>
                <w:bCs/>
                <w:lang w:eastAsia="fr-FR"/>
              </w:rPr>
              <w:t xml:space="preserve">: apply </w:t>
            </w:r>
            <w:r w:rsidR="00F81FF9">
              <w:rPr>
                <w:rFonts w:cs="Arial"/>
                <w:bCs/>
                <w:lang w:eastAsia="fr-FR"/>
              </w:rPr>
              <w:t>3</w:t>
            </w:r>
            <w:r w:rsidRPr="005363E6">
              <w:rPr>
                <w:rFonts w:cs="Arial"/>
                <w:bCs/>
                <w:lang w:eastAsia="fr-FR"/>
              </w:rPr>
              <w:t xml:space="preserve"> sprays to the head, </w:t>
            </w:r>
            <w:r>
              <w:rPr>
                <w:rFonts w:cs="Arial"/>
                <w:bCs/>
                <w:lang w:eastAsia="fr-FR"/>
              </w:rPr>
              <w:t xml:space="preserve">1 spray to the neck, </w:t>
            </w:r>
            <w:r w:rsidR="00F81FF9">
              <w:rPr>
                <w:rFonts w:cs="Arial"/>
                <w:bCs/>
                <w:lang w:eastAsia="fr-FR"/>
              </w:rPr>
              <w:t>3</w:t>
            </w:r>
            <w:r w:rsidRPr="005363E6">
              <w:rPr>
                <w:rFonts w:cs="Arial"/>
                <w:bCs/>
                <w:lang w:eastAsia="fr-FR"/>
              </w:rPr>
              <w:t xml:space="preserve"> sprays per arm, </w:t>
            </w:r>
            <w:r w:rsidR="00F81FF9">
              <w:rPr>
                <w:rFonts w:cs="Arial"/>
                <w:bCs/>
                <w:lang w:eastAsia="fr-FR"/>
              </w:rPr>
              <w:t>1</w:t>
            </w:r>
            <w:r w:rsidRPr="005363E6">
              <w:rPr>
                <w:rFonts w:cs="Arial"/>
                <w:bCs/>
                <w:lang w:eastAsia="fr-FR"/>
              </w:rPr>
              <w:t xml:space="preserve"> spray per hand</w:t>
            </w:r>
            <w:r>
              <w:rPr>
                <w:rFonts w:cs="Arial"/>
                <w:bCs/>
                <w:lang w:eastAsia="fr-FR"/>
              </w:rPr>
              <w:t xml:space="preserve">, </w:t>
            </w:r>
            <w:r w:rsidR="00F81FF9">
              <w:rPr>
                <w:rFonts w:cs="Arial"/>
                <w:bCs/>
                <w:lang w:eastAsia="fr-FR"/>
              </w:rPr>
              <w:t>6</w:t>
            </w:r>
            <w:r>
              <w:rPr>
                <w:rFonts w:cs="Arial"/>
                <w:bCs/>
                <w:lang w:eastAsia="fr-FR"/>
              </w:rPr>
              <w:t xml:space="preserve"> sprays per leg and</w:t>
            </w:r>
            <w:r w:rsidRPr="005363E6">
              <w:rPr>
                <w:rFonts w:cs="Arial"/>
                <w:bCs/>
                <w:lang w:eastAsia="fr-FR"/>
              </w:rPr>
              <w:t xml:space="preserve"> </w:t>
            </w:r>
            <w:r w:rsidR="00F81FF9">
              <w:rPr>
                <w:rFonts w:cs="Arial"/>
                <w:bCs/>
                <w:lang w:eastAsia="fr-FR"/>
              </w:rPr>
              <w:t>2</w:t>
            </w:r>
            <w:r w:rsidRPr="00A90416">
              <w:rPr>
                <w:rFonts w:cs="Arial"/>
                <w:bCs/>
                <w:lang w:eastAsia="fr-FR"/>
              </w:rPr>
              <w:t xml:space="preserve"> sprays per foot</w:t>
            </w:r>
            <w:r w:rsidRPr="0035542E">
              <w:rPr>
                <w:rFonts w:cs="Arial"/>
                <w:bCs/>
                <w:lang w:eastAsia="fr-FR"/>
              </w:rPr>
              <w:t xml:space="preserve">, once </w:t>
            </w:r>
            <w:r w:rsidRPr="0010045B">
              <w:rPr>
                <w:rFonts w:cs="Arial"/>
                <w:bCs/>
                <w:lang w:eastAsia="fr-FR"/>
              </w:rPr>
              <w:t>a day.</w:t>
            </w:r>
          </w:p>
          <w:p w14:paraId="743B5C24" w14:textId="3B90B671" w:rsidR="00A66CCF" w:rsidRPr="00266F9D" w:rsidRDefault="00A66CCF" w:rsidP="00A66CCF">
            <w:pPr>
              <w:widowControl w:val="0"/>
              <w:autoSpaceDE w:val="0"/>
              <w:snapToGrid w:val="0"/>
              <w:spacing w:before="0" w:after="0" w:line="260" w:lineRule="atLeast"/>
              <w:jc w:val="both"/>
              <w:rPr>
                <w:rFonts w:cs="Arial"/>
                <w:bCs/>
                <w:lang w:eastAsia="fr-FR"/>
              </w:rPr>
            </w:pPr>
            <w:r w:rsidRPr="0010045B">
              <w:rPr>
                <w:rFonts w:cs="Arial"/>
                <w:bCs/>
                <w:lang w:eastAsia="fr-FR"/>
              </w:rPr>
              <w:t xml:space="preserve">- Children from 6 to </w:t>
            </w:r>
            <w:r w:rsidRPr="00266F9D">
              <w:rPr>
                <w:rFonts w:cs="Arial"/>
                <w:bCs/>
                <w:lang w:eastAsia="fr-FR"/>
              </w:rPr>
              <w:t xml:space="preserve">&lt;12 years old: apply </w:t>
            </w:r>
            <w:r w:rsidR="00F81FF9">
              <w:rPr>
                <w:rFonts w:cs="Arial"/>
                <w:bCs/>
                <w:lang w:eastAsia="fr-FR"/>
              </w:rPr>
              <w:t>2</w:t>
            </w:r>
            <w:r w:rsidRPr="00266F9D">
              <w:rPr>
                <w:rFonts w:cs="Arial"/>
                <w:bCs/>
                <w:lang w:eastAsia="fr-FR"/>
              </w:rPr>
              <w:t xml:space="preserve"> sprays to the head, </w:t>
            </w:r>
            <w:r w:rsidR="00F81FF9">
              <w:rPr>
                <w:rFonts w:cs="Arial"/>
                <w:bCs/>
                <w:lang w:eastAsia="fr-FR"/>
              </w:rPr>
              <w:t>1</w:t>
            </w:r>
            <w:r w:rsidRPr="00266F9D">
              <w:rPr>
                <w:rFonts w:cs="Arial"/>
                <w:bCs/>
                <w:lang w:eastAsia="fr-FR"/>
              </w:rPr>
              <w:t xml:space="preserve"> spray on the neck, </w:t>
            </w:r>
            <w:r w:rsidR="00F81FF9">
              <w:rPr>
                <w:rFonts w:cs="Arial"/>
                <w:bCs/>
                <w:lang w:eastAsia="fr-FR"/>
              </w:rPr>
              <w:t>2</w:t>
            </w:r>
            <w:r w:rsidRPr="00266F9D">
              <w:rPr>
                <w:rFonts w:cs="Arial"/>
                <w:bCs/>
                <w:lang w:eastAsia="fr-FR"/>
              </w:rPr>
              <w:t xml:space="preserve"> sprays per arm, </w:t>
            </w:r>
            <w:r w:rsidRPr="00EA7456">
              <w:rPr>
                <w:rFonts w:cs="Arial"/>
                <w:bCs/>
                <w:lang w:eastAsia="fr-FR"/>
              </w:rPr>
              <w:t>1 spray per hand</w:t>
            </w:r>
            <w:r w:rsidRPr="00266F9D">
              <w:rPr>
                <w:rFonts w:cs="Arial"/>
                <w:bCs/>
                <w:lang w:eastAsia="fr-FR"/>
              </w:rPr>
              <w:t xml:space="preserve">, </w:t>
            </w:r>
            <w:r w:rsidR="00F81FF9">
              <w:rPr>
                <w:rFonts w:cs="Arial"/>
                <w:bCs/>
                <w:lang w:eastAsia="fr-FR"/>
              </w:rPr>
              <w:t>3</w:t>
            </w:r>
            <w:r w:rsidRPr="00266F9D">
              <w:rPr>
                <w:rFonts w:cs="Arial"/>
                <w:bCs/>
                <w:lang w:eastAsia="fr-FR"/>
              </w:rPr>
              <w:t xml:space="preserve"> sprays per leg and </w:t>
            </w:r>
            <w:r w:rsidR="00F81FF9">
              <w:rPr>
                <w:rFonts w:cs="Arial"/>
                <w:bCs/>
                <w:lang w:eastAsia="fr-FR"/>
              </w:rPr>
              <w:t>1</w:t>
            </w:r>
            <w:r w:rsidRPr="00266F9D">
              <w:rPr>
                <w:rFonts w:cs="Arial"/>
                <w:bCs/>
                <w:lang w:eastAsia="fr-FR"/>
              </w:rPr>
              <w:t xml:space="preserve"> spray per foot, once a day.</w:t>
            </w:r>
          </w:p>
          <w:p w14:paraId="244ACA17" w14:textId="231BEFFA" w:rsidR="00A66CCF" w:rsidRPr="00266F9D" w:rsidRDefault="00A66CCF" w:rsidP="00A66CCF">
            <w:pPr>
              <w:widowControl w:val="0"/>
              <w:autoSpaceDE w:val="0"/>
              <w:snapToGrid w:val="0"/>
              <w:spacing w:before="0" w:after="0" w:line="260" w:lineRule="atLeast"/>
              <w:jc w:val="both"/>
              <w:rPr>
                <w:rFonts w:cs="Arial"/>
                <w:bCs/>
                <w:lang w:eastAsia="fr-FR"/>
              </w:rPr>
            </w:pPr>
            <w:r w:rsidRPr="00266F9D">
              <w:rPr>
                <w:rFonts w:cs="Arial"/>
                <w:bCs/>
                <w:lang w:eastAsia="fr-FR"/>
              </w:rPr>
              <w:t xml:space="preserve">- Children from 2 to &lt;6 years old: apply </w:t>
            </w:r>
            <w:r w:rsidR="00F81FF9">
              <w:rPr>
                <w:rFonts w:cs="Arial"/>
                <w:bCs/>
                <w:lang w:eastAsia="fr-FR"/>
              </w:rPr>
              <w:t>2</w:t>
            </w:r>
            <w:r w:rsidRPr="00266F9D">
              <w:rPr>
                <w:rFonts w:cs="Arial"/>
                <w:bCs/>
                <w:lang w:eastAsia="fr-FR"/>
              </w:rPr>
              <w:t xml:space="preserve"> sprays to the head, </w:t>
            </w:r>
            <w:r w:rsidR="00F81FF9">
              <w:rPr>
                <w:rFonts w:cs="Arial"/>
                <w:bCs/>
                <w:lang w:eastAsia="fr-FR"/>
              </w:rPr>
              <w:t>1</w:t>
            </w:r>
            <w:r w:rsidRPr="00266F9D">
              <w:rPr>
                <w:rFonts w:cs="Arial"/>
                <w:bCs/>
                <w:lang w:eastAsia="fr-FR"/>
              </w:rPr>
              <w:t xml:space="preserve"> spray on the neck, </w:t>
            </w:r>
            <w:r w:rsidR="00F81FF9">
              <w:rPr>
                <w:rFonts w:cs="Arial"/>
                <w:bCs/>
                <w:lang w:eastAsia="fr-FR"/>
              </w:rPr>
              <w:t>1</w:t>
            </w:r>
            <w:r w:rsidRPr="00266F9D">
              <w:rPr>
                <w:rFonts w:cs="Arial"/>
                <w:bCs/>
                <w:lang w:eastAsia="fr-FR"/>
              </w:rPr>
              <w:t xml:space="preserve"> </w:t>
            </w:r>
            <w:r w:rsidR="00F81FF9">
              <w:rPr>
                <w:rFonts w:cs="Arial"/>
                <w:bCs/>
                <w:lang w:eastAsia="fr-FR"/>
              </w:rPr>
              <w:t>spray</w:t>
            </w:r>
            <w:r w:rsidRPr="00266F9D">
              <w:rPr>
                <w:rFonts w:cs="Arial"/>
                <w:bCs/>
                <w:lang w:eastAsia="fr-FR"/>
              </w:rPr>
              <w:t xml:space="preserve"> per arm, </w:t>
            </w:r>
            <w:r w:rsidRPr="00EA7456">
              <w:rPr>
                <w:rFonts w:cs="Arial"/>
                <w:bCs/>
                <w:lang w:eastAsia="fr-FR"/>
              </w:rPr>
              <w:t>1 spray per hand</w:t>
            </w:r>
            <w:r w:rsidRPr="00266F9D">
              <w:rPr>
                <w:rFonts w:cs="Arial"/>
                <w:bCs/>
                <w:lang w:eastAsia="fr-FR"/>
              </w:rPr>
              <w:t xml:space="preserve">, </w:t>
            </w:r>
            <w:r w:rsidR="00F81FF9">
              <w:rPr>
                <w:rFonts w:cs="Arial"/>
                <w:bCs/>
                <w:lang w:eastAsia="fr-FR"/>
              </w:rPr>
              <w:t>2</w:t>
            </w:r>
            <w:r w:rsidRPr="00266F9D">
              <w:rPr>
                <w:rFonts w:cs="Arial"/>
                <w:bCs/>
                <w:lang w:eastAsia="fr-FR"/>
              </w:rPr>
              <w:t xml:space="preserve"> sprays per leg and 1 spray per foot, once a day.</w:t>
            </w:r>
          </w:p>
          <w:p w14:paraId="64379551" w14:textId="76409A46" w:rsidR="00A66CCF" w:rsidRPr="00266F9D" w:rsidRDefault="00A66CCF" w:rsidP="00A66CCF">
            <w:pPr>
              <w:widowControl w:val="0"/>
              <w:autoSpaceDE w:val="0"/>
              <w:snapToGrid w:val="0"/>
              <w:spacing w:before="0" w:after="0" w:line="260" w:lineRule="atLeast"/>
              <w:jc w:val="both"/>
              <w:rPr>
                <w:rFonts w:cs="Arial"/>
                <w:bCs/>
                <w:lang w:eastAsia="fr-FR"/>
              </w:rPr>
            </w:pPr>
            <w:r w:rsidRPr="00266F9D">
              <w:rPr>
                <w:rFonts w:cs="Arial"/>
                <w:bCs/>
                <w:lang w:eastAsia="fr-FR"/>
              </w:rPr>
              <w:t xml:space="preserve">- Children 1 to &lt;2 years old: apply </w:t>
            </w:r>
            <w:r w:rsidR="00F81FF9">
              <w:rPr>
                <w:rFonts w:cs="Arial"/>
                <w:bCs/>
                <w:lang w:eastAsia="fr-FR"/>
              </w:rPr>
              <w:t>1</w:t>
            </w:r>
            <w:r w:rsidRPr="00266F9D">
              <w:rPr>
                <w:rFonts w:cs="Arial"/>
                <w:bCs/>
                <w:lang w:eastAsia="fr-FR"/>
              </w:rPr>
              <w:t xml:space="preserve"> spray to the head, 1 spray on the neck, </w:t>
            </w:r>
            <w:r w:rsidR="00F81FF9">
              <w:rPr>
                <w:rFonts w:cs="Arial"/>
                <w:bCs/>
                <w:lang w:eastAsia="fr-FR"/>
              </w:rPr>
              <w:t>1</w:t>
            </w:r>
            <w:r w:rsidRPr="00266F9D">
              <w:rPr>
                <w:rFonts w:cs="Arial"/>
                <w:bCs/>
                <w:lang w:eastAsia="fr-FR"/>
              </w:rPr>
              <w:t xml:space="preserve"> spray per arm, </w:t>
            </w:r>
            <w:r w:rsidR="00F81FF9">
              <w:rPr>
                <w:rFonts w:cs="Arial"/>
                <w:bCs/>
                <w:lang w:eastAsia="fr-FR"/>
              </w:rPr>
              <w:t>1</w:t>
            </w:r>
            <w:r w:rsidRPr="00266F9D">
              <w:rPr>
                <w:rFonts w:cs="Arial"/>
                <w:bCs/>
                <w:lang w:eastAsia="fr-FR"/>
              </w:rPr>
              <w:t xml:space="preserve"> spray per leg and 1 spray per foot, once a day.</w:t>
            </w:r>
          </w:p>
          <w:p w14:paraId="436830C6" w14:textId="5907E613" w:rsidR="00A66CCF" w:rsidRPr="00266F9D" w:rsidRDefault="00A66CCF" w:rsidP="00A66CCF">
            <w:pPr>
              <w:widowControl w:val="0"/>
              <w:autoSpaceDE w:val="0"/>
              <w:snapToGrid w:val="0"/>
              <w:spacing w:before="0" w:after="0" w:line="260" w:lineRule="atLeast"/>
              <w:jc w:val="both"/>
              <w:rPr>
                <w:rFonts w:cs="Arial"/>
                <w:bCs/>
                <w:lang w:eastAsia="fr-FR"/>
              </w:rPr>
            </w:pPr>
            <w:r w:rsidRPr="00266F9D">
              <w:rPr>
                <w:rFonts w:cs="Arial"/>
                <w:bCs/>
                <w:lang w:eastAsia="fr-FR"/>
              </w:rPr>
              <w:t>- Infants &lt;1 year old</w:t>
            </w:r>
            <w:r w:rsidRPr="004639A5">
              <w:rPr>
                <w:rFonts w:cs="Arial"/>
                <w:bCs/>
                <w:lang w:eastAsia="fr-FR"/>
              </w:rPr>
              <w:t xml:space="preserve">: apply 2 sprays to the head, 1 spray on the neck, </w:t>
            </w:r>
            <w:r w:rsidR="00F81FF9">
              <w:rPr>
                <w:rFonts w:cs="Arial"/>
                <w:bCs/>
                <w:lang w:eastAsia="fr-FR"/>
              </w:rPr>
              <w:t>1</w:t>
            </w:r>
            <w:r w:rsidRPr="004639A5">
              <w:rPr>
                <w:rFonts w:cs="Arial"/>
                <w:bCs/>
                <w:lang w:eastAsia="fr-FR"/>
              </w:rPr>
              <w:t xml:space="preserve"> spray per arm, </w:t>
            </w:r>
            <w:r w:rsidR="00F81FF9">
              <w:rPr>
                <w:rFonts w:cs="Arial"/>
                <w:bCs/>
                <w:lang w:eastAsia="fr-FR"/>
              </w:rPr>
              <w:t>1</w:t>
            </w:r>
            <w:r w:rsidRPr="00266F9D">
              <w:rPr>
                <w:rFonts w:cs="Arial"/>
                <w:bCs/>
                <w:lang w:eastAsia="fr-FR"/>
              </w:rPr>
              <w:t xml:space="preserve"> spray per leg and 1 spray per foot, once a day.</w:t>
            </w:r>
          </w:p>
          <w:p w14:paraId="08373A56" w14:textId="51156435" w:rsidR="00A66CCF" w:rsidRDefault="00A66CCF" w:rsidP="00F00A50">
            <w:pPr>
              <w:widowControl w:val="0"/>
              <w:autoSpaceDE w:val="0"/>
              <w:snapToGrid w:val="0"/>
              <w:spacing w:before="80" w:after="0" w:line="260" w:lineRule="atLeast"/>
              <w:contextualSpacing/>
              <w:jc w:val="both"/>
              <w:rPr>
                <w:rFonts w:eastAsia="Calibri" w:cs="Times"/>
                <w:bCs/>
                <w:sz w:val="22"/>
                <w:szCs w:val="24"/>
                <w:lang w:eastAsia="sv-SE"/>
              </w:rPr>
            </w:pPr>
          </w:p>
          <w:p w14:paraId="3CB22C35" w14:textId="77777777" w:rsidR="00A66CCF" w:rsidRPr="00266F9D" w:rsidRDefault="00A66CCF" w:rsidP="00F00A50">
            <w:pPr>
              <w:widowControl w:val="0"/>
              <w:autoSpaceDE w:val="0"/>
              <w:snapToGrid w:val="0"/>
              <w:spacing w:before="80" w:after="0" w:line="260" w:lineRule="atLeast"/>
              <w:contextualSpacing/>
              <w:jc w:val="both"/>
              <w:rPr>
                <w:rFonts w:eastAsia="Calibri" w:cs="Times"/>
                <w:bCs/>
                <w:sz w:val="22"/>
                <w:szCs w:val="24"/>
                <w:lang w:eastAsia="sv-SE"/>
              </w:rPr>
            </w:pPr>
          </w:p>
          <w:p w14:paraId="704EA4E0" w14:textId="77777777" w:rsidR="00F00A50" w:rsidRPr="00266F9D" w:rsidRDefault="00F00A50" w:rsidP="00F00A50">
            <w:pPr>
              <w:widowControl w:val="0"/>
              <w:autoSpaceDE w:val="0"/>
              <w:snapToGrid w:val="0"/>
              <w:spacing w:before="0" w:after="0" w:line="260" w:lineRule="atLeast"/>
              <w:jc w:val="both"/>
              <w:rPr>
                <w:rFonts w:cs="Arial"/>
                <w:b/>
                <w:bCs/>
                <w:lang w:eastAsia="fr-FR"/>
              </w:rPr>
            </w:pPr>
            <w:r w:rsidRPr="00266F9D">
              <w:rPr>
                <w:rFonts w:cs="Arial"/>
                <w:b/>
                <w:bCs/>
                <w:lang w:eastAsia="fr-FR"/>
              </w:rPr>
              <w:t>Number of sprays (250ml):</w:t>
            </w:r>
          </w:p>
          <w:p w14:paraId="1418098F" w14:textId="2B32C10F" w:rsidR="00F00A50" w:rsidRPr="00266F9D" w:rsidRDefault="00F00A50" w:rsidP="00F00A50">
            <w:pPr>
              <w:widowControl w:val="0"/>
              <w:autoSpaceDE w:val="0"/>
              <w:snapToGrid w:val="0"/>
              <w:spacing w:before="0" w:after="0" w:line="260" w:lineRule="atLeast"/>
              <w:jc w:val="both"/>
              <w:rPr>
                <w:rFonts w:cs="Arial"/>
                <w:bCs/>
                <w:lang w:eastAsia="fr-FR"/>
              </w:rPr>
            </w:pPr>
            <w:r w:rsidRPr="00266F9D">
              <w:rPr>
                <w:rFonts w:cs="Arial"/>
                <w:bCs/>
                <w:lang w:eastAsia="fr-FR"/>
              </w:rPr>
              <w:t>- Adult and children</w:t>
            </w:r>
            <w:r w:rsidR="006947F8" w:rsidRPr="00266F9D">
              <w:rPr>
                <w:rFonts w:cs="Arial"/>
                <w:bCs/>
                <w:lang w:eastAsia="fr-FR"/>
              </w:rPr>
              <w:t xml:space="preserve"> &gt;</w:t>
            </w:r>
            <w:r w:rsidRPr="00266F9D">
              <w:rPr>
                <w:rFonts w:cs="Arial"/>
                <w:bCs/>
                <w:lang w:eastAsia="fr-FR"/>
              </w:rPr>
              <w:t>12 years</w:t>
            </w:r>
            <w:r w:rsidR="006947F8" w:rsidRPr="00266F9D">
              <w:rPr>
                <w:rFonts w:cs="Arial"/>
                <w:bCs/>
                <w:lang w:eastAsia="fr-FR"/>
              </w:rPr>
              <w:t xml:space="preserve"> old</w:t>
            </w:r>
            <w:r w:rsidRPr="00266F9D">
              <w:rPr>
                <w:rFonts w:cs="Arial"/>
                <w:bCs/>
                <w:lang w:eastAsia="fr-FR"/>
              </w:rPr>
              <w:t xml:space="preserve">: apply </w:t>
            </w:r>
            <w:r w:rsidR="001F5CE5" w:rsidRPr="00266F9D">
              <w:rPr>
                <w:rFonts w:cs="Arial"/>
                <w:bCs/>
                <w:lang w:eastAsia="fr-FR"/>
              </w:rPr>
              <w:t>2</w:t>
            </w:r>
            <w:r w:rsidRPr="00266F9D">
              <w:rPr>
                <w:rFonts w:cs="Arial"/>
                <w:bCs/>
                <w:lang w:eastAsia="fr-FR"/>
              </w:rPr>
              <w:t xml:space="preserve"> spray</w:t>
            </w:r>
            <w:r w:rsidR="009215DE" w:rsidRPr="00266F9D">
              <w:rPr>
                <w:rFonts w:cs="Arial"/>
                <w:bCs/>
                <w:lang w:eastAsia="fr-FR"/>
              </w:rPr>
              <w:t>s</w:t>
            </w:r>
            <w:r w:rsidRPr="00266F9D">
              <w:rPr>
                <w:rFonts w:cs="Arial"/>
                <w:bCs/>
                <w:lang w:eastAsia="fr-FR"/>
              </w:rPr>
              <w:t xml:space="preserve"> to the head,</w:t>
            </w:r>
            <w:r w:rsidR="001F5CE5" w:rsidRPr="00266F9D">
              <w:rPr>
                <w:rFonts w:cs="Arial"/>
                <w:bCs/>
                <w:lang w:eastAsia="fr-FR"/>
              </w:rPr>
              <w:t xml:space="preserve"> 1 spray to the neck,</w:t>
            </w:r>
            <w:r w:rsidRPr="00266F9D">
              <w:rPr>
                <w:rFonts w:cs="Arial"/>
                <w:bCs/>
                <w:lang w:eastAsia="fr-FR"/>
              </w:rPr>
              <w:t xml:space="preserve"> </w:t>
            </w:r>
            <w:r w:rsidR="001F5CE5" w:rsidRPr="00266F9D">
              <w:rPr>
                <w:rFonts w:cs="Arial"/>
                <w:bCs/>
                <w:lang w:eastAsia="fr-FR"/>
              </w:rPr>
              <w:t>2</w:t>
            </w:r>
            <w:r w:rsidRPr="00266F9D">
              <w:rPr>
                <w:rFonts w:cs="Arial"/>
                <w:bCs/>
                <w:lang w:eastAsia="fr-FR"/>
              </w:rPr>
              <w:t xml:space="preserve"> spray</w:t>
            </w:r>
            <w:r w:rsidR="001F5CE5" w:rsidRPr="00266F9D">
              <w:rPr>
                <w:rFonts w:cs="Arial"/>
                <w:bCs/>
                <w:lang w:eastAsia="fr-FR"/>
              </w:rPr>
              <w:t>s</w:t>
            </w:r>
            <w:r w:rsidRPr="00266F9D">
              <w:rPr>
                <w:rFonts w:cs="Arial"/>
                <w:bCs/>
                <w:lang w:eastAsia="fr-FR"/>
              </w:rPr>
              <w:t xml:space="preserve"> per arm,</w:t>
            </w:r>
            <w:r w:rsidR="001F5CE5" w:rsidRPr="00266F9D">
              <w:rPr>
                <w:rFonts w:cs="Arial"/>
                <w:bCs/>
                <w:lang w:eastAsia="fr-FR"/>
              </w:rPr>
              <w:t xml:space="preserve"> 1 spray per hand,</w:t>
            </w:r>
            <w:r w:rsidRPr="00266F9D">
              <w:rPr>
                <w:rFonts w:cs="Arial"/>
                <w:bCs/>
                <w:lang w:eastAsia="fr-FR"/>
              </w:rPr>
              <w:t xml:space="preserve"> </w:t>
            </w:r>
            <w:r w:rsidR="001F5CE5" w:rsidRPr="00266F9D">
              <w:rPr>
                <w:rFonts w:cs="Arial"/>
                <w:bCs/>
                <w:lang w:eastAsia="fr-FR"/>
              </w:rPr>
              <w:t>4</w:t>
            </w:r>
            <w:r w:rsidRPr="00266F9D">
              <w:rPr>
                <w:rFonts w:cs="Arial"/>
                <w:bCs/>
                <w:lang w:eastAsia="fr-FR"/>
              </w:rPr>
              <w:t xml:space="preserve"> sprays per leg and </w:t>
            </w:r>
            <w:r w:rsidR="001F5CE5" w:rsidRPr="00266F9D">
              <w:rPr>
                <w:rFonts w:cs="Arial"/>
                <w:bCs/>
                <w:lang w:eastAsia="fr-FR"/>
              </w:rPr>
              <w:t>1</w:t>
            </w:r>
            <w:r w:rsidRPr="00266F9D">
              <w:rPr>
                <w:rFonts w:cs="Arial"/>
                <w:bCs/>
                <w:lang w:eastAsia="fr-FR"/>
              </w:rPr>
              <w:t xml:space="preserve"> spray per foot, once a day.</w:t>
            </w:r>
          </w:p>
          <w:p w14:paraId="793360E1" w14:textId="4AE0C945" w:rsidR="00F00A50" w:rsidRPr="00266F9D" w:rsidRDefault="00F00A50" w:rsidP="00F00A50">
            <w:pPr>
              <w:widowControl w:val="0"/>
              <w:autoSpaceDE w:val="0"/>
              <w:snapToGrid w:val="0"/>
              <w:spacing w:before="0" w:after="0" w:line="260" w:lineRule="atLeast"/>
              <w:jc w:val="both"/>
              <w:rPr>
                <w:rFonts w:cs="Arial"/>
                <w:bCs/>
                <w:lang w:eastAsia="fr-FR"/>
              </w:rPr>
            </w:pPr>
            <w:r w:rsidRPr="00266F9D">
              <w:rPr>
                <w:rFonts w:cs="Arial"/>
                <w:bCs/>
                <w:lang w:eastAsia="fr-FR"/>
              </w:rPr>
              <w:t xml:space="preserve">- Children from 6 to &lt;12 years old: apply </w:t>
            </w:r>
            <w:r w:rsidR="009215DE" w:rsidRPr="00266F9D">
              <w:rPr>
                <w:rFonts w:cs="Arial"/>
                <w:bCs/>
                <w:lang w:eastAsia="fr-FR"/>
              </w:rPr>
              <w:t>1 spray to the head, 1</w:t>
            </w:r>
            <w:r w:rsidRPr="00266F9D">
              <w:rPr>
                <w:rFonts w:cs="Arial"/>
                <w:bCs/>
                <w:lang w:eastAsia="fr-FR"/>
              </w:rPr>
              <w:t xml:space="preserve"> spray per arm</w:t>
            </w:r>
            <w:r w:rsidR="009215DE" w:rsidRPr="00266F9D">
              <w:rPr>
                <w:rFonts w:cs="Arial"/>
                <w:bCs/>
                <w:lang w:eastAsia="fr-FR"/>
              </w:rPr>
              <w:t xml:space="preserve">, </w:t>
            </w:r>
            <w:r w:rsidR="009215DE" w:rsidRPr="00EA7456">
              <w:rPr>
                <w:rFonts w:cs="Arial"/>
                <w:bCs/>
                <w:lang w:eastAsia="fr-FR"/>
              </w:rPr>
              <w:t>1 spray per hand</w:t>
            </w:r>
            <w:r w:rsidR="009215DE" w:rsidRPr="00266F9D">
              <w:rPr>
                <w:rFonts w:cs="Arial"/>
                <w:bCs/>
                <w:lang w:eastAsia="fr-FR"/>
              </w:rPr>
              <w:t>,</w:t>
            </w:r>
            <w:r w:rsidRPr="00266F9D">
              <w:rPr>
                <w:rFonts w:cs="Arial"/>
                <w:bCs/>
                <w:lang w:eastAsia="fr-FR"/>
              </w:rPr>
              <w:t xml:space="preserve"> and </w:t>
            </w:r>
            <w:r w:rsidR="009215DE" w:rsidRPr="00266F9D">
              <w:rPr>
                <w:rFonts w:cs="Arial"/>
                <w:bCs/>
                <w:lang w:eastAsia="fr-FR"/>
              </w:rPr>
              <w:t>2</w:t>
            </w:r>
            <w:r w:rsidRPr="00266F9D">
              <w:rPr>
                <w:rFonts w:cs="Arial"/>
                <w:bCs/>
                <w:lang w:eastAsia="fr-FR"/>
              </w:rPr>
              <w:t xml:space="preserve"> sprays per leg, once a day.</w:t>
            </w:r>
          </w:p>
          <w:p w14:paraId="43187ED7" w14:textId="502EF933" w:rsidR="00F00A50" w:rsidRPr="005363E6" w:rsidRDefault="00F00A50" w:rsidP="00F00A50">
            <w:pPr>
              <w:widowControl w:val="0"/>
              <w:autoSpaceDE w:val="0"/>
              <w:snapToGrid w:val="0"/>
              <w:spacing w:before="0" w:after="0" w:line="260" w:lineRule="atLeast"/>
              <w:jc w:val="both"/>
              <w:rPr>
                <w:rFonts w:cs="Arial"/>
                <w:bCs/>
                <w:lang w:eastAsia="fr-FR"/>
              </w:rPr>
            </w:pPr>
            <w:r w:rsidRPr="00266F9D">
              <w:rPr>
                <w:rFonts w:cs="Arial"/>
                <w:bCs/>
                <w:lang w:eastAsia="fr-FR"/>
              </w:rPr>
              <w:t>- Children from 2 to &lt;6 years</w:t>
            </w:r>
            <w:r w:rsidR="006947F8" w:rsidRPr="00266F9D">
              <w:rPr>
                <w:rFonts w:cs="Arial"/>
                <w:bCs/>
                <w:lang w:eastAsia="fr-FR"/>
              </w:rPr>
              <w:t xml:space="preserve"> old</w:t>
            </w:r>
            <w:r w:rsidRPr="00266F9D">
              <w:rPr>
                <w:rFonts w:cs="Arial"/>
                <w:bCs/>
                <w:lang w:eastAsia="fr-FR"/>
              </w:rPr>
              <w:t xml:space="preserve">: </w:t>
            </w:r>
            <w:r w:rsidR="0035542E" w:rsidRPr="00266F9D">
              <w:rPr>
                <w:rFonts w:cs="Arial"/>
                <w:bCs/>
                <w:lang w:eastAsia="fr-FR"/>
              </w:rPr>
              <w:t>apply</w:t>
            </w:r>
            <w:r w:rsidR="00F236B6" w:rsidRPr="00266F9D">
              <w:rPr>
                <w:rFonts w:cs="Arial"/>
                <w:bCs/>
                <w:lang w:eastAsia="fr-FR"/>
              </w:rPr>
              <w:t xml:space="preserve"> </w:t>
            </w:r>
            <w:r w:rsidR="009215DE" w:rsidRPr="00266F9D">
              <w:rPr>
                <w:rFonts w:cs="Arial"/>
                <w:bCs/>
                <w:lang w:eastAsia="fr-FR"/>
              </w:rPr>
              <w:t>1</w:t>
            </w:r>
            <w:r w:rsidR="00F236B6" w:rsidRPr="00266F9D">
              <w:rPr>
                <w:rFonts w:cs="Arial"/>
                <w:bCs/>
                <w:lang w:eastAsia="fr-FR"/>
              </w:rPr>
              <w:t xml:space="preserve"> </w:t>
            </w:r>
            <w:r w:rsidRPr="00266F9D">
              <w:rPr>
                <w:rFonts w:cs="Arial"/>
                <w:bCs/>
                <w:lang w:eastAsia="fr-FR"/>
              </w:rPr>
              <w:t>spray</w:t>
            </w:r>
            <w:r w:rsidR="009215DE" w:rsidRPr="00266F9D">
              <w:rPr>
                <w:rFonts w:cs="Arial"/>
                <w:bCs/>
                <w:lang w:eastAsia="fr-FR"/>
              </w:rPr>
              <w:t xml:space="preserve"> to the head, 1 spray per arm </w:t>
            </w:r>
            <w:r w:rsidRPr="00266F9D">
              <w:rPr>
                <w:rFonts w:cs="Arial"/>
                <w:bCs/>
                <w:lang w:eastAsia="fr-FR"/>
              </w:rPr>
              <w:t xml:space="preserve">and </w:t>
            </w:r>
            <w:r w:rsidR="009215DE" w:rsidRPr="00266F9D">
              <w:rPr>
                <w:rFonts w:cs="Arial"/>
                <w:bCs/>
                <w:lang w:eastAsia="fr-FR"/>
              </w:rPr>
              <w:t>2</w:t>
            </w:r>
            <w:r w:rsidRPr="00266F9D">
              <w:rPr>
                <w:rFonts w:cs="Arial"/>
                <w:bCs/>
                <w:lang w:eastAsia="fr-FR"/>
              </w:rPr>
              <w:t xml:space="preserve"> spray</w:t>
            </w:r>
            <w:r w:rsidR="009215DE" w:rsidRPr="00266F9D">
              <w:rPr>
                <w:rFonts w:cs="Arial"/>
                <w:bCs/>
                <w:lang w:eastAsia="fr-FR"/>
              </w:rPr>
              <w:t>s</w:t>
            </w:r>
            <w:r w:rsidRPr="00266F9D">
              <w:rPr>
                <w:rFonts w:cs="Arial"/>
                <w:bCs/>
                <w:lang w:eastAsia="fr-FR"/>
              </w:rPr>
              <w:t xml:space="preserve"> per leg, once a day</w:t>
            </w:r>
            <w:r w:rsidRPr="005363E6">
              <w:rPr>
                <w:rFonts w:cs="Arial"/>
                <w:bCs/>
                <w:lang w:eastAsia="fr-FR"/>
              </w:rPr>
              <w:t>.</w:t>
            </w:r>
          </w:p>
          <w:p w14:paraId="1DC6D58D" w14:textId="22C8C596" w:rsidR="00F00A50" w:rsidRPr="005363E6" w:rsidRDefault="00F00A50" w:rsidP="00F00A50">
            <w:pPr>
              <w:widowControl w:val="0"/>
              <w:autoSpaceDE w:val="0"/>
              <w:snapToGrid w:val="0"/>
              <w:spacing w:before="0" w:after="0" w:line="260" w:lineRule="atLeast"/>
              <w:jc w:val="both"/>
              <w:rPr>
                <w:rFonts w:cs="Arial"/>
                <w:bCs/>
                <w:lang w:eastAsia="fr-FR"/>
              </w:rPr>
            </w:pPr>
            <w:r w:rsidRPr="005363E6">
              <w:rPr>
                <w:rFonts w:cs="Arial"/>
                <w:bCs/>
                <w:lang w:eastAsia="fr-FR"/>
              </w:rPr>
              <w:t xml:space="preserve">- Children 1 to &lt;2 years old: </w:t>
            </w:r>
            <w:r w:rsidRPr="00217F26">
              <w:rPr>
                <w:rFonts w:cs="Arial"/>
                <w:bCs/>
                <w:lang w:eastAsia="fr-FR"/>
              </w:rPr>
              <w:t>a</w:t>
            </w:r>
            <w:r w:rsidRPr="005363E6">
              <w:rPr>
                <w:rFonts w:cs="Arial"/>
                <w:bCs/>
                <w:lang w:eastAsia="fr-FR"/>
              </w:rPr>
              <w:t xml:space="preserve">pply </w:t>
            </w:r>
            <w:r w:rsidR="009215DE">
              <w:rPr>
                <w:rFonts w:cs="Arial"/>
                <w:bCs/>
                <w:lang w:eastAsia="fr-FR"/>
              </w:rPr>
              <w:t>1 spray to the head, 1</w:t>
            </w:r>
            <w:r w:rsidRPr="005363E6">
              <w:rPr>
                <w:rFonts w:cs="Arial"/>
                <w:bCs/>
                <w:lang w:eastAsia="fr-FR"/>
              </w:rPr>
              <w:t xml:space="preserve"> spray for both arms and </w:t>
            </w:r>
            <w:r w:rsidR="009215DE">
              <w:rPr>
                <w:rFonts w:cs="Arial"/>
                <w:bCs/>
                <w:lang w:eastAsia="fr-FR"/>
              </w:rPr>
              <w:t>1</w:t>
            </w:r>
            <w:r w:rsidRPr="005363E6">
              <w:rPr>
                <w:rFonts w:cs="Arial"/>
                <w:bCs/>
                <w:lang w:eastAsia="fr-FR"/>
              </w:rPr>
              <w:t xml:space="preserve"> spray </w:t>
            </w:r>
            <w:r w:rsidR="009215DE">
              <w:rPr>
                <w:rFonts w:cs="Arial"/>
                <w:bCs/>
                <w:lang w:eastAsia="fr-FR"/>
              </w:rPr>
              <w:t>per leg,</w:t>
            </w:r>
            <w:r w:rsidRPr="005363E6">
              <w:rPr>
                <w:rFonts w:cs="Arial"/>
                <w:bCs/>
                <w:lang w:eastAsia="fr-FR"/>
              </w:rPr>
              <w:t xml:space="preserve"> once a day.</w:t>
            </w:r>
          </w:p>
          <w:p w14:paraId="6FFB34B9" w14:textId="0E7B5B74" w:rsidR="00F00A50" w:rsidRPr="005363E6" w:rsidRDefault="00F00A50" w:rsidP="00F00A50">
            <w:pPr>
              <w:widowControl w:val="0"/>
              <w:autoSpaceDE w:val="0"/>
              <w:snapToGrid w:val="0"/>
              <w:spacing w:before="80" w:after="0" w:line="260" w:lineRule="atLeast"/>
              <w:contextualSpacing/>
              <w:jc w:val="both"/>
              <w:rPr>
                <w:rFonts w:eastAsia="Calibri" w:cs="Times"/>
                <w:bCs/>
                <w:sz w:val="22"/>
                <w:szCs w:val="24"/>
                <w:lang w:eastAsia="sv-SE"/>
              </w:rPr>
            </w:pPr>
            <w:r w:rsidRPr="005363E6">
              <w:rPr>
                <w:rFonts w:cs="Arial"/>
                <w:bCs/>
                <w:lang w:eastAsia="fr-FR"/>
              </w:rPr>
              <w:t>- Infants &lt;1 year</w:t>
            </w:r>
            <w:r w:rsidR="006947F8">
              <w:rPr>
                <w:rFonts w:cs="Arial"/>
                <w:bCs/>
                <w:lang w:eastAsia="fr-FR"/>
              </w:rPr>
              <w:t xml:space="preserve"> old</w:t>
            </w:r>
            <w:r w:rsidRPr="005363E6">
              <w:rPr>
                <w:rFonts w:cs="Arial"/>
                <w:bCs/>
                <w:lang w:eastAsia="fr-FR"/>
              </w:rPr>
              <w:t xml:space="preserve">: apply </w:t>
            </w:r>
            <w:r w:rsidR="009215DE">
              <w:rPr>
                <w:rFonts w:cs="Arial"/>
                <w:bCs/>
                <w:lang w:eastAsia="fr-FR"/>
              </w:rPr>
              <w:t>4</w:t>
            </w:r>
            <w:r w:rsidR="0035542E">
              <w:rPr>
                <w:rFonts w:cs="Arial"/>
                <w:bCs/>
                <w:lang w:eastAsia="fr-FR"/>
              </w:rPr>
              <w:t xml:space="preserve"> </w:t>
            </w:r>
            <w:r w:rsidRPr="005363E6">
              <w:rPr>
                <w:rFonts w:cs="Arial"/>
                <w:bCs/>
                <w:lang w:eastAsia="fr-FR"/>
              </w:rPr>
              <w:t>spray</w:t>
            </w:r>
            <w:r>
              <w:rPr>
                <w:rFonts w:cs="Arial"/>
                <w:bCs/>
                <w:lang w:eastAsia="fr-FR"/>
              </w:rPr>
              <w:t>s</w:t>
            </w:r>
            <w:r w:rsidRPr="005363E6">
              <w:rPr>
                <w:rFonts w:cs="Arial"/>
                <w:bCs/>
                <w:lang w:eastAsia="fr-FR"/>
              </w:rPr>
              <w:t xml:space="preserve"> for the body, once a day.</w:t>
            </w:r>
          </w:p>
          <w:p w14:paraId="4A9CACEE" w14:textId="77777777" w:rsidR="00F00A50" w:rsidRPr="0010045B" w:rsidRDefault="00F00A50" w:rsidP="00165258">
            <w:pPr>
              <w:widowControl w:val="0"/>
              <w:autoSpaceDE w:val="0"/>
              <w:snapToGrid w:val="0"/>
              <w:spacing w:before="80" w:after="0" w:line="260" w:lineRule="atLeast"/>
              <w:contextualSpacing/>
              <w:jc w:val="both"/>
              <w:rPr>
                <w:rFonts w:eastAsia="Calibri" w:cs="Times"/>
                <w:bCs/>
                <w:sz w:val="22"/>
                <w:szCs w:val="24"/>
                <w:lang w:eastAsia="sv-SE"/>
              </w:rPr>
            </w:pPr>
          </w:p>
          <w:p w14:paraId="4AE6BAA4" w14:textId="77777777" w:rsidR="00F572E3" w:rsidRPr="00F00A50" w:rsidRDefault="00F572E3" w:rsidP="00F572E3">
            <w:pPr>
              <w:widowControl w:val="0"/>
              <w:autoSpaceDE w:val="0"/>
              <w:snapToGrid w:val="0"/>
              <w:spacing w:before="80" w:after="0" w:line="260" w:lineRule="atLeast"/>
              <w:contextualSpacing/>
              <w:jc w:val="both"/>
              <w:rPr>
                <w:rFonts w:cs="Arial"/>
                <w:bCs/>
                <w:color w:val="2E74B5" w:themeColor="accent1" w:themeShade="BF"/>
                <w:lang w:eastAsia="fr-FR"/>
              </w:rPr>
            </w:pPr>
            <w:r w:rsidRPr="00F00A50">
              <w:rPr>
                <w:rFonts w:cs="Arial"/>
                <w:bCs/>
                <w:color w:val="2E74B5" w:themeColor="accent1" w:themeShade="BF"/>
                <w:lang w:eastAsia="fr-FR"/>
              </w:rPr>
              <w:t>In France only:</w:t>
            </w:r>
          </w:p>
          <w:p w14:paraId="109312E7" w14:textId="61A99929" w:rsidR="00F572E3" w:rsidRPr="00FF1650" w:rsidRDefault="00F572E3" w:rsidP="00F572E3">
            <w:pPr>
              <w:widowControl w:val="0"/>
              <w:autoSpaceDE w:val="0"/>
              <w:snapToGrid w:val="0"/>
              <w:spacing w:before="80" w:after="0" w:line="260" w:lineRule="atLeast"/>
              <w:contextualSpacing/>
              <w:jc w:val="both"/>
              <w:rPr>
                <w:rFonts w:cs="Arial"/>
                <w:b/>
                <w:bCs/>
                <w:color w:val="2E74B5" w:themeColor="accent1" w:themeShade="BF"/>
                <w:lang w:eastAsia="fr-FR"/>
              </w:rPr>
            </w:pPr>
            <w:r w:rsidRPr="00FF1650">
              <w:rPr>
                <w:rFonts w:cs="Arial"/>
                <w:b/>
                <w:bCs/>
                <w:color w:val="2E74B5" w:themeColor="accent1" w:themeShade="BF"/>
                <w:lang w:eastAsia="fr-FR"/>
              </w:rPr>
              <w:t>Number of sprays (100ml</w:t>
            </w:r>
            <w:r w:rsidR="00A66CCF">
              <w:rPr>
                <w:rFonts w:cs="Arial"/>
                <w:b/>
                <w:bCs/>
                <w:color w:val="2E74B5" w:themeColor="accent1" w:themeShade="BF"/>
                <w:lang w:eastAsia="fr-FR"/>
              </w:rPr>
              <w:t>- 100µL per spray</w:t>
            </w:r>
            <w:r w:rsidRPr="00FF1650">
              <w:rPr>
                <w:rFonts w:cs="Arial"/>
                <w:b/>
                <w:bCs/>
                <w:color w:val="2E74B5" w:themeColor="accent1" w:themeShade="BF"/>
                <w:lang w:eastAsia="fr-FR"/>
              </w:rPr>
              <w:t>):</w:t>
            </w:r>
          </w:p>
          <w:p w14:paraId="7548DBEA" w14:textId="36D5F9C2" w:rsidR="00F572E3" w:rsidRPr="00FF1650" w:rsidRDefault="00F572E3" w:rsidP="00F572E3">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Adult and children</w:t>
            </w:r>
            <w:r w:rsidR="006947F8">
              <w:rPr>
                <w:rFonts w:cs="Arial"/>
                <w:bCs/>
                <w:color w:val="2E74B5" w:themeColor="accent1" w:themeShade="BF"/>
                <w:lang w:eastAsia="fr-FR"/>
              </w:rPr>
              <w:t xml:space="preserve"> </w:t>
            </w:r>
            <w:r w:rsidRPr="00FF1650">
              <w:rPr>
                <w:rFonts w:cs="Arial"/>
                <w:bCs/>
                <w:color w:val="2E74B5" w:themeColor="accent1" w:themeShade="BF"/>
                <w:lang w:eastAsia="fr-FR"/>
              </w:rPr>
              <w:t>&gt;12 years</w:t>
            </w:r>
            <w:r w:rsidR="006947F8">
              <w:rPr>
                <w:rFonts w:cs="Arial"/>
                <w:bCs/>
                <w:color w:val="2E74B5" w:themeColor="accent1" w:themeShade="BF"/>
                <w:lang w:eastAsia="fr-FR"/>
              </w:rPr>
              <w:t xml:space="preserve"> old</w:t>
            </w:r>
            <w:r w:rsidRPr="00FF1650">
              <w:rPr>
                <w:rFonts w:cs="Arial"/>
                <w:bCs/>
                <w:color w:val="2E74B5" w:themeColor="accent1" w:themeShade="BF"/>
                <w:lang w:eastAsia="fr-FR"/>
              </w:rPr>
              <w:t>: Apply 9 sprays to the head, 7 sprays per arm, 3 spray</w:t>
            </w:r>
            <w:r w:rsidR="002E748B">
              <w:rPr>
                <w:rFonts w:cs="Arial"/>
                <w:bCs/>
                <w:color w:val="2E74B5" w:themeColor="accent1" w:themeShade="BF"/>
                <w:lang w:eastAsia="fr-FR"/>
              </w:rPr>
              <w:t>s</w:t>
            </w:r>
            <w:r w:rsidRPr="00FF1650">
              <w:rPr>
                <w:rFonts w:cs="Arial"/>
                <w:bCs/>
                <w:color w:val="2E74B5" w:themeColor="accent1" w:themeShade="BF"/>
                <w:lang w:eastAsia="fr-FR"/>
              </w:rPr>
              <w:t xml:space="preserve"> per hand and 11 sprays per leg, once or twice daily.</w:t>
            </w:r>
          </w:p>
          <w:p w14:paraId="0729A276" w14:textId="14028FC1" w:rsidR="00F572E3" w:rsidRPr="00FF1650" w:rsidRDefault="00F572E3" w:rsidP="00F572E3">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6 to &lt;12 years old: Apply 4 sprays to the head and per arm, and 5 sprays per leg, once daily.</w:t>
            </w:r>
          </w:p>
          <w:p w14:paraId="634A457B" w14:textId="5C982F55" w:rsidR="00F572E3" w:rsidRPr="00FF1650" w:rsidRDefault="00F572E3" w:rsidP="00F572E3">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2 to &lt;6 years</w:t>
            </w:r>
            <w:r w:rsidR="006947F8">
              <w:rPr>
                <w:rFonts w:cs="Arial"/>
                <w:bCs/>
                <w:color w:val="2E74B5" w:themeColor="accent1" w:themeShade="BF"/>
                <w:lang w:eastAsia="fr-FR"/>
              </w:rPr>
              <w:t xml:space="preserve"> old</w:t>
            </w:r>
            <w:r w:rsidRPr="00FF1650">
              <w:rPr>
                <w:rFonts w:cs="Arial"/>
                <w:bCs/>
                <w:color w:val="2E74B5" w:themeColor="accent1" w:themeShade="BF"/>
                <w:lang w:eastAsia="fr-FR"/>
              </w:rPr>
              <w:t>: Apply 4 sprays to the head, 3 sprays per arm and per leg, once a day.</w:t>
            </w:r>
          </w:p>
          <w:p w14:paraId="33587DDD" w14:textId="4A0A593F" w:rsidR="00F572E3" w:rsidRPr="00FF1650" w:rsidRDefault="00F572E3" w:rsidP="00F572E3">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1 to &lt;2 years old: Apply 3 sprays to the head, 2 spray</w:t>
            </w:r>
            <w:r w:rsidR="002E748B">
              <w:rPr>
                <w:rFonts w:cs="Arial"/>
                <w:bCs/>
                <w:color w:val="2E74B5" w:themeColor="accent1" w:themeShade="BF"/>
                <w:lang w:eastAsia="fr-FR"/>
              </w:rPr>
              <w:t>s</w:t>
            </w:r>
            <w:r w:rsidRPr="00FF1650">
              <w:rPr>
                <w:rFonts w:cs="Arial"/>
                <w:bCs/>
                <w:color w:val="2E74B5" w:themeColor="accent1" w:themeShade="BF"/>
                <w:lang w:eastAsia="fr-FR"/>
              </w:rPr>
              <w:t xml:space="preserve"> per arm and per leg once a day.</w:t>
            </w:r>
          </w:p>
          <w:p w14:paraId="64E15CA0" w14:textId="6E51F8CA" w:rsidR="00F572E3" w:rsidRPr="00FF1650" w:rsidRDefault="00F572E3" w:rsidP="00F572E3">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Infants &lt;1 year</w:t>
            </w:r>
            <w:r w:rsidR="006947F8">
              <w:rPr>
                <w:rFonts w:cs="Arial"/>
                <w:bCs/>
                <w:color w:val="2E74B5" w:themeColor="accent1" w:themeShade="BF"/>
                <w:lang w:eastAsia="fr-FR"/>
              </w:rPr>
              <w:t xml:space="preserve"> old</w:t>
            </w:r>
            <w:r w:rsidRPr="00FF1650">
              <w:rPr>
                <w:rFonts w:cs="Arial"/>
                <w:bCs/>
                <w:color w:val="2E74B5" w:themeColor="accent1" w:themeShade="BF"/>
                <w:lang w:eastAsia="fr-FR"/>
              </w:rPr>
              <w:t>: apply 2 sprays to the head, 1 spray per arm and 2 sprays per leg, once a day.</w:t>
            </w:r>
          </w:p>
          <w:p w14:paraId="3804D6AF" w14:textId="36EF8450" w:rsidR="00A66CCF" w:rsidRPr="00FF1650" w:rsidRDefault="00A66CCF" w:rsidP="00A66CCF">
            <w:pPr>
              <w:widowControl w:val="0"/>
              <w:autoSpaceDE w:val="0"/>
              <w:snapToGrid w:val="0"/>
              <w:spacing w:before="80" w:after="0" w:line="260" w:lineRule="atLeast"/>
              <w:contextualSpacing/>
              <w:jc w:val="both"/>
              <w:rPr>
                <w:rFonts w:cs="Arial"/>
                <w:b/>
                <w:bCs/>
                <w:color w:val="2E74B5" w:themeColor="accent1" w:themeShade="BF"/>
                <w:lang w:eastAsia="fr-FR"/>
              </w:rPr>
            </w:pPr>
            <w:r w:rsidRPr="00FF1650">
              <w:rPr>
                <w:rFonts w:cs="Arial"/>
                <w:b/>
                <w:bCs/>
                <w:color w:val="2E74B5" w:themeColor="accent1" w:themeShade="BF"/>
                <w:lang w:eastAsia="fr-FR"/>
              </w:rPr>
              <w:lastRenderedPageBreak/>
              <w:t>Number of sprays (100ml</w:t>
            </w:r>
            <w:r>
              <w:rPr>
                <w:rFonts w:cs="Arial"/>
                <w:b/>
                <w:bCs/>
                <w:color w:val="2E74B5" w:themeColor="accent1" w:themeShade="BF"/>
                <w:lang w:eastAsia="fr-FR"/>
              </w:rPr>
              <w:t xml:space="preserve"> – 300µL per spray</w:t>
            </w:r>
            <w:r w:rsidRPr="00FF1650">
              <w:rPr>
                <w:rFonts w:cs="Arial"/>
                <w:b/>
                <w:bCs/>
                <w:color w:val="2E74B5" w:themeColor="accent1" w:themeShade="BF"/>
                <w:lang w:eastAsia="fr-FR"/>
              </w:rPr>
              <w:t>):</w:t>
            </w:r>
          </w:p>
          <w:p w14:paraId="2CACCDE5" w14:textId="1D8341EA" w:rsidR="00A66CCF" w:rsidRPr="00FF1650" w:rsidRDefault="00A66CCF" w:rsidP="00A66CCF">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Adult and children</w:t>
            </w:r>
            <w:r>
              <w:rPr>
                <w:rFonts w:cs="Arial"/>
                <w:bCs/>
                <w:color w:val="2E74B5" w:themeColor="accent1" w:themeShade="BF"/>
                <w:lang w:eastAsia="fr-FR"/>
              </w:rPr>
              <w:t xml:space="preserve"> </w:t>
            </w:r>
            <w:r w:rsidRPr="00FF1650">
              <w:rPr>
                <w:rFonts w:cs="Arial"/>
                <w:bCs/>
                <w:color w:val="2E74B5" w:themeColor="accent1" w:themeShade="BF"/>
                <w:lang w:eastAsia="fr-FR"/>
              </w:rPr>
              <w:t>&gt;12 years</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sidR="00F81FF9">
              <w:rPr>
                <w:rFonts w:cs="Arial"/>
                <w:bCs/>
                <w:color w:val="2E74B5" w:themeColor="accent1" w:themeShade="BF"/>
                <w:lang w:eastAsia="fr-FR"/>
              </w:rPr>
              <w:t>3</w:t>
            </w:r>
            <w:r w:rsidRPr="00FF1650">
              <w:rPr>
                <w:rFonts w:cs="Arial"/>
                <w:bCs/>
                <w:color w:val="2E74B5" w:themeColor="accent1" w:themeShade="BF"/>
                <w:lang w:eastAsia="fr-FR"/>
              </w:rPr>
              <w:t xml:space="preserve"> sprays to the head, </w:t>
            </w:r>
            <w:r w:rsidR="00F81FF9">
              <w:rPr>
                <w:rFonts w:cs="Arial"/>
                <w:bCs/>
                <w:color w:val="2E74B5" w:themeColor="accent1" w:themeShade="BF"/>
                <w:lang w:eastAsia="fr-FR"/>
              </w:rPr>
              <w:t>2 sprays per arm, 1</w:t>
            </w:r>
            <w:r w:rsidRPr="00FF1650">
              <w:rPr>
                <w:rFonts w:cs="Arial"/>
                <w:bCs/>
                <w:color w:val="2E74B5" w:themeColor="accent1" w:themeShade="BF"/>
                <w:lang w:eastAsia="fr-FR"/>
              </w:rPr>
              <w:t xml:space="preserve"> spray per hand and </w:t>
            </w:r>
            <w:r w:rsidR="00F81FF9">
              <w:rPr>
                <w:rFonts w:cs="Arial"/>
                <w:bCs/>
                <w:color w:val="2E74B5" w:themeColor="accent1" w:themeShade="BF"/>
                <w:lang w:eastAsia="fr-FR"/>
              </w:rPr>
              <w:t>4</w:t>
            </w:r>
            <w:r w:rsidRPr="00FF1650">
              <w:rPr>
                <w:rFonts w:cs="Arial"/>
                <w:bCs/>
                <w:color w:val="2E74B5" w:themeColor="accent1" w:themeShade="BF"/>
                <w:lang w:eastAsia="fr-FR"/>
              </w:rPr>
              <w:t xml:space="preserve"> sprays per leg, once or twice daily.</w:t>
            </w:r>
          </w:p>
          <w:p w14:paraId="7C638741" w14:textId="7AC2B261" w:rsidR="00A66CCF" w:rsidRPr="00FF1650" w:rsidRDefault="00A66CCF" w:rsidP="00A66CCF">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xml:space="preserve">- Children from 6 to &lt;12 years old: Apply </w:t>
            </w:r>
            <w:r w:rsidR="00F81FF9">
              <w:rPr>
                <w:rFonts w:cs="Arial"/>
                <w:bCs/>
                <w:color w:val="2E74B5" w:themeColor="accent1" w:themeShade="BF"/>
                <w:lang w:eastAsia="fr-FR"/>
              </w:rPr>
              <w:t>2 sprays to the head, 1 spray</w:t>
            </w:r>
            <w:r w:rsidRPr="00FF1650">
              <w:rPr>
                <w:rFonts w:cs="Arial"/>
                <w:bCs/>
                <w:color w:val="2E74B5" w:themeColor="accent1" w:themeShade="BF"/>
                <w:lang w:eastAsia="fr-FR"/>
              </w:rPr>
              <w:t xml:space="preserve"> per arm, and </w:t>
            </w:r>
            <w:r w:rsidR="00F81FF9">
              <w:rPr>
                <w:rFonts w:cs="Arial"/>
                <w:bCs/>
                <w:color w:val="2E74B5" w:themeColor="accent1" w:themeShade="BF"/>
                <w:lang w:eastAsia="fr-FR"/>
              </w:rPr>
              <w:t>2</w:t>
            </w:r>
            <w:r w:rsidRPr="00FF1650">
              <w:rPr>
                <w:rFonts w:cs="Arial"/>
                <w:bCs/>
                <w:color w:val="2E74B5" w:themeColor="accent1" w:themeShade="BF"/>
                <w:lang w:eastAsia="fr-FR"/>
              </w:rPr>
              <w:t xml:space="preserve"> sprays per leg, once daily.</w:t>
            </w:r>
          </w:p>
          <w:p w14:paraId="1148CA3E" w14:textId="0CC8CC46" w:rsidR="00A66CCF" w:rsidRPr="00FF1650" w:rsidRDefault="00A66CCF" w:rsidP="00A66CCF">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2 to &lt;6 years</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sidR="00F81FF9">
              <w:rPr>
                <w:rFonts w:cs="Arial"/>
                <w:bCs/>
                <w:color w:val="2E74B5" w:themeColor="accent1" w:themeShade="BF"/>
                <w:lang w:eastAsia="fr-FR"/>
              </w:rPr>
              <w:t>2</w:t>
            </w:r>
            <w:r w:rsidRPr="00FF1650">
              <w:rPr>
                <w:rFonts w:cs="Arial"/>
                <w:bCs/>
                <w:color w:val="2E74B5" w:themeColor="accent1" w:themeShade="BF"/>
                <w:lang w:eastAsia="fr-FR"/>
              </w:rPr>
              <w:t xml:space="preserve"> sprays to the head, </w:t>
            </w:r>
            <w:r w:rsidR="00F81FF9">
              <w:rPr>
                <w:rFonts w:cs="Arial"/>
                <w:bCs/>
                <w:color w:val="2E74B5" w:themeColor="accent1" w:themeShade="BF"/>
                <w:lang w:eastAsia="fr-FR"/>
              </w:rPr>
              <w:t>1</w:t>
            </w:r>
            <w:r w:rsidRPr="00FF1650">
              <w:rPr>
                <w:rFonts w:cs="Arial"/>
                <w:bCs/>
                <w:color w:val="2E74B5" w:themeColor="accent1" w:themeShade="BF"/>
                <w:lang w:eastAsia="fr-FR"/>
              </w:rPr>
              <w:t xml:space="preserve"> spray per arm and per leg, once a day.</w:t>
            </w:r>
          </w:p>
          <w:p w14:paraId="3083694B" w14:textId="7EF92A93" w:rsidR="00A66CCF" w:rsidRPr="00FF1650" w:rsidRDefault="00A66CCF" w:rsidP="00A66CCF">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xml:space="preserve">- Children 1 to &lt;2 years old: Apply </w:t>
            </w:r>
            <w:r w:rsidR="00F81FF9">
              <w:rPr>
                <w:rFonts w:cs="Arial"/>
                <w:bCs/>
                <w:color w:val="2E74B5" w:themeColor="accent1" w:themeShade="BF"/>
                <w:lang w:eastAsia="fr-FR"/>
              </w:rPr>
              <w:t>1</w:t>
            </w:r>
            <w:r w:rsidRPr="00FF1650">
              <w:rPr>
                <w:rFonts w:cs="Arial"/>
                <w:bCs/>
                <w:color w:val="2E74B5" w:themeColor="accent1" w:themeShade="BF"/>
                <w:lang w:eastAsia="fr-FR"/>
              </w:rPr>
              <w:t xml:space="preserve"> spray to the head, </w:t>
            </w:r>
            <w:r w:rsidR="00F81FF9">
              <w:rPr>
                <w:rFonts w:cs="Arial"/>
                <w:bCs/>
                <w:color w:val="2E74B5" w:themeColor="accent1" w:themeShade="BF"/>
                <w:lang w:eastAsia="fr-FR"/>
              </w:rPr>
              <w:t>1</w:t>
            </w:r>
            <w:r w:rsidRPr="00FF1650">
              <w:rPr>
                <w:rFonts w:cs="Arial"/>
                <w:bCs/>
                <w:color w:val="2E74B5" w:themeColor="accent1" w:themeShade="BF"/>
                <w:lang w:eastAsia="fr-FR"/>
              </w:rPr>
              <w:t xml:space="preserve"> spray per arm and per leg once a day.</w:t>
            </w:r>
          </w:p>
          <w:p w14:paraId="3C6B21A3" w14:textId="0DD25232" w:rsidR="00A66CCF" w:rsidRPr="00FF1650" w:rsidRDefault="00A66CCF" w:rsidP="00A66CCF">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Infants &lt;1 year</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sidR="00F81FF9">
              <w:rPr>
                <w:rFonts w:cs="Arial"/>
                <w:bCs/>
                <w:color w:val="2E74B5" w:themeColor="accent1" w:themeShade="BF"/>
                <w:lang w:eastAsia="fr-FR"/>
              </w:rPr>
              <w:t>1</w:t>
            </w:r>
            <w:r w:rsidRPr="00FF1650">
              <w:rPr>
                <w:rFonts w:cs="Arial"/>
                <w:bCs/>
                <w:color w:val="2E74B5" w:themeColor="accent1" w:themeShade="BF"/>
                <w:lang w:eastAsia="fr-FR"/>
              </w:rPr>
              <w:t xml:space="preserve"> spray to the head, 1 spray per arm and per leg, once a day.</w:t>
            </w:r>
          </w:p>
          <w:p w14:paraId="34AB620F" w14:textId="77777777" w:rsidR="00F572E3" w:rsidRDefault="00F572E3" w:rsidP="00F572E3">
            <w:pPr>
              <w:widowControl w:val="0"/>
              <w:autoSpaceDE w:val="0"/>
              <w:snapToGrid w:val="0"/>
              <w:spacing w:before="80" w:after="0" w:line="260" w:lineRule="atLeast"/>
              <w:contextualSpacing/>
              <w:jc w:val="both"/>
              <w:rPr>
                <w:rFonts w:eastAsia="Calibri" w:cs="Times"/>
                <w:bCs/>
                <w:color w:val="5B9BD5" w:themeColor="accent1"/>
                <w:sz w:val="22"/>
                <w:szCs w:val="24"/>
                <w:lang w:eastAsia="sv-SE"/>
              </w:rPr>
            </w:pPr>
          </w:p>
          <w:p w14:paraId="2DDD9D8F" w14:textId="77777777" w:rsidR="00F572E3" w:rsidRPr="00FF1650" w:rsidRDefault="00F572E3" w:rsidP="00F572E3">
            <w:pPr>
              <w:widowControl w:val="0"/>
              <w:autoSpaceDE w:val="0"/>
              <w:snapToGrid w:val="0"/>
              <w:spacing w:before="80" w:after="0" w:line="260" w:lineRule="atLeast"/>
              <w:contextualSpacing/>
              <w:jc w:val="both"/>
              <w:rPr>
                <w:rFonts w:cs="Arial"/>
                <w:b/>
                <w:bCs/>
                <w:color w:val="2E74B5" w:themeColor="accent1" w:themeShade="BF"/>
                <w:lang w:eastAsia="fr-FR"/>
              </w:rPr>
            </w:pPr>
            <w:r w:rsidRPr="00FF1650">
              <w:rPr>
                <w:rFonts w:cs="Arial"/>
                <w:b/>
                <w:bCs/>
                <w:color w:val="2E74B5" w:themeColor="accent1" w:themeShade="BF"/>
                <w:lang w:eastAsia="fr-FR"/>
              </w:rPr>
              <w:t>Number of sprays (250ml):</w:t>
            </w:r>
          </w:p>
          <w:p w14:paraId="29F25510" w14:textId="270BA9CD" w:rsidR="00F572E3" w:rsidRPr="00FF1650" w:rsidRDefault="00F572E3" w:rsidP="00F572E3">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Adult and children</w:t>
            </w:r>
            <w:r w:rsidR="006947F8">
              <w:rPr>
                <w:rFonts w:cs="Arial"/>
                <w:bCs/>
                <w:color w:val="2E74B5" w:themeColor="accent1" w:themeShade="BF"/>
                <w:lang w:eastAsia="fr-FR"/>
              </w:rPr>
              <w:t xml:space="preserve"> </w:t>
            </w:r>
            <w:r w:rsidRPr="00FF1650">
              <w:rPr>
                <w:rFonts w:cs="Arial"/>
                <w:bCs/>
                <w:color w:val="2E74B5" w:themeColor="accent1" w:themeShade="BF"/>
                <w:lang w:eastAsia="fr-FR"/>
              </w:rPr>
              <w:t>&gt;12 years</w:t>
            </w:r>
            <w:r w:rsidR="006947F8">
              <w:rPr>
                <w:rFonts w:cs="Arial"/>
                <w:bCs/>
                <w:color w:val="2E74B5" w:themeColor="accent1" w:themeShade="BF"/>
                <w:lang w:eastAsia="fr-FR"/>
              </w:rPr>
              <w:t xml:space="preserve"> old</w:t>
            </w:r>
            <w:r w:rsidRPr="00FF1650">
              <w:rPr>
                <w:rFonts w:cs="Arial"/>
                <w:bCs/>
                <w:color w:val="2E74B5" w:themeColor="accent1" w:themeShade="BF"/>
                <w:lang w:eastAsia="fr-FR"/>
              </w:rPr>
              <w:t>: apply 2 sprays to the head, 1 spray per arm, 1 spray per hand and 2 sprays per leg, once or twice daily.</w:t>
            </w:r>
          </w:p>
          <w:p w14:paraId="50B5FFAF" w14:textId="3887D165" w:rsidR="00F572E3" w:rsidRPr="00FF1650" w:rsidRDefault="00F572E3" w:rsidP="00F572E3">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6 to &lt;12 years old: Apply 1 spray to the head, 1 spray per arm, and 1 spray per leg, once daily.</w:t>
            </w:r>
          </w:p>
          <w:p w14:paraId="711EB13E" w14:textId="2AA3800D" w:rsidR="00F572E3" w:rsidRPr="00FF1650" w:rsidRDefault="00F572E3" w:rsidP="00F572E3">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2 to &lt;6 years</w:t>
            </w:r>
            <w:r w:rsidR="006947F8">
              <w:rPr>
                <w:rFonts w:cs="Arial"/>
                <w:bCs/>
                <w:color w:val="2E74B5" w:themeColor="accent1" w:themeShade="BF"/>
                <w:lang w:eastAsia="fr-FR"/>
              </w:rPr>
              <w:t xml:space="preserve"> old</w:t>
            </w:r>
            <w:r w:rsidRPr="00FF1650">
              <w:rPr>
                <w:rFonts w:cs="Arial"/>
                <w:bCs/>
                <w:color w:val="2E74B5" w:themeColor="accent1" w:themeShade="BF"/>
                <w:lang w:eastAsia="fr-FR"/>
              </w:rPr>
              <w:t>: Apply 1 spray to the head, 1 spray per arm and 1 spray per leg, once a day.</w:t>
            </w:r>
          </w:p>
          <w:p w14:paraId="41827B1A" w14:textId="617333CD" w:rsidR="00F572E3" w:rsidRPr="00FF1650" w:rsidRDefault="00F572E3" w:rsidP="00F572E3">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1 to &lt;2 years old: Apply 1 spray to the head, 1 spray for both arms and 1 spray for both legs once a day.</w:t>
            </w:r>
          </w:p>
          <w:p w14:paraId="63162849" w14:textId="5167CBB3" w:rsidR="00FD0367" w:rsidRPr="0096250C" w:rsidRDefault="00F572E3" w:rsidP="00FF1650">
            <w:pPr>
              <w:widowControl w:val="0"/>
              <w:autoSpaceDE w:val="0"/>
              <w:snapToGrid w:val="0"/>
              <w:spacing w:before="80" w:after="0" w:line="260" w:lineRule="atLeast"/>
              <w:contextualSpacing/>
              <w:jc w:val="both"/>
              <w:rPr>
                <w:rFonts w:eastAsia="Calibri"/>
              </w:rPr>
            </w:pPr>
            <w:r w:rsidRPr="00FF1650">
              <w:rPr>
                <w:rFonts w:cs="Arial"/>
                <w:bCs/>
                <w:color w:val="2E74B5" w:themeColor="accent1" w:themeShade="BF"/>
                <w:lang w:eastAsia="fr-FR"/>
              </w:rPr>
              <w:t>- Infants &lt;1 year</w:t>
            </w:r>
            <w:r w:rsidR="006947F8">
              <w:rPr>
                <w:rFonts w:cs="Arial"/>
                <w:bCs/>
                <w:color w:val="2E74B5" w:themeColor="accent1" w:themeShade="BF"/>
                <w:lang w:eastAsia="fr-FR"/>
              </w:rPr>
              <w:t xml:space="preserve"> old</w:t>
            </w:r>
            <w:r w:rsidRPr="00FF1650">
              <w:rPr>
                <w:rFonts w:cs="Arial"/>
                <w:bCs/>
                <w:color w:val="2E74B5" w:themeColor="accent1" w:themeShade="BF"/>
                <w:lang w:eastAsia="fr-FR"/>
              </w:rPr>
              <w:t>: apply 1 spray for the body, once a day.</w:t>
            </w:r>
          </w:p>
        </w:tc>
      </w:tr>
    </w:tbl>
    <w:p w14:paraId="7A8E8641" w14:textId="77777777" w:rsidR="00FD0367" w:rsidRDefault="00FD0367" w:rsidP="00FD0367">
      <w:pPr>
        <w:pStyle w:val="Titre5"/>
        <w:numPr>
          <w:ilvl w:val="4"/>
          <w:numId w:val="30"/>
        </w:numPr>
        <w:suppressAutoHyphens/>
        <w:spacing w:before="255" w:after="80" w:line="255" w:lineRule="exact"/>
        <w:rPr>
          <w:rFonts w:cs="Times"/>
          <w:bCs/>
          <w:szCs w:val="29"/>
        </w:rPr>
      </w:pPr>
      <w:bookmarkStart w:id="80" w:name="_Toc93326503"/>
      <w:r>
        <w:lastRenderedPageBreak/>
        <w:t>Use-specific risk mitigation measures</w:t>
      </w:r>
      <w:bookmarkEnd w:id="80"/>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D0367" w14:paraId="0F1940FF" w14:textId="77777777" w:rsidTr="009923EC">
        <w:trPr>
          <w:trHeight w:val="1184"/>
        </w:trPr>
        <w:tc>
          <w:tcPr>
            <w:tcW w:w="9036" w:type="dxa"/>
            <w:tcBorders>
              <w:top w:val="single" w:sz="4" w:space="0" w:color="000000"/>
              <w:left w:val="single" w:sz="4" w:space="0" w:color="000000"/>
              <w:bottom w:val="single" w:sz="4" w:space="0" w:color="000000"/>
              <w:right w:val="single" w:sz="4" w:space="0" w:color="000000"/>
            </w:tcBorders>
          </w:tcPr>
          <w:p w14:paraId="79A225FB" w14:textId="77777777" w:rsidR="008A0CE0" w:rsidRDefault="008A0CE0" w:rsidP="008A0CE0">
            <w:pPr>
              <w:pStyle w:val="Paragraphedeliste"/>
              <w:widowControl w:val="0"/>
              <w:numPr>
                <w:ilvl w:val="0"/>
                <w:numId w:val="71"/>
              </w:numPr>
              <w:autoSpaceDE w:val="0"/>
              <w:autoSpaceDN w:val="0"/>
              <w:adjustRightInd w:val="0"/>
              <w:spacing w:before="0" w:after="0"/>
              <w:contextualSpacing w:val="0"/>
              <w:jc w:val="both"/>
              <w:rPr>
                <w:shd w:val="clear" w:color="auto" w:fill="FFFFFF" w:themeFill="background1"/>
              </w:rPr>
            </w:pPr>
            <w:r w:rsidRPr="000F2CED">
              <w:rPr>
                <w:shd w:val="clear" w:color="auto" w:fill="FFFFFF" w:themeFill="background1"/>
              </w:rPr>
              <w:t>Do not apply directly on the face, spray the product in the hand and then spread it onto the face.</w:t>
            </w:r>
          </w:p>
          <w:p w14:paraId="5C9808EA" w14:textId="337096E6" w:rsidR="008A0CE0" w:rsidRPr="000F2CED" w:rsidRDefault="008A0CE0" w:rsidP="008A0CE0">
            <w:pPr>
              <w:pStyle w:val="Paragraphedeliste"/>
              <w:widowControl w:val="0"/>
              <w:numPr>
                <w:ilvl w:val="0"/>
                <w:numId w:val="71"/>
              </w:numPr>
              <w:autoSpaceDE w:val="0"/>
              <w:autoSpaceDN w:val="0"/>
              <w:adjustRightInd w:val="0"/>
              <w:spacing w:before="0" w:after="0"/>
              <w:contextualSpacing w:val="0"/>
              <w:jc w:val="both"/>
              <w:rPr>
                <w:shd w:val="clear" w:color="auto" w:fill="FFFFFF" w:themeFill="background1"/>
              </w:rPr>
            </w:pPr>
            <w:r w:rsidRPr="000F2CED">
              <w:rPr>
                <w:shd w:val="clear" w:color="auto" w:fill="FFFFFF" w:themeFill="background1"/>
              </w:rPr>
              <w:t>Do not apply on the eye area</w:t>
            </w:r>
            <w:r w:rsidR="00FF1650">
              <w:rPr>
                <w:shd w:val="clear" w:color="auto" w:fill="FFFFFF" w:themeFill="background1"/>
              </w:rPr>
              <w:t>.</w:t>
            </w:r>
          </w:p>
          <w:p w14:paraId="3F0FE593" w14:textId="6CD3B41C" w:rsidR="00FD0367" w:rsidRPr="00FF1650" w:rsidRDefault="00FD0367" w:rsidP="00165258">
            <w:pPr>
              <w:numPr>
                <w:ilvl w:val="0"/>
                <w:numId w:val="31"/>
              </w:numPr>
              <w:spacing w:before="0" w:after="0"/>
              <w:contextualSpacing/>
              <w:jc w:val="both"/>
              <w:rPr>
                <w:rFonts w:cs="Arial"/>
                <w:bCs/>
                <w:color w:val="000000"/>
                <w:lang w:eastAsia="fr-FR"/>
              </w:rPr>
            </w:pPr>
            <w:r w:rsidRPr="007E29F8">
              <w:rPr>
                <w:shd w:val="clear" w:color="auto" w:fill="FFFFFF" w:themeFill="background1"/>
              </w:rPr>
              <w:t>When the biocidal product is applied to children, the product should be applied by an adult</w:t>
            </w:r>
            <w:r w:rsidR="00FF1650">
              <w:rPr>
                <w:shd w:val="clear" w:color="auto" w:fill="FFFFFF" w:themeFill="background1"/>
              </w:rPr>
              <w:t>.</w:t>
            </w:r>
          </w:p>
          <w:p w14:paraId="44B3F478" w14:textId="643678C9" w:rsidR="00FF1650" w:rsidRDefault="00FF1650" w:rsidP="00FF1650">
            <w:pPr>
              <w:spacing w:before="0" w:after="0"/>
              <w:ind w:left="720"/>
              <w:contextualSpacing/>
              <w:jc w:val="both"/>
              <w:rPr>
                <w:rFonts w:cs="Arial"/>
                <w:bCs/>
                <w:color w:val="000000"/>
                <w:lang w:eastAsia="fr-FR"/>
              </w:rPr>
            </w:pPr>
          </w:p>
          <w:p w14:paraId="5FE6FD7C" w14:textId="77777777" w:rsidR="00FD0367" w:rsidRPr="007E29F8" w:rsidRDefault="00FD0367" w:rsidP="00165258">
            <w:pPr>
              <w:spacing w:before="0" w:after="0"/>
              <w:contextualSpacing/>
              <w:jc w:val="both"/>
              <w:rPr>
                <w:rFonts w:cs="Arial"/>
                <w:bCs/>
                <w:color w:val="000000"/>
                <w:lang w:eastAsia="fr-FR"/>
              </w:rPr>
            </w:pPr>
            <w:r>
              <w:rPr>
                <w:shd w:val="clear" w:color="auto" w:fill="FFFFFF" w:themeFill="background1"/>
              </w:rPr>
              <w:t>EU only:</w:t>
            </w:r>
          </w:p>
          <w:p w14:paraId="7CF84596" w14:textId="309B61E0" w:rsidR="00FD0367" w:rsidRDefault="00FD0367" w:rsidP="00165258">
            <w:pPr>
              <w:pStyle w:val="Paragraphedeliste"/>
              <w:numPr>
                <w:ilvl w:val="0"/>
                <w:numId w:val="31"/>
              </w:numPr>
              <w:rPr>
                <w:rFonts w:cs="Arial"/>
                <w:bCs/>
                <w:color w:val="000000"/>
                <w:lang w:eastAsia="fr-FR"/>
              </w:rPr>
            </w:pPr>
            <w:r w:rsidRPr="0090387F">
              <w:rPr>
                <w:rFonts w:cs="Arial"/>
                <w:bCs/>
                <w:color w:val="000000"/>
                <w:lang w:eastAsia="fr-FR"/>
              </w:rPr>
              <w:t>Apply only one time per day</w:t>
            </w:r>
            <w:r w:rsidR="00FF1650">
              <w:rPr>
                <w:rFonts w:cs="Arial"/>
                <w:bCs/>
                <w:color w:val="000000"/>
                <w:lang w:eastAsia="fr-FR"/>
              </w:rPr>
              <w:t>.</w:t>
            </w:r>
          </w:p>
          <w:p w14:paraId="5B9292A9" w14:textId="29DFA252" w:rsidR="00FD0367" w:rsidRDefault="00FD0367" w:rsidP="00165258">
            <w:pPr>
              <w:pStyle w:val="Paragraphedeliste"/>
              <w:numPr>
                <w:ilvl w:val="0"/>
                <w:numId w:val="31"/>
              </w:numPr>
              <w:rPr>
                <w:rFonts w:cs="Arial"/>
                <w:bCs/>
                <w:color w:val="000000"/>
                <w:lang w:eastAsia="fr-FR"/>
              </w:rPr>
            </w:pPr>
            <w:r>
              <w:rPr>
                <w:rFonts w:cs="Arial"/>
                <w:bCs/>
                <w:color w:val="000000"/>
                <w:lang w:eastAsia="fr-FR"/>
              </w:rPr>
              <w:t xml:space="preserve">Do not apply on children younger than </w:t>
            </w:r>
            <w:r w:rsidR="00350146">
              <w:rPr>
                <w:rFonts w:cs="Arial"/>
                <w:bCs/>
                <w:color w:val="000000"/>
                <w:lang w:eastAsia="fr-FR"/>
              </w:rPr>
              <w:t xml:space="preserve">6 </w:t>
            </w:r>
            <w:r>
              <w:rPr>
                <w:rFonts w:cs="Arial"/>
                <w:bCs/>
                <w:color w:val="000000"/>
                <w:lang w:eastAsia="fr-FR"/>
              </w:rPr>
              <w:t>years</w:t>
            </w:r>
            <w:r w:rsidR="00FF1650">
              <w:rPr>
                <w:rFonts w:cs="Arial"/>
                <w:bCs/>
                <w:color w:val="000000"/>
                <w:lang w:eastAsia="fr-FR"/>
              </w:rPr>
              <w:t>.</w:t>
            </w:r>
          </w:p>
          <w:p w14:paraId="21115150" w14:textId="4D3C45A2" w:rsidR="00FD0367" w:rsidRPr="00350146" w:rsidRDefault="00FD0367" w:rsidP="00165258">
            <w:pPr>
              <w:pStyle w:val="Paragraphedeliste"/>
              <w:numPr>
                <w:ilvl w:val="0"/>
                <w:numId w:val="31"/>
              </w:numPr>
              <w:rPr>
                <w:rFonts w:cs="Arial"/>
                <w:bCs/>
                <w:color w:val="000000"/>
                <w:lang w:eastAsia="fr-FR"/>
              </w:rPr>
            </w:pPr>
            <w:r w:rsidRPr="00775BAC">
              <w:rPr>
                <w:rFonts w:cs="Arial"/>
                <w:spacing w:val="1"/>
                <w:lang w:eastAsia="fr-FR"/>
              </w:rPr>
              <w:t>D</w:t>
            </w:r>
            <w:r w:rsidRPr="0090387F">
              <w:rPr>
                <w:rFonts w:cs="Arial"/>
                <w:spacing w:val="1"/>
                <w:lang w:eastAsia="fr-FR"/>
              </w:rPr>
              <w:t xml:space="preserve">o not apply the product simultaneously on the skin </w:t>
            </w:r>
            <w:r w:rsidR="00350146">
              <w:rPr>
                <w:rFonts w:cs="Arial"/>
                <w:spacing w:val="1"/>
                <w:lang w:eastAsia="fr-FR"/>
              </w:rPr>
              <w:t xml:space="preserve">of children under 12 years </w:t>
            </w:r>
            <w:r w:rsidRPr="0090387F">
              <w:rPr>
                <w:rFonts w:cs="Arial"/>
                <w:spacing w:val="1"/>
                <w:lang w:eastAsia="fr-FR"/>
              </w:rPr>
              <w:t>and on</w:t>
            </w:r>
            <w:r w:rsidR="00350146">
              <w:rPr>
                <w:rFonts w:cs="Arial"/>
                <w:spacing w:val="1"/>
                <w:lang w:eastAsia="fr-FR"/>
              </w:rPr>
              <w:t xml:space="preserve"> their</w:t>
            </w:r>
            <w:r w:rsidRPr="0090387F">
              <w:rPr>
                <w:rFonts w:cs="Arial"/>
                <w:spacing w:val="1"/>
                <w:lang w:eastAsia="fr-FR"/>
              </w:rPr>
              <w:t xml:space="preserve"> clothes.</w:t>
            </w:r>
          </w:p>
          <w:p w14:paraId="35CED8E6" w14:textId="7F33169F" w:rsidR="00350146" w:rsidRPr="0090387F" w:rsidRDefault="00350146" w:rsidP="00165258">
            <w:pPr>
              <w:pStyle w:val="Paragraphedeliste"/>
              <w:numPr>
                <w:ilvl w:val="0"/>
                <w:numId w:val="31"/>
              </w:numPr>
              <w:rPr>
                <w:rFonts w:cs="Arial"/>
                <w:bCs/>
                <w:color w:val="000000"/>
                <w:lang w:eastAsia="fr-FR"/>
              </w:rPr>
            </w:pPr>
            <w:r>
              <w:rPr>
                <w:rFonts w:cs="Arial"/>
                <w:spacing w:val="1"/>
                <w:lang w:eastAsia="fr-FR"/>
              </w:rPr>
              <w:t>For adult</w:t>
            </w:r>
            <w:r w:rsidRPr="00A65729">
              <w:rPr>
                <w:rFonts w:cs="Arial"/>
                <w:spacing w:val="1"/>
                <w:lang w:eastAsia="fr-FR"/>
              </w:rPr>
              <w:t xml:space="preserve"> </w:t>
            </w:r>
            <w:r>
              <w:rPr>
                <w:rFonts w:cs="Arial"/>
                <w:spacing w:val="1"/>
                <w:lang w:eastAsia="fr-FR"/>
              </w:rPr>
              <w:t xml:space="preserve">and children more than 12 years, </w:t>
            </w:r>
            <w:r w:rsidRPr="00D66F4F">
              <w:rPr>
                <w:rFonts w:cs="Arial"/>
                <w:spacing w:val="1"/>
                <w:lang w:eastAsia="fr-FR"/>
              </w:rPr>
              <w:t xml:space="preserve">do not apply the </w:t>
            </w:r>
            <w:r w:rsidRPr="00297E5D">
              <w:rPr>
                <w:rFonts w:cs="Arial"/>
                <w:spacing w:val="1"/>
                <w:lang w:eastAsia="fr-FR"/>
              </w:rPr>
              <w:t>product on</w:t>
            </w:r>
            <w:r w:rsidRPr="00D66F4F">
              <w:rPr>
                <w:rFonts w:cs="Arial"/>
                <w:spacing w:val="1"/>
                <w:lang w:eastAsia="fr-FR"/>
              </w:rPr>
              <w:t xml:space="preserve"> skin under clothes</w:t>
            </w:r>
            <w:r>
              <w:rPr>
                <w:rFonts w:cs="Arial"/>
                <w:spacing w:val="1"/>
                <w:lang w:eastAsia="fr-FR"/>
              </w:rPr>
              <w:t>.</w:t>
            </w:r>
          </w:p>
          <w:p w14:paraId="4B9C28EF" w14:textId="77777777" w:rsidR="00FD0367" w:rsidRPr="007E29F8" w:rsidRDefault="00FD0367" w:rsidP="00FF1650">
            <w:pPr>
              <w:widowControl w:val="0"/>
              <w:autoSpaceDE w:val="0"/>
              <w:snapToGrid w:val="0"/>
              <w:spacing w:before="80" w:after="0" w:line="260" w:lineRule="atLeast"/>
              <w:contextualSpacing/>
              <w:jc w:val="both"/>
              <w:rPr>
                <w:rFonts w:cs="Arial"/>
                <w:bCs/>
                <w:color w:val="2E74B5" w:themeColor="accent1" w:themeShade="BF"/>
                <w:lang w:eastAsia="fr-FR"/>
              </w:rPr>
            </w:pPr>
            <w:r w:rsidRPr="007E29F8">
              <w:rPr>
                <w:rFonts w:cs="Arial"/>
                <w:bCs/>
                <w:color w:val="2E74B5" w:themeColor="accent1" w:themeShade="BF"/>
                <w:lang w:eastAsia="fr-FR"/>
              </w:rPr>
              <w:t>In France only:</w:t>
            </w:r>
          </w:p>
          <w:p w14:paraId="40DB3656" w14:textId="29D45D55" w:rsidR="00FD0367" w:rsidRPr="00FF1650" w:rsidRDefault="00FD0367" w:rsidP="009923EC">
            <w:pPr>
              <w:pStyle w:val="Paragraphedeliste"/>
              <w:widowControl w:val="0"/>
              <w:numPr>
                <w:ilvl w:val="0"/>
                <w:numId w:val="31"/>
              </w:numPr>
              <w:autoSpaceDE w:val="0"/>
              <w:snapToGrid w:val="0"/>
              <w:spacing w:before="0" w:after="0" w:line="260" w:lineRule="atLeast"/>
              <w:jc w:val="both"/>
              <w:rPr>
                <w:rFonts w:cs="Arial"/>
                <w:bCs/>
                <w:color w:val="2E74B5" w:themeColor="accent1" w:themeShade="BF"/>
                <w:lang w:eastAsia="fr-FR"/>
              </w:rPr>
            </w:pPr>
            <w:r w:rsidRPr="00FF1650">
              <w:rPr>
                <w:rFonts w:cs="Arial"/>
                <w:bCs/>
                <w:color w:val="2E74B5" w:themeColor="accent1" w:themeShade="BF"/>
                <w:lang w:eastAsia="fr-FR"/>
              </w:rPr>
              <w:t>Apply only on head, arms, hands and legs.</w:t>
            </w:r>
          </w:p>
          <w:p w14:paraId="07870D83" w14:textId="0D042ADE" w:rsidR="00FD0367" w:rsidRPr="00FF1650" w:rsidRDefault="00FD0367" w:rsidP="00FF1650">
            <w:pPr>
              <w:pStyle w:val="Paragraphedeliste"/>
              <w:widowControl w:val="0"/>
              <w:numPr>
                <w:ilvl w:val="0"/>
                <w:numId w:val="31"/>
              </w:numPr>
              <w:autoSpaceDE w:val="0"/>
              <w:snapToGrid w:val="0"/>
              <w:spacing w:before="80" w:after="0" w:line="260" w:lineRule="atLeast"/>
              <w:jc w:val="both"/>
              <w:rPr>
                <w:rFonts w:cs="Arial"/>
                <w:bCs/>
                <w:color w:val="2E74B5" w:themeColor="accent1" w:themeShade="BF"/>
                <w:lang w:eastAsia="fr-FR"/>
              </w:rPr>
            </w:pPr>
            <w:r w:rsidRPr="00FF1650">
              <w:rPr>
                <w:rFonts w:cs="Arial"/>
                <w:bCs/>
                <w:color w:val="2E74B5" w:themeColor="accent1" w:themeShade="BF"/>
                <w:lang w:eastAsia="fr-FR"/>
              </w:rPr>
              <w:t xml:space="preserve">For adult </w:t>
            </w:r>
            <w:r w:rsidR="005A0944" w:rsidRPr="00FF1650">
              <w:rPr>
                <w:rFonts w:cs="Arial"/>
                <w:bCs/>
                <w:color w:val="2E74B5" w:themeColor="accent1" w:themeShade="BF"/>
                <w:lang w:eastAsia="fr-FR"/>
              </w:rPr>
              <w:t xml:space="preserve">and children more than 12 years, </w:t>
            </w:r>
            <w:r w:rsidRPr="00FF1650">
              <w:rPr>
                <w:rFonts w:cs="Arial"/>
                <w:bCs/>
                <w:color w:val="2E74B5" w:themeColor="accent1" w:themeShade="BF"/>
                <w:lang w:eastAsia="fr-FR"/>
              </w:rPr>
              <w:t>apply up to two times per day</w:t>
            </w:r>
            <w:r w:rsidR="00FF1650">
              <w:rPr>
                <w:rFonts w:cs="Arial"/>
                <w:bCs/>
                <w:color w:val="2E74B5" w:themeColor="accent1" w:themeShade="BF"/>
                <w:lang w:eastAsia="fr-FR"/>
              </w:rPr>
              <w:t>.</w:t>
            </w:r>
          </w:p>
          <w:p w14:paraId="631E04D9" w14:textId="048EDEA1" w:rsidR="00FD0367" w:rsidRPr="00FF1650" w:rsidRDefault="00FD0367" w:rsidP="00FF1650">
            <w:pPr>
              <w:pStyle w:val="Paragraphedeliste"/>
              <w:widowControl w:val="0"/>
              <w:numPr>
                <w:ilvl w:val="0"/>
                <w:numId w:val="31"/>
              </w:numPr>
              <w:autoSpaceDE w:val="0"/>
              <w:snapToGrid w:val="0"/>
              <w:spacing w:before="80" w:after="0" w:line="260" w:lineRule="atLeast"/>
              <w:jc w:val="both"/>
              <w:rPr>
                <w:rFonts w:cs="Arial"/>
                <w:bCs/>
                <w:color w:val="2E74B5" w:themeColor="accent1" w:themeShade="BF"/>
                <w:lang w:eastAsia="fr-FR"/>
              </w:rPr>
            </w:pPr>
            <w:r w:rsidRPr="00FF1650">
              <w:rPr>
                <w:rFonts w:cs="Arial"/>
                <w:bCs/>
                <w:color w:val="2E74B5" w:themeColor="accent1" w:themeShade="BF"/>
                <w:lang w:eastAsia="fr-FR"/>
              </w:rPr>
              <w:t>For children</w:t>
            </w:r>
            <w:r w:rsidR="005A0944" w:rsidRPr="00FF1650">
              <w:rPr>
                <w:rFonts w:cs="Arial"/>
                <w:bCs/>
                <w:color w:val="2E74B5" w:themeColor="accent1" w:themeShade="BF"/>
                <w:lang w:eastAsia="fr-FR"/>
              </w:rPr>
              <w:t xml:space="preserve"> under 12 years</w:t>
            </w:r>
            <w:r w:rsidRPr="00FF1650">
              <w:rPr>
                <w:rFonts w:cs="Arial"/>
                <w:bCs/>
                <w:color w:val="2E74B5" w:themeColor="accent1" w:themeShade="BF"/>
                <w:lang w:eastAsia="fr-FR"/>
              </w:rPr>
              <w:t>, apply one time per day</w:t>
            </w:r>
            <w:r w:rsidR="00FF1650">
              <w:rPr>
                <w:rFonts w:cs="Arial"/>
                <w:bCs/>
                <w:color w:val="2E74B5" w:themeColor="accent1" w:themeShade="BF"/>
                <w:lang w:eastAsia="fr-FR"/>
              </w:rPr>
              <w:t>.</w:t>
            </w:r>
            <w:r w:rsidRPr="00FF1650" w:rsidDel="005D6363">
              <w:rPr>
                <w:rFonts w:cs="Arial"/>
                <w:bCs/>
                <w:color w:val="2E74B5" w:themeColor="accent1" w:themeShade="BF"/>
                <w:lang w:eastAsia="fr-FR"/>
              </w:rPr>
              <w:t xml:space="preserve"> </w:t>
            </w:r>
          </w:p>
          <w:p w14:paraId="11ACE3C2" w14:textId="7F30E3B0" w:rsidR="00FD0367" w:rsidRPr="00FF1650" w:rsidRDefault="00FD0367" w:rsidP="00FF1650">
            <w:pPr>
              <w:pStyle w:val="Paragraphedeliste"/>
              <w:widowControl w:val="0"/>
              <w:numPr>
                <w:ilvl w:val="0"/>
                <w:numId w:val="31"/>
              </w:numPr>
              <w:autoSpaceDE w:val="0"/>
              <w:snapToGrid w:val="0"/>
              <w:spacing w:before="80" w:after="0" w:line="260" w:lineRule="atLeast"/>
              <w:jc w:val="both"/>
              <w:rPr>
                <w:rFonts w:cs="Arial"/>
                <w:bCs/>
                <w:color w:val="2E74B5" w:themeColor="accent1" w:themeShade="BF"/>
                <w:lang w:eastAsia="fr-FR"/>
              </w:rPr>
            </w:pPr>
            <w:r w:rsidRPr="00FF1650">
              <w:rPr>
                <w:rFonts w:cs="Arial"/>
                <w:bCs/>
                <w:color w:val="2E74B5" w:themeColor="accent1" w:themeShade="BF"/>
                <w:lang w:eastAsia="fr-FR"/>
              </w:rPr>
              <w:t xml:space="preserve">For treatment against mosquitos in tropical conditions, do not apply the product simultaneously on the skin and on clothes for children younger than 6 years. </w:t>
            </w:r>
          </w:p>
          <w:p w14:paraId="30AA44AC" w14:textId="2088B65C" w:rsidR="00FD0367" w:rsidRPr="00FF1650" w:rsidRDefault="00FD0367" w:rsidP="00FF1650">
            <w:pPr>
              <w:pStyle w:val="Paragraphedeliste"/>
              <w:widowControl w:val="0"/>
              <w:numPr>
                <w:ilvl w:val="0"/>
                <w:numId w:val="31"/>
              </w:numPr>
              <w:autoSpaceDE w:val="0"/>
              <w:snapToGrid w:val="0"/>
              <w:spacing w:before="80" w:after="0" w:line="260" w:lineRule="atLeast"/>
              <w:jc w:val="both"/>
              <w:rPr>
                <w:rFonts w:cs="Arial"/>
                <w:bCs/>
                <w:color w:val="2E74B5" w:themeColor="accent1" w:themeShade="BF"/>
                <w:lang w:val="en-US" w:eastAsia="fr-FR"/>
              </w:rPr>
            </w:pPr>
            <w:r w:rsidRPr="00FF1650">
              <w:rPr>
                <w:rFonts w:cs="Arial"/>
                <w:bCs/>
                <w:color w:val="2E74B5" w:themeColor="accent1" w:themeShade="BF"/>
                <w:lang w:eastAsia="fr-FR"/>
              </w:rPr>
              <w:t>For adult and children of 6 years and more, if the product is used in combination with clothes treatment, do not apply the product more than one time per day and do not apply on skin under clothes.</w:t>
            </w:r>
          </w:p>
        </w:tc>
      </w:tr>
    </w:tbl>
    <w:p w14:paraId="56DF2730" w14:textId="77777777" w:rsidR="00FD0367" w:rsidRDefault="00FD0367" w:rsidP="00FD0367">
      <w:pPr>
        <w:pStyle w:val="Titre5"/>
        <w:numPr>
          <w:ilvl w:val="4"/>
          <w:numId w:val="30"/>
        </w:numPr>
        <w:suppressAutoHyphens/>
        <w:spacing w:before="255" w:after="80" w:line="255" w:lineRule="exact"/>
        <w:rPr>
          <w:rFonts w:cs="Times"/>
          <w:bCs/>
          <w:szCs w:val="29"/>
        </w:rPr>
      </w:pPr>
      <w:bookmarkStart w:id="81" w:name="_Toc93326504"/>
      <w:r>
        <w:t>Where specific to the use, the particulars of likely direct or indirect effects, first aid instructions and emergency measures to protect the environment</w:t>
      </w:r>
      <w:bookmarkEnd w:id="8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D0367" w:rsidRPr="008766C7" w14:paraId="7D0CE4E7" w14:textId="77777777" w:rsidTr="00165258">
        <w:tc>
          <w:tcPr>
            <w:tcW w:w="9036" w:type="dxa"/>
            <w:tcBorders>
              <w:top w:val="single" w:sz="4" w:space="0" w:color="000000"/>
              <w:left w:val="single" w:sz="4" w:space="0" w:color="000000"/>
              <w:bottom w:val="single" w:sz="4" w:space="0" w:color="000000"/>
              <w:right w:val="single" w:sz="4" w:space="0" w:color="000000"/>
            </w:tcBorders>
          </w:tcPr>
          <w:p w14:paraId="49EF5140" w14:textId="77777777" w:rsidR="00FD0367" w:rsidRDefault="00FD0367" w:rsidP="00165258">
            <w:pPr>
              <w:widowControl w:val="0"/>
              <w:autoSpaceDE w:val="0"/>
              <w:snapToGrid w:val="0"/>
              <w:spacing w:before="80" w:line="254" w:lineRule="auto"/>
              <w:rPr>
                <w:rFonts w:cs="Times"/>
                <w:bCs/>
                <w:szCs w:val="29"/>
              </w:rPr>
            </w:pPr>
          </w:p>
        </w:tc>
      </w:tr>
    </w:tbl>
    <w:p w14:paraId="72B67E42" w14:textId="77777777" w:rsidR="00FD0367" w:rsidRDefault="00FD0367" w:rsidP="00FD0367">
      <w:pPr>
        <w:pStyle w:val="Titre5"/>
        <w:numPr>
          <w:ilvl w:val="4"/>
          <w:numId w:val="30"/>
        </w:numPr>
        <w:suppressAutoHyphens/>
        <w:spacing w:before="255" w:after="80" w:line="255" w:lineRule="exact"/>
        <w:rPr>
          <w:rFonts w:cs="Times"/>
          <w:bCs/>
          <w:szCs w:val="29"/>
        </w:rPr>
      </w:pPr>
      <w:bookmarkStart w:id="82" w:name="_Toc93326505"/>
      <w:r>
        <w:lastRenderedPageBreak/>
        <w:t>Where specific to the use, the instructions for safe disposal of the product and its packaging</w:t>
      </w:r>
      <w:bookmarkEnd w:id="82"/>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D0367" w:rsidRPr="008766C7" w14:paraId="2207EC73" w14:textId="77777777" w:rsidTr="00165258">
        <w:tc>
          <w:tcPr>
            <w:tcW w:w="9036" w:type="dxa"/>
            <w:tcBorders>
              <w:top w:val="single" w:sz="4" w:space="0" w:color="000000"/>
              <w:left w:val="single" w:sz="4" w:space="0" w:color="000000"/>
              <w:bottom w:val="single" w:sz="4" w:space="0" w:color="000000"/>
              <w:right w:val="single" w:sz="4" w:space="0" w:color="000000"/>
            </w:tcBorders>
          </w:tcPr>
          <w:p w14:paraId="5E168C0E" w14:textId="77777777" w:rsidR="00FD0367" w:rsidRDefault="00FD0367" w:rsidP="00165258">
            <w:pPr>
              <w:widowControl w:val="0"/>
              <w:autoSpaceDE w:val="0"/>
              <w:snapToGrid w:val="0"/>
              <w:spacing w:before="80" w:line="254" w:lineRule="auto"/>
              <w:rPr>
                <w:rFonts w:cs="Times"/>
                <w:bCs/>
                <w:szCs w:val="29"/>
              </w:rPr>
            </w:pPr>
          </w:p>
        </w:tc>
      </w:tr>
    </w:tbl>
    <w:p w14:paraId="2506B8D1" w14:textId="77777777" w:rsidR="00FD0367" w:rsidRDefault="00FD0367" w:rsidP="00FD0367">
      <w:pPr>
        <w:pStyle w:val="Titre5"/>
        <w:numPr>
          <w:ilvl w:val="4"/>
          <w:numId w:val="30"/>
        </w:numPr>
        <w:suppressAutoHyphens/>
        <w:spacing w:before="255" w:after="80" w:line="255" w:lineRule="exact"/>
        <w:rPr>
          <w:rFonts w:cs="Times"/>
          <w:bCs/>
          <w:szCs w:val="29"/>
        </w:rPr>
      </w:pPr>
      <w:bookmarkStart w:id="83" w:name="_Toc93326506"/>
      <w:r>
        <w:t>Where specific to the use, the conditions of storage and shelf-life of the product under normal conditions of storage</w:t>
      </w:r>
      <w:bookmarkEnd w:id="8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D0367" w:rsidRPr="008766C7" w14:paraId="56C7DE1E" w14:textId="77777777" w:rsidTr="00165258">
        <w:tc>
          <w:tcPr>
            <w:tcW w:w="9036" w:type="dxa"/>
            <w:tcBorders>
              <w:top w:val="single" w:sz="4" w:space="0" w:color="000000"/>
              <w:left w:val="single" w:sz="4" w:space="0" w:color="000000"/>
              <w:bottom w:val="single" w:sz="4" w:space="0" w:color="000000"/>
              <w:right w:val="single" w:sz="4" w:space="0" w:color="000000"/>
            </w:tcBorders>
          </w:tcPr>
          <w:p w14:paraId="0DECF6E1" w14:textId="77777777" w:rsidR="00FD0367" w:rsidRDefault="00FD0367" w:rsidP="00165258">
            <w:pPr>
              <w:widowControl w:val="0"/>
              <w:autoSpaceDE w:val="0"/>
              <w:snapToGrid w:val="0"/>
              <w:spacing w:before="80" w:line="254" w:lineRule="auto"/>
              <w:rPr>
                <w:rFonts w:cs="Times"/>
                <w:bCs/>
                <w:szCs w:val="29"/>
              </w:rPr>
            </w:pPr>
          </w:p>
        </w:tc>
      </w:tr>
    </w:tbl>
    <w:p w14:paraId="2BA4F82C" w14:textId="77777777" w:rsidR="007F63F1" w:rsidRDefault="007F63F1" w:rsidP="007F63F1">
      <w:pPr>
        <w:widowControl w:val="0"/>
        <w:autoSpaceDE w:val="0"/>
        <w:rPr>
          <w:rFonts w:cs="Times"/>
          <w:bCs/>
          <w:szCs w:val="29"/>
        </w:rPr>
      </w:pPr>
    </w:p>
    <w:p w14:paraId="72D18C25" w14:textId="77777777" w:rsidR="007F63F1" w:rsidRDefault="007F63F1" w:rsidP="007F63F1">
      <w:pPr>
        <w:pStyle w:val="Titre4"/>
        <w:numPr>
          <w:ilvl w:val="3"/>
          <w:numId w:val="30"/>
        </w:numPr>
        <w:suppressAutoHyphens/>
      </w:pPr>
      <w:bookmarkStart w:id="84" w:name="_Toc93326507"/>
      <w:r>
        <w:t>Use description</w:t>
      </w:r>
      <w:bookmarkEnd w:id="84"/>
    </w:p>
    <w:p w14:paraId="6BFA5150" w14:textId="77777777" w:rsidR="007F63F1" w:rsidRDefault="007F63F1" w:rsidP="007F63F1">
      <w:pPr>
        <w:widowControl w:val="0"/>
        <w:autoSpaceDE w:val="0"/>
        <w:rPr>
          <w:rFonts w:cs="Times"/>
          <w:bCs/>
          <w:szCs w:val="29"/>
        </w:rPr>
      </w:pPr>
    </w:p>
    <w:p w14:paraId="7D0E5D39" w14:textId="30D07A44" w:rsidR="007F63F1" w:rsidRDefault="007F63F1" w:rsidP="007F63F1">
      <w:pPr>
        <w:pStyle w:val="Lgende"/>
        <w:spacing w:after="120"/>
        <w:rPr>
          <w:rFonts w:ascii="Verdana" w:hAnsi="Verdana"/>
          <w:b/>
          <w:bCs/>
          <w:szCs w:val="24"/>
          <w:lang w:eastAsia="en-GB"/>
        </w:rPr>
      </w:pPr>
      <w:r>
        <w:rPr>
          <w:rFonts w:ascii="Verdana" w:hAnsi="Verdana" w:cs="Verdana"/>
        </w:rPr>
        <w:t xml:space="preserve">Table </w:t>
      </w:r>
      <w:r w:rsidR="005240CE">
        <w:rPr>
          <w:rFonts w:ascii="Verdana" w:hAnsi="Verdana" w:cs="Verdana"/>
        </w:rPr>
        <w:t>6</w:t>
      </w:r>
      <w:r>
        <w:rPr>
          <w:rFonts w:ascii="Verdana" w:hAnsi="Verdana"/>
        </w:rPr>
        <w:t xml:space="preserve">. Use # </w:t>
      </w:r>
      <w:r w:rsidR="005240CE">
        <w:rPr>
          <w:rFonts w:ascii="Verdana" w:hAnsi="Verdana"/>
        </w:rPr>
        <w:t>6</w:t>
      </w:r>
      <w:r w:rsidR="00195542">
        <w:rPr>
          <w:rFonts w:ascii="Verdana" w:hAnsi="Verdana"/>
        </w:rPr>
        <w:t xml:space="preserve"> </w:t>
      </w:r>
      <w:r>
        <w:rPr>
          <w:rFonts w:ascii="Verdana" w:hAnsi="Verdana"/>
        </w:rPr>
        <w:t xml:space="preserve">– </w:t>
      </w:r>
      <w:r w:rsidR="00D8630D" w:rsidRPr="00D8630D">
        <w:rPr>
          <w:rFonts w:ascii="Verdana" w:hAnsi="Verdana"/>
        </w:rPr>
        <w:t>Spray to be applied on clothes to repel ticks</w:t>
      </w:r>
      <w:r w:rsidR="00D8630D" w:rsidRPr="00762133">
        <w:t xml:space="preserve">  </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F63F1" w14:paraId="00F1356A" w14:textId="77777777" w:rsidTr="007F63F1">
        <w:tc>
          <w:tcPr>
            <w:tcW w:w="2707" w:type="dxa"/>
            <w:tcBorders>
              <w:top w:val="single" w:sz="4" w:space="0" w:color="000000"/>
              <w:left w:val="single" w:sz="4" w:space="0" w:color="000000"/>
              <w:bottom w:val="single" w:sz="4" w:space="0" w:color="000000"/>
              <w:right w:val="nil"/>
            </w:tcBorders>
            <w:hideMark/>
          </w:tcPr>
          <w:p w14:paraId="2B1B5AF4" w14:textId="77777777" w:rsidR="007F63F1" w:rsidRDefault="007F63F1" w:rsidP="007F63F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37D173C" w14:textId="26D68071" w:rsidR="007F63F1" w:rsidRDefault="00762133" w:rsidP="007F63F1">
            <w:pPr>
              <w:snapToGrid w:val="0"/>
              <w:spacing w:line="254" w:lineRule="auto"/>
              <w:rPr>
                <w:b/>
              </w:rPr>
            </w:pPr>
            <w:r w:rsidRPr="009B0DE3">
              <w:t>PT19 - Repellents and attractants (Pest control)</w:t>
            </w:r>
          </w:p>
        </w:tc>
      </w:tr>
      <w:tr w:rsidR="007F63F1" w:rsidRPr="008766C7" w14:paraId="24D333C1" w14:textId="77777777" w:rsidTr="007F63F1">
        <w:tc>
          <w:tcPr>
            <w:tcW w:w="2707" w:type="dxa"/>
            <w:tcBorders>
              <w:top w:val="nil"/>
              <w:left w:val="single" w:sz="4" w:space="0" w:color="000000"/>
              <w:bottom w:val="single" w:sz="4" w:space="0" w:color="000000"/>
              <w:right w:val="nil"/>
            </w:tcBorders>
            <w:hideMark/>
          </w:tcPr>
          <w:p w14:paraId="409AC41A" w14:textId="77777777" w:rsidR="007F63F1" w:rsidRDefault="007F63F1" w:rsidP="007F63F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0C61F3D0" w14:textId="19024A36" w:rsidR="007F63F1" w:rsidRDefault="00762133" w:rsidP="007F63F1">
            <w:pPr>
              <w:snapToGrid w:val="0"/>
              <w:spacing w:line="254" w:lineRule="auto"/>
              <w:rPr>
                <w:b/>
              </w:rPr>
            </w:pPr>
            <w:r w:rsidRPr="009B0DE3">
              <w:rPr>
                <w:color w:val="000000"/>
              </w:rPr>
              <w:t>Ready to use repellent product to treat clothes</w:t>
            </w:r>
            <w:r>
              <w:rPr>
                <w:color w:val="000000"/>
              </w:rPr>
              <w:t xml:space="preserve"> (cotton and po</w:t>
            </w:r>
            <w:r w:rsidR="00222AA7">
              <w:rPr>
                <w:color w:val="000000"/>
              </w:rPr>
              <w:t>l</w:t>
            </w:r>
            <w:r>
              <w:rPr>
                <w:color w:val="000000"/>
              </w:rPr>
              <w:t>yester) in order to protect the user</w:t>
            </w:r>
            <w:r w:rsidRPr="009B0DE3">
              <w:rPr>
                <w:color w:val="000000"/>
              </w:rPr>
              <w:t xml:space="preserve"> against ticks</w:t>
            </w:r>
            <w:r w:rsidR="00D67729">
              <w:rPr>
                <w:color w:val="000000"/>
              </w:rPr>
              <w:t>.</w:t>
            </w:r>
          </w:p>
        </w:tc>
      </w:tr>
      <w:tr w:rsidR="007F63F1" w:rsidRPr="008766C7" w14:paraId="31D01EE7" w14:textId="77777777" w:rsidTr="007F63F1">
        <w:tc>
          <w:tcPr>
            <w:tcW w:w="2707" w:type="dxa"/>
            <w:tcBorders>
              <w:top w:val="nil"/>
              <w:left w:val="single" w:sz="4" w:space="0" w:color="000000"/>
              <w:bottom w:val="single" w:sz="4" w:space="0" w:color="000000"/>
              <w:right w:val="nil"/>
            </w:tcBorders>
            <w:hideMark/>
          </w:tcPr>
          <w:p w14:paraId="557527A3" w14:textId="77777777" w:rsidR="007F63F1" w:rsidRDefault="007F63F1" w:rsidP="007F63F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07D0B9C2" w14:textId="77777777" w:rsidR="00D67729" w:rsidRDefault="00D67729" w:rsidP="00D67729">
            <w:pPr>
              <w:snapToGrid w:val="0"/>
              <w:spacing w:line="254" w:lineRule="auto"/>
            </w:pPr>
            <w:r>
              <w:t xml:space="preserve">Hard ticks </w:t>
            </w:r>
          </w:p>
          <w:p w14:paraId="6F3D525F" w14:textId="36EADD40" w:rsidR="00D67729" w:rsidRPr="00D67729" w:rsidRDefault="00D67729" w:rsidP="00D67729">
            <w:pPr>
              <w:snapToGrid w:val="0"/>
              <w:spacing w:line="254" w:lineRule="auto"/>
              <w:rPr>
                <w:i/>
              </w:rPr>
            </w:pPr>
            <w:r>
              <w:rPr>
                <w:i/>
              </w:rPr>
              <w:t>Ixodes ricinus</w:t>
            </w:r>
          </w:p>
          <w:p w14:paraId="0A7E7EB8" w14:textId="1E8DEEE4" w:rsidR="007F63F1" w:rsidRDefault="00D67729" w:rsidP="00D67729">
            <w:pPr>
              <w:snapToGrid w:val="0"/>
              <w:spacing w:line="254" w:lineRule="auto"/>
            </w:pPr>
            <w:r>
              <w:t>Development stage: adults and nymphs</w:t>
            </w:r>
          </w:p>
        </w:tc>
      </w:tr>
      <w:tr w:rsidR="00D67729" w14:paraId="0A613B7E" w14:textId="77777777" w:rsidTr="007F63F1">
        <w:tc>
          <w:tcPr>
            <w:tcW w:w="2707" w:type="dxa"/>
            <w:tcBorders>
              <w:top w:val="nil"/>
              <w:left w:val="single" w:sz="4" w:space="0" w:color="000000"/>
              <w:bottom w:val="single" w:sz="4" w:space="0" w:color="000000"/>
              <w:right w:val="nil"/>
            </w:tcBorders>
            <w:hideMark/>
          </w:tcPr>
          <w:p w14:paraId="183E5764" w14:textId="77777777" w:rsidR="00D67729" w:rsidRDefault="00D67729" w:rsidP="007F63F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2AAB5825" w14:textId="4393B73C" w:rsidR="00D67729" w:rsidRDefault="00D91785" w:rsidP="007F63F1">
            <w:pPr>
              <w:snapToGrid w:val="0"/>
              <w:spacing w:line="260" w:lineRule="atLeast"/>
              <w:jc w:val="both"/>
            </w:pPr>
            <w:r>
              <w:t>Application on clothes</w:t>
            </w:r>
          </w:p>
        </w:tc>
      </w:tr>
      <w:tr w:rsidR="00D67729" w14:paraId="0DDB0290" w14:textId="77777777" w:rsidTr="007F63F1">
        <w:tc>
          <w:tcPr>
            <w:tcW w:w="2707" w:type="dxa"/>
            <w:tcBorders>
              <w:top w:val="nil"/>
              <w:left w:val="single" w:sz="4" w:space="0" w:color="000000"/>
              <w:bottom w:val="single" w:sz="4" w:space="0" w:color="000000"/>
              <w:right w:val="nil"/>
            </w:tcBorders>
            <w:hideMark/>
          </w:tcPr>
          <w:p w14:paraId="4F33FF27" w14:textId="77777777" w:rsidR="00D67729" w:rsidRDefault="00D67729" w:rsidP="007F63F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06945432" w14:textId="77777777" w:rsidR="00D67729" w:rsidRPr="009B0DE3" w:rsidRDefault="00D67729" w:rsidP="00D67729">
            <w:r w:rsidRPr="009B0DE3">
              <w:t>Spraying</w:t>
            </w:r>
          </w:p>
          <w:p w14:paraId="18D065B8" w14:textId="036EAF5A" w:rsidR="00D67729" w:rsidRDefault="00D67729" w:rsidP="00D67729">
            <w:pPr>
              <w:snapToGrid w:val="0"/>
              <w:spacing w:line="260" w:lineRule="atLeast"/>
            </w:pPr>
            <w:r w:rsidRPr="009B0DE3">
              <w:rPr>
                <w:color w:val="000000"/>
              </w:rPr>
              <w:t>Spray directly onto the textiles</w:t>
            </w:r>
          </w:p>
        </w:tc>
      </w:tr>
      <w:tr w:rsidR="00D67729" w:rsidRPr="008766C7" w14:paraId="4BF91E9E" w14:textId="77777777" w:rsidTr="007F63F1">
        <w:tc>
          <w:tcPr>
            <w:tcW w:w="2707" w:type="dxa"/>
            <w:tcBorders>
              <w:top w:val="nil"/>
              <w:left w:val="single" w:sz="4" w:space="0" w:color="000000"/>
              <w:bottom w:val="single" w:sz="4" w:space="0" w:color="000000"/>
              <w:right w:val="nil"/>
            </w:tcBorders>
            <w:hideMark/>
          </w:tcPr>
          <w:p w14:paraId="25FE0310" w14:textId="77777777" w:rsidR="00D67729" w:rsidRDefault="00D67729" w:rsidP="007F63F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673690D7" w14:textId="187112BB" w:rsidR="00D67729" w:rsidRDefault="009E2CCB" w:rsidP="00D67729">
            <w:r>
              <w:t>0.</w:t>
            </w:r>
            <w:r w:rsidR="00D67729" w:rsidRPr="009B0DE3">
              <w:t>8</w:t>
            </w:r>
            <w:r w:rsidR="00D67729">
              <w:t xml:space="preserve">5 </w:t>
            </w:r>
            <w:r>
              <w:t>m</w:t>
            </w:r>
            <w:r w:rsidR="00D67729">
              <w:t xml:space="preserve">g of product per </w:t>
            </w:r>
            <w:r w:rsidR="002519FD">
              <w:t>c</w:t>
            </w:r>
            <w:r w:rsidR="00D67729">
              <w:t>m² of fabric</w:t>
            </w:r>
          </w:p>
          <w:p w14:paraId="4A14A33F" w14:textId="2601E919" w:rsidR="00D67729" w:rsidRDefault="00D67729" w:rsidP="0063427C">
            <w:r>
              <w:t>Protection time</w:t>
            </w:r>
            <w:r w:rsidRPr="009B0DE3">
              <w:t xml:space="preserve"> </w:t>
            </w:r>
            <w:r w:rsidR="00654B51">
              <w:t>(</w:t>
            </w:r>
            <w:r w:rsidR="00654B51" w:rsidRPr="001D2CEA">
              <w:t>in temperate condition</w:t>
            </w:r>
            <w:r w:rsidR="00654B51">
              <w:t>s)</w:t>
            </w:r>
            <w:r w:rsidR="00654B51" w:rsidRPr="009B0DE3">
              <w:t xml:space="preserve"> </w:t>
            </w:r>
            <w:r w:rsidRPr="009B0DE3">
              <w:t>during 6</w:t>
            </w:r>
            <w:r>
              <w:t xml:space="preserve"> </w:t>
            </w:r>
            <w:r w:rsidRPr="009B0DE3">
              <w:t>h</w:t>
            </w:r>
            <w:r>
              <w:t>ours</w:t>
            </w:r>
            <w:r w:rsidRPr="009B0DE3">
              <w:t xml:space="preserve"> even after </w:t>
            </w:r>
            <w:r>
              <w:t>7</w:t>
            </w:r>
            <w:r w:rsidRPr="009B0DE3">
              <w:t xml:space="preserve"> days of storage</w:t>
            </w:r>
            <w:r w:rsidR="00222AA7">
              <w:t xml:space="preserve"> of the treated cloth (</w:t>
            </w:r>
            <w:r w:rsidR="00222AA7" w:rsidRPr="001A385C">
              <w:t>before being worn</w:t>
            </w:r>
            <w:r w:rsidR="00222AA7">
              <w:t>)</w:t>
            </w:r>
            <w:r w:rsidR="000B7454">
              <w:t xml:space="preserve"> </w:t>
            </w:r>
            <w:r w:rsidR="000B7454" w:rsidRPr="000B7454">
              <w:t>in a closed packaging (such as a plastic bag)</w:t>
            </w:r>
            <w:r w:rsidR="0063427C">
              <w:t>.</w:t>
            </w:r>
            <w:r>
              <w:t xml:space="preserve"> </w:t>
            </w:r>
          </w:p>
          <w:p w14:paraId="1CC851DC" w14:textId="7C95AAFB" w:rsidR="00D67729" w:rsidRDefault="0063427C" w:rsidP="00D67729">
            <w:r>
              <w:t>Reapply after each washing</w:t>
            </w:r>
            <w:r w:rsidR="00222AA7">
              <w:t xml:space="preserve"> or use of the treated cloth</w:t>
            </w:r>
            <w:r>
              <w:t>.</w:t>
            </w:r>
          </w:p>
        </w:tc>
      </w:tr>
      <w:tr w:rsidR="00D67729" w14:paraId="62EA666C" w14:textId="77777777" w:rsidTr="007F63F1">
        <w:tc>
          <w:tcPr>
            <w:tcW w:w="2707" w:type="dxa"/>
            <w:tcBorders>
              <w:top w:val="nil"/>
              <w:left w:val="single" w:sz="4" w:space="0" w:color="000000"/>
              <w:bottom w:val="single" w:sz="4" w:space="0" w:color="000000"/>
              <w:right w:val="nil"/>
            </w:tcBorders>
            <w:hideMark/>
          </w:tcPr>
          <w:p w14:paraId="2F1867FE" w14:textId="77777777" w:rsidR="00D67729" w:rsidRDefault="00D67729" w:rsidP="007F63F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565A57E2" w14:textId="737DCBBA" w:rsidR="00D67729" w:rsidRDefault="000E4EF0" w:rsidP="007F63F1">
            <w:pPr>
              <w:snapToGrid w:val="0"/>
              <w:spacing w:line="254" w:lineRule="auto"/>
              <w:rPr>
                <w:b/>
              </w:rPr>
            </w:pPr>
            <w:r w:rsidRPr="00D601DB">
              <w:t>General public (non-professional)</w:t>
            </w:r>
          </w:p>
        </w:tc>
      </w:tr>
      <w:tr w:rsidR="00D67729" w:rsidRPr="008766C7" w14:paraId="57B19706" w14:textId="77777777" w:rsidTr="007F63F1">
        <w:tc>
          <w:tcPr>
            <w:tcW w:w="2707" w:type="dxa"/>
            <w:tcBorders>
              <w:top w:val="nil"/>
              <w:left w:val="single" w:sz="4" w:space="0" w:color="000000"/>
              <w:bottom w:val="single" w:sz="4" w:space="0" w:color="000000"/>
              <w:right w:val="nil"/>
            </w:tcBorders>
            <w:hideMark/>
          </w:tcPr>
          <w:p w14:paraId="55681799" w14:textId="77777777" w:rsidR="00D67729" w:rsidRDefault="00D67729" w:rsidP="007F63F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55E24AC" w14:textId="6E8B5FAE" w:rsidR="00D67729" w:rsidRDefault="00F81FF9" w:rsidP="007F63F1">
            <w:pPr>
              <w:spacing w:line="254" w:lineRule="auto"/>
            </w:pPr>
            <w:r>
              <w:t xml:space="preserve">100 and </w:t>
            </w:r>
            <w:r w:rsidR="00FB1AED">
              <w:t>250mL HDPE bottle (with sprayer)</w:t>
            </w:r>
          </w:p>
        </w:tc>
      </w:tr>
    </w:tbl>
    <w:p w14:paraId="52FBB864" w14:textId="77777777" w:rsidR="007F63F1" w:rsidRDefault="007F63F1" w:rsidP="007F63F1">
      <w:pPr>
        <w:tabs>
          <w:tab w:val="left" w:pos="500"/>
        </w:tabs>
        <w:ind w:left="500" w:hanging="500"/>
      </w:pPr>
    </w:p>
    <w:p w14:paraId="1DDDADCB" w14:textId="77777777" w:rsidR="007F63F1" w:rsidRDefault="007F63F1" w:rsidP="007F63F1">
      <w:pPr>
        <w:pStyle w:val="Titre5"/>
        <w:numPr>
          <w:ilvl w:val="4"/>
          <w:numId w:val="30"/>
        </w:numPr>
        <w:suppressAutoHyphens/>
        <w:spacing w:before="255" w:after="80" w:line="255" w:lineRule="exact"/>
        <w:rPr>
          <w:rFonts w:cs="Times"/>
          <w:bCs/>
          <w:szCs w:val="29"/>
        </w:rPr>
      </w:pPr>
      <w:bookmarkStart w:id="85" w:name="_Toc93326508"/>
      <w:r>
        <w:t>Use-specific instructions for use</w:t>
      </w:r>
      <w:bookmarkEnd w:id="8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14:paraId="142CFA2F"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617988D0" w14:textId="77777777" w:rsidR="009667BA" w:rsidRDefault="00956408" w:rsidP="009667BA">
            <w:pPr>
              <w:widowControl w:val="0"/>
              <w:numPr>
                <w:ilvl w:val="0"/>
                <w:numId w:val="31"/>
              </w:numPr>
              <w:autoSpaceDE w:val="0"/>
              <w:snapToGrid w:val="0"/>
              <w:spacing w:before="80" w:after="0" w:line="260" w:lineRule="atLeast"/>
              <w:ind w:left="386"/>
              <w:contextualSpacing/>
              <w:jc w:val="both"/>
              <w:rPr>
                <w:rFonts w:eastAsia="Calibri" w:cs="Times"/>
                <w:bCs/>
                <w:sz w:val="22"/>
                <w:szCs w:val="24"/>
                <w:lang w:val="sv-SE" w:eastAsia="sv-SE"/>
              </w:rPr>
            </w:pPr>
            <w:r w:rsidRPr="00EE04FB">
              <w:rPr>
                <w:rFonts w:eastAsia="Calibri" w:cs="Times"/>
                <w:bCs/>
                <w:lang w:val="sv-SE" w:eastAsia="sv-SE"/>
              </w:rPr>
              <w:t>In case of storage before wearing, the treated clothes must be stored in a closed packaging (such as a plastic bag).</w:t>
            </w:r>
          </w:p>
          <w:p w14:paraId="0BD7EA73" w14:textId="4D79989A" w:rsidR="007F63F1" w:rsidRPr="0096250C" w:rsidRDefault="009667BA" w:rsidP="007F63F1">
            <w:pPr>
              <w:widowControl w:val="0"/>
              <w:numPr>
                <w:ilvl w:val="0"/>
                <w:numId w:val="31"/>
              </w:numPr>
              <w:autoSpaceDE w:val="0"/>
              <w:snapToGrid w:val="0"/>
              <w:spacing w:before="80" w:after="0" w:line="260" w:lineRule="atLeast"/>
              <w:ind w:left="386"/>
              <w:contextualSpacing/>
              <w:jc w:val="both"/>
              <w:rPr>
                <w:rFonts w:eastAsia="Calibri" w:cs="Times"/>
                <w:bCs/>
                <w:sz w:val="22"/>
                <w:szCs w:val="24"/>
                <w:lang w:val="sv-SE" w:eastAsia="sv-SE"/>
              </w:rPr>
            </w:pPr>
            <w:r w:rsidRPr="007177F7">
              <w:t>Retreat after water exposure without exceeding the maximal recommended application number.</w:t>
            </w:r>
          </w:p>
          <w:p w14:paraId="4CE038F7" w14:textId="77777777" w:rsidR="007A2E20" w:rsidRPr="0096250C" w:rsidRDefault="007A2E20" w:rsidP="0096250C">
            <w:pPr>
              <w:widowControl w:val="0"/>
              <w:autoSpaceDE w:val="0"/>
              <w:snapToGrid w:val="0"/>
              <w:spacing w:before="80" w:after="0" w:line="260" w:lineRule="atLeast"/>
              <w:ind w:left="386"/>
              <w:contextualSpacing/>
              <w:jc w:val="both"/>
              <w:rPr>
                <w:rFonts w:eastAsia="Calibri" w:cs="Times"/>
                <w:bCs/>
                <w:sz w:val="22"/>
                <w:szCs w:val="24"/>
                <w:lang w:val="sv-SE" w:eastAsia="sv-SE"/>
              </w:rPr>
            </w:pPr>
          </w:p>
          <w:p w14:paraId="28405DE4" w14:textId="17BC4591" w:rsidR="00013B67" w:rsidRDefault="00013B67" w:rsidP="00013B67">
            <w:pPr>
              <w:spacing w:before="0" w:after="0" w:line="260" w:lineRule="atLeast"/>
            </w:pPr>
            <w:r>
              <w:t>Number of sprays:</w:t>
            </w:r>
          </w:p>
          <w:p w14:paraId="2CC58E70" w14:textId="7546E3E9" w:rsidR="00F81FF9" w:rsidRDefault="00F81FF9" w:rsidP="00013B67">
            <w:pPr>
              <w:spacing w:before="0" w:after="0" w:line="260" w:lineRule="atLeast"/>
            </w:pPr>
          </w:p>
          <w:p w14:paraId="1B4201BB" w14:textId="5F33EB9F" w:rsidR="00F81FF9" w:rsidRDefault="00F81FF9" w:rsidP="00F81FF9">
            <w:pPr>
              <w:spacing w:before="0" w:after="0" w:line="260" w:lineRule="atLeast"/>
            </w:pPr>
            <w:r>
              <w:t>- 100 mL bottle (300 µL per spray): Apply the following number of sprays to the front of clothing:</w:t>
            </w:r>
          </w:p>
          <w:p w14:paraId="4E491AFB" w14:textId="58F5B38F" w:rsidR="00F81FF9" w:rsidRDefault="00F81FF9" w:rsidP="00F81FF9">
            <w:pPr>
              <w:spacing w:before="0" w:after="0" w:line="260" w:lineRule="atLeast"/>
              <w:ind w:left="708"/>
            </w:pPr>
            <w:r>
              <w:t>- For adults and children &gt; 12 years old: 9 per shirt body, 4 per leg, 2 per sleeve. Repeat on the back of the clothes.</w:t>
            </w:r>
          </w:p>
          <w:p w14:paraId="659CE3ED" w14:textId="6C612E91" w:rsidR="00F81FF9" w:rsidRDefault="00F81FF9" w:rsidP="00F81FF9">
            <w:pPr>
              <w:spacing w:before="0" w:after="0" w:line="260" w:lineRule="atLeast"/>
              <w:ind w:left="708"/>
            </w:pPr>
            <w:r>
              <w:lastRenderedPageBreak/>
              <w:t>- For children from 2 to 12 years old: 3-5 per shirt body, 2 per leg, 1 per sleeve. Repeat on the back of the clothes.</w:t>
            </w:r>
          </w:p>
          <w:p w14:paraId="4EE0E5A5" w14:textId="23B032CF" w:rsidR="00F81FF9" w:rsidRDefault="00F81FF9" w:rsidP="00F81FF9">
            <w:pPr>
              <w:spacing w:before="0" w:after="0" w:line="260" w:lineRule="atLeast"/>
              <w:ind w:left="708"/>
            </w:pPr>
            <w:r>
              <w:t>- For children under 1 to 2 years old : 2 per shirt body, 1 per leg, 1 per sleeve. Repeat on the back of the clothes.</w:t>
            </w:r>
          </w:p>
          <w:p w14:paraId="3BA24DD7" w14:textId="77777777" w:rsidR="00F81FF9" w:rsidRDefault="00F81FF9" w:rsidP="00013B67">
            <w:pPr>
              <w:spacing w:before="0" w:after="0" w:line="260" w:lineRule="atLeast"/>
            </w:pPr>
          </w:p>
          <w:p w14:paraId="08742C3F" w14:textId="77777777" w:rsidR="004639A5" w:rsidRDefault="004639A5" w:rsidP="004639A5">
            <w:pPr>
              <w:spacing w:before="0" w:after="0" w:line="260" w:lineRule="atLeast"/>
            </w:pPr>
            <w:r>
              <w:t>- 250 mL bottle: Apply the following number of sprays to the front of clothing:</w:t>
            </w:r>
          </w:p>
          <w:p w14:paraId="6BD21100" w14:textId="6AC6E07C" w:rsidR="004639A5" w:rsidRDefault="004639A5" w:rsidP="00EA7456">
            <w:pPr>
              <w:spacing w:before="0" w:after="0" w:line="260" w:lineRule="atLeast"/>
              <w:ind w:left="708"/>
            </w:pPr>
            <w:r>
              <w:t>- For adults and children &gt; 12 years old: 6 per shirt body, 3 per leg, 2 per sleeve. Repeat on the back of the clothes.</w:t>
            </w:r>
          </w:p>
          <w:p w14:paraId="74E31BF7" w14:textId="5260B7F9" w:rsidR="004639A5" w:rsidRDefault="004639A5" w:rsidP="00EA7456">
            <w:pPr>
              <w:spacing w:before="0" w:after="0" w:line="260" w:lineRule="atLeast"/>
              <w:ind w:left="708"/>
            </w:pPr>
            <w:r>
              <w:t>- For children from 2 to 12 years old: 2-3 per shirt body, 1-2 per leg, 1 per sleeve. Repeat on the back of the clothes.</w:t>
            </w:r>
          </w:p>
          <w:p w14:paraId="7CDD3D33" w14:textId="76C0926C" w:rsidR="004639A5" w:rsidRDefault="004639A5" w:rsidP="00EA7456">
            <w:pPr>
              <w:spacing w:before="0" w:after="0" w:line="260" w:lineRule="atLeast"/>
              <w:ind w:left="708"/>
            </w:pPr>
            <w:r>
              <w:t>- For children under 1 to 2 years old : 1-2 per shirt body, 1 per leg, 1 per sleeve. Repeat on the back of the clothes.</w:t>
            </w:r>
          </w:p>
          <w:p w14:paraId="5C6119F0" w14:textId="5368758A" w:rsidR="00CE561C" w:rsidRPr="009923EC" w:rsidRDefault="00CE561C" w:rsidP="00D312D0">
            <w:pPr>
              <w:pStyle w:val="Paragraphedeliste"/>
              <w:widowControl w:val="0"/>
              <w:numPr>
                <w:ilvl w:val="0"/>
                <w:numId w:val="31"/>
              </w:numPr>
              <w:autoSpaceDE w:val="0"/>
              <w:snapToGrid w:val="0"/>
              <w:spacing w:before="80" w:after="0" w:line="260" w:lineRule="atLeast"/>
              <w:jc w:val="both"/>
              <w:rPr>
                <w:rFonts w:eastAsia="Calibri" w:cs="Times"/>
                <w:bCs/>
                <w:sz w:val="22"/>
                <w:szCs w:val="24"/>
                <w:lang w:val="sv-SE" w:eastAsia="sv-SE"/>
              </w:rPr>
            </w:pPr>
          </w:p>
        </w:tc>
      </w:tr>
    </w:tbl>
    <w:p w14:paraId="1C86A96E" w14:textId="77777777" w:rsidR="007F63F1" w:rsidRDefault="007F63F1" w:rsidP="007F63F1">
      <w:pPr>
        <w:pStyle w:val="Titre5"/>
        <w:numPr>
          <w:ilvl w:val="4"/>
          <w:numId w:val="30"/>
        </w:numPr>
        <w:suppressAutoHyphens/>
        <w:spacing w:before="255" w:after="80" w:line="255" w:lineRule="exact"/>
        <w:rPr>
          <w:rFonts w:cs="Times"/>
          <w:bCs/>
          <w:szCs w:val="29"/>
        </w:rPr>
      </w:pPr>
      <w:bookmarkStart w:id="86" w:name="_Toc93326509"/>
      <w:r>
        <w:lastRenderedPageBreak/>
        <w:t>Use-specific risk mitigation measures</w:t>
      </w:r>
      <w:bookmarkEnd w:id="86"/>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14:paraId="31B87848"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071FE643" w14:textId="77777777" w:rsidR="00013B67" w:rsidRDefault="00013B67" w:rsidP="006E50DF">
            <w:pPr>
              <w:spacing w:before="0" w:after="0"/>
              <w:jc w:val="both"/>
              <w:rPr>
                <w:lang w:val="en-US" w:eastAsia="fr-FR"/>
              </w:rPr>
            </w:pPr>
          </w:p>
          <w:p w14:paraId="4FB5BA9C" w14:textId="7D9D4D37" w:rsidR="006E50DF" w:rsidRDefault="006E50DF" w:rsidP="006E50DF">
            <w:pPr>
              <w:spacing w:before="0" w:after="0"/>
              <w:contextualSpacing/>
              <w:jc w:val="both"/>
              <w:rPr>
                <w:rFonts w:cs="Arial"/>
                <w:bCs/>
                <w:color w:val="000000"/>
                <w:lang w:eastAsia="fr-FR"/>
              </w:rPr>
            </w:pPr>
            <w:r>
              <w:rPr>
                <w:rFonts w:cs="Arial"/>
                <w:bCs/>
                <w:color w:val="000000"/>
                <w:lang w:eastAsia="fr-FR"/>
              </w:rPr>
              <w:t>E</w:t>
            </w:r>
            <w:r w:rsidR="009923EC">
              <w:rPr>
                <w:rFonts w:cs="Arial"/>
                <w:bCs/>
                <w:color w:val="000000"/>
                <w:lang w:eastAsia="fr-FR"/>
              </w:rPr>
              <w:t>U</w:t>
            </w:r>
            <w:r>
              <w:rPr>
                <w:rFonts w:cs="Arial"/>
                <w:bCs/>
                <w:color w:val="000000"/>
                <w:lang w:eastAsia="fr-FR"/>
              </w:rPr>
              <w:t xml:space="preserve"> only:</w:t>
            </w:r>
          </w:p>
          <w:p w14:paraId="09C4E025" w14:textId="0ADE6693" w:rsidR="006E50DF" w:rsidRPr="009923EC" w:rsidRDefault="006E50DF" w:rsidP="009923EC">
            <w:pPr>
              <w:pStyle w:val="Paragraphedeliste"/>
              <w:numPr>
                <w:ilvl w:val="0"/>
                <w:numId w:val="31"/>
              </w:numPr>
              <w:spacing w:before="0" w:after="0"/>
              <w:jc w:val="both"/>
              <w:rPr>
                <w:rFonts w:cs="Arial"/>
                <w:bCs/>
                <w:color w:val="000000"/>
                <w:lang w:eastAsia="fr-FR"/>
              </w:rPr>
            </w:pPr>
            <w:r w:rsidRPr="009923EC">
              <w:rPr>
                <w:rFonts w:cs="Arial"/>
                <w:bCs/>
                <w:color w:val="000000"/>
                <w:lang w:eastAsia="fr-FR"/>
              </w:rPr>
              <w:t>Do not apply on clothes of children younger than 1 year</w:t>
            </w:r>
            <w:r w:rsidR="009923EC" w:rsidRPr="009923EC">
              <w:rPr>
                <w:rFonts w:cs="Arial"/>
                <w:bCs/>
                <w:color w:val="000000"/>
                <w:lang w:eastAsia="fr-FR"/>
              </w:rPr>
              <w:t>.</w:t>
            </w:r>
          </w:p>
          <w:p w14:paraId="60D7AD60" w14:textId="163EAFD7" w:rsidR="006E50DF" w:rsidRDefault="006E50DF" w:rsidP="009923EC">
            <w:pPr>
              <w:pStyle w:val="Paragraphedeliste"/>
              <w:numPr>
                <w:ilvl w:val="0"/>
                <w:numId w:val="31"/>
              </w:numPr>
              <w:spacing w:before="0" w:after="0"/>
              <w:jc w:val="both"/>
            </w:pPr>
            <w:r w:rsidRPr="00D66F4F">
              <w:t>For treatment against ticks</w:t>
            </w:r>
            <w:r>
              <w:t>,</w:t>
            </w:r>
            <w:r w:rsidRPr="00D66F4F">
              <w:t xml:space="preserve"> do not apply the product simultaneously on the skin </w:t>
            </w:r>
            <w:r w:rsidR="009923EC">
              <w:t xml:space="preserve">of children </w:t>
            </w:r>
            <w:r w:rsidR="009923EC">
              <w:rPr>
                <w:rFonts w:cs="Arial"/>
                <w:spacing w:val="1"/>
                <w:lang w:eastAsia="fr-FR"/>
              </w:rPr>
              <w:t xml:space="preserve">under </w:t>
            </w:r>
            <w:r w:rsidR="00C11F5D">
              <w:rPr>
                <w:rFonts w:cs="Arial"/>
                <w:spacing w:val="1"/>
                <w:lang w:eastAsia="fr-FR"/>
              </w:rPr>
              <w:t xml:space="preserve">6 </w:t>
            </w:r>
            <w:r w:rsidR="009923EC">
              <w:rPr>
                <w:rFonts w:cs="Arial"/>
                <w:spacing w:val="1"/>
                <w:lang w:eastAsia="fr-FR"/>
              </w:rPr>
              <w:t>years</w:t>
            </w:r>
            <w:r w:rsidR="009923EC">
              <w:t xml:space="preserve"> </w:t>
            </w:r>
            <w:r w:rsidRPr="00D66F4F">
              <w:t xml:space="preserve">and on </w:t>
            </w:r>
            <w:r w:rsidR="009923EC">
              <w:t xml:space="preserve">their </w:t>
            </w:r>
            <w:r w:rsidRPr="00D66F4F">
              <w:t>clothes.</w:t>
            </w:r>
          </w:p>
          <w:p w14:paraId="0B449C93" w14:textId="7D51BCA6" w:rsidR="009923EC" w:rsidRDefault="009923EC" w:rsidP="009923EC">
            <w:pPr>
              <w:pStyle w:val="Paragraphedeliste"/>
              <w:numPr>
                <w:ilvl w:val="0"/>
                <w:numId w:val="31"/>
              </w:numPr>
              <w:spacing w:before="0" w:after="0"/>
              <w:jc w:val="both"/>
            </w:pPr>
            <w:r>
              <w:rPr>
                <w:rFonts w:cs="Arial"/>
                <w:spacing w:val="1"/>
                <w:lang w:eastAsia="fr-FR"/>
              </w:rPr>
              <w:t>For adult</w:t>
            </w:r>
            <w:r w:rsidRPr="00A65729">
              <w:rPr>
                <w:rFonts w:cs="Arial"/>
                <w:spacing w:val="1"/>
                <w:lang w:eastAsia="fr-FR"/>
              </w:rPr>
              <w:t xml:space="preserve"> </w:t>
            </w:r>
            <w:r>
              <w:rPr>
                <w:rFonts w:cs="Arial"/>
                <w:spacing w:val="1"/>
                <w:lang w:eastAsia="fr-FR"/>
              </w:rPr>
              <w:t xml:space="preserve">and children more than </w:t>
            </w:r>
            <w:r w:rsidR="002C7556">
              <w:rPr>
                <w:rFonts w:cs="Arial"/>
                <w:spacing w:val="1"/>
                <w:lang w:eastAsia="fr-FR"/>
              </w:rPr>
              <w:t>6</w:t>
            </w:r>
            <w:r>
              <w:rPr>
                <w:rFonts w:cs="Arial"/>
                <w:spacing w:val="1"/>
                <w:lang w:eastAsia="fr-FR"/>
              </w:rPr>
              <w:t xml:space="preserve"> years, </w:t>
            </w:r>
            <w:r w:rsidRPr="00D66F4F">
              <w:rPr>
                <w:rFonts w:cs="Arial"/>
                <w:spacing w:val="1"/>
                <w:lang w:eastAsia="fr-FR"/>
              </w:rPr>
              <w:t xml:space="preserve">do not apply the </w:t>
            </w:r>
            <w:r w:rsidRPr="00297E5D">
              <w:rPr>
                <w:rFonts w:cs="Arial"/>
                <w:spacing w:val="1"/>
                <w:lang w:eastAsia="fr-FR"/>
              </w:rPr>
              <w:t>product on</w:t>
            </w:r>
            <w:r w:rsidRPr="00D66F4F">
              <w:rPr>
                <w:rFonts w:cs="Arial"/>
                <w:spacing w:val="1"/>
                <w:lang w:eastAsia="fr-FR"/>
              </w:rPr>
              <w:t xml:space="preserve"> skin under clothes</w:t>
            </w:r>
            <w:r>
              <w:rPr>
                <w:rFonts w:cs="Arial"/>
                <w:spacing w:val="1"/>
                <w:lang w:eastAsia="fr-FR"/>
              </w:rPr>
              <w:t>.</w:t>
            </w:r>
          </w:p>
          <w:p w14:paraId="4D233615" w14:textId="77777777" w:rsidR="006E50DF" w:rsidRPr="007E29F8" w:rsidRDefault="006E50DF" w:rsidP="006E50DF">
            <w:pPr>
              <w:spacing w:before="0" w:after="0"/>
              <w:contextualSpacing/>
              <w:jc w:val="both"/>
              <w:rPr>
                <w:rFonts w:cs="Arial"/>
                <w:bCs/>
                <w:color w:val="2E74B5" w:themeColor="accent1" w:themeShade="BF"/>
                <w:lang w:eastAsia="fr-FR"/>
              </w:rPr>
            </w:pPr>
          </w:p>
          <w:p w14:paraId="5ADEA748" w14:textId="79BCA86F" w:rsidR="006E50DF" w:rsidRDefault="006E50DF" w:rsidP="006E50DF">
            <w:pPr>
              <w:spacing w:before="0" w:after="0"/>
              <w:contextualSpacing/>
              <w:jc w:val="both"/>
              <w:rPr>
                <w:rFonts w:cs="Arial"/>
                <w:bCs/>
                <w:color w:val="2E74B5" w:themeColor="accent1" w:themeShade="BF"/>
                <w:lang w:eastAsia="fr-FR"/>
              </w:rPr>
            </w:pPr>
            <w:r w:rsidRPr="007E29F8">
              <w:rPr>
                <w:rFonts w:cs="Arial"/>
                <w:bCs/>
                <w:color w:val="2E74B5" w:themeColor="accent1" w:themeShade="BF"/>
                <w:lang w:eastAsia="fr-FR"/>
              </w:rPr>
              <w:t>In France only:</w:t>
            </w:r>
          </w:p>
          <w:p w14:paraId="55969BD7" w14:textId="01A4DD2F" w:rsidR="00B224B2" w:rsidRPr="009923EC" w:rsidRDefault="00B224B2" w:rsidP="009923EC">
            <w:pPr>
              <w:pStyle w:val="Paragraphedeliste"/>
              <w:widowControl w:val="0"/>
              <w:numPr>
                <w:ilvl w:val="0"/>
                <w:numId w:val="31"/>
              </w:numPr>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Do not apply on clothes of children younger than 1 year.</w:t>
            </w:r>
          </w:p>
          <w:p w14:paraId="6A0DF12A" w14:textId="4DC2A335" w:rsidR="006E50DF" w:rsidRPr="009923EC" w:rsidRDefault="00C11F5D" w:rsidP="009923EC">
            <w:pPr>
              <w:pStyle w:val="Paragraphedeliste"/>
              <w:widowControl w:val="0"/>
              <w:numPr>
                <w:ilvl w:val="0"/>
                <w:numId w:val="31"/>
              </w:numPr>
              <w:autoSpaceDE w:val="0"/>
              <w:snapToGrid w:val="0"/>
              <w:spacing w:before="80" w:after="0" w:line="260" w:lineRule="atLeast"/>
              <w:jc w:val="both"/>
              <w:rPr>
                <w:rFonts w:cs="Arial"/>
                <w:bCs/>
                <w:color w:val="2E74B5" w:themeColor="accent1" w:themeShade="BF"/>
                <w:lang w:val="en-US" w:eastAsia="fr-FR"/>
              </w:rPr>
            </w:pPr>
            <w:r>
              <w:rPr>
                <w:rFonts w:cs="Arial"/>
                <w:bCs/>
                <w:color w:val="2E74B5" w:themeColor="accent1" w:themeShade="BF"/>
                <w:lang w:eastAsia="fr-FR"/>
              </w:rPr>
              <w:t>D</w:t>
            </w:r>
            <w:r w:rsidR="006E50DF" w:rsidRPr="009923EC">
              <w:rPr>
                <w:rFonts w:cs="Arial"/>
                <w:bCs/>
                <w:color w:val="2E74B5" w:themeColor="accent1" w:themeShade="BF"/>
                <w:lang w:eastAsia="fr-FR"/>
              </w:rPr>
              <w:t>o not apply the product simultaneously on the skin of children younger than 6 years and on their clothes.</w:t>
            </w:r>
          </w:p>
          <w:p w14:paraId="751E97F5" w14:textId="428E62BB" w:rsidR="009923EC" w:rsidRPr="009923EC" w:rsidRDefault="009923EC" w:rsidP="0010045B">
            <w:pPr>
              <w:pStyle w:val="Paragraphedeliste"/>
              <w:widowControl w:val="0"/>
              <w:numPr>
                <w:ilvl w:val="0"/>
                <w:numId w:val="31"/>
              </w:numPr>
              <w:autoSpaceDE w:val="0"/>
              <w:snapToGrid w:val="0"/>
              <w:spacing w:before="80" w:after="0" w:line="260" w:lineRule="atLeast"/>
              <w:jc w:val="both"/>
            </w:pPr>
            <w:r w:rsidRPr="0010045B">
              <w:rPr>
                <w:rFonts w:cs="Arial"/>
                <w:bCs/>
                <w:color w:val="2E74B5" w:themeColor="accent1" w:themeShade="BF"/>
                <w:lang w:eastAsia="fr-FR"/>
              </w:rPr>
              <w:t>For adult and children more than 6 years, do not apply the product on skin under clothes.</w:t>
            </w:r>
          </w:p>
        </w:tc>
      </w:tr>
    </w:tbl>
    <w:p w14:paraId="0CEB39C0" w14:textId="77777777" w:rsidR="007F63F1" w:rsidRDefault="007F63F1" w:rsidP="007F63F1">
      <w:pPr>
        <w:pStyle w:val="Titre5"/>
        <w:numPr>
          <w:ilvl w:val="4"/>
          <w:numId w:val="30"/>
        </w:numPr>
        <w:suppressAutoHyphens/>
        <w:spacing w:before="255" w:after="80" w:line="255" w:lineRule="exact"/>
        <w:rPr>
          <w:rFonts w:cs="Times"/>
          <w:bCs/>
          <w:szCs w:val="29"/>
        </w:rPr>
      </w:pPr>
      <w:bookmarkStart w:id="87" w:name="_Toc93326510"/>
      <w:r>
        <w:t>Where specific to the use, the particulars of likely direct or indirect effects, first aid instructions and emergency measures to protect the environment</w:t>
      </w:r>
      <w:bookmarkEnd w:id="8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77D2825E"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37133B30" w14:textId="16A010DA" w:rsidR="007F63F1" w:rsidRDefault="007F63F1" w:rsidP="00CE67B2">
            <w:pPr>
              <w:widowControl w:val="0"/>
              <w:autoSpaceDE w:val="0"/>
              <w:snapToGrid w:val="0"/>
              <w:spacing w:before="80" w:line="254" w:lineRule="auto"/>
              <w:rPr>
                <w:rFonts w:cs="Times"/>
                <w:bCs/>
                <w:szCs w:val="29"/>
              </w:rPr>
            </w:pPr>
          </w:p>
        </w:tc>
      </w:tr>
    </w:tbl>
    <w:p w14:paraId="61E0397F" w14:textId="77777777" w:rsidR="007F63F1" w:rsidRDefault="007F63F1" w:rsidP="007F63F1">
      <w:pPr>
        <w:pStyle w:val="Titre5"/>
        <w:numPr>
          <w:ilvl w:val="4"/>
          <w:numId w:val="30"/>
        </w:numPr>
        <w:suppressAutoHyphens/>
        <w:spacing w:before="255" w:after="80" w:line="255" w:lineRule="exact"/>
        <w:rPr>
          <w:rFonts w:cs="Times"/>
          <w:bCs/>
          <w:szCs w:val="29"/>
        </w:rPr>
      </w:pPr>
      <w:bookmarkStart w:id="88" w:name="_Toc93326511"/>
      <w:r>
        <w:t>Where specific to the use, the instructions for safe disposal of the product and its packaging</w:t>
      </w:r>
      <w:bookmarkEnd w:id="88"/>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1D8DACA1"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720AA5F5" w14:textId="77777777" w:rsidR="007F63F1" w:rsidRDefault="007F63F1" w:rsidP="007F63F1">
            <w:pPr>
              <w:widowControl w:val="0"/>
              <w:autoSpaceDE w:val="0"/>
              <w:snapToGrid w:val="0"/>
              <w:spacing w:before="80" w:line="254" w:lineRule="auto"/>
              <w:rPr>
                <w:rFonts w:cs="Times"/>
                <w:bCs/>
                <w:szCs w:val="29"/>
              </w:rPr>
            </w:pPr>
          </w:p>
        </w:tc>
      </w:tr>
    </w:tbl>
    <w:p w14:paraId="5F246372" w14:textId="77777777" w:rsidR="007F63F1" w:rsidRDefault="007F63F1" w:rsidP="007F63F1">
      <w:pPr>
        <w:pStyle w:val="Titre5"/>
        <w:numPr>
          <w:ilvl w:val="4"/>
          <w:numId w:val="30"/>
        </w:numPr>
        <w:suppressAutoHyphens/>
        <w:spacing w:before="255" w:after="80" w:line="255" w:lineRule="exact"/>
        <w:rPr>
          <w:rFonts w:cs="Times"/>
          <w:bCs/>
          <w:szCs w:val="29"/>
        </w:rPr>
      </w:pPr>
      <w:bookmarkStart w:id="89" w:name="_Toc93326512"/>
      <w:r>
        <w:t>Where specific to the use, the conditions of storage and shelf-life of the product under normal conditions of storage</w:t>
      </w:r>
      <w:bookmarkEnd w:id="8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542D3C61"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1207E6C8" w14:textId="77777777" w:rsidR="007F63F1" w:rsidRDefault="007F63F1" w:rsidP="007F63F1">
            <w:pPr>
              <w:widowControl w:val="0"/>
              <w:autoSpaceDE w:val="0"/>
              <w:snapToGrid w:val="0"/>
              <w:spacing w:before="80" w:line="254" w:lineRule="auto"/>
              <w:rPr>
                <w:rFonts w:cs="Times"/>
                <w:bCs/>
                <w:szCs w:val="29"/>
              </w:rPr>
            </w:pPr>
          </w:p>
        </w:tc>
      </w:tr>
    </w:tbl>
    <w:p w14:paraId="66723824" w14:textId="77777777" w:rsidR="007F63F1" w:rsidRDefault="007F63F1" w:rsidP="007F63F1">
      <w:pPr>
        <w:widowControl w:val="0"/>
        <w:autoSpaceDE w:val="0"/>
        <w:rPr>
          <w:rFonts w:cs="Times"/>
          <w:bCs/>
          <w:szCs w:val="29"/>
        </w:rPr>
      </w:pPr>
    </w:p>
    <w:p w14:paraId="46E0B44A" w14:textId="77777777" w:rsidR="007F63F1" w:rsidRDefault="007F63F1" w:rsidP="007F63F1">
      <w:pPr>
        <w:pStyle w:val="Titre4"/>
        <w:numPr>
          <w:ilvl w:val="3"/>
          <w:numId w:val="30"/>
        </w:numPr>
        <w:suppressAutoHyphens/>
      </w:pPr>
      <w:bookmarkStart w:id="90" w:name="_Toc93326513"/>
      <w:r>
        <w:t>Use description</w:t>
      </w:r>
      <w:bookmarkEnd w:id="90"/>
    </w:p>
    <w:p w14:paraId="35715459" w14:textId="77777777" w:rsidR="007F63F1" w:rsidRDefault="007F63F1" w:rsidP="007F63F1">
      <w:pPr>
        <w:widowControl w:val="0"/>
        <w:autoSpaceDE w:val="0"/>
        <w:rPr>
          <w:rFonts w:cs="Times"/>
          <w:bCs/>
          <w:szCs w:val="29"/>
        </w:rPr>
      </w:pPr>
    </w:p>
    <w:p w14:paraId="57BDAF86" w14:textId="1F31CBB9" w:rsidR="007F63F1" w:rsidRDefault="007F63F1" w:rsidP="007F63F1">
      <w:pPr>
        <w:pStyle w:val="Lgende"/>
        <w:spacing w:after="120"/>
        <w:rPr>
          <w:rFonts w:ascii="Verdana" w:hAnsi="Verdana"/>
          <w:b/>
          <w:bCs/>
          <w:szCs w:val="24"/>
          <w:lang w:eastAsia="en-GB"/>
        </w:rPr>
      </w:pPr>
      <w:r>
        <w:rPr>
          <w:rFonts w:ascii="Verdana" w:hAnsi="Verdana" w:cs="Verdana"/>
        </w:rPr>
        <w:t xml:space="preserve">Table </w:t>
      </w:r>
      <w:r w:rsidR="00195542">
        <w:rPr>
          <w:rFonts w:ascii="Verdana" w:hAnsi="Verdana" w:cs="Verdana"/>
        </w:rPr>
        <w:t>5</w:t>
      </w:r>
      <w:r>
        <w:rPr>
          <w:rFonts w:ascii="Verdana" w:hAnsi="Verdana"/>
        </w:rPr>
        <w:t xml:space="preserve">. Use # </w:t>
      </w:r>
      <w:r w:rsidR="00195542">
        <w:rPr>
          <w:rFonts w:ascii="Verdana" w:hAnsi="Verdana"/>
        </w:rPr>
        <w:t xml:space="preserve">5 </w:t>
      </w:r>
      <w:r>
        <w:rPr>
          <w:rFonts w:ascii="Verdana" w:hAnsi="Verdana"/>
        </w:rPr>
        <w:t xml:space="preserve">– </w:t>
      </w:r>
      <w:r w:rsidR="00D8630D" w:rsidRPr="00043748">
        <w:rPr>
          <w:rFonts w:ascii="Verdana" w:hAnsi="Verdana"/>
        </w:rPr>
        <w:t>Spray for skin application to repel ticks</w:t>
      </w:r>
      <w:r w:rsidR="00D8630D" w:rsidDel="008722FD">
        <w:rPr>
          <w:rFonts w:ascii="Verdana" w:hAnsi="Verdana"/>
        </w:rPr>
        <w:t xml:space="preserve"> </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F63F1" w14:paraId="056CB3E4" w14:textId="77777777" w:rsidTr="007F63F1">
        <w:tc>
          <w:tcPr>
            <w:tcW w:w="2707" w:type="dxa"/>
            <w:tcBorders>
              <w:top w:val="single" w:sz="4" w:space="0" w:color="000000"/>
              <w:left w:val="single" w:sz="4" w:space="0" w:color="000000"/>
              <w:bottom w:val="single" w:sz="4" w:space="0" w:color="000000"/>
              <w:right w:val="nil"/>
            </w:tcBorders>
            <w:hideMark/>
          </w:tcPr>
          <w:p w14:paraId="230395AD" w14:textId="77777777" w:rsidR="007F63F1" w:rsidRDefault="007F63F1" w:rsidP="007F63F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B91DA33" w14:textId="01E66798" w:rsidR="007F63F1" w:rsidRDefault="003A0654" w:rsidP="007F63F1">
            <w:pPr>
              <w:snapToGrid w:val="0"/>
              <w:spacing w:line="254" w:lineRule="auto"/>
              <w:rPr>
                <w:b/>
              </w:rPr>
            </w:pPr>
            <w:r w:rsidRPr="00EE5D77">
              <w:t>PT19 - Repellents and attractants (Pest control)</w:t>
            </w:r>
          </w:p>
        </w:tc>
      </w:tr>
      <w:tr w:rsidR="007F63F1" w:rsidRPr="008766C7" w14:paraId="3B92D6F7" w14:textId="77777777" w:rsidTr="007F63F1">
        <w:tc>
          <w:tcPr>
            <w:tcW w:w="2707" w:type="dxa"/>
            <w:tcBorders>
              <w:top w:val="nil"/>
              <w:left w:val="single" w:sz="4" w:space="0" w:color="000000"/>
              <w:bottom w:val="single" w:sz="4" w:space="0" w:color="000000"/>
              <w:right w:val="nil"/>
            </w:tcBorders>
            <w:hideMark/>
          </w:tcPr>
          <w:p w14:paraId="363DF1BE" w14:textId="77777777" w:rsidR="007F63F1" w:rsidRDefault="007F63F1" w:rsidP="007F63F1">
            <w:pPr>
              <w:spacing w:line="254" w:lineRule="auto"/>
              <w:rPr>
                <w:b/>
              </w:rPr>
            </w:pPr>
            <w:r>
              <w:rPr>
                <w:b/>
                <w:bCs/>
                <w:szCs w:val="24"/>
                <w:lang w:eastAsia="en-GB"/>
              </w:rPr>
              <w:lastRenderedPageBreak/>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016FDD8B" w14:textId="77777777" w:rsidR="007F63F1" w:rsidRDefault="007F63F1" w:rsidP="007F63F1">
            <w:pPr>
              <w:snapToGrid w:val="0"/>
              <w:spacing w:line="254" w:lineRule="auto"/>
              <w:rPr>
                <w:b/>
              </w:rPr>
            </w:pPr>
          </w:p>
        </w:tc>
      </w:tr>
      <w:tr w:rsidR="007F63F1" w:rsidRPr="008766C7" w14:paraId="2619B4E6" w14:textId="77777777" w:rsidTr="007F63F1">
        <w:tc>
          <w:tcPr>
            <w:tcW w:w="2707" w:type="dxa"/>
            <w:tcBorders>
              <w:top w:val="nil"/>
              <w:left w:val="single" w:sz="4" w:space="0" w:color="000000"/>
              <w:bottom w:val="single" w:sz="4" w:space="0" w:color="000000"/>
              <w:right w:val="nil"/>
            </w:tcBorders>
            <w:hideMark/>
          </w:tcPr>
          <w:p w14:paraId="0B4DA7CA" w14:textId="77777777" w:rsidR="007F63F1" w:rsidRDefault="007F63F1" w:rsidP="007F63F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1AF802F" w14:textId="77777777" w:rsidR="003A0654" w:rsidRDefault="003A0654" w:rsidP="003A0654">
            <w:pPr>
              <w:snapToGrid w:val="0"/>
              <w:spacing w:line="254" w:lineRule="auto"/>
            </w:pPr>
            <w:r>
              <w:t xml:space="preserve">Hard ticks </w:t>
            </w:r>
          </w:p>
          <w:p w14:paraId="04D56B36" w14:textId="77777777" w:rsidR="003A0654" w:rsidRPr="00D67729" w:rsidRDefault="003A0654" w:rsidP="003A0654">
            <w:pPr>
              <w:snapToGrid w:val="0"/>
              <w:spacing w:line="254" w:lineRule="auto"/>
              <w:rPr>
                <w:i/>
              </w:rPr>
            </w:pPr>
            <w:r>
              <w:rPr>
                <w:i/>
              </w:rPr>
              <w:t>Ixodes ricinus</w:t>
            </w:r>
          </w:p>
          <w:p w14:paraId="3D2A9818" w14:textId="0A7EABD2" w:rsidR="007F63F1" w:rsidRDefault="003A0654" w:rsidP="003A0654">
            <w:pPr>
              <w:snapToGrid w:val="0"/>
              <w:spacing w:line="254" w:lineRule="auto"/>
            </w:pPr>
            <w:r>
              <w:t>Development stage: adults and nymphs</w:t>
            </w:r>
          </w:p>
        </w:tc>
      </w:tr>
      <w:tr w:rsidR="007F63F1" w14:paraId="30ED8460" w14:textId="77777777" w:rsidTr="007F63F1">
        <w:tc>
          <w:tcPr>
            <w:tcW w:w="2707" w:type="dxa"/>
            <w:tcBorders>
              <w:top w:val="nil"/>
              <w:left w:val="single" w:sz="4" w:space="0" w:color="000000"/>
              <w:bottom w:val="single" w:sz="4" w:space="0" w:color="000000"/>
              <w:right w:val="nil"/>
            </w:tcBorders>
            <w:hideMark/>
          </w:tcPr>
          <w:p w14:paraId="433DAFC6" w14:textId="77777777" w:rsidR="007F63F1" w:rsidRDefault="007F63F1" w:rsidP="007F63F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308D1F10" w14:textId="2B8A7238" w:rsidR="007F63F1" w:rsidRDefault="00D91785" w:rsidP="003A0654">
            <w:pPr>
              <w:snapToGrid w:val="0"/>
              <w:spacing w:line="260" w:lineRule="atLeast"/>
              <w:jc w:val="both"/>
            </w:pPr>
            <w:r>
              <w:t>S</w:t>
            </w:r>
            <w:r w:rsidR="00EC6BBF">
              <w:t>kin application</w:t>
            </w:r>
          </w:p>
        </w:tc>
      </w:tr>
      <w:tr w:rsidR="007F63F1" w14:paraId="28637587" w14:textId="77777777" w:rsidTr="007F63F1">
        <w:tc>
          <w:tcPr>
            <w:tcW w:w="2707" w:type="dxa"/>
            <w:tcBorders>
              <w:top w:val="nil"/>
              <w:left w:val="single" w:sz="4" w:space="0" w:color="000000"/>
              <w:bottom w:val="single" w:sz="4" w:space="0" w:color="000000"/>
              <w:right w:val="nil"/>
            </w:tcBorders>
            <w:hideMark/>
          </w:tcPr>
          <w:p w14:paraId="22FC2F5E" w14:textId="77777777" w:rsidR="007F63F1" w:rsidRDefault="007F63F1" w:rsidP="007F63F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3DD78224" w14:textId="77777777" w:rsidR="003A0654" w:rsidRPr="00EE5D77" w:rsidRDefault="003A0654" w:rsidP="003A0654">
            <w:r w:rsidRPr="00EE5D77">
              <w:t>Spraying</w:t>
            </w:r>
          </w:p>
          <w:p w14:paraId="3FB1F07B" w14:textId="5D832123" w:rsidR="007F63F1" w:rsidRDefault="003A0654" w:rsidP="003A0654">
            <w:pPr>
              <w:snapToGrid w:val="0"/>
              <w:spacing w:line="260" w:lineRule="atLeast"/>
            </w:pPr>
            <w:r w:rsidRPr="00EE5D77">
              <w:rPr>
                <w:color w:val="000000"/>
              </w:rPr>
              <w:t>Spray for skin application to repel ticks</w:t>
            </w:r>
          </w:p>
        </w:tc>
      </w:tr>
      <w:tr w:rsidR="007F63F1" w:rsidRPr="008766C7" w14:paraId="70CCBE1B" w14:textId="77777777" w:rsidTr="007F63F1">
        <w:tc>
          <w:tcPr>
            <w:tcW w:w="2707" w:type="dxa"/>
            <w:tcBorders>
              <w:top w:val="nil"/>
              <w:left w:val="single" w:sz="4" w:space="0" w:color="000000"/>
              <w:bottom w:val="single" w:sz="4" w:space="0" w:color="000000"/>
              <w:right w:val="nil"/>
            </w:tcBorders>
            <w:hideMark/>
          </w:tcPr>
          <w:p w14:paraId="0AA08387" w14:textId="77777777" w:rsidR="007F63F1" w:rsidRDefault="007F63F1" w:rsidP="007F63F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4952BAB3" w14:textId="70EF3929" w:rsidR="003A0654" w:rsidRDefault="002519FD" w:rsidP="003A0654">
            <w:pPr>
              <w:rPr>
                <w:color w:val="000000"/>
              </w:rPr>
            </w:pPr>
            <w:r>
              <w:t>0,</w:t>
            </w:r>
            <w:r w:rsidR="003A0654" w:rsidRPr="00EE5D77">
              <w:t xml:space="preserve">6 </w:t>
            </w:r>
            <w:r w:rsidR="005240CE">
              <w:t>m</w:t>
            </w:r>
            <w:r w:rsidR="003A0654" w:rsidRPr="00EE5D77">
              <w:t xml:space="preserve">g of product per </w:t>
            </w:r>
            <w:r>
              <w:t>c</w:t>
            </w:r>
            <w:r w:rsidR="003A0654" w:rsidRPr="00EE5D77">
              <w:t xml:space="preserve">m² </w:t>
            </w:r>
            <w:r w:rsidR="003A0654">
              <w:t xml:space="preserve">of skin </w:t>
            </w:r>
          </w:p>
          <w:p w14:paraId="4AE29075" w14:textId="445F6BD0" w:rsidR="007F63F1" w:rsidRPr="003A0654" w:rsidRDefault="003A0654" w:rsidP="003A0654">
            <w:pPr>
              <w:rPr>
                <w:color w:val="000000"/>
              </w:rPr>
            </w:pPr>
            <w:r>
              <w:rPr>
                <w:color w:val="000000"/>
              </w:rPr>
              <w:t>Protection time: 4 hours in temperate conditions</w:t>
            </w:r>
          </w:p>
        </w:tc>
      </w:tr>
      <w:tr w:rsidR="007F63F1" w14:paraId="19D9871A" w14:textId="77777777" w:rsidTr="007F63F1">
        <w:tc>
          <w:tcPr>
            <w:tcW w:w="2707" w:type="dxa"/>
            <w:tcBorders>
              <w:top w:val="nil"/>
              <w:left w:val="single" w:sz="4" w:space="0" w:color="000000"/>
              <w:bottom w:val="single" w:sz="4" w:space="0" w:color="000000"/>
              <w:right w:val="nil"/>
            </w:tcBorders>
            <w:hideMark/>
          </w:tcPr>
          <w:p w14:paraId="79A5F755" w14:textId="77777777" w:rsidR="007F63F1" w:rsidRDefault="007F63F1" w:rsidP="007F63F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6F0E7CE0" w14:textId="20CD928E" w:rsidR="007F63F1" w:rsidRDefault="003A0654" w:rsidP="007F63F1">
            <w:pPr>
              <w:snapToGrid w:val="0"/>
              <w:spacing w:line="254" w:lineRule="auto"/>
              <w:rPr>
                <w:b/>
              </w:rPr>
            </w:pPr>
            <w:r w:rsidRPr="00EE5D77">
              <w:t>General public (non-professional)</w:t>
            </w:r>
          </w:p>
        </w:tc>
      </w:tr>
      <w:tr w:rsidR="007F63F1" w:rsidRPr="008766C7" w14:paraId="3C5D5C8D" w14:textId="77777777" w:rsidTr="007F63F1">
        <w:tc>
          <w:tcPr>
            <w:tcW w:w="2707" w:type="dxa"/>
            <w:tcBorders>
              <w:top w:val="nil"/>
              <w:left w:val="single" w:sz="4" w:space="0" w:color="000000"/>
              <w:bottom w:val="single" w:sz="4" w:space="0" w:color="000000"/>
              <w:right w:val="nil"/>
            </w:tcBorders>
            <w:hideMark/>
          </w:tcPr>
          <w:p w14:paraId="4920AF4F" w14:textId="77777777" w:rsidR="007F63F1" w:rsidRDefault="007F63F1" w:rsidP="007F63F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05F252C1" w14:textId="395658B2" w:rsidR="007F63F1" w:rsidRDefault="00FB1AED" w:rsidP="007F63F1">
            <w:pPr>
              <w:spacing w:line="254" w:lineRule="auto"/>
            </w:pPr>
            <w:r>
              <w:t>100-250mL HDPE bottle (with sprayer)</w:t>
            </w:r>
          </w:p>
        </w:tc>
      </w:tr>
    </w:tbl>
    <w:p w14:paraId="64B46E07" w14:textId="77777777" w:rsidR="007F63F1" w:rsidRDefault="007F63F1" w:rsidP="007F63F1">
      <w:pPr>
        <w:tabs>
          <w:tab w:val="left" w:pos="500"/>
        </w:tabs>
        <w:ind w:left="500" w:hanging="500"/>
      </w:pPr>
    </w:p>
    <w:p w14:paraId="78EDF674" w14:textId="77777777" w:rsidR="007F63F1" w:rsidRDefault="007F63F1" w:rsidP="007F63F1">
      <w:pPr>
        <w:pStyle w:val="Titre5"/>
        <w:numPr>
          <w:ilvl w:val="4"/>
          <w:numId w:val="30"/>
        </w:numPr>
        <w:suppressAutoHyphens/>
        <w:spacing w:before="255" w:after="80" w:line="255" w:lineRule="exact"/>
        <w:rPr>
          <w:rFonts w:cs="Times"/>
          <w:bCs/>
          <w:szCs w:val="29"/>
        </w:rPr>
      </w:pPr>
      <w:bookmarkStart w:id="91" w:name="_Toc93326514"/>
      <w:r>
        <w:t>Use-specific instructions for use</w:t>
      </w:r>
      <w:bookmarkEnd w:id="9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14:paraId="2320E1EC"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2217B590" w14:textId="77777777" w:rsidR="006E50DF" w:rsidRPr="00043748" w:rsidRDefault="006E50DF" w:rsidP="006E50DF">
            <w:pPr>
              <w:numPr>
                <w:ilvl w:val="0"/>
                <w:numId w:val="31"/>
              </w:numPr>
              <w:spacing w:before="0" w:after="0"/>
              <w:contextualSpacing/>
              <w:jc w:val="both"/>
              <w:rPr>
                <w:rFonts w:cs="Arial"/>
                <w:bCs/>
                <w:color w:val="000000"/>
                <w:lang w:eastAsia="fr-FR"/>
              </w:rPr>
            </w:pPr>
            <w:r w:rsidRPr="00043748">
              <w:rPr>
                <w:lang w:eastAsia="en-US"/>
              </w:rPr>
              <w:t>Wash hands thoroughly after handling</w:t>
            </w:r>
            <w:r w:rsidRPr="00043748">
              <w:rPr>
                <w:rFonts w:cs="Arial"/>
                <w:bCs/>
                <w:color w:val="000000"/>
                <w:lang w:eastAsia="fr-FR"/>
              </w:rPr>
              <w:t xml:space="preserve"> </w:t>
            </w:r>
          </w:p>
          <w:p w14:paraId="029D081E" w14:textId="77777777" w:rsidR="006E50DF" w:rsidRPr="00043748" w:rsidRDefault="006E50DF" w:rsidP="006E50DF">
            <w:pPr>
              <w:numPr>
                <w:ilvl w:val="0"/>
                <w:numId w:val="31"/>
              </w:numPr>
              <w:spacing w:before="0" w:after="0"/>
              <w:contextualSpacing/>
              <w:jc w:val="both"/>
              <w:rPr>
                <w:rFonts w:cs="Arial"/>
                <w:bCs/>
                <w:color w:val="000000"/>
                <w:lang w:eastAsia="fr-FR"/>
              </w:rPr>
            </w:pPr>
            <w:r w:rsidRPr="00043748">
              <w:rPr>
                <w:rFonts w:cs="Arial"/>
                <w:bCs/>
                <w:color w:val="000000"/>
                <w:lang w:eastAsia="fr-FR"/>
              </w:rPr>
              <w:t>Do not apply the product on the hands of child</w:t>
            </w:r>
          </w:p>
          <w:p w14:paraId="5D4D2038" w14:textId="2C5233CA" w:rsidR="006E50DF" w:rsidRPr="007E29F8" w:rsidRDefault="003E0243" w:rsidP="006E50DF">
            <w:pPr>
              <w:widowControl w:val="0"/>
              <w:numPr>
                <w:ilvl w:val="0"/>
                <w:numId w:val="31"/>
              </w:numPr>
              <w:autoSpaceDE w:val="0"/>
              <w:autoSpaceDN w:val="0"/>
              <w:adjustRightInd w:val="0"/>
              <w:spacing w:before="0" w:after="0"/>
            </w:pPr>
            <w:r w:rsidRPr="00BF33EC">
              <w:t>In case of a concomitant us</w:t>
            </w:r>
            <w:r>
              <w:t>e of the product with sunscreen</w:t>
            </w:r>
            <w:r w:rsidR="006E50DF" w:rsidRPr="007E29F8">
              <w:t>, first apply the sunscreen and wait 20 minutes before the application of the product.</w:t>
            </w:r>
          </w:p>
          <w:p w14:paraId="72D9DC76" w14:textId="77777777" w:rsidR="006E50DF" w:rsidRPr="006E50DF" w:rsidRDefault="006E50DF" w:rsidP="006E50DF">
            <w:pPr>
              <w:pStyle w:val="Paragraphedeliste"/>
              <w:numPr>
                <w:ilvl w:val="0"/>
                <w:numId w:val="31"/>
              </w:numPr>
              <w:spacing w:before="0" w:after="0" w:line="260" w:lineRule="atLeast"/>
              <w:rPr>
                <w:color w:val="000000" w:themeColor="text1"/>
              </w:rPr>
            </w:pPr>
            <w:r w:rsidRPr="007E29F8">
              <w:t xml:space="preserve">Retreat after water </w:t>
            </w:r>
            <w:r w:rsidRPr="006E50DF">
              <w:rPr>
                <w:color w:val="000000" w:themeColor="text1"/>
              </w:rPr>
              <w:t>exposure without exceeding the maximal recommended application number.</w:t>
            </w:r>
          </w:p>
          <w:p w14:paraId="23F51390" w14:textId="77777777" w:rsidR="00794E3D" w:rsidRDefault="00794E3D" w:rsidP="006E50DF">
            <w:pPr>
              <w:widowControl w:val="0"/>
              <w:autoSpaceDE w:val="0"/>
              <w:snapToGrid w:val="0"/>
              <w:spacing w:before="80" w:after="0" w:line="260" w:lineRule="atLeast"/>
              <w:contextualSpacing/>
              <w:jc w:val="both"/>
              <w:rPr>
                <w:rFonts w:cs="Arial"/>
                <w:bCs/>
                <w:lang w:eastAsia="fr-FR"/>
              </w:rPr>
            </w:pPr>
          </w:p>
          <w:p w14:paraId="645FAFDF" w14:textId="029B8976" w:rsidR="006E50DF" w:rsidRPr="009215DE" w:rsidRDefault="00794E3D" w:rsidP="006E50DF">
            <w:pPr>
              <w:widowControl w:val="0"/>
              <w:autoSpaceDE w:val="0"/>
              <w:snapToGrid w:val="0"/>
              <w:spacing w:before="80" w:after="0" w:line="260" w:lineRule="atLeast"/>
              <w:contextualSpacing/>
              <w:jc w:val="both"/>
              <w:rPr>
                <w:rFonts w:cs="Arial"/>
                <w:bCs/>
                <w:lang w:eastAsia="fr-FR"/>
              </w:rPr>
            </w:pPr>
            <w:r w:rsidRPr="0010045B">
              <w:rPr>
                <w:rFonts w:cs="Arial"/>
                <w:bCs/>
                <w:lang w:eastAsia="fr-FR"/>
              </w:rPr>
              <w:t>EU only:</w:t>
            </w:r>
          </w:p>
          <w:p w14:paraId="5730FE9B" w14:textId="456B50BB" w:rsidR="00794E3D" w:rsidRPr="005363E6" w:rsidRDefault="00794E3D" w:rsidP="00794E3D">
            <w:pPr>
              <w:widowControl w:val="0"/>
              <w:autoSpaceDE w:val="0"/>
              <w:snapToGrid w:val="0"/>
              <w:spacing w:before="0" w:after="0" w:line="260" w:lineRule="atLeast"/>
              <w:jc w:val="both"/>
              <w:rPr>
                <w:rFonts w:cs="Arial"/>
                <w:b/>
                <w:bCs/>
                <w:lang w:eastAsia="fr-FR"/>
              </w:rPr>
            </w:pPr>
            <w:r w:rsidRPr="005363E6">
              <w:rPr>
                <w:rFonts w:cs="Arial"/>
                <w:b/>
                <w:bCs/>
                <w:lang w:eastAsia="fr-FR"/>
              </w:rPr>
              <w:t>Number of sprays (100ml</w:t>
            </w:r>
            <w:r w:rsidR="00727E86">
              <w:rPr>
                <w:rFonts w:cs="Arial"/>
                <w:b/>
                <w:bCs/>
                <w:lang w:eastAsia="fr-FR"/>
              </w:rPr>
              <w:t>– 100 µL per spray</w:t>
            </w:r>
            <w:r w:rsidRPr="005363E6">
              <w:rPr>
                <w:rFonts w:cs="Arial"/>
                <w:b/>
                <w:bCs/>
                <w:lang w:eastAsia="fr-FR"/>
              </w:rPr>
              <w:t>):</w:t>
            </w:r>
          </w:p>
          <w:p w14:paraId="0DA4538F" w14:textId="77777777" w:rsidR="00794E3D" w:rsidRPr="005363E6" w:rsidRDefault="00794E3D" w:rsidP="00794E3D">
            <w:pPr>
              <w:widowControl w:val="0"/>
              <w:autoSpaceDE w:val="0"/>
              <w:snapToGrid w:val="0"/>
              <w:spacing w:before="0" w:after="0" w:line="260" w:lineRule="atLeast"/>
              <w:jc w:val="both"/>
              <w:rPr>
                <w:rFonts w:cs="Arial"/>
                <w:bCs/>
                <w:lang w:eastAsia="fr-FR"/>
              </w:rPr>
            </w:pPr>
            <w:r w:rsidRPr="005363E6">
              <w:rPr>
                <w:rFonts w:cs="Arial"/>
                <w:bCs/>
                <w:lang w:eastAsia="fr-FR"/>
              </w:rPr>
              <w:t>- Adult and children</w:t>
            </w:r>
            <w:r>
              <w:rPr>
                <w:rFonts w:cs="Arial"/>
                <w:bCs/>
                <w:lang w:eastAsia="fr-FR"/>
              </w:rPr>
              <w:t xml:space="preserve"> &gt;</w:t>
            </w:r>
            <w:r w:rsidRPr="005363E6">
              <w:rPr>
                <w:rFonts w:cs="Arial"/>
                <w:bCs/>
                <w:lang w:eastAsia="fr-FR"/>
              </w:rPr>
              <w:t>12 years</w:t>
            </w:r>
            <w:r>
              <w:rPr>
                <w:rFonts w:cs="Arial"/>
                <w:bCs/>
                <w:lang w:eastAsia="fr-FR"/>
              </w:rPr>
              <w:t xml:space="preserve"> old</w:t>
            </w:r>
            <w:r w:rsidRPr="005363E6">
              <w:rPr>
                <w:rFonts w:cs="Arial"/>
                <w:bCs/>
                <w:lang w:eastAsia="fr-FR"/>
              </w:rPr>
              <w:t xml:space="preserve">: apply 7 sprays to the head, </w:t>
            </w:r>
            <w:r>
              <w:rPr>
                <w:rFonts w:cs="Arial"/>
                <w:bCs/>
                <w:lang w:eastAsia="fr-FR"/>
              </w:rPr>
              <w:t>1 spray on the neck, 6</w:t>
            </w:r>
            <w:r w:rsidRPr="005363E6">
              <w:rPr>
                <w:rFonts w:cs="Arial"/>
                <w:bCs/>
                <w:lang w:eastAsia="fr-FR"/>
              </w:rPr>
              <w:t xml:space="preserve"> sprays per arm, 2 spray</w:t>
            </w:r>
            <w:r>
              <w:rPr>
                <w:rFonts w:cs="Arial"/>
                <w:bCs/>
                <w:lang w:eastAsia="fr-FR"/>
              </w:rPr>
              <w:t>s</w:t>
            </w:r>
            <w:r w:rsidRPr="005363E6">
              <w:rPr>
                <w:rFonts w:cs="Arial"/>
                <w:bCs/>
                <w:lang w:eastAsia="fr-FR"/>
              </w:rPr>
              <w:t xml:space="preserve"> per hand</w:t>
            </w:r>
            <w:r>
              <w:rPr>
                <w:rFonts w:cs="Arial"/>
                <w:bCs/>
                <w:lang w:eastAsia="fr-FR"/>
              </w:rPr>
              <w:t>, 13 sprays per leg and</w:t>
            </w:r>
            <w:r w:rsidRPr="005363E6">
              <w:rPr>
                <w:rFonts w:cs="Arial"/>
                <w:bCs/>
                <w:lang w:eastAsia="fr-FR"/>
              </w:rPr>
              <w:t xml:space="preserve"> </w:t>
            </w:r>
            <w:r w:rsidRPr="00A90416">
              <w:rPr>
                <w:rFonts w:cs="Arial"/>
                <w:bCs/>
                <w:lang w:eastAsia="fr-FR"/>
              </w:rPr>
              <w:t>3 sprays per foot</w:t>
            </w:r>
            <w:r w:rsidRPr="005363E6">
              <w:rPr>
                <w:rFonts w:cs="Arial"/>
                <w:bCs/>
                <w:lang w:eastAsia="fr-FR"/>
              </w:rPr>
              <w:t xml:space="preserve">, once </w:t>
            </w:r>
            <w:r w:rsidRPr="00217F26">
              <w:rPr>
                <w:rFonts w:cs="Arial"/>
                <w:bCs/>
                <w:lang w:eastAsia="fr-FR"/>
              </w:rPr>
              <w:t>a day</w:t>
            </w:r>
            <w:r w:rsidRPr="005363E6">
              <w:rPr>
                <w:rFonts w:cs="Arial"/>
                <w:bCs/>
                <w:lang w:eastAsia="fr-FR"/>
              </w:rPr>
              <w:t>.</w:t>
            </w:r>
          </w:p>
          <w:p w14:paraId="74264C52" w14:textId="77777777" w:rsidR="00794E3D" w:rsidRPr="00266F9D" w:rsidRDefault="00794E3D" w:rsidP="00794E3D">
            <w:pPr>
              <w:widowControl w:val="0"/>
              <w:autoSpaceDE w:val="0"/>
              <w:snapToGrid w:val="0"/>
              <w:spacing w:before="0" w:after="0" w:line="260" w:lineRule="atLeast"/>
              <w:jc w:val="both"/>
              <w:rPr>
                <w:rFonts w:cs="Arial"/>
                <w:bCs/>
                <w:lang w:eastAsia="fr-FR"/>
              </w:rPr>
            </w:pPr>
            <w:r w:rsidRPr="005363E6">
              <w:rPr>
                <w:rFonts w:cs="Arial"/>
                <w:bCs/>
                <w:lang w:eastAsia="fr-FR"/>
              </w:rPr>
              <w:t>- Children from 6 to &lt;12 years</w:t>
            </w:r>
            <w:r>
              <w:rPr>
                <w:rFonts w:cs="Arial"/>
                <w:bCs/>
                <w:lang w:eastAsia="fr-FR"/>
              </w:rPr>
              <w:t xml:space="preserve"> old</w:t>
            </w:r>
            <w:r w:rsidRPr="005363E6">
              <w:rPr>
                <w:rFonts w:cs="Arial"/>
                <w:bCs/>
                <w:lang w:eastAsia="fr-FR"/>
              </w:rPr>
              <w:t xml:space="preserve">: </w:t>
            </w:r>
            <w:r w:rsidRPr="00217F26">
              <w:rPr>
                <w:rFonts w:cs="Arial"/>
                <w:bCs/>
                <w:lang w:eastAsia="fr-FR"/>
              </w:rPr>
              <w:t xml:space="preserve">apply </w:t>
            </w:r>
            <w:r w:rsidRPr="00F00A50">
              <w:rPr>
                <w:rFonts w:cs="Arial"/>
                <w:bCs/>
                <w:lang w:eastAsia="fr-FR"/>
              </w:rPr>
              <w:t>3</w:t>
            </w:r>
            <w:r w:rsidRPr="005363E6">
              <w:rPr>
                <w:rFonts w:cs="Arial"/>
                <w:bCs/>
                <w:lang w:eastAsia="fr-FR"/>
              </w:rPr>
              <w:t xml:space="preserve"> sprays to the head, 1 spray on the neck, 3 sprays per arm, </w:t>
            </w:r>
            <w:r w:rsidRPr="00266F9D">
              <w:rPr>
                <w:rFonts w:cs="Arial"/>
                <w:bCs/>
                <w:lang w:eastAsia="fr-FR"/>
              </w:rPr>
              <w:t>1 spray per hand, 7 sprays per leg and 1 spray per foot, once a day.</w:t>
            </w:r>
          </w:p>
          <w:p w14:paraId="7C4AC88B" w14:textId="77777777" w:rsidR="00794E3D" w:rsidRPr="005363E6" w:rsidRDefault="00794E3D" w:rsidP="00794E3D">
            <w:pPr>
              <w:widowControl w:val="0"/>
              <w:autoSpaceDE w:val="0"/>
              <w:snapToGrid w:val="0"/>
              <w:spacing w:before="0" w:after="0" w:line="260" w:lineRule="atLeast"/>
              <w:jc w:val="both"/>
              <w:rPr>
                <w:rFonts w:cs="Arial"/>
                <w:bCs/>
                <w:lang w:eastAsia="fr-FR"/>
              </w:rPr>
            </w:pPr>
            <w:r w:rsidRPr="00266F9D">
              <w:rPr>
                <w:rFonts w:cs="Arial"/>
                <w:bCs/>
                <w:lang w:eastAsia="fr-FR"/>
              </w:rPr>
              <w:t>- Children from 2 to &lt;6 years old: apply 3 sprays to the head, 1 spray on the neck, 2 sprays per arm, 1 spray per hand,</w:t>
            </w:r>
            <w:r w:rsidRPr="005363E6">
              <w:rPr>
                <w:rFonts w:cs="Arial"/>
                <w:bCs/>
                <w:lang w:eastAsia="fr-FR"/>
              </w:rPr>
              <w:t xml:space="preserve"> 4 sprays per leg and 1 spray per foot, once a day.</w:t>
            </w:r>
          </w:p>
          <w:p w14:paraId="5BFC65EB" w14:textId="77777777" w:rsidR="00794E3D" w:rsidRPr="005363E6" w:rsidRDefault="00794E3D" w:rsidP="00794E3D">
            <w:pPr>
              <w:widowControl w:val="0"/>
              <w:autoSpaceDE w:val="0"/>
              <w:snapToGrid w:val="0"/>
              <w:spacing w:before="0" w:after="0" w:line="260" w:lineRule="atLeast"/>
              <w:jc w:val="both"/>
              <w:rPr>
                <w:rFonts w:cs="Arial"/>
                <w:bCs/>
                <w:lang w:eastAsia="fr-FR"/>
              </w:rPr>
            </w:pPr>
            <w:r w:rsidRPr="005363E6">
              <w:rPr>
                <w:rFonts w:cs="Arial"/>
                <w:bCs/>
                <w:lang w:eastAsia="fr-FR"/>
              </w:rPr>
              <w:t>- Children 1 to &lt;2 years</w:t>
            </w:r>
            <w:r>
              <w:rPr>
                <w:rFonts w:cs="Arial"/>
                <w:bCs/>
                <w:lang w:eastAsia="fr-FR"/>
              </w:rPr>
              <w:t xml:space="preserve"> old</w:t>
            </w:r>
            <w:r w:rsidRPr="005363E6">
              <w:rPr>
                <w:rFonts w:cs="Arial"/>
                <w:bCs/>
                <w:lang w:eastAsia="fr-FR"/>
              </w:rPr>
              <w:t xml:space="preserve">: </w:t>
            </w:r>
            <w:r w:rsidRPr="00217F26">
              <w:rPr>
                <w:rFonts w:cs="Arial"/>
                <w:bCs/>
                <w:lang w:eastAsia="fr-FR"/>
              </w:rPr>
              <w:t xml:space="preserve">apply </w:t>
            </w:r>
            <w:r w:rsidRPr="00F00A50">
              <w:rPr>
                <w:rFonts w:cs="Arial"/>
                <w:bCs/>
                <w:lang w:eastAsia="fr-FR"/>
              </w:rPr>
              <w:t>2</w:t>
            </w:r>
            <w:r w:rsidRPr="005363E6">
              <w:rPr>
                <w:rFonts w:cs="Arial"/>
                <w:bCs/>
                <w:lang w:eastAsia="fr-FR"/>
              </w:rPr>
              <w:t xml:space="preserve"> sprays to the head, 1 spray on the neck, 1 spray per arm and 3 sprays per leg, once a day.</w:t>
            </w:r>
          </w:p>
          <w:p w14:paraId="7CDED816" w14:textId="77777777" w:rsidR="00794E3D" w:rsidRPr="005363E6" w:rsidRDefault="00794E3D" w:rsidP="00794E3D">
            <w:pPr>
              <w:widowControl w:val="0"/>
              <w:autoSpaceDE w:val="0"/>
              <w:snapToGrid w:val="0"/>
              <w:spacing w:before="0" w:after="0" w:line="260" w:lineRule="atLeast"/>
              <w:jc w:val="both"/>
              <w:rPr>
                <w:rFonts w:cs="Arial"/>
                <w:bCs/>
                <w:lang w:eastAsia="fr-FR"/>
              </w:rPr>
            </w:pPr>
            <w:r w:rsidRPr="005363E6">
              <w:rPr>
                <w:rFonts w:cs="Arial"/>
                <w:bCs/>
                <w:lang w:eastAsia="fr-FR"/>
              </w:rPr>
              <w:t>- Infants &lt;1 year</w:t>
            </w:r>
            <w:r>
              <w:rPr>
                <w:rFonts w:cs="Arial"/>
                <w:bCs/>
                <w:lang w:eastAsia="fr-FR"/>
              </w:rPr>
              <w:t xml:space="preserve"> old</w:t>
            </w:r>
            <w:r w:rsidRPr="005363E6">
              <w:rPr>
                <w:rFonts w:cs="Arial"/>
                <w:bCs/>
                <w:lang w:eastAsia="fr-FR"/>
              </w:rPr>
              <w:t xml:space="preserve">: </w:t>
            </w:r>
            <w:r w:rsidRPr="00217F26">
              <w:rPr>
                <w:rFonts w:cs="Arial"/>
                <w:bCs/>
                <w:lang w:eastAsia="fr-FR"/>
              </w:rPr>
              <w:t xml:space="preserve">apply </w:t>
            </w:r>
            <w:r w:rsidRPr="00F00A50">
              <w:rPr>
                <w:rFonts w:cs="Arial"/>
                <w:bCs/>
                <w:lang w:eastAsia="fr-FR"/>
              </w:rPr>
              <w:t>2</w:t>
            </w:r>
            <w:r w:rsidRPr="005363E6">
              <w:rPr>
                <w:rFonts w:cs="Arial"/>
                <w:bCs/>
                <w:lang w:eastAsia="fr-FR"/>
              </w:rPr>
              <w:t xml:space="preserve"> sprays to the head, 1 spray on the neck, 1 spray per arm and 2 spray per leg, once a day.</w:t>
            </w:r>
          </w:p>
          <w:p w14:paraId="0C14BD88" w14:textId="0D960489" w:rsidR="00794E3D" w:rsidRDefault="00794E3D" w:rsidP="00794E3D">
            <w:pPr>
              <w:widowControl w:val="0"/>
              <w:autoSpaceDE w:val="0"/>
              <w:snapToGrid w:val="0"/>
              <w:spacing w:before="80" w:after="0" w:line="260" w:lineRule="atLeast"/>
              <w:contextualSpacing/>
              <w:jc w:val="both"/>
              <w:rPr>
                <w:rFonts w:eastAsia="Calibri" w:cs="Times"/>
                <w:bCs/>
                <w:sz w:val="22"/>
                <w:szCs w:val="24"/>
                <w:lang w:eastAsia="sv-SE"/>
              </w:rPr>
            </w:pPr>
          </w:p>
          <w:p w14:paraId="3255ABCE" w14:textId="77777777" w:rsidR="00727E86" w:rsidRPr="005363E6" w:rsidRDefault="00727E86" w:rsidP="00727E86">
            <w:pPr>
              <w:widowControl w:val="0"/>
              <w:autoSpaceDE w:val="0"/>
              <w:snapToGrid w:val="0"/>
              <w:spacing w:before="0" w:after="0" w:line="260" w:lineRule="atLeast"/>
              <w:jc w:val="both"/>
              <w:rPr>
                <w:rFonts w:cs="Arial"/>
                <w:b/>
                <w:bCs/>
                <w:lang w:eastAsia="fr-FR"/>
              </w:rPr>
            </w:pPr>
            <w:r w:rsidRPr="005363E6">
              <w:rPr>
                <w:rFonts w:cs="Arial"/>
                <w:b/>
                <w:bCs/>
                <w:lang w:eastAsia="fr-FR"/>
              </w:rPr>
              <w:t>Number of sprays (100ml</w:t>
            </w:r>
            <w:r>
              <w:rPr>
                <w:rFonts w:cs="Arial"/>
                <w:b/>
                <w:bCs/>
                <w:lang w:eastAsia="fr-FR"/>
              </w:rPr>
              <w:t xml:space="preserve"> – 300 µL per spray</w:t>
            </w:r>
            <w:r w:rsidRPr="005363E6">
              <w:rPr>
                <w:rFonts w:cs="Arial"/>
                <w:b/>
                <w:bCs/>
                <w:lang w:eastAsia="fr-FR"/>
              </w:rPr>
              <w:t>):</w:t>
            </w:r>
          </w:p>
          <w:p w14:paraId="1BACD428" w14:textId="77777777" w:rsidR="00727E86" w:rsidRPr="00266F9D" w:rsidRDefault="00727E86" w:rsidP="00727E86">
            <w:pPr>
              <w:widowControl w:val="0"/>
              <w:autoSpaceDE w:val="0"/>
              <w:snapToGrid w:val="0"/>
              <w:spacing w:before="0" w:after="0" w:line="260" w:lineRule="atLeast"/>
              <w:jc w:val="both"/>
              <w:rPr>
                <w:rFonts w:cs="Arial"/>
                <w:bCs/>
                <w:lang w:eastAsia="fr-FR"/>
              </w:rPr>
            </w:pPr>
            <w:r w:rsidRPr="005363E6">
              <w:rPr>
                <w:rFonts w:cs="Arial"/>
                <w:bCs/>
                <w:lang w:eastAsia="fr-FR"/>
              </w:rPr>
              <w:t>- Adult and children</w:t>
            </w:r>
            <w:r>
              <w:rPr>
                <w:rFonts w:cs="Arial"/>
                <w:bCs/>
                <w:lang w:eastAsia="fr-FR"/>
              </w:rPr>
              <w:t xml:space="preserve"> &gt;</w:t>
            </w:r>
            <w:r w:rsidRPr="005363E6">
              <w:rPr>
                <w:rFonts w:cs="Arial"/>
                <w:bCs/>
                <w:lang w:eastAsia="fr-FR"/>
              </w:rPr>
              <w:t>12 years</w:t>
            </w:r>
            <w:r>
              <w:rPr>
                <w:rFonts w:cs="Arial"/>
                <w:bCs/>
                <w:lang w:eastAsia="fr-FR"/>
              </w:rPr>
              <w:t xml:space="preserve"> old</w:t>
            </w:r>
            <w:r w:rsidRPr="005363E6">
              <w:rPr>
                <w:rFonts w:cs="Arial"/>
                <w:bCs/>
                <w:lang w:eastAsia="fr-FR"/>
              </w:rPr>
              <w:t xml:space="preserve">: apply </w:t>
            </w:r>
            <w:r>
              <w:rPr>
                <w:rFonts w:cs="Arial"/>
                <w:bCs/>
                <w:lang w:eastAsia="fr-FR"/>
              </w:rPr>
              <w:t>2</w:t>
            </w:r>
            <w:r w:rsidRPr="005363E6">
              <w:rPr>
                <w:rFonts w:cs="Arial"/>
                <w:bCs/>
                <w:lang w:eastAsia="fr-FR"/>
              </w:rPr>
              <w:t xml:space="preserve"> sprays to the head, </w:t>
            </w:r>
            <w:r>
              <w:rPr>
                <w:rFonts w:cs="Arial"/>
                <w:bCs/>
                <w:lang w:eastAsia="fr-FR"/>
              </w:rPr>
              <w:t>1 spray on the neck, 2</w:t>
            </w:r>
            <w:r w:rsidRPr="005363E6">
              <w:rPr>
                <w:rFonts w:cs="Arial"/>
                <w:bCs/>
                <w:lang w:eastAsia="fr-FR"/>
              </w:rPr>
              <w:t xml:space="preserve"> sprays per arm, </w:t>
            </w:r>
            <w:r>
              <w:rPr>
                <w:rFonts w:cs="Arial"/>
                <w:bCs/>
                <w:lang w:eastAsia="fr-FR"/>
              </w:rPr>
              <w:t>1</w:t>
            </w:r>
            <w:r w:rsidRPr="005363E6">
              <w:rPr>
                <w:rFonts w:cs="Arial"/>
                <w:bCs/>
                <w:lang w:eastAsia="fr-FR"/>
              </w:rPr>
              <w:t xml:space="preserve"> spray </w:t>
            </w:r>
            <w:r w:rsidRPr="00266F9D">
              <w:rPr>
                <w:rFonts w:cs="Arial"/>
                <w:bCs/>
                <w:lang w:eastAsia="fr-FR"/>
              </w:rPr>
              <w:t xml:space="preserve">per hand, </w:t>
            </w:r>
            <w:r>
              <w:rPr>
                <w:rFonts w:cs="Arial"/>
                <w:bCs/>
                <w:lang w:eastAsia="fr-FR"/>
              </w:rPr>
              <w:t>5</w:t>
            </w:r>
            <w:r w:rsidRPr="00266F9D">
              <w:rPr>
                <w:rFonts w:cs="Arial"/>
                <w:bCs/>
                <w:lang w:eastAsia="fr-FR"/>
              </w:rPr>
              <w:t xml:space="preserve"> sprays per leg and </w:t>
            </w:r>
            <w:r>
              <w:rPr>
                <w:rFonts w:cs="Arial"/>
                <w:bCs/>
                <w:lang w:eastAsia="fr-FR"/>
              </w:rPr>
              <w:t>1</w:t>
            </w:r>
            <w:r w:rsidRPr="00266F9D">
              <w:rPr>
                <w:rFonts w:cs="Arial"/>
                <w:bCs/>
                <w:lang w:eastAsia="fr-FR"/>
              </w:rPr>
              <w:t xml:space="preserve"> sprays per foot, once a day.</w:t>
            </w:r>
          </w:p>
          <w:p w14:paraId="5053BF99" w14:textId="77777777" w:rsidR="00727E86" w:rsidRPr="00266F9D" w:rsidRDefault="00727E86" w:rsidP="00727E86">
            <w:pPr>
              <w:widowControl w:val="0"/>
              <w:autoSpaceDE w:val="0"/>
              <w:snapToGrid w:val="0"/>
              <w:spacing w:before="0" w:after="0" w:line="260" w:lineRule="atLeast"/>
              <w:jc w:val="both"/>
              <w:rPr>
                <w:rFonts w:cs="Arial"/>
                <w:bCs/>
                <w:lang w:eastAsia="fr-FR"/>
              </w:rPr>
            </w:pPr>
            <w:r w:rsidRPr="00266F9D">
              <w:rPr>
                <w:rFonts w:cs="Arial"/>
                <w:bCs/>
                <w:lang w:eastAsia="fr-FR"/>
              </w:rPr>
              <w:t xml:space="preserve">- Children from 6 to &lt;12 years old: apply </w:t>
            </w:r>
            <w:r>
              <w:rPr>
                <w:rFonts w:cs="Arial"/>
                <w:bCs/>
                <w:lang w:eastAsia="fr-FR"/>
              </w:rPr>
              <w:t>1</w:t>
            </w:r>
            <w:r w:rsidRPr="00266F9D">
              <w:rPr>
                <w:rFonts w:cs="Arial"/>
                <w:bCs/>
                <w:lang w:eastAsia="fr-FR"/>
              </w:rPr>
              <w:t xml:space="preserve"> spray to the head, 1 spray on the neck, </w:t>
            </w:r>
            <w:r>
              <w:rPr>
                <w:rFonts w:cs="Arial"/>
                <w:bCs/>
                <w:lang w:eastAsia="fr-FR"/>
              </w:rPr>
              <w:t>1</w:t>
            </w:r>
            <w:r w:rsidRPr="00266F9D">
              <w:rPr>
                <w:rFonts w:cs="Arial"/>
                <w:bCs/>
                <w:lang w:eastAsia="fr-FR"/>
              </w:rPr>
              <w:t xml:space="preserve"> sprays per arm, </w:t>
            </w:r>
            <w:r w:rsidRPr="00EA7456">
              <w:rPr>
                <w:rFonts w:cs="Arial"/>
                <w:bCs/>
                <w:lang w:eastAsia="fr-FR"/>
              </w:rPr>
              <w:t>1 spray per hand</w:t>
            </w:r>
            <w:r w:rsidRPr="00266F9D">
              <w:rPr>
                <w:rFonts w:cs="Arial"/>
                <w:bCs/>
                <w:lang w:eastAsia="fr-FR"/>
              </w:rPr>
              <w:t xml:space="preserve">, </w:t>
            </w:r>
            <w:r>
              <w:rPr>
                <w:rFonts w:cs="Arial"/>
                <w:bCs/>
                <w:lang w:eastAsia="fr-FR"/>
              </w:rPr>
              <w:t>2</w:t>
            </w:r>
            <w:r w:rsidRPr="00266F9D">
              <w:rPr>
                <w:rFonts w:cs="Arial"/>
                <w:bCs/>
                <w:lang w:eastAsia="fr-FR"/>
              </w:rPr>
              <w:t xml:space="preserve"> sprays per leg and 1 spray per foot, once a day.</w:t>
            </w:r>
          </w:p>
          <w:p w14:paraId="37EA2BD8" w14:textId="77777777" w:rsidR="00727E86" w:rsidRPr="00266F9D" w:rsidRDefault="00727E86" w:rsidP="00727E86">
            <w:pPr>
              <w:widowControl w:val="0"/>
              <w:autoSpaceDE w:val="0"/>
              <w:snapToGrid w:val="0"/>
              <w:spacing w:before="0" w:after="0" w:line="260" w:lineRule="atLeast"/>
              <w:jc w:val="both"/>
              <w:rPr>
                <w:rFonts w:cs="Arial"/>
                <w:bCs/>
                <w:lang w:eastAsia="fr-FR"/>
              </w:rPr>
            </w:pPr>
            <w:r w:rsidRPr="00266F9D">
              <w:rPr>
                <w:rFonts w:cs="Arial"/>
                <w:bCs/>
                <w:lang w:eastAsia="fr-FR"/>
              </w:rPr>
              <w:t xml:space="preserve">- Children from 2 to &lt;6 years old: apply </w:t>
            </w:r>
            <w:r>
              <w:rPr>
                <w:rFonts w:cs="Arial"/>
                <w:bCs/>
                <w:lang w:eastAsia="fr-FR"/>
              </w:rPr>
              <w:t>1</w:t>
            </w:r>
            <w:r w:rsidRPr="00266F9D">
              <w:rPr>
                <w:rFonts w:cs="Arial"/>
                <w:bCs/>
                <w:lang w:eastAsia="fr-FR"/>
              </w:rPr>
              <w:t xml:space="preserve"> spray to the head, 1 spray on the neck, </w:t>
            </w:r>
            <w:r>
              <w:rPr>
                <w:rFonts w:cs="Arial"/>
                <w:bCs/>
                <w:lang w:eastAsia="fr-FR"/>
              </w:rPr>
              <w:t>1</w:t>
            </w:r>
            <w:r w:rsidRPr="00266F9D">
              <w:rPr>
                <w:rFonts w:cs="Arial"/>
                <w:bCs/>
                <w:lang w:eastAsia="fr-FR"/>
              </w:rPr>
              <w:t xml:space="preserve"> spray per arm, </w:t>
            </w:r>
            <w:r w:rsidRPr="00EA7456">
              <w:rPr>
                <w:rFonts w:cs="Arial"/>
                <w:bCs/>
                <w:lang w:eastAsia="fr-FR"/>
              </w:rPr>
              <w:t>1 spray per hand</w:t>
            </w:r>
            <w:r w:rsidRPr="00266F9D">
              <w:rPr>
                <w:rFonts w:cs="Arial"/>
                <w:bCs/>
                <w:lang w:eastAsia="fr-FR"/>
              </w:rPr>
              <w:t xml:space="preserve">, </w:t>
            </w:r>
            <w:r>
              <w:rPr>
                <w:rFonts w:cs="Arial"/>
                <w:bCs/>
                <w:lang w:eastAsia="fr-FR"/>
              </w:rPr>
              <w:t>2</w:t>
            </w:r>
            <w:r w:rsidRPr="00266F9D">
              <w:rPr>
                <w:rFonts w:cs="Arial"/>
                <w:bCs/>
                <w:lang w:eastAsia="fr-FR"/>
              </w:rPr>
              <w:t xml:space="preserve"> sprays per leg and 1 spray per foot, once a day.</w:t>
            </w:r>
          </w:p>
          <w:p w14:paraId="2DA0E073" w14:textId="77777777" w:rsidR="00727E86" w:rsidRPr="005363E6" w:rsidRDefault="00727E86" w:rsidP="00727E86">
            <w:pPr>
              <w:widowControl w:val="0"/>
              <w:autoSpaceDE w:val="0"/>
              <w:snapToGrid w:val="0"/>
              <w:spacing w:before="0" w:after="0" w:line="260" w:lineRule="atLeast"/>
              <w:jc w:val="both"/>
              <w:rPr>
                <w:rFonts w:cs="Arial"/>
                <w:bCs/>
                <w:lang w:eastAsia="fr-FR"/>
              </w:rPr>
            </w:pPr>
            <w:r w:rsidRPr="00266F9D">
              <w:rPr>
                <w:rFonts w:cs="Arial"/>
                <w:bCs/>
                <w:lang w:eastAsia="fr-FR"/>
              </w:rPr>
              <w:t xml:space="preserve">- Children 1 to &lt;2 years old: apply </w:t>
            </w:r>
            <w:r>
              <w:rPr>
                <w:rFonts w:cs="Arial"/>
                <w:bCs/>
                <w:lang w:eastAsia="fr-FR"/>
              </w:rPr>
              <w:t>1</w:t>
            </w:r>
            <w:r w:rsidRPr="00266F9D">
              <w:rPr>
                <w:rFonts w:cs="Arial"/>
                <w:bCs/>
                <w:lang w:eastAsia="fr-FR"/>
              </w:rPr>
              <w:t xml:space="preserve"> spray to the head, 1 spray on the neck, 1 spray per arm and </w:t>
            </w:r>
            <w:r>
              <w:rPr>
                <w:rFonts w:cs="Arial"/>
                <w:bCs/>
                <w:lang w:eastAsia="fr-FR"/>
              </w:rPr>
              <w:t>1</w:t>
            </w:r>
            <w:r w:rsidRPr="00266F9D">
              <w:rPr>
                <w:rFonts w:cs="Arial"/>
                <w:bCs/>
                <w:lang w:eastAsia="fr-FR"/>
              </w:rPr>
              <w:t xml:space="preserve"> spray per leg,</w:t>
            </w:r>
            <w:r w:rsidRPr="005363E6">
              <w:rPr>
                <w:rFonts w:cs="Arial"/>
                <w:bCs/>
                <w:lang w:eastAsia="fr-FR"/>
              </w:rPr>
              <w:t xml:space="preserve"> once a day.</w:t>
            </w:r>
          </w:p>
          <w:p w14:paraId="0FCF7399" w14:textId="77777777" w:rsidR="00727E86" w:rsidRPr="005363E6" w:rsidRDefault="00727E86" w:rsidP="00727E86">
            <w:pPr>
              <w:widowControl w:val="0"/>
              <w:autoSpaceDE w:val="0"/>
              <w:snapToGrid w:val="0"/>
              <w:spacing w:before="0" w:after="0" w:line="260" w:lineRule="atLeast"/>
              <w:jc w:val="both"/>
              <w:rPr>
                <w:rFonts w:cs="Arial"/>
                <w:bCs/>
                <w:lang w:eastAsia="fr-FR"/>
              </w:rPr>
            </w:pPr>
            <w:r w:rsidRPr="005363E6">
              <w:rPr>
                <w:rFonts w:cs="Arial"/>
                <w:bCs/>
                <w:lang w:eastAsia="fr-FR"/>
              </w:rPr>
              <w:t>- Infants &lt;1 year</w:t>
            </w:r>
            <w:r>
              <w:rPr>
                <w:rFonts w:cs="Arial"/>
                <w:bCs/>
                <w:lang w:eastAsia="fr-FR"/>
              </w:rPr>
              <w:t xml:space="preserve"> old</w:t>
            </w:r>
            <w:r w:rsidRPr="005363E6">
              <w:rPr>
                <w:rFonts w:cs="Arial"/>
                <w:bCs/>
                <w:lang w:eastAsia="fr-FR"/>
              </w:rPr>
              <w:t xml:space="preserve">: </w:t>
            </w:r>
            <w:r w:rsidRPr="00217F26">
              <w:rPr>
                <w:rFonts w:cs="Arial"/>
                <w:bCs/>
                <w:lang w:eastAsia="fr-FR"/>
              </w:rPr>
              <w:t xml:space="preserve">apply </w:t>
            </w:r>
            <w:r w:rsidRPr="00F00A50">
              <w:rPr>
                <w:rFonts w:cs="Arial"/>
                <w:bCs/>
                <w:lang w:eastAsia="fr-FR"/>
              </w:rPr>
              <w:t>2</w:t>
            </w:r>
            <w:r w:rsidRPr="005363E6">
              <w:rPr>
                <w:rFonts w:cs="Arial"/>
                <w:bCs/>
                <w:lang w:eastAsia="fr-FR"/>
              </w:rPr>
              <w:t xml:space="preserve"> sprays to the head, 1 spray on the neck, 1 spray per arm and 2 spray per leg, once a day.</w:t>
            </w:r>
          </w:p>
          <w:p w14:paraId="4F38A5A7" w14:textId="7BFFF541" w:rsidR="00727E86" w:rsidRDefault="00727E86" w:rsidP="00794E3D">
            <w:pPr>
              <w:widowControl w:val="0"/>
              <w:autoSpaceDE w:val="0"/>
              <w:snapToGrid w:val="0"/>
              <w:spacing w:before="80" w:after="0" w:line="260" w:lineRule="atLeast"/>
              <w:contextualSpacing/>
              <w:jc w:val="both"/>
              <w:rPr>
                <w:rFonts w:eastAsia="Calibri" w:cs="Times"/>
                <w:bCs/>
                <w:sz w:val="22"/>
                <w:szCs w:val="24"/>
                <w:lang w:eastAsia="sv-SE"/>
              </w:rPr>
            </w:pPr>
          </w:p>
          <w:p w14:paraId="2570BB5F" w14:textId="77777777" w:rsidR="00727E86" w:rsidRPr="005363E6" w:rsidRDefault="00727E86" w:rsidP="00794E3D">
            <w:pPr>
              <w:widowControl w:val="0"/>
              <w:autoSpaceDE w:val="0"/>
              <w:snapToGrid w:val="0"/>
              <w:spacing w:before="80" w:after="0" w:line="260" w:lineRule="atLeast"/>
              <w:contextualSpacing/>
              <w:jc w:val="both"/>
              <w:rPr>
                <w:rFonts w:eastAsia="Calibri" w:cs="Times"/>
                <w:bCs/>
                <w:sz w:val="22"/>
                <w:szCs w:val="24"/>
                <w:lang w:eastAsia="sv-SE"/>
              </w:rPr>
            </w:pPr>
          </w:p>
          <w:p w14:paraId="12B7AF80" w14:textId="77777777" w:rsidR="00794E3D" w:rsidRPr="005363E6" w:rsidRDefault="00794E3D" w:rsidP="00794E3D">
            <w:pPr>
              <w:widowControl w:val="0"/>
              <w:autoSpaceDE w:val="0"/>
              <w:snapToGrid w:val="0"/>
              <w:spacing w:before="0" w:after="0" w:line="260" w:lineRule="atLeast"/>
              <w:jc w:val="both"/>
              <w:rPr>
                <w:rFonts w:cs="Arial"/>
                <w:b/>
                <w:bCs/>
                <w:lang w:eastAsia="fr-FR"/>
              </w:rPr>
            </w:pPr>
            <w:r w:rsidRPr="005363E6">
              <w:rPr>
                <w:rFonts w:cs="Arial"/>
                <w:b/>
                <w:bCs/>
                <w:lang w:eastAsia="fr-FR"/>
              </w:rPr>
              <w:t>Number of sprays (250ml):</w:t>
            </w:r>
          </w:p>
          <w:p w14:paraId="2BD4719B" w14:textId="77777777" w:rsidR="00794E3D" w:rsidRPr="005363E6" w:rsidRDefault="00794E3D" w:rsidP="00794E3D">
            <w:pPr>
              <w:widowControl w:val="0"/>
              <w:autoSpaceDE w:val="0"/>
              <w:snapToGrid w:val="0"/>
              <w:spacing w:before="0" w:after="0" w:line="260" w:lineRule="atLeast"/>
              <w:jc w:val="both"/>
              <w:rPr>
                <w:rFonts w:cs="Arial"/>
                <w:bCs/>
                <w:lang w:eastAsia="fr-FR"/>
              </w:rPr>
            </w:pPr>
            <w:r w:rsidRPr="005363E6">
              <w:rPr>
                <w:rFonts w:cs="Arial"/>
                <w:bCs/>
                <w:lang w:eastAsia="fr-FR"/>
              </w:rPr>
              <w:t>- Adult and children</w:t>
            </w:r>
            <w:r>
              <w:rPr>
                <w:rFonts w:cs="Arial"/>
                <w:bCs/>
                <w:lang w:eastAsia="fr-FR"/>
              </w:rPr>
              <w:t xml:space="preserve"> &gt;</w:t>
            </w:r>
            <w:r w:rsidRPr="005363E6">
              <w:rPr>
                <w:rFonts w:cs="Arial"/>
                <w:bCs/>
                <w:lang w:eastAsia="fr-FR"/>
              </w:rPr>
              <w:t>12 years</w:t>
            </w:r>
            <w:r>
              <w:rPr>
                <w:rFonts w:cs="Arial"/>
                <w:bCs/>
                <w:lang w:eastAsia="fr-FR"/>
              </w:rPr>
              <w:t xml:space="preserve"> old</w:t>
            </w:r>
            <w:r w:rsidRPr="005363E6">
              <w:rPr>
                <w:rFonts w:cs="Arial"/>
                <w:bCs/>
                <w:lang w:eastAsia="fr-FR"/>
              </w:rPr>
              <w:t xml:space="preserve">: </w:t>
            </w:r>
            <w:r w:rsidRPr="00217F26">
              <w:rPr>
                <w:rFonts w:cs="Arial"/>
                <w:bCs/>
                <w:lang w:eastAsia="fr-FR"/>
              </w:rPr>
              <w:t>apply</w:t>
            </w:r>
            <w:r w:rsidRPr="00F00A50">
              <w:rPr>
                <w:rFonts w:cs="Arial"/>
                <w:bCs/>
                <w:lang w:eastAsia="fr-FR"/>
              </w:rPr>
              <w:t xml:space="preserve"> 1 spray to the head,</w:t>
            </w:r>
            <w:r w:rsidRPr="005363E6">
              <w:rPr>
                <w:rFonts w:cs="Arial"/>
                <w:bCs/>
                <w:lang w:eastAsia="fr-FR"/>
              </w:rPr>
              <w:t xml:space="preserve"> 1 spray per arm, 3 sprays per leg and 1 spray per foot, once a day.</w:t>
            </w:r>
          </w:p>
          <w:p w14:paraId="10171251" w14:textId="77777777" w:rsidR="00794E3D" w:rsidRPr="005363E6" w:rsidRDefault="00794E3D" w:rsidP="00794E3D">
            <w:pPr>
              <w:widowControl w:val="0"/>
              <w:autoSpaceDE w:val="0"/>
              <w:snapToGrid w:val="0"/>
              <w:spacing w:before="0" w:after="0" w:line="260" w:lineRule="atLeast"/>
              <w:jc w:val="both"/>
              <w:rPr>
                <w:rFonts w:cs="Arial"/>
                <w:bCs/>
                <w:lang w:eastAsia="fr-FR"/>
              </w:rPr>
            </w:pPr>
            <w:r w:rsidRPr="005363E6">
              <w:rPr>
                <w:rFonts w:cs="Arial"/>
                <w:bCs/>
                <w:lang w:eastAsia="fr-FR"/>
              </w:rPr>
              <w:t>- Children from 6 to &lt;12 years</w:t>
            </w:r>
            <w:r>
              <w:rPr>
                <w:rFonts w:cs="Arial"/>
                <w:bCs/>
                <w:lang w:eastAsia="fr-FR"/>
              </w:rPr>
              <w:t xml:space="preserve"> old</w:t>
            </w:r>
            <w:r w:rsidRPr="005363E6">
              <w:rPr>
                <w:rFonts w:cs="Arial"/>
                <w:bCs/>
                <w:lang w:eastAsia="fr-FR"/>
              </w:rPr>
              <w:t xml:space="preserve">: </w:t>
            </w:r>
            <w:r w:rsidRPr="00217F26">
              <w:rPr>
                <w:rFonts w:cs="Arial"/>
                <w:bCs/>
                <w:lang w:eastAsia="fr-FR"/>
              </w:rPr>
              <w:t>apply</w:t>
            </w:r>
            <w:r w:rsidRPr="00F00A50">
              <w:rPr>
                <w:rFonts w:cs="Arial"/>
                <w:bCs/>
                <w:lang w:eastAsia="fr-FR"/>
              </w:rPr>
              <w:t xml:space="preserve"> </w:t>
            </w:r>
            <w:r w:rsidRPr="005363E6">
              <w:rPr>
                <w:rFonts w:cs="Arial"/>
                <w:bCs/>
                <w:lang w:eastAsia="fr-FR"/>
              </w:rPr>
              <w:t>2 sprays per arm and 2 sprays per leg, once a day.</w:t>
            </w:r>
          </w:p>
          <w:p w14:paraId="60265A15" w14:textId="77777777" w:rsidR="00794E3D" w:rsidRPr="005363E6" w:rsidRDefault="00794E3D" w:rsidP="00794E3D">
            <w:pPr>
              <w:widowControl w:val="0"/>
              <w:autoSpaceDE w:val="0"/>
              <w:snapToGrid w:val="0"/>
              <w:spacing w:before="0" w:after="0" w:line="260" w:lineRule="atLeast"/>
              <w:jc w:val="both"/>
              <w:rPr>
                <w:rFonts w:cs="Arial"/>
                <w:bCs/>
                <w:lang w:eastAsia="fr-FR"/>
              </w:rPr>
            </w:pPr>
            <w:r w:rsidRPr="005363E6">
              <w:rPr>
                <w:rFonts w:cs="Arial"/>
                <w:bCs/>
                <w:lang w:eastAsia="fr-FR"/>
              </w:rPr>
              <w:t>- Children from 2 to &lt;6 years</w:t>
            </w:r>
            <w:r>
              <w:rPr>
                <w:rFonts w:cs="Arial"/>
                <w:bCs/>
                <w:lang w:eastAsia="fr-FR"/>
              </w:rPr>
              <w:t xml:space="preserve"> old</w:t>
            </w:r>
            <w:r w:rsidRPr="005363E6">
              <w:rPr>
                <w:rFonts w:cs="Arial"/>
                <w:bCs/>
                <w:lang w:eastAsia="fr-FR"/>
              </w:rPr>
              <w:t xml:space="preserve">: </w:t>
            </w:r>
            <w:r w:rsidRPr="00217F26">
              <w:rPr>
                <w:rFonts w:cs="Arial"/>
                <w:bCs/>
                <w:lang w:eastAsia="fr-FR"/>
              </w:rPr>
              <w:t xml:space="preserve">apply </w:t>
            </w:r>
            <w:r>
              <w:rPr>
                <w:rFonts w:cs="Arial"/>
                <w:bCs/>
                <w:lang w:eastAsia="fr-FR"/>
              </w:rPr>
              <w:t xml:space="preserve">1 </w:t>
            </w:r>
            <w:r w:rsidRPr="00F00A50">
              <w:rPr>
                <w:rFonts w:cs="Arial"/>
                <w:bCs/>
                <w:lang w:eastAsia="fr-FR"/>
              </w:rPr>
              <w:t xml:space="preserve">spray for both </w:t>
            </w:r>
            <w:r w:rsidRPr="005363E6">
              <w:rPr>
                <w:rFonts w:cs="Arial"/>
                <w:bCs/>
                <w:lang w:eastAsia="fr-FR"/>
              </w:rPr>
              <w:t>arms and 1 spray per leg, once a day.</w:t>
            </w:r>
          </w:p>
          <w:p w14:paraId="3A5ABB5C" w14:textId="77777777" w:rsidR="00794E3D" w:rsidRPr="005363E6" w:rsidRDefault="00794E3D" w:rsidP="00794E3D">
            <w:pPr>
              <w:widowControl w:val="0"/>
              <w:autoSpaceDE w:val="0"/>
              <w:snapToGrid w:val="0"/>
              <w:spacing w:before="0" w:after="0" w:line="260" w:lineRule="atLeast"/>
              <w:jc w:val="both"/>
              <w:rPr>
                <w:rFonts w:cs="Arial"/>
                <w:bCs/>
                <w:lang w:eastAsia="fr-FR"/>
              </w:rPr>
            </w:pPr>
            <w:r>
              <w:rPr>
                <w:rFonts w:cs="Arial"/>
                <w:bCs/>
                <w:lang w:eastAsia="fr-FR"/>
              </w:rPr>
              <w:t>- Children 1 to &lt;2 years old</w:t>
            </w:r>
            <w:r w:rsidRPr="005363E6">
              <w:rPr>
                <w:rFonts w:cs="Arial"/>
                <w:bCs/>
                <w:lang w:eastAsia="fr-FR"/>
              </w:rPr>
              <w:t xml:space="preserve">: </w:t>
            </w:r>
            <w:r w:rsidRPr="00217F26">
              <w:rPr>
                <w:rFonts w:cs="Arial"/>
                <w:bCs/>
                <w:lang w:eastAsia="fr-FR"/>
              </w:rPr>
              <w:t>a</w:t>
            </w:r>
            <w:r w:rsidRPr="005363E6">
              <w:rPr>
                <w:rFonts w:cs="Arial"/>
                <w:bCs/>
                <w:lang w:eastAsia="fr-FR"/>
              </w:rPr>
              <w:t xml:space="preserve">pply 1 spray for both arms and 1 spray </w:t>
            </w:r>
            <w:r w:rsidRPr="00217F26">
              <w:rPr>
                <w:rFonts w:cs="Arial"/>
                <w:bCs/>
                <w:lang w:eastAsia="fr-FR"/>
              </w:rPr>
              <w:t>for b</w:t>
            </w:r>
            <w:r w:rsidRPr="00F00A50">
              <w:rPr>
                <w:rFonts w:cs="Arial"/>
                <w:bCs/>
                <w:lang w:eastAsia="fr-FR"/>
              </w:rPr>
              <w:t>oth</w:t>
            </w:r>
            <w:r>
              <w:rPr>
                <w:rFonts w:cs="Arial"/>
                <w:bCs/>
                <w:lang w:eastAsia="fr-FR"/>
              </w:rPr>
              <w:t xml:space="preserve"> legs</w:t>
            </w:r>
            <w:r w:rsidRPr="005363E6">
              <w:rPr>
                <w:rFonts w:cs="Arial"/>
                <w:bCs/>
                <w:lang w:eastAsia="fr-FR"/>
              </w:rPr>
              <w:t xml:space="preserve"> once a day.</w:t>
            </w:r>
          </w:p>
          <w:p w14:paraId="45D28932" w14:textId="77777777" w:rsidR="00794E3D" w:rsidRPr="005363E6" w:rsidRDefault="00794E3D" w:rsidP="00794E3D">
            <w:pPr>
              <w:widowControl w:val="0"/>
              <w:autoSpaceDE w:val="0"/>
              <w:snapToGrid w:val="0"/>
              <w:spacing w:before="80" w:after="0" w:line="260" w:lineRule="atLeast"/>
              <w:contextualSpacing/>
              <w:jc w:val="both"/>
              <w:rPr>
                <w:rFonts w:eastAsia="Calibri" w:cs="Times"/>
                <w:bCs/>
                <w:sz w:val="22"/>
                <w:szCs w:val="24"/>
                <w:lang w:eastAsia="sv-SE"/>
              </w:rPr>
            </w:pPr>
            <w:r w:rsidRPr="005363E6">
              <w:rPr>
                <w:rFonts w:cs="Arial"/>
                <w:bCs/>
                <w:lang w:eastAsia="fr-FR"/>
              </w:rPr>
              <w:t>- Infants &lt;1 year</w:t>
            </w:r>
            <w:r>
              <w:rPr>
                <w:rFonts w:cs="Arial"/>
                <w:bCs/>
                <w:lang w:eastAsia="fr-FR"/>
              </w:rPr>
              <w:t xml:space="preserve"> old</w:t>
            </w:r>
            <w:r w:rsidRPr="005363E6">
              <w:rPr>
                <w:rFonts w:cs="Arial"/>
                <w:bCs/>
                <w:lang w:eastAsia="fr-FR"/>
              </w:rPr>
              <w:t xml:space="preserve">: apply </w:t>
            </w:r>
            <w:r>
              <w:rPr>
                <w:rFonts w:cs="Arial"/>
                <w:bCs/>
                <w:lang w:eastAsia="fr-FR"/>
              </w:rPr>
              <w:t>2</w:t>
            </w:r>
            <w:r w:rsidRPr="005363E6">
              <w:rPr>
                <w:rFonts w:cs="Arial"/>
                <w:bCs/>
                <w:lang w:eastAsia="fr-FR"/>
              </w:rPr>
              <w:t xml:space="preserve"> spray</w:t>
            </w:r>
            <w:r>
              <w:rPr>
                <w:rFonts w:cs="Arial"/>
                <w:bCs/>
                <w:lang w:eastAsia="fr-FR"/>
              </w:rPr>
              <w:t>s</w:t>
            </w:r>
            <w:r w:rsidRPr="005363E6">
              <w:rPr>
                <w:rFonts w:cs="Arial"/>
                <w:bCs/>
                <w:lang w:eastAsia="fr-FR"/>
              </w:rPr>
              <w:t xml:space="preserve"> for the body, once a day.</w:t>
            </w:r>
          </w:p>
          <w:p w14:paraId="7015CDC4" w14:textId="77777777" w:rsidR="00A90416" w:rsidRPr="006E50DF" w:rsidRDefault="00A90416" w:rsidP="006E50DF">
            <w:pPr>
              <w:widowControl w:val="0"/>
              <w:autoSpaceDE w:val="0"/>
              <w:snapToGrid w:val="0"/>
              <w:spacing w:before="80" w:after="0" w:line="260" w:lineRule="atLeast"/>
              <w:contextualSpacing/>
              <w:jc w:val="both"/>
              <w:rPr>
                <w:rFonts w:eastAsia="Calibri" w:cs="Times"/>
                <w:bCs/>
                <w:color w:val="000000" w:themeColor="text1"/>
                <w:sz w:val="22"/>
                <w:szCs w:val="24"/>
                <w:lang w:eastAsia="sv-SE"/>
              </w:rPr>
            </w:pPr>
          </w:p>
          <w:p w14:paraId="45EADA79" w14:textId="5A26008A" w:rsidR="006E50DF" w:rsidRPr="0010045B" w:rsidRDefault="006E50DF" w:rsidP="006E50DF">
            <w:pPr>
              <w:widowControl w:val="0"/>
              <w:autoSpaceDE w:val="0"/>
              <w:snapToGrid w:val="0"/>
              <w:spacing w:before="80" w:after="0" w:line="260" w:lineRule="atLeast"/>
              <w:contextualSpacing/>
              <w:jc w:val="both"/>
              <w:rPr>
                <w:rFonts w:cs="Arial"/>
                <w:bCs/>
                <w:color w:val="2E74B5" w:themeColor="accent1" w:themeShade="BF"/>
                <w:lang w:eastAsia="fr-FR"/>
              </w:rPr>
            </w:pPr>
            <w:r w:rsidRPr="0010045B">
              <w:rPr>
                <w:rFonts w:cs="Arial"/>
                <w:bCs/>
                <w:color w:val="2E74B5" w:themeColor="accent1" w:themeShade="BF"/>
                <w:lang w:eastAsia="fr-FR"/>
              </w:rPr>
              <w:t>In France only:</w:t>
            </w:r>
          </w:p>
          <w:p w14:paraId="2E45882B" w14:textId="37D09F37" w:rsidR="00B224B2" w:rsidRPr="009923EC" w:rsidRDefault="00B224B2" w:rsidP="009923EC">
            <w:pPr>
              <w:widowControl w:val="0"/>
              <w:autoSpaceDE w:val="0"/>
              <w:snapToGrid w:val="0"/>
              <w:spacing w:before="0" w:after="0" w:line="260" w:lineRule="atLeast"/>
              <w:jc w:val="both"/>
              <w:rPr>
                <w:rFonts w:cs="Arial"/>
                <w:b/>
                <w:bCs/>
                <w:color w:val="2E74B5" w:themeColor="accent1" w:themeShade="BF"/>
                <w:lang w:eastAsia="fr-FR"/>
              </w:rPr>
            </w:pPr>
            <w:r w:rsidRPr="009923EC">
              <w:rPr>
                <w:rFonts w:cs="Arial"/>
                <w:b/>
                <w:bCs/>
                <w:color w:val="2E74B5" w:themeColor="accent1" w:themeShade="BF"/>
                <w:lang w:eastAsia="fr-FR"/>
              </w:rPr>
              <w:t>Number of sprays (100ml</w:t>
            </w:r>
            <w:r w:rsidR="00727E86">
              <w:rPr>
                <w:rFonts w:cs="Arial"/>
                <w:b/>
                <w:bCs/>
                <w:color w:val="2E74B5" w:themeColor="accent1" w:themeShade="BF"/>
                <w:lang w:eastAsia="fr-FR"/>
              </w:rPr>
              <w:t>– 100 µL per spray</w:t>
            </w:r>
            <w:r w:rsidRPr="009923EC">
              <w:rPr>
                <w:rFonts w:cs="Arial"/>
                <w:b/>
                <w:bCs/>
                <w:color w:val="2E74B5" w:themeColor="accent1" w:themeShade="BF"/>
                <w:lang w:eastAsia="fr-FR"/>
              </w:rPr>
              <w:t>):</w:t>
            </w:r>
          </w:p>
          <w:p w14:paraId="3C859770" w14:textId="30BC4873" w:rsidR="00B224B2" w:rsidRPr="009923EC" w:rsidRDefault="00B224B2" w:rsidP="009923EC">
            <w:pPr>
              <w:widowControl w:val="0"/>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Adult and children</w:t>
            </w:r>
            <w:r w:rsidR="00794E3D">
              <w:rPr>
                <w:rFonts w:cs="Arial"/>
                <w:bCs/>
                <w:color w:val="2E74B5" w:themeColor="accent1" w:themeShade="BF"/>
                <w:lang w:eastAsia="fr-FR"/>
              </w:rPr>
              <w:t xml:space="preserve"> </w:t>
            </w:r>
            <w:r w:rsidRPr="009923EC">
              <w:rPr>
                <w:rFonts w:cs="Arial"/>
                <w:bCs/>
                <w:color w:val="2E74B5" w:themeColor="accent1" w:themeShade="BF"/>
                <w:lang w:eastAsia="fr-FR"/>
              </w:rPr>
              <w:t>&gt;12 years</w:t>
            </w:r>
            <w:r w:rsidR="00794E3D">
              <w:rPr>
                <w:rFonts w:cs="Arial"/>
                <w:bCs/>
                <w:color w:val="2E74B5" w:themeColor="accent1" w:themeShade="BF"/>
                <w:lang w:eastAsia="fr-FR"/>
              </w:rPr>
              <w:t xml:space="preserve"> old</w:t>
            </w:r>
            <w:r w:rsidRPr="009923EC">
              <w:rPr>
                <w:rFonts w:cs="Arial"/>
                <w:bCs/>
                <w:color w:val="2E74B5" w:themeColor="accent1" w:themeShade="BF"/>
                <w:lang w:eastAsia="fr-FR"/>
              </w:rPr>
              <w:t>: apply 7 sprays to the head, 5 sprays per arm, 2 spray per hand and 8 sprays per leg, once or twice daily.</w:t>
            </w:r>
          </w:p>
          <w:p w14:paraId="6C0F77E8" w14:textId="77777777" w:rsidR="00B224B2" w:rsidRPr="009923EC" w:rsidRDefault="00B224B2" w:rsidP="009923EC">
            <w:pPr>
              <w:widowControl w:val="0"/>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Children from 6 to &lt;12 years old: Apply 3 sprays to the head and per arm, and 4 sprays per leg, once or twice daily.</w:t>
            </w:r>
          </w:p>
          <w:p w14:paraId="2877DF6B" w14:textId="26C6549F" w:rsidR="00B224B2" w:rsidRPr="009923EC" w:rsidRDefault="00B224B2" w:rsidP="009923EC">
            <w:pPr>
              <w:widowControl w:val="0"/>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Children from 2 to &lt;6 years</w:t>
            </w:r>
            <w:r w:rsidR="00794E3D">
              <w:rPr>
                <w:rFonts w:cs="Arial"/>
                <w:bCs/>
                <w:color w:val="2E74B5" w:themeColor="accent1" w:themeShade="BF"/>
                <w:lang w:eastAsia="fr-FR"/>
              </w:rPr>
              <w:t xml:space="preserve"> old</w:t>
            </w:r>
            <w:r w:rsidRPr="009923EC">
              <w:rPr>
                <w:rFonts w:cs="Arial"/>
                <w:bCs/>
                <w:color w:val="2E74B5" w:themeColor="accent1" w:themeShade="BF"/>
                <w:lang w:eastAsia="fr-FR"/>
              </w:rPr>
              <w:t>: Apply 3 sprays to the head, 2 sprays per arm and per leg, once a day.</w:t>
            </w:r>
          </w:p>
          <w:p w14:paraId="19C2C126" w14:textId="77777777" w:rsidR="00B224B2" w:rsidRPr="009923EC" w:rsidRDefault="00B224B2" w:rsidP="009923EC">
            <w:pPr>
              <w:widowControl w:val="0"/>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Children 1 to &lt;2 years old: Apply 3 sprays to the head, 1 spray per arm and per leg once a day.</w:t>
            </w:r>
          </w:p>
          <w:p w14:paraId="5F7887E6" w14:textId="26850E4C" w:rsidR="00B224B2" w:rsidRPr="009923EC" w:rsidRDefault="00B224B2" w:rsidP="009923EC">
            <w:pPr>
              <w:widowControl w:val="0"/>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Infants &lt;1 year</w:t>
            </w:r>
            <w:r w:rsidR="00794E3D">
              <w:rPr>
                <w:rFonts w:cs="Arial"/>
                <w:bCs/>
                <w:color w:val="2E74B5" w:themeColor="accent1" w:themeShade="BF"/>
                <w:lang w:eastAsia="fr-FR"/>
              </w:rPr>
              <w:t xml:space="preserve"> old</w:t>
            </w:r>
            <w:r w:rsidRPr="009923EC">
              <w:rPr>
                <w:rFonts w:cs="Arial"/>
                <w:bCs/>
                <w:color w:val="2E74B5" w:themeColor="accent1" w:themeShade="BF"/>
                <w:lang w:eastAsia="fr-FR"/>
              </w:rPr>
              <w:t>: apply 2 sprays to the head, 1 spray per arm and per leg, once a day.</w:t>
            </w:r>
          </w:p>
          <w:p w14:paraId="2E026C21" w14:textId="5E8CB189" w:rsidR="00B224B2" w:rsidRDefault="00B224B2" w:rsidP="00B224B2">
            <w:pPr>
              <w:widowControl w:val="0"/>
              <w:autoSpaceDE w:val="0"/>
              <w:snapToGrid w:val="0"/>
              <w:spacing w:before="80" w:after="0" w:line="260" w:lineRule="atLeast"/>
              <w:contextualSpacing/>
              <w:jc w:val="both"/>
              <w:rPr>
                <w:rFonts w:eastAsia="Calibri" w:cs="Times"/>
                <w:bCs/>
                <w:color w:val="5B9BD5" w:themeColor="accent1"/>
                <w:sz w:val="22"/>
                <w:szCs w:val="24"/>
                <w:lang w:eastAsia="sv-SE"/>
              </w:rPr>
            </w:pPr>
          </w:p>
          <w:p w14:paraId="0D047773" w14:textId="77777777" w:rsidR="00727E86" w:rsidRPr="00FF1650" w:rsidRDefault="00727E86" w:rsidP="00727E86">
            <w:pPr>
              <w:widowControl w:val="0"/>
              <w:autoSpaceDE w:val="0"/>
              <w:snapToGrid w:val="0"/>
              <w:spacing w:before="80" w:after="0" w:line="260" w:lineRule="atLeast"/>
              <w:contextualSpacing/>
              <w:jc w:val="both"/>
              <w:rPr>
                <w:rFonts w:cs="Arial"/>
                <w:b/>
                <w:bCs/>
                <w:color w:val="2E74B5" w:themeColor="accent1" w:themeShade="BF"/>
                <w:lang w:eastAsia="fr-FR"/>
              </w:rPr>
            </w:pPr>
            <w:r w:rsidRPr="00FF1650">
              <w:rPr>
                <w:rFonts w:cs="Arial"/>
                <w:b/>
                <w:bCs/>
                <w:color w:val="2E74B5" w:themeColor="accent1" w:themeShade="BF"/>
                <w:lang w:eastAsia="fr-FR"/>
              </w:rPr>
              <w:t>Number of sprays (100ml</w:t>
            </w:r>
            <w:r>
              <w:rPr>
                <w:rFonts w:cs="Arial"/>
                <w:b/>
                <w:bCs/>
                <w:color w:val="2E74B5" w:themeColor="accent1" w:themeShade="BF"/>
                <w:lang w:eastAsia="fr-FR"/>
              </w:rPr>
              <w:t xml:space="preserve"> – 300 µL per spray)</w:t>
            </w:r>
            <w:r w:rsidRPr="00FF1650">
              <w:rPr>
                <w:rFonts w:cs="Arial"/>
                <w:b/>
                <w:bCs/>
                <w:color w:val="2E74B5" w:themeColor="accent1" w:themeShade="BF"/>
                <w:lang w:eastAsia="fr-FR"/>
              </w:rPr>
              <w:t>):</w:t>
            </w:r>
          </w:p>
          <w:p w14:paraId="7F6740E1" w14:textId="77777777" w:rsidR="00727E86" w:rsidRPr="00FF1650" w:rsidRDefault="00727E86" w:rsidP="00727E86">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Adult and children</w:t>
            </w:r>
            <w:r>
              <w:rPr>
                <w:rFonts w:cs="Arial"/>
                <w:bCs/>
                <w:color w:val="2E74B5" w:themeColor="accent1" w:themeShade="BF"/>
                <w:lang w:eastAsia="fr-FR"/>
              </w:rPr>
              <w:t xml:space="preserve"> </w:t>
            </w:r>
            <w:r w:rsidRPr="00FF1650">
              <w:rPr>
                <w:rFonts w:cs="Arial"/>
                <w:bCs/>
                <w:color w:val="2E74B5" w:themeColor="accent1" w:themeShade="BF"/>
                <w:lang w:eastAsia="fr-FR"/>
              </w:rPr>
              <w:t>&gt;12 years</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Pr>
                <w:rFonts w:cs="Arial"/>
                <w:bCs/>
                <w:color w:val="2E74B5" w:themeColor="accent1" w:themeShade="BF"/>
                <w:lang w:eastAsia="fr-FR"/>
              </w:rPr>
              <w:t>2</w:t>
            </w:r>
            <w:r w:rsidRPr="00FF1650">
              <w:rPr>
                <w:rFonts w:cs="Arial"/>
                <w:bCs/>
                <w:color w:val="2E74B5" w:themeColor="accent1" w:themeShade="BF"/>
                <w:lang w:eastAsia="fr-FR"/>
              </w:rPr>
              <w:t xml:space="preserve"> sprays to the head, </w:t>
            </w:r>
            <w:r>
              <w:rPr>
                <w:rFonts w:cs="Arial"/>
                <w:bCs/>
                <w:color w:val="2E74B5" w:themeColor="accent1" w:themeShade="BF"/>
                <w:lang w:eastAsia="fr-FR"/>
              </w:rPr>
              <w:t>2</w:t>
            </w:r>
            <w:r w:rsidRPr="00FF1650">
              <w:rPr>
                <w:rFonts w:cs="Arial"/>
                <w:bCs/>
                <w:color w:val="2E74B5" w:themeColor="accent1" w:themeShade="BF"/>
                <w:lang w:eastAsia="fr-FR"/>
              </w:rPr>
              <w:t xml:space="preserve"> sprays per arm, </w:t>
            </w:r>
            <w:r>
              <w:rPr>
                <w:rFonts w:cs="Arial"/>
                <w:bCs/>
                <w:color w:val="2E74B5" w:themeColor="accent1" w:themeShade="BF"/>
                <w:lang w:eastAsia="fr-FR"/>
              </w:rPr>
              <w:t>1</w:t>
            </w:r>
            <w:r w:rsidRPr="00FF1650">
              <w:rPr>
                <w:rFonts w:cs="Arial"/>
                <w:bCs/>
                <w:color w:val="2E74B5" w:themeColor="accent1" w:themeShade="BF"/>
                <w:lang w:eastAsia="fr-FR"/>
              </w:rPr>
              <w:t xml:space="preserve"> spray per hand and </w:t>
            </w:r>
            <w:r>
              <w:rPr>
                <w:rFonts w:cs="Arial"/>
                <w:bCs/>
                <w:color w:val="2E74B5" w:themeColor="accent1" w:themeShade="BF"/>
                <w:lang w:eastAsia="fr-FR"/>
              </w:rPr>
              <w:t>3</w:t>
            </w:r>
            <w:r w:rsidRPr="00FF1650">
              <w:rPr>
                <w:rFonts w:cs="Arial"/>
                <w:bCs/>
                <w:color w:val="2E74B5" w:themeColor="accent1" w:themeShade="BF"/>
                <w:lang w:eastAsia="fr-FR"/>
              </w:rPr>
              <w:t xml:space="preserve"> sprays per leg, once or twice daily.</w:t>
            </w:r>
          </w:p>
          <w:p w14:paraId="3730EA3B" w14:textId="77777777" w:rsidR="00727E86" w:rsidRPr="00FF1650" w:rsidRDefault="00727E86" w:rsidP="00727E86">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6 to &lt;12 years</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Pr>
                <w:rFonts w:cs="Arial"/>
                <w:bCs/>
                <w:color w:val="2E74B5" w:themeColor="accent1" w:themeShade="BF"/>
                <w:lang w:eastAsia="fr-FR"/>
              </w:rPr>
              <w:t>1</w:t>
            </w:r>
            <w:r w:rsidRPr="00FF1650">
              <w:rPr>
                <w:rFonts w:cs="Arial"/>
                <w:bCs/>
                <w:color w:val="2E74B5" w:themeColor="accent1" w:themeShade="BF"/>
                <w:lang w:eastAsia="fr-FR"/>
              </w:rPr>
              <w:t xml:space="preserve"> spray to the head and per arm, and </w:t>
            </w:r>
            <w:r>
              <w:rPr>
                <w:rFonts w:cs="Arial"/>
                <w:bCs/>
                <w:color w:val="2E74B5" w:themeColor="accent1" w:themeShade="BF"/>
                <w:lang w:eastAsia="fr-FR"/>
              </w:rPr>
              <w:t>2</w:t>
            </w:r>
            <w:r w:rsidRPr="00FF1650">
              <w:rPr>
                <w:rFonts w:cs="Arial"/>
                <w:bCs/>
                <w:color w:val="2E74B5" w:themeColor="accent1" w:themeShade="BF"/>
                <w:lang w:eastAsia="fr-FR"/>
              </w:rPr>
              <w:t xml:space="preserve"> sprays per leg, once or twice daily.</w:t>
            </w:r>
          </w:p>
          <w:p w14:paraId="6A96A1E3" w14:textId="77777777" w:rsidR="00727E86" w:rsidRPr="00FF1650" w:rsidRDefault="00727E86" w:rsidP="00727E86">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from 2 to &lt;6 years</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Pr>
                <w:rFonts w:cs="Arial"/>
                <w:bCs/>
                <w:color w:val="2E74B5" w:themeColor="accent1" w:themeShade="BF"/>
                <w:lang w:eastAsia="fr-FR"/>
              </w:rPr>
              <w:t>1</w:t>
            </w:r>
            <w:r w:rsidRPr="00FF1650">
              <w:rPr>
                <w:rFonts w:cs="Arial"/>
                <w:bCs/>
                <w:color w:val="2E74B5" w:themeColor="accent1" w:themeShade="BF"/>
                <w:lang w:eastAsia="fr-FR"/>
              </w:rPr>
              <w:t xml:space="preserve"> spray to the head, </w:t>
            </w:r>
            <w:r>
              <w:rPr>
                <w:rFonts w:cs="Arial"/>
                <w:bCs/>
                <w:color w:val="2E74B5" w:themeColor="accent1" w:themeShade="BF"/>
                <w:lang w:eastAsia="fr-FR"/>
              </w:rPr>
              <w:t>1</w:t>
            </w:r>
            <w:r w:rsidRPr="00FF1650">
              <w:rPr>
                <w:rFonts w:cs="Arial"/>
                <w:bCs/>
                <w:color w:val="2E74B5" w:themeColor="accent1" w:themeShade="BF"/>
                <w:lang w:eastAsia="fr-FR"/>
              </w:rPr>
              <w:t xml:space="preserve"> sprays per arm and per leg, once a day.</w:t>
            </w:r>
          </w:p>
          <w:p w14:paraId="2FCD741B" w14:textId="77777777" w:rsidR="00727E86" w:rsidRPr="00FF1650" w:rsidRDefault="00727E86" w:rsidP="00727E86">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Children 1 to &lt;2 years</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Pr>
                <w:rFonts w:cs="Arial"/>
                <w:bCs/>
                <w:color w:val="2E74B5" w:themeColor="accent1" w:themeShade="BF"/>
                <w:lang w:eastAsia="fr-FR"/>
              </w:rPr>
              <w:t>1</w:t>
            </w:r>
            <w:r w:rsidRPr="00FF1650">
              <w:rPr>
                <w:rFonts w:cs="Arial"/>
                <w:bCs/>
                <w:color w:val="2E74B5" w:themeColor="accent1" w:themeShade="BF"/>
                <w:lang w:eastAsia="fr-FR"/>
              </w:rPr>
              <w:t xml:space="preserve"> spray to the head, 1 spray per arm and per leg once a day.</w:t>
            </w:r>
          </w:p>
          <w:p w14:paraId="77EC0633" w14:textId="77777777" w:rsidR="00727E86" w:rsidRPr="00FF1650" w:rsidRDefault="00727E86" w:rsidP="00727E86">
            <w:pPr>
              <w:widowControl w:val="0"/>
              <w:autoSpaceDE w:val="0"/>
              <w:snapToGrid w:val="0"/>
              <w:spacing w:before="80" w:after="0" w:line="260" w:lineRule="atLeast"/>
              <w:contextualSpacing/>
              <w:jc w:val="both"/>
              <w:rPr>
                <w:rFonts w:cs="Arial"/>
                <w:bCs/>
                <w:color w:val="2E74B5" w:themeColor="accent1" w:themeShade="BF"/>
                <w:lang w:eastAsia="fr-FR"/>
              </w:rPr>
            </w:pPr>
            <w:r w:rsidRPr="00FF1650">
              <w:rPr>
                <w:rFonts w:cs="Arial"/>
                <w:bCs/>
                <w:color w:val="2E74B5" w:themeColor="accent1" w:themeShade="BF"/>
                <w:lang w:eastAsia="fr-FR"/>
              </w:rPr>
              <w:t>- Infants &lt;1 year</w:t>
            </w:r>
            <w:r>
              <w:rPr>
                <w:rFonts w:cs="Arial"/>
                <w:bCs/>
                <w:color w:val="2E74B5" w:themeColor="accent1" w:themeShade="BF"/>
                <w:lang w:eastAsia="fr-FR"/>
              </w:rPr>
              <w:t xml:space="preserve"> old</w:t>
            </w:r>
            <w:r w:rsidRPr="00FF1650">
              <w:rPr>
                <w:rFonts w:cs="Arial"/>
                <w:bCs/>
                <w:color w:val="2E74B5" w:themeColor="accent1" w:themeShade="BF"/>
                <w:lang w:eastAsia="fr-FR"/>
              </w:rPr>
              <w:t xml:space="preserve">: apply </w:t>
            </w:r>
            <w:r>
              <w:rPr>
                <w:rFonts w:cs="Arial"/>
                <w:bCs/>
                <w:color w:val="2E74B5" w:themeColor="accent1" w:themeShade="BF"/>
                <w:lang w:eastAsia="fr-FR"/>
              </w:rPr>
              <w:t>1</w:t>
            </w:r>
            <w:r w:rsidRPr="00FF1650">
              <w:rPr>
                <w:rFonts w:cs="Arial"/>
                <w:bCs/>
                <w:color w:val="2E74B5" w:themeColor="accent1" w:themeShade="BF"/>
                <w:lang w:eastAsia="fr-FR"/>
              </w:rPr>
              <w:t xml:space="preserve"> spray to the head, 1 spray per arm and per leg, once a day.</w:t>
            </w:r>
          </w:p>
          <w:p w14:paraId="5683B520" w14:textId="1E9CB8E4" w:rsidR="00727E86" w:rsidRDefault="00727E86" w:rsidP="00B224B2">
            <w:pPr>
              <w:widowControl w:val="0"/>
              <w:autoSpaceDE w:val="0"/>
              <w:snapToGrid w:val="0"/>
              <w:spacing w:before="80" w:after="0" w:line="260" w:lineRule="atLeast"/>
              <w:contextualSpacing/>
              <w:jc w:val="both"/>
              <w:rPr>
                <w:rFonts w:eastAsia="Calibri" w:cs="Times"/>
                <w:bCs/>
                <w:color w:val="5B9BD5" w:themeColor="accent1"/>
                <w:sz w:val="22"/>
                <w:szCs w:val="24"/>
                <w:lang w:eastAsia="sv-SE"/>
              </w:rPr>
            </w:pPr>
          </w:p>
          <w:p w14:paraId="7D6DC031" w14:textId="77777777" w:rsidR="00727E86" w:rsidRDefault="00727E86" w:rsidP="00B224B2">
            <w:pPr>
              <w:widowControl w:val="0"/>
              <w:autoSpaceDE w:val="0"/>
              <w:snapToGrid w:val="0"/>
              <w:spacing w:before="80" w:after="0" w:line="260" w:lineRule="atLeast"/>
              <w:contextualSpacing/>
              <w:jc w:val="both"/>
              <w:rPr>
                <w:rFonts w:eastAsia="Calibri" w:cs="Times"/>
                <w:bCs/>
                <w:color w:val="5B9BD5" w:themeColor="accent1"/>
                <w:sz w:val="22"/>
                <w:szCs w:val="24"/>
                <w:lang w:eastAsia="sv-SE"/>
              </w:rPr>
            </w:pPr>
          </w:p>
          <w:p w14:paraId="2DFB0535" w14:textId="77777777" w:rsidR="00B224B2" w:rsidRPr="009923EC" w:rsidRDefault="00B224B2" w:rsidP="009923EC">
            <w:pPr>
              <w:widowControl w:val="0"/>
              <w:autoSpaceDE w:val="0"/>
              <w:snapToGrid w:val="0"/>
              <w:spacing w:before="0" w:after="0" w:line="260" w:lineRule="atLeast"/>
              <w:jc w:val="both"/>
              <w:rPr>
                <w:rFonts w:cs="Arial"/>
                <w:b/>
                <w:bCs/>
                <w:color w:val="2E74B5" w:themeColor="accent1" w:themeShade="BF"/>
                <w:lang w:eastAsia="fr-FR"/>
              </w:rPr>
            </w:pPr>
            <w:r w:rsidRPr="009923EC">
              <w:rPr>
                <w:rFonts w:cs="Arial"/>
                <w:b/>
                <w:bCs/>
                <w:color w:val="2E74B5" w:themeColor="accent1" w:themeShade="BF"/>
                <w:lang w:eastAsia="fr-FR"/>
              </w:rPr>
              <w:t>Number of sprays (250ml):</w:t>
            </w:r>
          </w:p>
          <w:p w14:paraId="12038638" w14:textId="08724C77" w:rsidR="00B224B2" w:rsidRPr="009923EC" w:rsidRDefault="00B224B2" w:rsidP="009923EC">
            <w:pPr>
              <w:widowControl w:val="0"/>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Adult and children</w:t>
            </w:r>
            <w:r w:rsidR="00794E3D">
              <w:rPr>
                <w:rFonts w:cs="Arial"/>
                <w:bCs/>
                <w:color w:val="2E74B5" w:themeColor="accent1" w:themeShade="BF"/>
                <w:lang w:eastAsia="fr-FR"/>
              </w:rPr>
              <w:t xml:space="preserve"> </w:t>
            </w:r>
            <w:r w:rsidRPr="009923EC">
              <w:rPr>
                <w:rFonts w:cs="Arial"/>
                <w:bCs/>
                <w:color w:val="2E74B5" w:themeColor="accent1" w:themeShade="BF"/>
                <w:lang w:eastAsia="fr-FR"/>
              </w:rPr>
              <w:t>&gt;12 years</w:t>
            </w:r>
            <w:r w:rsidR="00794E3D">
              <w:rPr>
                <w:rFonts w:cs="Arial"/>
                <w:bCs/>
                <w:color w:val="2E74B5" w:themeColor="accent1" w:themeShade="BF"/>
                <w:lang w:eastAsia="fr-FR"/>
              </w:rPr>
              <w:t xml:space="preserve"> old</w:t>
            </w:r>
            <w:r w:rsidRPr="009923EC">
              <w:rPr>
                <w:rFonts w:cs="Arial"/>
                <w:bCs/>
                <w:color w:val="2E74B5" w:themeColor="accent1" w:themeShade="BF"/>
                <w:lang w:eastAsia="fr-FR"/>
              </w:rPr>
              <w:t>: apply 1 spray to the head, 1 spray per arm, 1 spray per hand and 2 sprays per leg, once or twice daily.</w:t>
            </w:r>
          </w:p>
          <w:p w14:paraId="2C40BC28" w14:textId="77777777" w:rsidR="00B224B2" w:rsidRPr="009923EC" w:rsidRDefault="00B224B2" w:rsidP="009923EC">
            <w:pPr>
              <w:widowControl w:val="0"/>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Children from 6 to &lt;12 years old: Apply 1 spray to the head, 1 spray per arm, and 1 spray per leg, once or twice daily.</w:t>
            </w:r>
          </w:p>
          <w:p w14:paraId="4A7F0BA5" w14:textId="5C85D44A" w:rsidR="00B224B2" w:rsidRPr="009923EC" w:rsidRDefault="00B224B2" w:rsidP="009923EC">
            <w:pPr>
              <w:widowControl w:val="0"/>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Children from 2 to &lt;6 years</w:t>
            </w:r>
            <w:r w:rsidR="00794E3D">
              <w:rPr>
                <w:rFonts w:cs="Arial"/>
                <w:bCs/>
                <w:color w:val="2E74B5" w:themeColor="accent1" w:themeShade="BF"/>
                <w:lang w:eastAsia="fr-FR"/>
              </w:rPr>
              <w:t xml:space="preserve"> old</w:t>
            </w:r>
            <w:r w:rsidRPr="009923EC">
              <w:rPr>
                <w:rFonts w:cs="Arial"/>
                <w:bCs/>
                <w:color w:val="2E74B5" w:themeColor="accent1" w:themeShade="BF"/>
                <w:lang w:eastAsia="fr-FR"/>
              </w:rPr>
              <w:t>: Apply 1 spray to the head, 1 spray per arm and 1 spray per leg, once a day.</w:t>
            </w:r>
          </w:p>
          <w:p w14:paraId="06EE8CDD" w14:textId="77777777" w:rsidR="00B224B2" w:rsidRPr="009923EC" w:rsidRDefault="00B224B2" w:rsidP="009923EC">
            <w:pPr>
              <w:widowControl w:val="0"/>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Children 1 to &lt;2 years old: Apply 1 spray for both arms and 1 spray for both legs once a day.</w:t>
            </w:r>
          </w:p>
          <w:p w14:paraId="5C14C044" w14:textId="2A97BF78" w:rsidR="007A2E20" w:rsidRPr="009923EC" w:rsidRDefault="00B224B2" w:rsidP="009923EC">
            <w:pPr>
              <w:widowControl w:val="0"/>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Infants &lt;1 year</w:t>
            </w:r>
            <w:r w:rsidR="00794E3D">
              <w:rPr>
                <w:rFonts w:cs="Arial"/>
                <w:bCs/>
                <w:color w:val="2E74B5" w:themeColor="accent1" w:themeShade="BF"/>
                <w:lang w:eastAsia="fr-FR"/>
              </w:rPr>
              <w:t xml:space="preserve"> old</w:t>
            </w:r>
            <w:r w:rsidRPr="009923EC">
              <w:rPr>
                <w:rFonts w:cs="Arial"/>
                <w:bCs/>
                <w:color w:val="2E74B5" w:themeColor="accent1" w:themeShade="BF"/>
                <w:lang w:eastAsia="fr-FR"/>
              </w:rPr>
              <w:t>: apply 1 spray for the body, once a day.</w:t>
            </w:r>
          </w:p>
        </w:tc>
      </w:tr>
    </w:tbl>
    <w:p w14:paraId="3F87DFD2" w14:textId="77777777" w:rsidR="007F63F1" w:rsidRDefault="007F63F1" w:rsidP="007F63F1">
      <w:pPr>
        <w:pStyle w:val="Titre5"/>
        <w:numPr>
          <w:ilvl w:val="4"/>
          <w:numId w:val="30"/>
        </w:numPr>
        <w:suppressAutoHyphens/>
        <w:spacing w:before="255" w:after="80" w:line="255" w:lineRule="exact"/>
        <w:rPr>
          <w:rFonts w:cs="Times"/>
          <w:bCs/>
          <w:szCs w:val="29"/>
        </w:rPr>
      </w:pPr>
      <w:bookmarkStart w:id="92" w:name="_Toc93326515"/>
      <w:r>
        <w:lastRenderedPageBreak/>
        <w:t>Use-specific risk mitigation measures</w:t>
      </w:r>
      <w:bookmarkEnd w:id="92"/>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14:paraId="1DA08795"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7228FA28" w14:textId="77777777" w:rsidR="008A0CE0" w:rsidRDefault="008A0CE0" w:rsidP="008A0CE0">
            <w:pPr>
              <w:pStyle w:val="Paragraphedeliste"/>
              <w:widowControl w:val="0"/>
              <w:numPr>
                <w:ilvl w:val="0"/>
                <w:numId w:val="71"/>
              </w:numPr>
              <w:autoSpaceDE w:val="0"/>
              <w:autoSpaceDN w:val="0"/>
              <w:adjustRightInd w:val="0"/>
              <w:spacing w:before="0" w:after="0"/>
              <w:contextualSpacing w:val="0"/>
              <w:jc w:val="both"/>
              <w:rPr>
                <w:shd w:val="clear" w:color="auto" w:fill="FFFFFF" w:themeFill="background1"/>
              </w:rPr>
            </w:pPr>
            <w:r w:rsidRPr="000F2CED">
              <w:rPr>
                <w:shd w:val="clear" w:color="auto" w:fill="FFFFFF" w:themeFill="background1"/>
              </w:rPr>
              <w:t>Do not apply directly on the face, spray the product in the hand and then spread it onto the face.</w:t>
            </w:r>
          </w:p>
          <w:p w14:paraId="2911C472" w14:textId="51F48C60" w:rsidR="008A0CE0" w:rsidRPr="000F2CED" w:rsidRDefault="008A0CE0" w:rsidP="008A0CE0">
            <w:pPr>
              <w:pStyle w:val="Paragraphedeliste"/>
              <w:widowControl w:val="0"/>
              <w:numPr>
                <w:ilvl w:val="0"/>
                <w:numId w:val="71"/>
              </w:numPr>
              <w:autoSpaceDE w:val="0"/>
              <w:autoSpaceDN w:val="0"/>
              <w:adjustRightInd w:val="0"/>
              <w:spacing w:before="0" w:after="0"/>
              <w:contextualSpacing w:val="0"/>
              <w:jc w:val="both"/>
              <w:rPr>
                <w:shd w:val="clear" w:color="auto" w:fill="FFFFFF" w:themeFill="background1"/>
              </w:rPr>
            </w:pPr>
            <w:r w:rsidRPr="000F2CED">
              <w:rPr>
                <w:shd w:val="clear" w:color="auto" w:fill="FFFFFF" w:themeFill="background1"/>
              </w:rPr>
              <w:t>Do not apply on the eye area</w:t>
            </w:r>
            <w:r w:rsidR="009923EC">
              <w:rPr>
                <w:shd w:val="clear" w:color="auto" w:fill="FFFFFF" w:themeFill="background1"/>
              </w:rPr>
              <w:t>.</w:t>
            </w:r>
          </w:p>
          <w:p w14:paraId="511CC627" w14:textId="17ECC28C" w:rsidR="006E50DF" w:rsidRPr="006E50DF" w:rsidRDefault="006E50DF" w:rsidP="006E50DF">
            <w:pPr>
              <w:pStyle w:val="Paragraphedeliste"/>
              <w:numPr>
                <w:ilvl w:val="0"/>
                <w:numId w:val="31"/>
              </w:numPr>
              <w:rPr>
                <w:rFonts w:cs="Arial"/>
                <w:bCs/>
                <w:color w:val="000000"/>
                <w:lang w:eastAsia="fr-FR"/>
              </w:rPr>
            </w:pPr>
            <w:r w:rsidRPr="007E29F8">
              <w:rPr>
                <w:shd w:val="clear" w:color="auto" w:fill="FFFFFF" w:themeFill="background1"/>
              </w:rPr>
              <w:lastRenderedPageBreak/>
              <w:t>When the biocidal product is applied to children</w:t>
            </w:r>
            <w:r w:rsidR="00B224B2">
              <w:rPr>
                <w:shd w:val="clear" w:color="auto" w:fill="FFFFFF" w:themeFill="background1"/>
              </w:rPr>
              <w:t xml:space="preserve"> under 12 years</w:t>
            </w:r>
            <w:r w:rsidRPr="007E29F8">
              <w:rPr>
                <w:shd w:val="clear" w:color="auto" w:fill="FFFFFF" w:themeFill="background1"/>
              </w:rPr>
              <w:t>, the product should be applied by an adult</w:t>
            </w:r>
            <w:r w:rsidR="009923EC">
              <w:rPr>
                <w:rFonts w:cs="Arial"/>
                <w:bCs/>
                <w:color w:val="000000"/>
                <w:lang w:eastAsia="fr-FR"/>
              </w:rPr>
              <w:t>.</w:t>
            </w:r>
          </w:p>
          <w:p w14:paraId="7C1C41AD" w14:textId="77777777" w:rsidR="0010045B" w:rsidRDefault="0010045B" w:rsidP="006E50DF">
            <w:pPr>
              <w:rPr>
                <w:rFonts w:cs="Arial"/>
                <w:bCs/>
                <w:color w:val="000000"/>
                <w:lang w:eastAsia="fr-FR"/>
              </w:rPr>
            </w:pPr>
          </w:p>
          <w:p w14:paraId="57EA9B83" w14:textId="5BE1AFA5" w:rsidR="006E50DF" w:rsidRPr="00EA7018" w:rsidRDefault="006E50DF" w:rsidP="006E50DF">
            <w:pPr>
              <w:rPr>
                <w:rFonts w:cs="Arial"/>
                <w:bCs/>
                <w:color w:val="000000"/>
                <w:lang w:eastAsia="fr-FR"/>
              </w:rPr>
            </w:pPr>
            <w:r>
              <w:rPr>
                <w:rFonts w:cs="Arial"/>
                <w:bCs/>
                <w:color w:val="000000"/>
                <w:lang w:eastAsia="fr-FR"/>
              </w:rPr>
              <w:t>EU only:</w:t>
            </w:r>
          </w:p>
          <w:p w14:paraId="282AD702" w14:textId="08AF9373" w:rsidR="006E50DF" w:rsidRPr="00C11F5D" w:rsidRDefault="006E50DF" w:rsidP="006E50DF">
            <w:pPr>
              <w:pStyle w:val="Paragraphedeliste"/>
              <w:numPr>
                <w:ilvl w:val="0"/>
                <w:numId w:val="31"/>
              </w:numPr>
              <w:rPr>
                <w:rFonts w:cs="Arial"/>
                <w:bCs/>
                <w:color w:val="000000"/>
                <w:lang w:eastAsia="fr-FR"/>
              </w:rPr>
            </w:pPr>
            <w:r>
              <w:rPr>
                <w:rFonts w:cs="Arial"/>
                <w:bCs/>
                <w:color w:val="000000"/>
                <w:lang w:eastAsia="fr-FR"/>
              </w:rPr>
              <w:t>Apply only one time per day</w:t>
            </w:r>
            <w:r w:rsidR="009923EC">
              <w:rPr>
                <w:rFonts w:cs="Arial"/>
                <w:bCs/>
                <w:color w:val="000000"/>
                <w:lang w:eastAsia="fr-FR"/>
              </w:rPr>
              <w:t>.</w:t>
            </w:r>
            <w:r w:rsidR="00C11F5D">
              <w:rPr>
                <w:rFonts w:cs="Arial"/>
                <w:bCs/>
                <w:color w:val="000000"/>
                <w:lang w:eastAsia="fr-FR"/>
              </w:rPr>
              <w:t xml:space="preserve"> </w:t>
            </w:r>
            <w:r w:rsidR="00C11F5D">
              <w:rPr>
                <w:rFonts w:cs="Arial"/>
                <w:spacing w:val="1"/>
                <w:lang w:eastAsia="fr-FR"/>
              </w:rPr>
              <w:t>Do</w:t>
            </w:r>
            <w:r w:rsidRPr="00D66F4F">
              <w:t xml:space="preserve"> not apply the product simultaneously on the skin </w:t>
            </w:r>
            <w:r w:rsidR="00C11F5D">
              <w:t xml:space="preserve">of children </w:t>
            </w:r>
            <w:r w:rsidR="00C11F5D">
              <w:rPr>
                <w:rFonts w:cs="Arial"/>
                <w:spacing w:val="1"/>
                <w:lang w:eastAsia="fr-FR"/>
              </w:rPr>
              <w:t>under 6 years</w:t>
            </w:r>
            <w:r w:rsidR="00C11F5D">
              <w:t xml:space="preserve"> </w:t>
            </w:r>
            <w:r w:rsidRPr="00D66F4F">
              <w:t>and on</w:t>
            </w:r>
            <w:r w:rsidR="00C11F5D">
              <w:t xml:space="preserve"> their</w:t>
            </w:r>
            <w:r w:rsidRPr="00D66F4F">
              <w:t xml:space="preserve"> clothes.</w:t>
            </w:r>
          </w:p>
          <w:p w14:paraId="19E02E67" w14:textId="4F531113" w:rsidR="00C11F5D" w:rsidRPr="00C11F5D" w:rsidRDefault="00C11F5D" w:rsidP="00C11F5D">
            <w:pPr>
              <w:pStyle w:val="Paragraphedeliste"/>
              <w:numPr>
                <w:ilvl w:val="0"/>
                <w:numId w:val="31"/>
              </w:numPr>
              <w:rPr>
                <w:rFonts w:cs="Arial"/>
                <w:bCs/>
                <w:color w:val="000000"/>
                <w:lang w:eastAsia="fr-FR"/>
              </w:rPr>
            </w:pPr>
            <w:r w:rsidRPr="00C11F5D">
              <w:rPr>
                <w:rFonts w:cs="Arial"/>
                <w:bCs/>
                <w:color w:val="000000"/>
                <w:lang w:eastAsia="fr-FR"/>
              </w:rPr>
              <w:t xml:space="preserve">For adult and children more than </w:t>
            </w:r>
            <w:r w:rsidR="002C7556">
              <w:rPr>
                <w:rFonts w:cs="Arial"/>
                <w:bCs/>
                <w:color w:val="000000"/>
                <w:lang w:eastAsia="fr-FR"/>
              </w:rPr>
              <w:t>6</w:t>
            </w:r>
            <w:r w:rsidRPr="00C11F5D">
              <w:rPr>
                <w:rFonts w:cs="Arial"/>
                <w:bCs/>
                <w:color w:val="000000"/>
                <w:lang w:eastAsia="fr-FR"/>
              </w:rPr>
              <w:t xml:space="preserve"> years, do not apply the product on skin under clothes.</w:t>
            </w:r>
          </w:p>
          <w:p w14:paraId="0E871F7A" w14:textId="77777777" w:rsidR="006E50DF" w:rsidRPr="007E29F8" w:rsidRDefault="006E50DF" w:rsidP="0053704B">
            <w:pPr>
              <w:pStyle w:val="Paragraphedeliste"/>
              <w:rPr>
                <w:rFonts w:cs="Arial"/>
                <w:bCs/>
                <w:color w:val="000000"/>
                <w:lang w:eastAsia="fr-FR"/>
              </w:rPr>
            </w:pPr>
          </w:p>
          <w:p w14:paraId="70CF4430" w14:textId="77777777" w:rsidR="006E50DF" w:rsidRPr="007E29F8" w:rsidRDefault="006E50DF" w:rsidP="006E50DF">
            <w:pPr>
              <w:spacing w:before="0" w:after="0"/>
              <w:contextualSpacing/>
              <w:jc w:val="both"/>
              <w:rPr>
                <w:rFonts w:cs="Arial"/>
                <w:bCs/>
                <w:color w:val="2E74B5" w:themeColor="accent1" w:themeShade="BF"/>
                <w:lang w:eastAsia="fr-FR"/>
              </w:rPr>
            </w:pPr>
            <w:r w:rsidRPr="007E29F8">
              <w:rPr>
                <w:rFonts w:cs="Arial"/>
                <w:bCs/>
                <w:color w:val="2E74B5" w:themeColor="accent1" w:themeShade="BF"/>
                <w:lang w:eastAsia="fr-FR"/>
              </w:rPr>
              <w:t>In France only:</w:t>
            </w:r>
          </w:p>
          <w:p w14:paraId="5A77E078" w14:textId="77777777" w:rsidR="006E50DF" w:rsidRDefault="006E50DF" w:rsidP="009923EC">
            <w:pPr>
              <w:pStyle w:val="Paragraphedeliste"/>
              <w:widowControl w:val="0"/>
              <w:numPr>
                <w:ilvl w:val="0"/>
                <w:numId w:val="31"/>
              </w:numPr>
              <w:autoSpaceDE w:val="0"/>
              <w:snapToGrid w:val="0"/>
              <w:spacing w:before="0" w:after="0" w:line="260" w:lineRule="atLeast"/>
              <w:jc w:val="both"/>
              <w:rPr>
                <w:rFonts w:cs="Arial"/>
                <w:bCs/>
                <w:color w:val="2E74B5" w:themeColor="accent1" w:themeShade="BF"/>
                <w:lang w:eastAsia="fr-FR"/>
              </w:rPr>
            </w:pPr>
            <w:r w:rsidRPr="007E29F8">
              <w:rPr>
                <w:rFonts w:cs="Arial"/>
                <w:bCs/>
                <w:color w:val="2E74B5" w:themeColor="accent1" w:themeShade="BF"/>
                <w:lang w:eastAsia="fr-FR"/>
              </w:rPr>
              <w:t>Apply only on head, arms, hands and legs.</w:t>
            </w:r>
          </w:p>
          <w:p w14:paraId="43EB3F53" w14:textId="28788059" w:rsidR="006E50DF" w:rsidRPr="00B224B2" w:rsidRDefault="006E50DF" w:rsidP="009923EC">
            <w:pPr>
              <w:pStyle w:val="Paragraphedeliste"/>
              <w:widowControl w:val="0"/>
              <w:numPr>
                <w:ilvl w:val="0"/>
                <w:numId w:val="31"/>
              </w:numPr>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 xml:space="preserve">For adult and children </w:t>
            </w:r>
            <w:r w:rsidR="00B224B2" w:rsidRPr="009923EC">
              <w:rPr>
                <w:rFonts w:cs="Arial"/>
                <w:bCs/>
                <w:color w:val="2E74B5" w:themeColor="accent1" w:themeShade="BF"/>
                <w:lang w:eastAsia="fr-FR"/>
              </w:rPr>
              <w:t xml:space="preserve">of </w:t>
            </w:r>
            <w:r w:rsidRPr="009923EC">
              <w:rPr>
                <w:rFonts w:cs="Arial"/>
                <w:bCs/>
                <w:color w:val="2E74B5" w:themeColor="accent1" w:themeShade="BF"/>
                <w:lang w:eastAsia="fr-FR"/>
              </w:rPr>
              <w:t xml:space="preserve">6 </w:t>
            </w:r>
            <w:r w:rsidR="00B224B2" w:rsidRPr="009923EC">
              <w:rPr>
                <w:rFonts w:cs="Arial"/>
                <w:bCs/>
                <w:color w:val="2E74B5" w:themeColor="accent1" w:themeShade="BF"/>
                <w:lang w:eastAsia="fr-FR"/>
              </w:rPr>
              <w:t>years and more,</w:t>
            </w:r>
            <w:r w:rsidRPr="009923EC">
              <w:rPr>
                <w:rFonts w:cs="Arial"/>
                <w:bCs/>
                <w:color w:val="2E74B5" w:themeColor="accent1" w:themeShade="BF"/>
                <w:lang w:eastAsia="fr-FR"/>
              </w:rPr>
              <w:t xml:space="preserve"> apply up to two times per day</w:t>
            </w:r>
            <w:r w:rsidR="009923EC">
              <w:rPr>
                <w:rFonts w:cs="Arial"/>
                <w:bCs/>
                <w:color w:val="2E74B5" w:themeColor="accent1" w:themeShade="BF"/>
                <w:lang w:eastAsia="fr-FR"/>
              </w:rPr>
              <w:t>.</w:t>
            </w:r>
          </w:p>
          <w:p w14:paraId="32E923ED" w14:textId="589CEED9" w:rsidR="006E50DF" w:rsidRPr="00B224B2" w:rsidRDefault="006E50DF" w:rsidP="009923EC">
            <w:pPr>
              <w:pStyle w:val="Paragraphedeliste"/>
              <w:widowControl w:val="0"/>
              <w:numPr>
                <w:ilvl w:val="0"/>
                <w:numId w:val="31"/>
              </w:numPr>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For children younger than 6 years, apply one time per day</w:t>
            </w:r>
            <w:r w:rsidR="009923EC">
              <w:rPr>
                <w:rFonts w:cs="Arial"/>
                <w:bCs/>
                <w:color w:val="2E74B5" w:themeColor="accent1" w:themeShade="BF"/>
                <w:lang w:eastAsia="fr-FR"/>
              </w:rPr>
              <w:t>.</w:t>
            </w:r>
          </w:p>
          <w:p w14:paraId="35140D98" w14:textId="42C2EA15" w:rsidR="006E50DF" w:rsidRPr="00B224B2" w:rsidRDefault="006E50DF" w:rsidP="009923EC">
            <w:pPr>
              <w:pStyle w:val="Paragraphedeliste"/>
              <w:widowControl w:val="0"/>
              <w:numPr>
                <w:ilvl w:val="0"/>
                <w:numId w:val="31"/>
              </w:numPr>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For adult and children of 6 years and more, if the product is used in combination with clothes treatment, do not apply the product on skin more than one time per day and do not apply the product on skin under clothes.</w:t>
            </w:r>
          </w:p>
          <w:p w14:paraId="5AA240E5" w14:textId="544493E5" w:rsidR="007A2E20" w:rsidRPr="009923EC" w:rsidRDefault="006E50DF" w:rsidP="009923EC">
            <w:pPr>
              <w:pStyle w:val="Paragraphedeliste"/>
              <w:widowControl w:val="0"/>
              <w:numPr>
                <w:ilvl w:val="0"/>
                <w:numId w:val="31"/>
              </w:numPr>
              <w:autoSpaceDE w:val="0"/>
              <w:snapToGrid w:val="0"/>
              <w:spacing w:before="0" w:after="0" w:line="260" w:lineRule="atLeast"/>
              <w:jc w:val="both"/>
              <w:rPr>
                <w:rFonts w:cs="Arial"/>
                <w:bCs/>
                <w:color w:val="2E74B5" w:themeColor="accent1" w:themeShade="BF"/>
                <w:lang w:eastAsia="fr-FR"/>
              </w:rPr>
            </w:pPr>
            <w:r w:rsidRPr="009923EC">
              <w:rPr>
                <w:rFonts w:cs="Arial"/>
                <w:bCs/>
                <w:color w:val="2E74B5" w:themeColor="accent1" w:themeShade="BF"/>
                <w:lang w:eastAsia="fr-FR"/>
              </w:rPr>
              <w:t>Do not apply the product simultaneously on the skin of children younger than 6 years and on their clothes.</w:t>
            </w:r>
          </w:p>
        </w:tc>
      </w:tr>
    </w:tbl>
    <w:p w14:paraId="327E124E" w14:textId="77777777" w:rsidR="007F63F1" w:rsidRDefault="007F63F1" w:rsidP="007F63F1">
      <w:pPr>
        <w:pStyle w:val="Titre5"/>
        <w:numPr>
          <w:ilvl w:val="4"/>
          <w:numId w:val="30"/>
        </w:numPr>
        <w:suppressAutoHyphens/>
        <w:spacing w:before="255" w:after="80" w:line="255" w:lineRule="exact"/>
        <w:rPr>
          <w:rFonts w:cs="Times"/>
          <w:bCs/>
          <w:szCs w:val="29"/>
        </w:rPr>
      </w:pPr>
      <w:bookmarkStart w:id="93" w:name="_Toc93326516"/>
      <w:r>
        <w:lastRenderedPageBreak/>
        <w:t>Where specific to the use, the particulars of likely direct or indirect effects, first aid instructions and emergency measures to protect the environment</w:t>
      </w:r>
      <w:bookmarkEnd w:id="9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3E18F003"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29911680" w14:textId="468C7B7B" w:rsidR="007F63F1" w:rsidRDefault="00D8630D" w:rsidP="00CE67B2">
            <w:pPr>
              <w:widowControl w:val="0"/>
              <w:autoSpaceDE w:val="0"/>
              <w:snapToGrid w:val="0"/>
              <w:spacing w:before="80" w:line="254" w:lineRule="auto"/>
              <w:rPr>
                <w:rFonts w:cs="Times"/>
                <w:bCs/>
                <w:szCs w:val="29"/>
              </w:rPr>
            </w:pPr>
            <w:r>
              <w:rPr>
                <w:rFonts w:cs="Times"/>
                <w:bCs/>
                <w:szCs w:val="29"/>
              </w:rPr>
              <w:t>-</w:t>
            </w:r>
          </w:p>
        </w:tc>
      </w:tr>
    </w:tbl>
    <w:p w14:paraId="5DBC6FD1" w14:textId="77777777" w:rsidR="007F63F1" w:rsidRDefault="007F63F1" w:rsidP="007F63F1">
      <w:pPr>
        <w:pStyle w:val="Titre5"/>
        <w:numPr>
          <w:ilvl w:val="4"/>
          <w:numId w:val="30"/>
        </w:numPr>
        <w:suppressAutoHyphens/>
        <w:spacing w:before="255" w:after="80" w:line="255" w:lineRule="exact"/>
        <w:rPr>
          <w:rFonts w:cs="Times"/>
          <w:bCs/>
          <w:szCs w:val="29"/>
        </w:rPr>
      </w:pPr>
      <w:bookmarkStart w:id="94" w:name="_Toc93326517"/>
      <w:r>
        <w:t>Where specific to the use, the instructions for safe disposal of the product and its packaging</w:t>
      </w:r>
      <w:bookmarkEnd w:id="94"/>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107DF6E1"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211A7EC4" w14:textId="75C2427C" w:rsidR="007F63F1" w:rsidRDefault="00D8630D" w:rsidP="007F63F1">
            <w:pPr>
              <w:widowControl w:val="0"/>
              <w:autoSpaceDE w:val="0"/>
              <w:snapToGrid w:val="0"/>
              <w:spacing w:before="80" w:line="254" w:lineRule="auto"/>
              <w:rPr>
                <w:rFonts w:cs="Times"/>
                <w:bCs/>
                <w:szCs w:val="29"/>
              </w:rPr>
            </w:pPr>
            <w:r>
              <w:rPr>
                <w:rFonts w:cs="Times"/>
                <w:bCs/>
                <w:szCs w:val="29"/>
              </w:rPr>
              <w:t>-</w:t>
            </w:r>
          </w:p>
        </w:tc>
      </w:tr>
    </w:tbl>
    <w:p w14:paraId="4B74C8C4" w14:textId="77777777" w:rsidR="007F63F1" w:rsidRDefault="007F63F1" w:rsidP="007F63F1">
      <w:pPr>
        <w:pStyle w:val="Titre5"/>
        <w:numPr>
          <w:ilvl w:val="4"/>
          <w:numId w:val="30"/>
        </w:numPr>
        <w:suppressAutoHyphens/>
        <w:spacing w:before="255" w:after="80" w:line="255" w:lineRule="exact"/>
        <w:rPr>
          <w:rFonts w:cs="Times"/>
          <w:bCs/>
          <w:szCs w:val="29"/>
        </w:rPr>
      </w:pPr>
      <w:bookmarkStart w:id="95" w:name="_Toc93326518"/>
      <w:r>
        <w:t>Where specific to the use, the conditions of storage and shelf-life of the product under normal conditions of storage</w:t>
      </w:r>
      <w:bookmarkEnd w:id="9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F63F1" w:rsidRPr="008766C7" w14:paraId="6A76A8B6" w14:textId="77777777" w:rsidTr="007F63F1">
        <w:tc>
          <w:tcPr>
            <w:tcW w:w="9036" w:type="dxa"/>
            <w:tcBorders>
              <w:top w:val="single" w:sz="4" w:space="0" w:color="000000"/>
              <w:left w:val="single" w:sz="4" w:space="0" w:color="000000"/>
              <w:bottom w:val="single" w:sz="4" w:space="0" w:color="000000"/>
              <w:right w:val="single" w:sz="4" w:space="0" w:color="000000"/>
            </w:tcBorders>
          </w:tcPr>
          <w:p w14:paraId="5A46D56D" w14:textId="2534AABA" w:rsidR="007F63F1" w:rsidRDefault="00D8630D" w:rsidP="007F63F1">
            <w:pPr>
              <w:widowControl w:val="0"/>
              <w:autoSpaceDE w:val="0"/>
              <w:snapToGrid w:val="0"/>
              <w:spacing w:before="80" w:line="254" w:lineRule="auto"/>
              <w:rPr>
                <w:rFonts w:cs="Times"/>
                <w:bCs/>
                <w:szCs w:val="29"/>
              </w:rPr>
            </w:pPr>
            <w:r>
              <w:rPr>
                <w:rFonts w:cs="Times"/>
                <w:bCs/>
                <w:szCs w:val="29"/>
              </w:rPr>
              <w:t>-</w:t>
            </w:r>
          </w:p>
        </w:tc>
      </w:tr>
    </w:tbl>
    <w:p w14:paraId="65334075" w14:textId="4EA8A4ED" w:rsidR="007F63F1" w:rsidRDefault="007F63F1" w:rsidP="007F63F1"/>
    <w:p w14:paraId="36CC0711" w14:textId="77777777" w:rsidR="002D196C" w:rsidRDefault="002D196C" w:rsidP="007F63F1"/>
    <w:bookmarkEnd w:id="39"/>
    <w:bookmarkEnd w:id="47"/>
    <w:p w14:paraId="1576A893" w14:textId="461AB71B" w:rsidR="007F63F1" w:rsidRDefault="007F63F1" w:rsidP="00B50969">
      <w:pPr>
        <w:widowControl w:val="0"/>
        <w:autoSpaceDE w:val="0"/>
        <w:rPr>
          <w:rFonts w:cs="Times"/>
          <w:bCs/>
          <w:szCs w:val="29"/>
        </w:rPr>
      </w:pPr>
    </w:p>
    <w:p w14:paraId="324E55CE" w14:textId="77777777" w:rsidR="00B50969" w:rsidRDefault="00B50969" w:rsidP="00B50969">
      <w:pPr>
        <w:pageBreakBefore/>
        <w:widowControl w:val="0"/>
        <w:autoSpaceDE w:val="0"/>
        <w:rPr>
          <w:rFonts w:cs="Times"/>
          <w:bCs/>
          <w:szCs w:val="29"/>
        </w:rPr>
      </w:pPr>
    </w:p>
    <w:p w14:paraId="023E8839" w14:textId="77777777" w:rsidR="00B50969" w:rsidRDefault="00B50969" w:rsidP="00B50969">
      <w:pPr>
        <w:pStyle w:val="Titre3"/>
        <w:numPr>
          <w:ilvl w:val="2"/>
          <w:numId w:val="29"/>
        </w:numPr>
        <w:tabs>
          <w:tab w:val="clear" w:pos="284"/>
          <w:tab w:val="num" w:pos="0"/>
        </w:tabs>
        <w:suppressAutoHyphens/>
        <w:spacing w:before="0"/>
        <w:ind w:left="720"/>
      </w:pPr>
      <w:bookmarkStart w:id="96" w:name="_Toc2155642"/>
      <w:bookmarkStart w:id="97" w:name="_Toc93326519"/>
      <w:r>
        <w:t>General directions for use</w:t>
      </w:r>
      <w:bookmarkEnd w:id="96"/>
      <w:bookmarkEnd w:id="97"/>
    </w:p>
    <w:p w14:paraId="33FC91A7" w14:textId="77777777" w:rsidR="00B50969" w:rsidRDefault="00B50969" w:rsidP="00B50969">
      <w:pPr>
        <w:pStyle w:val="Titre4"/>
        <w:numPr>
          <w:ilvl w:val="3"/>
          <w:numId w:val="29"/>
        </w:numPr>
        <w:suppressAutoHyphens/>
      </w:pPr>
      <w:bookmarkStart w:id="98" w:name="_Toc2155643"/>
      <w:bookmarkStart w:id="99" w:name="_Toc93326520"/>
      <w:r>
        <w:t>Instructions for use</w:t>
      </w:r>
      <w:r>
        <w:rPr>
          <w:rStyle w:val="Caractresdenotedebasdepage"/>
          <w:sz w:val="20"/>
        </w:rPr>
        <w:footnoteReference w:id="5"/>
      </w:r>
      <w:bookmarkEnd w:id="98"/>
      <w:bookmarkEnd w:id="9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50969" w14:paraId="0E977BBE" w14:textId="77777777" w:rsidTr="00A22FED">
        <w:trPr>
          <w:trHeight w:val="2151"/>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F87A1AD" w14:textId="77777777" w:rsidR="006E4F81" w:rsidRDefault="006E4F81" w:rsidP="006E4F81">
            <w:pPr>
              <w:widowControl w:val="0"/>
              <w:numPr>
                <w:ilvl w:val="0"/>
                <w:numId w:val="43"/>
              </w:numPr>
              <w:autoSpaceDE w:val="0"/>
              <w:autoSpaceDN w:val="0"/>
              <w:adjustRightInd w:val="0"/>
              <w:spacing w:before="0" w:after="0"/>
            </w:pPr>
            <w:r w:rsidRPr="00FF4B6A">
              <w:t>Always read the label or leaflet before use and follow all the instructions provided.</w:t>
            </w:r>
          </w:p>
          <w:p w14:paraId="31522903" w14:textId="77777777" w:rsidR="006E4F81" w:rsidRDefault="006E4F81" w:rsidP="006E4F81">
            <w:pPr>
              <w:widowControl w:val="0"/>
              <w:numPr>
                <w:ilvl w:val="0"/>
                <w:numId w:val="43"/>
              </w:numPr>
              <w:autoSpaceDE w:val="0"/>
              <w:autoSpaceDN w:val="0"/>
              <w:adjustRightInd w:val="0"/>
              <w:spacing w:before="0" w:after="0"/>
            </w:pPr>
            <w:r w:rsidRPr="00FF4B6A">
              <w:t>Respect the recommended application doses.</w:t>
            </w:r>
          </w:p>
          <w:p w14:paraId="37FC36A6" w14:textId="77777777" w:rsidR="006E4F81" w:rsidRPr="00FF4B6A" w:rsidRDefault="006E4F81" w:rsidP="006E4F81">
            <w:pPr>
              <w:widowControl w:val="0"/>
              <w:numPr>
                <w:ilvl w:val="0"/>
                <w:numId w:val="43"/>
              </w:numPr>
              <w:autoSpaceDE w:val="0"/>
              <w:autoSpaceDN w:val="0"/>
              <w:adjustRightInd w:val="0"/>
              <w:spacing w:before="0" w:after="0"/>
            </w:pPr>
            <w:r w:rsidRPr="007177F7">
              <w:t>The protection time is only indicative. Environmental factors (e.g. high temperature, wind velocity) can lower it.</w:t>
            </w:r>
          </w:p>
          <w:p w14:paraId="3FBB438C" w14:textId="6C8152F7" w:rsidR="00084A89" w:rsidRDefault="006E4F81" w:rsidP="00084A89">
            <w:pPr>
              <w:numPr>
                <w:ilvl w:val="0"/>
                <w:numId w:val="43"/>
              </w:numPr>
              <w:suppressAutoHyphens/>
              <w:spacing w:before="0" w:after="0" w:line="260" w:lineRule="atLeast"/>
              <w:jc w:val="both"/>
              <w:rPr>
                <w:rFonts w:eastAsia="Calibri" w:cs="Arial"/>
                <w:bCs/>
                <w:lang w:val="en-US" w:eastAsia="sv-SE"/>
              </w:rPr>
            </w:pPr>
            <w:r w:rsidRPr="005416F0">
              <w:rPr>
                <w:color w:val="000000"/>
              </w:rPr>
              <w:t xml:space="preserve">The spraying device should be oriented </w:t>
            </w:r>
            <w:r w:rsidRPr="00742EEB">
              <w:rPr>
                <w:color w:val="000000"/>
              </w:rPr>
              <w:t xml:space="preserve">at 10-20 cm </w:t>
            </w:r>
            <w:r w:rsidRPr="005416F0">
              <w:rPr>
                <w:color w:val="000000"/>
              </w:rPr>
              <w:t>toward the surface to be treated</w:t>
            </w:r>
            <w:r>
              <w:rPr>
                <w:color w:val="000000"/>
              </w:rPr>
              <w:t>.</w:t>
            </w:r>
            <w:r w:rsidR="00084A89">
              <w:rPr>
                <w:rFonts w:eastAsia="Calibri" w:cs="Arial"/>
                <w:bCs/>
                <w:lang w:val="en-US" w:eastAsia="sv-SE"/>
              </w:rPr>
              <w:t xml:space="preserve"> </w:t>
            </w:r>
          </w:p>
          <w:p w14:paraId="24E19A94" w14:textId="35B02DFB" w:rsidR="00084A89" w:rsidRDefault="00084A89" w:rsidP="00084A89">
            <w:pPr>
              <w:numPr>
                <w:ilvl w:val="0"/>
                <w:numId w:val="43"/>
              </w:numPr>
              <w:suppressAutoHyphens/>
              <w:spacing w:before="0" w:after="0" w:line="260" w:lineRule="atLeast"/>
              <w:jc w:val="both"/>
              <w:rPr>
                <w:rFonts w:eastAsia="Calibri" w:cs="Arial"/>
                <w:bCs/>
                <w:lang w:val="en-US" w:eastAsia="sv-SE"/>
              </w:rPr>
            </w:pPr>
            <w:r>
              <w:rPr>
                <w:rFonts w:eastAsia="Calibri" w:cs="Arial"/>
                <w:bCs/>
                <w:lang w:val="en-US" w:eastAsia="sv-SE"/>
              </w:rPr>
              <w:t>The user should inform the registration holder if the treatment is ineffective.</w:t>
            </w:r>
          </w:p>
          <w:p w14:paraId="7B6C8E2E" w14:textId="7EDDB11D" w:rsidR="00B50969" w:rsidRPr="00654B51" w:rsidRDefault="00084A89" w:rsidP="00654B51">
            <w:pPr>
              <w:numPr>
                <w:ilvl w:val="0"/>
                <w:numId w:val="43"/>
              </w:numPr>
              <w:suppressAutoHyphens/>
              <w:spacing w:before="0" w:after="0" w:line="260" w:lineRule="atLeast"/>
              <w:jc w:val="both"/>
              <w:rPr>
                <w:rFonts w:eastAsia="Calibri" w:cs="Arial"/>
                <w:lang w:val="en-US" w:eastAsia="sv-SE"/>
              </w:rPr>
            </w:pPr>
            <w:r w:rsidRPr="00E36CA3">
              <w:rPr>
                <w:rFonts w:eastAsia="Calibri" w:cs="Arial"/>
                <w:bCs/>
                <w:lang w:val="en-US" w:eastAsia="sv-SE"/>
              </w:rPr>
              <w:t>The use of the product with other repellent products is not recommended.</w:t>
            </w:r>
          </w:p>
        </w:tc>
      </w:tr>
    </w:tbl>
    <w:p w14:paraId="6472D368" w14:textId="77777777" w:rsidR="00B50969" w:rsidRDefault="00B50969" w:rsidP="00B50969">
      <w:pPr>
        <w:pStyle w:val="Titre4"/>
        <w:numPr>
          <w:ilvl w:val="3"/>
          <w:numId w:val="29"/>
        </w:numPr>
        <w:suppressAutoHyphens/>
      </w:pPr>
      <w:bookmarkStart w:id="100" w:name="_Toc2155644"/>
      <w:bookmarkStart w:id="101" w:name="_Toc93326521"/>
      <w:r>
        <w:t>Risk mitigation measures</w:t>
      </w:r>
      <w:bookmarkEnd w:id="100"/>
      <w:bookmarkEnd w:id="10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50969" w14:paraId="3EDBB82F" w14:textId="77777777" w:rsidTr="007F63F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0B78EA4" w14:textId="489402E8" w:rsidR="006E50DF" w:rsidRDefault="006E50DF" w:rsidP="00043748">
            <w:pPr>
              <w:pStyle w:val="Paragraphedeliste"/>
              <w:numPr>
                <w:ilvl w:val="0"/>
                <w:numId w:val="60"/>
              </w:numPr>
              <w:snapToGrid w:val="0"/>
            </w:pPr>
            <w:r>
              <w:t xml:space="preserve">Do not spray close to the eyes. </w:t>
            </w:r>
          </w:p>
          <w:p w14:paraId="24251D24" w14:textId="00F6D281" w:rsidR="006E50DF" w:rsidRDefault="006E50DF" w:rsidP="00043748">
            <w:pPr>
              <w:pStyle w:val="Paragraphedeliste"/>
              <w:numPr>
                <w:ilvl w:val="0"/>
                <w:numId w:val="60"/>
              </w:numPr>
              <w:snapToGrid w:val="0"/>
            </w:pPr>
            <w:r w:rsidRPr="007E29F8">
              <w:t>Use in well-ventilated areas.</w:t>
            </w:r>
          </w:p>
        </w:tc>
      </w:tr>
    </w:tbl>
    <w:p w14:paraId="0E35AF34" w14:textId="77777777" w:rsidR="00B50969" w:rsidRDefault="00B50969" w:rsidP="00B50969">
      <w:pPr>
        <w:pStyle w:val="Titre4"/>
        <w:numPr>
          <w:ilvl w:val="3"/>
          <w:numId w:val="29"/>
        </w:numPr>
        <w:suppressAutoHyphens/>
      </w:pPr>
      <w:bookmarkStart w:id="102" w:name="_Toc2155645"/>
      <w:bookmarkStart w:id="103" w:name="_Toc93326522"/>
      <w:r>
        <w:t>Particulars of likely direct or indirect effects, first aid instructions and emergency measures to protect the environment</w:t>
      </w:r>
      <w:bookmarkEnd w:id="102"/>
      <w:bookmarkEnd w:id="10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50969" w14:paraId="5ABEF09C" w14:textId="77777777" w:rsidTr="007F63F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44D8088" w14:textId="616315C2" w:rsidR="006E50DF" w:rsidRPr="005240CE" w:rsidRDefault="006E50DF" w:rsidP="00043748">
            <w:pPr>
              <w:pStyle w:val="Paragraphedeliste"/>
              <w:numPr>
                <w:ilvl w:val="0"/>
                <w:numId w:val="60"/>
              </w:numPr>
              <w:jc w:val="both"/>
            </w:pPr>
            <w:r w:rsidRPr="005240CE">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6C48C6EF" w14:textId="14692C5B" w:rsidR="006E50DF" w:rsidRPr="005240CE" w:rsidRDefault="006E50DF" w:rsidP="00043748">
            <w:pPr>
              <w:pStyle w:val="Paragraphedeliste"/>
              <w:numPr>
                <w:ilvl w:val="0"/>
                <w:numId w:val="60"/>
              </w:numPr>
              <w:jc w:val="both"/>
            </w:pPr>
            <w:r w:rsidRPr="005240CE">
              <w:t>Skin contact: In case of skin lesions, redness or persistent pain after application, consult a doctor.</w:t>
            </w:r>
          </w:p>
          <w:p w14:paraId="3F049D62" w14:textId="4CB5F0FF" w:rsidR="006E50DF" w:rsidRPr="005240CE" w:rsidRDefault="006E50DF" w:rsidP="00043748">
            <w:pPr>
              <w:pStyle w:val="Paragraphedeliste"/>
              <w:numPr>
                <w:ilvl w:val="0"/>
                <w:numId w:val="60"/>
              </w:numPr>
              <w:jc w:val="both"/>
            </w:pPr>
            <w:r w:rsidRPr="005240CE">
              <w:t>Inhalation of large quantities: keep at rest in a half-sitting position. Seek medical advice immediately if symptoms occur.</w:t>
            </w:r>
          </w:p>
          <w:p w14:paraId="2F169B6F" w14:textId="647540EC" w:rsidR="006E50DF" w:rsidRPr="005240CE" w:rsidRDefault="006E50DF" w:rsidP="00043748">
            <w:pPr>
              <w:pStyle w:val="Paragraphedeliste"/>
              <w:numPr>
                <w:ilvl w:val="0"/>
                <w:numId w:val="60"/>
              </w:numPr>
              <w:jc w:val="both"/>
            </w:pPr>
            <w:r w:rsidRPr="005240CE">
              <w:t xml:space="preserve">Mouth contact: Wash out mouth with water. Contact poison treatment specialist immediately if symptoms occur and/or in case of mouth contact with large quantities. </w:t>
            </w:r>
          </w:p>
          <w:p w14:paraId="1155BB35" w14:textId="71505D34" w:rsidR="006E50DF" w:rsidRPr="005240CE" w:rsidRDefault="006E50DF" w:rsidP="00043748">
            <w:pPr>
              <w:pStyle w:val="Paragraphedeliste"/>
              <w:numPr>
                <w:ilvl w:val="0"/>
                <w:numId w:val="60"/>
              </w:numPr>
              <w:jc w:val="both"/>
            </w:pPr>
            <w:r w:rsidRPr="005240CE">
              <w:t>Do not give fluids or induce vomiting in case of impaired consciousness; place in recovery position and seek medical advice immediately.</w:t>
            </w:r>
          </w:p>
          <w:p w14:paraId="3C8F2659" w14:textId="62FB5E5B" w:rsidR="006E50DF" w:rsidRDefault="00E96344" w:rsidP="00E96344">
            <w:pPr>
              <w:pStyle w:val="Paragraphedeliste"/>
              <w:numPr>
                <w:ilvl w:val="0"/>
                <w:numId w:val="60"/>
              </w:numPr>
              <w:snapToGrid w:val="0"/>
            </w:pPr>
            <w:r w:rsidRPr="00E96344">
              <w:t>If medical advice is needed, have product container or label at hand.</w:t>
            </w:r>
          </w:p>
        </w:tc>
      </w:tr>
    </w:tbl>
    <w:p w14:paraId="6A216710" w14:textId="77777777" w:rsidR="00B50969" w:rsidRDefault="00B50969" w:rsidP="00B50969">
      <w:pPr>
        <w:pStyle w:val="Titre4"/>
        <w:numPr>
          <w:ilvl w:val="3"/>
          <w:numId w:val="29"/>
        </w:numPr>
        <w:suppressAutoHyphens/>
      </w:pPr>
      <w:bookmarkStart w:id="104" w:name="_Toc2155646"/>
      <w:bookmarkStart w:id="105" w:name="_Toc93326523"/>
      <w:r>
        <w:t>Instructions for safe disposal of the product and its packaging</w:t>
      </w:r>
      <w:bookmarkEnd w:id="104"/>
      <w:bookmarkEnd w:id="10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50969" w14:paraId="0BC9DDC3" w14:textId="77777777" w:rsidTr="007F63F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202E3AD" w14:textId="0CD909C7" w:rsidR="00B50969" w:rsidRDefault="008C3C66" w:rsidP="00043748">
            <w:pPr>
              <w:pStyle w:val="Paragraphedeliste"/>
              <w:numPr>
                <w:ilvl w:val="0"/>
                <w:numId w:val="60"/>
              </w:numPr>
              <w:snapToGrid w:val="0"/>
            </w:pPr>
            <w:r>
              <w:t>Do not discharge unused product on the ground, into water courses, into pipes (sink, toilets…) nor down the drains.</w:t>
            </w:r>
          </w:p>
          <w:p w14:paraId="1E7BBB37" w14:textId="0DFA41AA" w:rsidR="008C3C66" w:rsidRDefault="008C3C66" w:rsidP="00043748">
            <w:pPr>
              <w:pStyle w:val="Paragraphedeliste"/>
              <w:numPr>
                <w:ilvl w:val="0"/>
                <w:numId w:val="60"/>
              </w:numPr>
              <w:snapToGrid w:val="0"/>
            </w:pPr>
            <w:r>
              <w:t>Dispose of unused product, its packaging and all other waste in accordance with local regulations.</w:t>
            </w:r>
          </w:p>
        </w:tc>
      </w:tr>
    </w:tbl>
    <w:p w14:paraId="5A4D3ED5" w14:textId="77777777" w:rsidR="00B50969" w:rsidRDefault="00B50969" w:rsidP="00B50969">
      <w:pPr>
        <w:pStyle w:val="Titre4"/>
        <w:numPr>
          <w:ilvl w:val="3"/>
          <w:numId w:val="29"/>
        </w:numPr>
        <w:suppressAutoHyphens/>
      </w:pPr>
      <w:bookmarkStart w:id="106" w:name="_Toc2155647"/>
      <w:bookmarkStart w:id="107" w:name="_Toc93326524"/>
      <w:r>
        <w:t>Conditions of storage and shelf-life of the product under normal conditions of storage</w:t>
      </w:r>
      <w:bookmarkEnd w:id="106"/>
      <w:bookmarkEnd w:id="10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50969" w:rsidRPr="0039435D" w14:paraId="4E2DBE96" w14:textId="77777777" w:rsidTr="007F63F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EE5E329" w14:textId="2DC78C0B" w:rsidR="004F6C8D" w:rsidRDefault="004F6C8D" w:rsidP="00043748">
            <w:pPr>
              <w:pStyle w:val="Paragraphedeliste"/>
              <w:numPr>
                <w:ilvl w:val="0"/>
                <w:numId w:val="60"/>
              </w:numPr>
              <w:snapToGrid w:val="0"/>
              <w:rPr>
                <w:lang w:val="en-US"/>
              </w:rPr>
            </w:pPr>
            <w:r w:rsidRPr="00EA7456">
              <w:rPr>
                <w:lang w:val="en-US"/>
              </w:rPr>
              <w:t>Keep out of reach of children</w:t>
            </w:r>
          </w:p>
          <w:p w14:paraId="6D4E0FA8" w14:textId="77777777" w:rsidR="00E96344" w:rsidRPr="00E96344" w:rsidRDefault="00E96344" w:rsidP="00E96344">
            <w:pPr>
              <w:pStyle w:val="Paragraphedeliste"/>
              <w:numPr>
                <w:ilvl w:val="0"/>
                <w:numId w:val="60"/>
              </w:numPr>
              <w:rPr>
                <w:lang w:val="en-US"/>
              </w:rPr>
            </w:pPr>
            <w:r w:rsidRPr="00E96344">
              <w:rPr>
                <w:lang w:val="en-US"/>
              </w:rPr>
              <w:lastRenderedPageBreak/>
              <w:t>Storage conditions: Keep container tightly closed in a dry and well-ventilated place. Keep away from heat and sources of ignition.</w:t>
            </w:r>
          </w:p>
          <w:p w14:paraId="00249D13" w14:textId="0115994D" w:rsidR="00E96344" w:rsidRPr="00E96344" w:rsidRDefault="00E96344" w:rsidP="00E96344">
            <w:pPr>
              <w:pStyle w:val="Paragraphedeliste"/>
              <w:numPr>
                <w:ilvl w:val="0"/>
                <w:numId w:val="60"/>
              </w:numPr>
              <w:snapToGrid w:val="0"/>
              <w:rPr>
                <w:lang w:val="en-US"/>
              </w:rPr>
            </w:pPr>
            <w:r w:rsidRPr="00E96344">
              <w:rPr>
                <w:lang w:val="en-US"/>
              </w:rPr>
              <w:t>Advice on safe handling: Observe label precautions. Keep away from open flames, hot surfaces and sources of ignition. Take precautionary measures against static discharge.</w:t>
            </w:r>
          </w:p>
          <w:p w14:paraId="5B545E28" w14:textId="7855D0AE" w:rsidR="00E96344" w:rsidRPr="00EA7456" w:rsidRDefault="00E96344" w:rsidP="00E96344">
            <w:pPr>
              <w:pStyle w:val="Paragraphedeliste"/>
              <w:numPr>
                <w:ilvl w:val="0"/>
                <w:numId w:val="60"/>
              </w:numPr>
              <w:snapToGrid w:val="0"/>
              <w:rPr>
                <w:lang w:val="en-US"/>
              </w:rPr>
            </w:pPr>
            <w:r w:rsidRPr="00E96344">
              <w:rPr>
                <w:lang w:val="en-US"/>
              </w:rPr>
              <w:t xml:space="preserve"> Environmental exposure controls: Do not let product enter drains.</w:t>
            </w:r>
          </w:p>
          <w:p w14:paraId="424BEAB9" w14:textId="5F0A14B9" w:rsidR="00B50969" w:rsidRPr="00195542" w:rsidRDefault="00043748" w:rsidP="00043748">
            <w:pPr>
              <w:pStyle w:val="Paragraphedeliste"/>
              <w:numPr>
                <w:ilvl w:val="0"/>
                <w:numId w:val="60"/>
              </w:numPr>
              <w:snapToGrid w:val="0"/>
              <w:rPr>
                <w:lang w:val="fr-FR"/>
              </w:rPr>
            </w:pPr>
            <w:r>
              <w:rPr>
                <w:lang w:val="fr-FR"/>
              </w:rPr>
              <w:t>S</w:t>
            </w:r>
            <w:r w:rsidR="00195542" w:rsidRPr="00195542">
              <w:rPr>
                <w:lang w:val="fr-FR"/>
              </w:rPr>
              <w:t>helf life</w:t>
            </w:r>
            <w:r w:rsidR="00123F2B" w:rsidRPr="00195542">
              <w:rPr>
                <w:lang w:val="fr-FR"/>
              </w:rPr>
              <w:t xml:space="preserve"> :</w:t>
            </w:r>
            <w:r w:rsidR="00727E86">
              <w:rPr>
                <w:lang w:val="fr-FR"/>
              </w:rPr>
              <w:t xml:space="preserve"> 24</w:t>
            </w:r>
            <w:r w:rsidR="00123F2B" w:rsidRPr="00195542">
              <w:rPr>
                <w:lang w:val="fr-FR"/>
              </w:rPr>
              <w:t xml:space="preserve"> </w:t>
            </w:r>
            <w:r w:rsidR="00732D66">
              <w:rPr>
                <w:lang w:val="fr-FR"/>
              </w:rPr>
              <w:t>months</w:t>
            </w:r>
          </w:p>
          <w:p w14:paraId="607045AC" w14:textId="7D2E6D70" w:rsidR="00B50969" w:rsidRPr="00043748" w:rsidRDefault="0039435D" w:rsidP="00043748">
            <w:pPr>
              <w:pStyle w:val="Paragraphedeliste"/>
              <w:numPr>
                <w:ilvl w:val="0"/>
                <w:numId w:val="60"/>
              </w:numPr>
              <w:snapToGrid w:val="0"/>
              <w:rPr>
                <w:lang w:val="en-US"/>
              </w:rPr>
            </w:pPr>
            <w:r w:rsidRPr="00FD5106">
              <w:rPr>
                <w:rFonts w:eastAsia="Calibri"/>
                <w:lang w:eastAsia="en-US"/>
              </w:rPr>
              <w:t>The product should not be stored at temperatures &gt;40°C</w:t>
            </w:r>
          </w:p>
        </w:tc>
      </w:tr>
    </w:tbl>
    <w:p w14:paraId="4BF557EF" w14:textId="77777777" w:rsidR="00B50969" w:rsidRPr="00043748" w:rsidRDefault="00B50969" w:rsidP="00B50969">
      <w:pPr>
        <w:pStyle w:val="Absatz"/>
        <w:rPr>
          <w:lang w:val="en-US" w:eastAsia="en-US"/>
        </w:rPr>
      </w:pPr>
    </w:p>
    <w:p w14:paraId="1E3B44B1" w14:textId="77777777" w:rsidR="00B50969" w:rsidRPr="00043748" w:rsidRDefault="00B50969" w:rsidP="00B50969">
      <w:pPr>
        <w:pStyle w:val="Absatz"/>
        <w:rPr>
          <w:lang w:val="en-US" w:eastAsia="en-US"/>
        </w:rPr>
      </w:pPr>
    </w:p>
    <w:p w14:paraId="62C6FE1C" w14:textId="77777777" w:rsidR="00B50969" w:rsidRDefault="00B50969" w:rsidP="00B50969">
      <w:pPr>
        <w:pStyle w:val="Titre3"/>
        <w:numPr>
          <w:ilvl w:val="2"/>
          <w:numId w:val="29"/>
        </w:numPr>
        <w:tabs>
          <w:tab w:val="clear" w:pos="284"/>
          <w:tab w:val="num" w:pos="0"/>
        </w:tabs>
        <w:suppressAutoHyphens/>
        <w:spacing w:before="0"/>
        <w:ind w:left="720"/>
      </w:pPr>
      <w:bookmarkStart w:id="108" w:name="_Toc2155648"/>
      <w:bookmarkStart w:id="109" w:name="_Toc93326525"/>
      <w:r>
        <w:t>Other information</w:t>
      </w:r>
      <w:bookmarkEnd w:id="108"/>
      <w:bookmarkEnd w:id="10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50969" w14:paraId="74005548" w14:textId="77777777" w:rsidTr="007F63F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FCE2101" w14:textId="77777777" w:rsidR="006E4F81" w:rsidRDefault="006E4F81" w:rsidP="006E4F81">
            <w:r>
              <w:t xml:space="preserve">Considering the importance of this active substance in vector control, the authorisation holder has to implement a monitoring of scientific literature toward the active substance IR3535. Results of this assessment must be submitted to the Competent Authorities (CA) or other appointed bodies involved in resistance management every 5 years.  </w:t>
            </w:r>
          </w:p>
          <w:p w14:paraId="51D514BB" w14:textId="77777777" w:rsidR="006E4F81" w:rsidRDefault="006E4F81" w:rsidP="006E4F81"/>
          <w:p w14:paraId="052B803F" w14:textId="77777777" w:rsidR="006E4F81" w:rsidRDefault="006E4F81" w:rsidP="006E4F81"/>
          <w:p w14:paraId="17A880FB" w14:textId="70E3972C" w:rsidR="006E4F81" w:rsidRDefault="006E4F81" w:rsidP="006E4F81">
            <w:r>
              <w:t>The authorization holder should report any observed incidents related to the efficacy to the Competent Authorities (CA)</w:t>
            </w:r>
          </w:p>
          <w:p w14:paraId="6BD05D50" w14:textId="77777777" w:rsidR="006E4F81" w:rsidRDefault="006E4F81" w:rsidP="007F63F1"/>
          <w:p w14:paraId="070F60C7" w14:textId="53A4375A" w:rsidR="00B50969" w:rsidRDefault="00B50969" w:rsidP="007F63F1"/>
        </w:tc>
      </w:tr>
    </w:tbl>
    <w:p w14:paraId="64F77C4F" w14:textId="77777777" w:rsidR="00AF52BC" w:rsidRPr="00BD2EF1" w:rsidRDefault="00AF52BC" w:rsidP="008E2686"/>
    <w:p w14:paraId="28DEAFD2" w14:textId="204BC957" w:rsidR="009461FB" w:rsidRDefault="008E2686" w:rsidP="009461FB">
      <w:pPr>
        <w:pStyle w:val="Titre3"/>
      </w:pPr>
      <w:bookmarkStart w:id="110" w:name="_Toc403566549"/>
      <w:bookmarkStart w:id="111" w:name="_Toc425344090"/>
      <w:bookmarkStart w:id="112" w:name="_Toc93326526"/>
      <w:r w:rsidRPr="00BD2EF1">
        <w:t>Packaging of the biocidal product</w:t>
      </w:r>
      <w:bookmarkEnd w:id="110"/>
      <w:bookmarkEnd w:id="111"/>
      <w:bookmarkEnd w:id="112"/>
    </w:p>
    <w:p w14:paraId="1677BF3D" w14:textId="7630CEEF" w:rsidR="009461FB" w:rsidRDefault="009461FB" w:rsidP="009461FB"/>
    <w:p w14:paraId="497F9678" w14:textId="079A8683" w:rsidR="009461FB" w:rsidRPr="009461FB" w:rsidRDefault="009461FB" w:rsidP="009461FB">
      <w:pPr>
        <w:pStyle w:val="Paragraphedeliste"/>
        <w:numPr>
          <w:ilvl w:val="0"/>
          <w:numId w:val="68"/>
        </w:numPr>
        <w:rPr>
          <w:b/>
        </w:rPr>
      </w:pPr>
      <w:r w:rsidRPr="009461FB">
        <w:rPr>
          <w:b/>
        </w:rPr>
        <w:t>FIRST AUTHORISATION – 2017 (BE CA)</w:t>
      </w:r>
    </w:p>
    <w:p w14:paraId="43C0BEAE" w14:textId="77777777" w:rsidR="009461FB" w:rsidRPr="009461FB" w:rsidRDefault="009461FB" w:rsidP="009461FB">
      <w:pPr>
        <w:pStyle w:val="Paragraphedelist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2527"/>
        <w:gridCol w:w="1251"/>
        <w:gridCol w:w="1254"/>
        <w:gridCol w:w="1557"/>
        <w:gridCol w:w="1561"/>
      </w:tblGrid>
      <w:tr w:rsidR="008E2686" w:rsidRPr="00BD2EF1" w14:paraId="3D1C30ED" w14:textId="77777777" w:rsidTr="009461FB">
        <w:tc>
          <w:tcPr>
            <w:tcW w:w="665" w:type="pct"/>
            <w:shd w:val="clear" w:color="auto" w:fill="BFBFBF" w:themeFill="background1" w:themeFillShade="BF"/>
          </w:tcPr>
          <w:p w14:paraId="1F353EE0" w14:textId="77777777" w:rsidR="008E2686" w:rsidRPr="00BD2EF1" w:rsidRDefault="008E2686" w:rsidP="00FF76D2">
            <w:pPr>
              <w:pStyle w:val="Standaard-Tabellen"/>
              <w:rPr>
                <w:rFonts w:eastAsia="Calibri"/>
                <w:b/>
              </w:rPr>
            </w:pPr>
            <w:r w:rsidRPr="00BD2EF1">
              <w:rPr>
                <w:rFonts w:eastAsia="Calibri"/>
                <w:b/>
              </w:rPr>
              <w:t>Type of packaging</w:t>
            </w:r>
            <w:r w:rsidRPr="00BD2EF1" w:rsidDel="00F33E33">
              <w:rPr>
                <w:rFonts w:eastAsia="Calibri"/>
                <w:b/>
              </w:rPr>
              <w:t xml:space="preserve"> </w:t>
            </w:r>
          </w:p>
        </w:tc>
        <w:tc>
          <w:tcPr>
            <w:tcW w:w="1344" w:type="pct"/>
            <w:shd w:val="clear" w:color="auto" w:fill="BFBFBF" w:themeFill="background1" w:themeFillShade="BF"/>
          </w:tcPr>
          <w:p w14:paraId="58B9D44A" w14:textId="77777777" w:rsidR="008E2686" w:rsidRPr="00BD2EF1" w:rsidRDefault="008E2686" w:rsidP="00FF76D2">
            <w:pPr>
              <w:pStyle w:val="Standaard-Tabellen"/>
              <w:rPr>
                <w:rFonts w:eastAsia="Calibri"/>
                <w:b/>
              </w:rPr>
            </w:pPr>
            <w:r w:rsidRPr="00BD2EF1">
              <w:rPr>
                <w:rFonts w:eastAsia="Calibri"/>
                <w:b/>
              </w:rPr>
              <w:t>Size/volume</w:t>
            </w:r>
            <w:r w:rsidRPr="00BD2EF1" w:rsidDel="00F33E33">
              <w:rPr>
                <w:rFonts w:eastAsia="Calibri"/>
                <w:b/>
              </w:rPr>
              <w:t xml:space="preserve"> </w:t>
            </w:r>
            <w:r w:rsidRPr="00BD2EF1">
              <w:rPr>
                <w:rFonts w:eastAsia="Calibri"/>
                <w:b/>
              </w:rPr>
              <w:t>of the packaging</w:t>
            </w:r>
          </w:p>
        </w:tc>
        <w:tc>
          <w:tcPr>
            <w:tcW w:w="665" w:type="pct"/>
            <w:shd w:val="clear" w:color="auto" w:fill="BFBFBF" w:themeFill="background1" w:themeFillShade="BF"/>
          </w:tcPr>
          <w:p w14:paraId="6C120E92" w14:textId="77777777" w:rsidR="008E2686" w:rsidRPr="00BD2EF1" w:rsidRDefault="008E2686" w:rsidP="00FF76D2">
            <w:pPr>
              <w:pStyle w:val="Standaard-Tabellen"/>
              <w:rPr>
                <w:rFonts w:eastAsia="Calibri"/>
                <w:b/>
              </w:rPr>
            </w:pPr>
            <w:r w:rsidRPr="00BD2EF1">
              <w:rPr>
                <w:rFonts w:eastAsia="Calibri"/>
                <w:b/>
              </w:rPr>
              <w:t>Material of the packaging</w:t>
            </w:r>
          </w:p>
        </w:tc>
        <w:tc>
          <w:tcPr>
            <w:tcW w:w="667" w:type="pct"/>
            <w:shd w:val="clear" w:color="auto" w:fill="BFBFBF" w:themeFill="background1" w:themeFillShade="BF"/>
          </w:tcPr>
          <w:p w14:paraId="0BC5E244" w14:textId="77777777" w:rsidR="008E2686" w:rsidRPr="00BD2EF1" w:rsidRDefault="008E2686" w:rsidP="00FF76D2">
            <w:pPr>
              <w:pStyle w:val="Standaard-Tabellen"/>
              <w:rPr>
                <w:rFonts w:eastAsia="Calibri"/>
                <w:b/>
              </w:rPr>
            </w:pPr>
            <w:r w:rsidRPr="00BD2EF1">
              <w:rPr>
                <w:rFonts w:eastAsia="Calibri"/>
                <w:b/>
              </w:rPr>
              <w:t>Type and material of closure(s)</w:t>
            </w:r>
          </w:p>
        </w:tc>
        <w:tc>
          <w:tcPr>
            <w:tcW w:w="828" w:type="pct"/>
            <w:shd w:val="clear" w:color="auto" w:fill="BFBFBF" w:themeFill="background1" w:themeFillShade="BF"/>
          </w:tcPr>
          <w:p w14:paraId="4185FB7B" w14:textId="77777777" w:rsidR="008E2686" w:rsidRPr="008A3D8E" w:rsidRDefault="008E2686" w:rsidP="00FF76D2">
            <w:pPr>
              <w:pStyle w:val="Standaard-Tabellen"/>
              <w:rPr>
                <w:rFonts w:eastAsia="Calibri"/>
                <w:b/>
                <w:lang w:val="fr-BE"/>
              </w:rPr>
            </w:pPr>
            <w:r w:rsidRPr="008A3D8E">
              <w:rPr>
                <w:rFonts w:eastAsia="Calibri"/>
                <w:b/>
                <w:lang w:val="fr-BE"/>
              </w:rPr>
              <w:t>Intended user (e.g. professional, non-professional)</w:t>
            </w:r>
          </w:p>
        </w:tc>
        <w:tc>
          <w:tcPr>
            <w:tcW w:w="830" w:type="pct"/>
            <w:shd w:val="clear" w:color="auto" w:fill="BFBFBF" w:themeFill="background1" w:themeFillShade="BF"/>
          </w:tcPr>
          <w:p w14:paraId="4C0D810A" w14:textId="77777777" w:rsidR="008E2686" w:rsidRPr="00BD2EF1" w:rsidRDefault="008E2686" w:rsidP="00FF76D2">
            <w:pPr>
              <w:pStyle w:val="Standaard-Tabellen"/>
              <w:rPr>
                <w:rFonts w:eastAsia="Calibri"/>
                <w:b/>
              </w:rPr>
            </w:pPr>
            <w:r w:rsidRPr="00BD2EF1">
              <w:rPr>
                <w:rFonts w:eastAsia="Calibri"/>
                <w:b/>
              </w:rPr>
              <w:t>Compatibility of the product with the proposed packaging materials (Yes/No)</w:t>
            </w:r>
          </w:p>
        </w:tc>
      </w:tr>
      <w:tr w:rsidR="00AF52BC" w:rsidRPr="00BD2EF1" w14:paraId="03A8D765" w14:textId="77777777" w:rsidTr="009461FB">
        <w:tc>
          <w:tcPr>
            <w:tcW w:w="665" w:type="pct"/>
            <w:shd w:val="clear" w:color="auto" w:fill="auto"/>
          </w:tcPr>
          <w:p w14:paraId="7D8DDB32" w14:textId="77777777" w:rsidR="00AF52BC" w:rsidRPr="00BD2EF1" w:rsidRDefault="00AF52BC" w:rsidP="00AF52BC">
            <w:pPr>
              <w:pStyle w:val="Standaard-Tabellen"/>
              <w:rPr>
                <w:rFonts w:eastAsia="Calibri"/>
              </w:rPr>
            </w:pPr>
            <w:r>
              <w:rPr>
                <w:rFonts w:eastAsia="Calibri"/>
              </w:rPr>
              <w:t>Bottle</w:t>
            </w:r>
          </w:p>
        </w:tc>
        <w:tc>
          <w:tcPr>
            <w:tcW w:w="1344" w:type="pct"/>
            <w:shd w:val="clear" w:color="auto" w:fill="auto"/>
          </w:tcPr>
          <w:p w14:paraId="461F0AF8" w14:textId="3400D8B2" w:rsidR="00AF52BC" w:rsidRPr="00BD2EF1" w:rsidRDefault="001B5BDB" w:rsidP="00D7388D">
            <w:pPr>
              <w:pStyle w:val="Standaard-Tabellen"/>
              <w:rPr>
                <w:rFonts w:eastAsia="Calibri"/>
              </w:rPr>
            </w:pPr>
            <w:r>
              <w:rPr>
                <w:rFonts w:eastAsia="Calibri"/>
              </w:rPr>
              <w:t>≥</w:t>
            </w:r>
            <w:r w:rsidR="00AF52BC">
              <w:rPr>
                <w:rFonts w:eastAsia="Calibri"/>
              </w:rPr>
              <w:t>25 mL - </w:t>
            </w:r>
            <w:r>
              <w:rPr>
                <w:rFonts w:eastAsia="Calibri"/>
              </w:rPr>
              <w:t>≤</w:t>
            </w:r>
            <w:r w:rsidR="00AF52BC">
              <w:rPr>
                <w:rFonts w:eastAsia="Calibri"/>
              </w:rPr>
              <w:t>250 mL</w:t>
            </w:r>
          </w:p>
        </w:tc>
        <w:tc>
          <w:tcPr>
            <w:tcW w:w="665" w:type="pct"/>
            <w:shd w:val="clear" w:color="auto" w:fill="auto"/>
          </w:tcPr>
          <w:p w14:paraId="2FF4A509" w14:textId="77777777" w:rsidR="00AF52BC" w:rsidRPr="00BD2EF1" w:rsidRDefault="00AF52BC" w:rsidP="00AF52BC">
            <w:pPr>
              <w:pStyle w:val="Standaard-Tabellen"/>
              <w:rPr>
                <w:rFonts w:eastAsia="Calibri"/>
              </w:rPr>
            </w:pPr>
            <w:r>
              <w:rPr>
                <w:rFonts w:eastAsia="Calibri"/>
              </w:rPr>
              <w:t>plastic: HDPE</w:t>
            </w:r>
          </w:p>
        </w:tc>
        <w:tc>
          <w:tcPr>
            <w:tcW w:w="667" w:type="pct"/>
            <w:shd w:val="clear" w:color="auto" w:fill="auto"/>
          </w:tcPr>
          <w:p w14:paraId="576C150C" w14:textId="12AE0998" w:rsidR="00AF52BC" w:rsidRPr="00BD2EF1" w:rsidRDefault="00AF52BC" w:rsidP="00AF52BC">
            <w:pPr>
              <w:pStyle w:val="Standaard-Tabellen"/>
              <w:rPr>
                <w:rFonts w:eastAsia="Calibri"/>
              </w:rPr>
            </w:pPr>
            <w:r>
              <w:rPr>
                <w:rFonts w:eastAsia="Calibri"/>
              </w:rPr>
              <w:t>pump head covered by a cap</w:t>
            </w:r>
          </w:p>
        </w:tc>
        <w:tc>
          <w:tcPr>
            <w:tcW w:w="828" w:type="pct"/>
            <w:shd w:val="clear" w:color="auto" w:fill="auto"/>
          </w:tcPr>
          <w:p w14:paraId="687051D6" w14:textId="77777777" w:rsidR="00AF52BC" w:rsidRPr="00BD2EF1" w:rsidRDefault="00AF52BC" w:rsidP="00AF52BC">
            <w:pPr>
              <w:pStyle w:val="Standaard-Tabellen"/>
              <w:rPr>
                <w:rFonts w:eastAsia="Calibri"/>
              </w:rPr>
            </w:pPr>
            <w:r>
              <w:rPr>
                <w:rFonts w:eastAsia="Calibri"/>
              </w:rPr>
              <w:t>non-professional</w:t>
            </w:r>
          </w:p>
        </w:tc>
        <w:tc>
          <w:tcPr>
            <w:tcW w:w="830" w:type="pct"/>
          </w:tcPr>
          <w:p w14:paraId="38006ED6" w14:textId="77777777" w:rsidR="00AF52BC" w:rsidRPr="00BD2EF1" w:rsidRDefault="00DC010B" w:rsidP="00AF52BC">
            <w:pPr>
              <w:pStyle w:val="Standaard-Tabellen"/>
              <w:rPr>
                <w:rFonts w:eastAsia="Calibri"/>
              </w:rPr>
            </w:pPr>
            <w:r>
              <w:rPr>
                <w:rFonts w:eastAsia="Calibri"/>
              </w:rPr>
              <w:t>Yes</w:t>
            </w:r>
          </w:p>
        </w:tc>
      </w:tr>
    </w:tbl>
    <w:p w14:paraId="7F5BF463" w14:textId="4207D8F7" w:rsidR="008E2686" w:rsidRDefault="008E2686" w:rsidP="008E2686">
      <w:pPr>
        <w:rPr>
          <w:rFonts w:eastAsia="Calibri"/>
          <w:lang w:eastAsia="en-US"/>
        </w:rPr>
      </w:pPr>
    </w:p>
    <w:p w14:paraId="421B654E" w14:textId="7F3873D9" w:rsidR="009461FB" w:rsidRPr="00FB463E" w:rsidRDefault="009461FB" w:rsidP="009461FB">
      <w:pPr>
        <w:pStyle w:val="Paragraphedeliste"/>
        <w:numPr>
          <w:ilvl w:val="0"/>
          <w:numId w:val="68"/>
        </w:numPr>
        <w:rPr>
          <w:rFonts w:eastAsia="Calibri"/>
          <w:b/>
          <w:lang w:eastAsia="en-US"/>
        </w:rPr>
      </w:pPr>
      <w:r w:rsidRPr="00FB463E">
        <w:rPr>
          <w:rFonts w:eastAsia="Calibri"/>
          <w:b/>
          <w:lang w:eastAsia="en-US"/>
        </w:rPr>
        <w:t>MAJOR CHANGE FOR SPRAY REPULSIF IR200 – 2019 (FR CA)</w:t>
      </w:r>
    </w:p>
    <w:p w14:paraId="0D137138" w14:textId="77777777" w:rsidR="009461FB" w:rsidRDefault="009461FB">
      <w:pPr>
        <w:spacing w:before="0"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528"/>
        <w:gridCol w:w="1251"/>
        <w:gridCol w:w="1254"/>
        <w:gridCol w:w="1557"/>
        <w:gridCol w:w="1561"/>
      </w:tblGrid>
      <w:tr w:rsidR="009461FB" w:rsidRPr="00BD2EF1" w14:paraId="7CEE06FB" w14:textId="77777777" w:rsidTr="009461FB">
        <w:tc>
          <w:tcPr>
            <w:tcW w:w="66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EA5833" w14:textId="77777777" w:rsidR="009461FB" w:rsidRPr="009461FB" w:rsidRDefault="009461FB" w:rsidP="00B24C59">
            <w:pPr>
              <w:pStyle w:val="Standaard-Tabellen"/>
              <w:rPr>
                <w:rFonts w:eastAsia="Calibri"/>
                <w:b/>
              </w:rPr>
            </w:pPr>
            <w:r w:rsidRPr="009461FB">
              <w:rPr>
                <w:rFonts w:eastAsia="Calibri"/>
                <w:b/>
              </w:rPr>
              <w:t>Type of packaging</w:t>
            </w:r>
            <w:r w:rsidRPr="009461FB" w:rsidDel="00F33E33">
              <w:rPr>
                <w:rFonts w:eastAsia="Calibri"/>
                <w:b/>
              </w:rPr>
              <w:t xml:space="preserve"> </w:t>
            </w:r>
          </w:p>
        </w:tc>
        <w:tc>
          <w:tcPr>
            <w:tcW w:w="1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66595" w14:textId="77777777" w:rsidR="009461FB" w:rsidRPr="009461FB" w:rsidRDefault="009461FB" w:rsidP="00B24C59">
            <w:pPr>
              <w:pStyle w:val="Standaard-Tabellen"/>
              <w:rPr>
                <w:rFonts w:eastAsia="Calibri"/>
                <w:b/>
              </w:rPr>
            </w:pPr>
            <w:r w:rsidRPr="009461FB">
              <w:rPr>
                <w:rFonts w:eastAsia="Calibri"/>
                <w:b/>
              </w:rPr>
              <w:t>Size/volume</w:t>
            </w:r>
            <w:r w:rsidRPr="009461FB" w:rsidDel="00F33E33">
              <w:rPr>
                <w:rFonts w:eastAsia="Calibri"/>
                <w:b/>
              </w:rPr>
              <w:t xml:space="preserve"> </w:t>
            </w:r>
            <w:r w:rsidRPr="009461FB">
              <w:rPr>
                <w:rFonts w:eastAsia="Calibri"/>
                <w:b/>
              </w:rPr>
              <w:t>of the packaging</w:t>
            </w:r>
          </w:p>
        </w:tc>
        <w:tc>
          <w:tcPr>
            <w:tcW w:w="66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B3E2CB" w14:textId="77777777" w:rsidR="009461FB" w:rsidRPr="009461FB" w:rsidRDefault="009461FB" w:rsidP="00B24C59">
            <w:pPr>
              <w:pStyle w:val="Standaard-Tabellen"/>
              <w:rPr>
                <w:rFonts w:eastAsia="Calibri"/>
                <w:b/>
              </w:rPr>
            </w:pPr>
            <w:r w:rsidRPr="009461FB">
              <w:rPr>
                <w:rFonts w:eastAsia="Calibri"/>
                <w:b/>
              </w:rPr>
              <w:t>Material of the packaging</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103B2B" w14:textId="77777777" w:rsidR="009461FB" w:rsidRPr="009461FB" w:rsidRDefault="009461FB" w:rsidP="00B24C59">
            <w:pPr>
              <w:pStyle w:val="Standaard-Tabellen"/>
              <w:rPr>
                <w:rFonts w:eastAsia="Calibri"/>
                <w:b/>
              </w:rPr>
            </w:pPr>
            <w:r w:rsidRPr="009461FB">
              <w:rPr>
                <w:rFonts w:eastAsia="Calibri"/>
                <w:b/>
              </w:rPr>
              <w:t>Type and material of closure(s)</w:t>
            </w:r>
          </w:p>
        </w:tc>
        <w:tc>
          <w:tcPr>
            <w:tcW w:w="8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ACE04" w14:textId="77777777" w:rsidR="009461FB" w:rsidRPr="009461FB" w:rsidRDefault="009461FB" w:rsidP="00B24C59">
            <w:pPr>
              <w:pStyle w:val="Standaard-Tabellen"/>
              <w:rPr>
                <w:rFonts w:eastAsia="Calibri"/>
                <w:b/>
              </w:rPr>
            </w:pPr>
            <w:r w:rsidRPr="009461FB">
              <w:rPr>
                <w:rFonts w:eastAsia="Calibri"/>
                <w:b/>
              </w:rPr>
              <w:t>Intended user (e.g. professional, non-professional)</w:t>
            </w:r>
          </w:p>
        </w:tc>
        <w:tc>
          <w:tcPr>
            <w:tcW w:w="83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E50CA" w14:textId="77777777" w:rsidR="009461FB" w:rsidRPr="009461FB" w:rsidRDefault="009461FB" w:rsidP="00B24C59">
            <w:pPr>
              <w:pStyle w:val="Standaard-Tabellen"/>
              <w:rPr>
                <w:rFonts w:eastAsia="Calibri"/>
                <w:b/>
              </w:rPr>
            </w:pPr>
            <w:r w:rsidRPr="009461FB">
              <w:rPr>
                <w:rFonts w:eastAsia="Calibri"/>
                <w:b/>
              </w:rPr>
              <w:t>Compatibility of the product with the proposed packaging materials (Yes/No)</w:t>
            </w:r>
          </w:p>
        </w:tc>
      </w:tr>
      <w:tr w:rsidR="009461FB" w:rsidRPr="002971AD" w14:paraId="41D04859" w14:textId="77777777" w:rsidTr="00FB463E">
        <w:tc>
          <w:tcPr>
            <w:tcW w:w="665" w:type="pct"/>
            <w:shd w:val="clear" w:color="auto" w:fill="auto"/>
          </w:tcPr>
          <w:p w14:paraId="45143505" w14:textId="77777777" w:rsidR="009461FB" w:rsidRPr="002971AD" w:rsidRDefault="009461FB" w:rsidP="00B24C59">
            <w:pPr>
              <w:pStyle w:val="Standaard-Tabellen"/>
              <w:rPr>
                <w:rFonts w:eastAsia="Calibri"/>
              </w:rPr>
            </w:pPr>
            <w:r w:rsidRPr="002971AD">
              <w:rPr>
                <w:rFonts w:eastAsia="Calibri"/>
              </w:rPr>
              <w:t>Bottle</w:t>
            </w:r>
          </w:p>
        </w:tc>
        <w:tc>
          <w:tcPr>
            <w:tcW w:w="1345" w:type="pct"/>
            <w:shd w:val="clear" w:color="auto" w:fill="auto"/>
          </w:tcPr>
          <w:p w14:paraId="3342DACE" w14:textId="77777777" w:rsidR="009461FB" w:rsidRPr="002971AD" w:rsidRDefault="009461FB" w:rsidP="00B24C59">
            <w:pPr>
              <w:pStyle w:val="Standaard-Tabellen"/>
              <w:rPr>
                <w:rFonts w:eastAsia="Calibri"/>
              </w:rPr>
            </w:pPr>
            <w:r w:rsidRPr="002971AD">
              <w:rPr>
                <w:rFonts w:eastAsia="Calibri"/>
              </w:rPr>
              <w:t>≥100 mL - ≤250 mL</w:t>
            </w:r>
          </w:p>
        </w:tc>
        <w:tc>
          <w:tcPr>
            <w:tcW w:w="665" w:type="pct"/>
            <w:shd w:val="clear" w:color="auto" w:fill="auto"/>
          </w:tcPr>
          <w:p w14:paraId="26D0F072" w14:textId="77777777" w:rsidR="009461FB" w:rsidRPr="002971AD" w:rsidRDefault="009461FB" w:rsidP="00B24C59">
            <w:pPr>
              <w:pStyle w:val="Standaard-Tabellen"/>
              <w:rPr>
                <w:rFonts w:eastAsia="Calibri"/>
              </w:rPr>
            </w:pPr>
            <w:r w:rsidRPr="002971AD">
              <w:rPr>
                <w:rFonts w:eastAsia="Calibri"/>
              </w:rPr>
              <w:t>HDPE</w:t>
            </w:r>
          </w:p>
        </w:tc>
        <w:tc>
          <w:tcPr>
            <w:tcW w:w="667" w:type="pct"/>
            <w:shd w:val="clear" w:color="auto" w:fill="auto"/>
          </w:tcPr>
          <w:p w14:paraId="38A51690" w14:textId="77777777" w:rsidR="009461FB" w:rsidRPr="002971AD" w:rsidRDefault="009461FB" w:rsidP="00B24C59">
            <w:pPr>
              <w:pStyle w:val="Standaard-Tabellen"/>
              <w:rPr>
                <w:rFonts w:eastAsia="Calibri"/>
              </w:rPr>
            </w:pPr>
            <w:r w:rsidRPr="002971AD">
              <w:rPr>
                <w:rFonts w:eastAsia="Calibri"/>
              </w:rPr>
              <w:t>pump head covered by a cap *</w:t>
            </w:r>
          </w:p>
        </w:tc>
        <w:tc>
          <w:tcPr>
            <w:tcW w:w="828" w:type="pct"/>
            <w:shd w:val="clear" w:color="auto" w:fill="auto"/>
          </w:tcPr>
          <w:p w14:paraId="305F614A" w14:textId="77777777" w:rsidR="009461FB" w:rsidRPr="002971AD" w:rsidRDefault="009461FB" w:rsidP="00B24C59">
            <w:pPr>
              <w:pStyle w:val="Standaard-Tabellen"/>
              <w:rPr>
                <w:rFonts w:eastAsia="Calibri"/>
              </w:rPr>
            </w:pPr>
            <w:r w:rsidRPr="002971AD">
              <w:rPr>
                <w:rFonts w:eastAsia="Calibri"/>
              </w:rPr>
              <w:t>non-professional</w:t>
            </w:r>
          </w:p>
        </w:tc>
        <w:tc>
          <w:tcPr>
            <w:tcW w:w="830" w:type="pct"/>
            <w:shd w:val="clear" w:color="auto" w:fill="auto"/>
          </w:tcPr>
          <w:p w14:paraId="56241897" w14:textId="77777777" w:rsidR="009461FB" w:rsidRPr="002971AD" w:rsidRDefault="009461FB" w:rsidP="00B24C59">
            <w:pPr>
              <w:pStyle w:val="Standaard-Tabellen"/>
              <w:rPr>
                <w:rFonts w:eastAsia="Calibri"/>
              </w:rPr>
            </w:pPr>
            <w:r w:rsidRPr="002971AD">
              <w:rPr>
                <w:rFonts w:eastAsia="Calibri"/>
              </w:rPr>
              <w:t>Yes</w:t>
            </w:r>
          </w:p>
        </w:tc>
      </w:tr>
    </w:tbl>
    <w:p w14:paraId="6E7462F5" w14:textId="77777777" w:rsidR="009461FB" w:rsidRPr="00BD2EF1" w:rsidRDefault="009461FB" w:rsidP="009461FB">
      <w:pPr>
        <w:rPr>
          <w:rFonts w:eastAsia="Calibri"/>
          <w:lang w:eastAsia="en-US"/>
        </w:rPr>
      </w:pPr>
      <w:r w:rsidRPr="002971AD">
        <w:rPr>
          <w:rFonts w:eastAsia="Calibri"/>
          <w:lang w:eastAsia="en-US"/>
        </w:rPr>
        <w:t xml:space="preserve">* </w:t>
      </w:r>
      <w:r w:rsidRPr="00FB463E">
        <w:rPr>
          <w:rFonts w:eastAsia="Calibri"/>
          <w:lang w:eastAsia="en-US"/>
        </w:rPr>
        <w:t>A new spray system was proposed in the scope of major change 2019</w:t>
      </w:r>
    </w:p>
    <w:p w14:paraId="653C9E13" w14:textId="77777777" w:rsidR="002971AD" w:rsidRDefault="002971AD" w:rsidP="00FB463E">
      <w:pPr>
        <w:pStyle w:val="Paragraphedeliste"/>
        <w:rPr>
          <w:rFonts w:eastAsia="Calibri"/>
          <w:b/>
          <w:lang w:eastAsia="en-US"/>
        </w:rPr>
      </w:pPr>
    </w:p>
    <w:p w14:paraId="0B2784F0" w14:textId="5EB38B85" w:rsidR="002971AD" w:rsidRPr="00C825A4" w:rsidRDefault="002971AD" w:rsidP="002971AD">
      <w:pPr>
        <w:pStyle w:val="Paragraphedeliste"/>
        <w:numPr>
          <w:ilvl w:val="0"/>
          <w:numId w:val="65"/>
        </w:numPr>
        <w:rPr>
          <w:rFonts w:eastAsia="Calibri"/>
          <w:b/>
          <w:highlight w:val="lightGray"/>
          <w:lang w:eastAsia="en-US"/>
        </w:rPr>
      </w:pPr>
      <w:r w:rsidRPr="00C825A4">
        <w:rPr>
          <w:rFonts w:eastAsia="Calibri"/>
          <w:b/>
          <w:highlight w:val="lightGray"/>
          <w:lang w:eastAsia="en-US"/>
        </w:rPr>
        <w:lastRenderedPageBreak/>
        <w:t>MINOR CHANGE FOR SPRAY REPULSIF IR200 – 2021 (FR CA)</w:t>
      </w:r>
    </w:p>
    <w:p w14:paraId="28FC6042" w14:textId="77777777" w:rsidR="00C825A4" w:rsidRPr="00C825A4" w:rsidRDefault="00C825A4" w:rsidP="00C825A4">
      <w:pPr>
        <w:pStyle w:val="Paragraphedeliste"/>
        <w:rPr>
          <w:rFonts w:eastAsia="Calibri"/>
          <w:b/>
          <w:highlight w:val="lightGray"/>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2527"/>
        <w:gridCol w:w="1251"/>
        <w:gridCol w:w="1254"/>
        <w:gridCol w:w="1557"/>
        <w:gridCol w:w="1561"/>
      </w:tblGrid>
      <w:tr w:rsidR="00C825A4" w:rsidRPr="00C825A4" w14:paraId="4D1BF3BC" w14:textId="77777777" w:rsidTr="00C825A4">
        <w:tc>
          <w:tcPr>
            <w:tcW w:w="666" w:type="pct"/>
            <w:tcBorders>
              <w:top w:val="single" w:sz="4" w:space="0" w:color="auto"/>
              <w:left w:val="single" w:sz="4" w:space="0" w:color="auto"/>
              <w:bottom w:val="single" w:sz="4" w:space="0" w:color="auto"/>
              <w:right w:val="single" w:sz="4" w:space="0" w:color="auto"/>
            </w:tcBorders>
            <w:shd w:val="clear" w:color="auto" w:fill="auto"/>
          </w:tcPr>
          <w:p w14:paraId="7FFC10E6" w14:textId="089CF29D" w:rsidR="00C825A4" w:rsidRPr="00C825A4" w:rsidRDefault="00C825A4" w:rsidP="008D7EDC">
            <w:pPr>
              <w:pStyle w:val="Standaard-Tabellen"/>
              <w:rPr>
                <w:rFonts w:eastAsia="Calibri"/>
                <w:b/>
                <w:highlight w:val="lightGray"/>
              </w:rPr>
            </w:pPr>
            <w:r w:rsidRPr="00C825A4">
              <w:rPr>
                <w:rFonts w:eastAsia="Calibri"/>
                <w:b/>
                <w:highlight w:val="lightGray"/>
              </w:rPr>
              <w:t>Type of packaging</w:t>
            </w:r>
            <w:r w:rsidRPr="00C825A4" w:rsidDel="00F33E33">
              <w:rPr>
                <w:rFonts w:eastAsia="Calibri"/>
                <w:b/>
                <w:highlight w:val="lightGray"/>
              </w:rPr>
              <w:t xml:space="preserve"> </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04213255" w14:textId="77777777" w:rsidR="00C825A4" w:rsidRPr="00C825A4" w:rsidRDefault="00C825A4" w:rsidP="008D7EDC">
            <w:pPr>
              <w:pStyle w:val="Standaard-Tabellen"/>
              <w:rPr>
                <w:rFonts w:eastAsia="Calibri"/>
                <w:b/>
                <w:highlight w:val="lightGray"/>
              </w:rPr>
            </w:pPr>
            <w:r w:rsidRPr="00C825A4">
              <w:rPr>
                <w:rFonts w:eastAsia="Calibri"/>
                <w:b/>
                <w:highlight w:val="lightGray"/>
              </w:rPr>
              <w:t>Size/volume</w:t>
            </w:r>
            <w:r w:rsidRPr="00C825A4" w:rsidDel="00F33E33">
              <w:rPr>
                <w:rFonts w:eastAsia="Calibri"/>
                <w:b/>
                <w:highlight w:val="lightGray"/>
              </w:rPr>
              <w:t xml:space="preserve"> </w:t>
            </w:r>
            <w:r w:rsidRPr="00C825A4">
              <w:rPr>
                <w:rFonts w:eastAsia="Calibri"/>
                <w:b/>
                <w:highlight w:val="lightGray"/>
              </w:rPr>
              <w:t>of the packaging</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8949437" w14:textId="77777777" w:rsidR="00C825A4" w:rsidRPr="00C825A4" w:rsidRDefault="00C825A4" w:rsidP="008D7EDC">
            <w:pPr>
              <w:pStyle w:val="Standaard-Tabellen"/>
              <w:rPr>
                <w:rFonts w:eastAsia="Calibri"/>
                <w:b/>
                <w:highlight w:val="lightGray"/>
              </w:rPr>
            </w:pPr>
            <w:r w:rsidRPr="00C825A4">
              <w:rPr>
                <w:rFonts w:eastAsia="Calibri"/>
                <w:b/>
                <w:highlight w:val="lightGray"/>
              </w:rPr>
              <w:t>Material of the packaging</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706B156" w14:textId="77777777" w:rsidR="00C825A4" w:rsidRPr="00C825A4" w:rsidRDefault="00C825A4" w:rsidP="008D7EDC">
            <w:pPr>
              <w:pStyle w:val="Standaard-Tabellen"/>
              <w:rPr>
                <w:rFonts w:eastAsia="Calibri"/>
                <w:b/>
                <w:highlight w:val="lightGray"/>
              </w:rPr>
            </w:pPr>
            <w:r w:rsidRPr="00C825A4">
              <w:rPr>
                <w:rFonts w:eastAsia="Calibri"/>
                <w:b/>
                <w:highlight w:val="lightGray"/>
              </w:rPr>
              <w:t>Type and material of closure(s)</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66CE0249" w14:textId="77777777" w:rsidR="00C825A4" w:rsidRPr="00C825A4" w:rsidRDefault="00C825A4" w:rsidP="008D7EDC">
            <w:pPr>
              <w:pStyle w:val="Standaard-Tabellen"/>
              <w:rPr>
                <w:rFonts w:eastAsia="Calibri"/>
                <w:b/>
                <w:highlight w:val="lightGray"/>
                <w:lang w:val="fr-BE"/>
              </w:rPr>
            </w:pPr>
            <w:r w:rsidRPr="00C825A4">
              <w:rPr>
                <w:rFonts w:eastAsia="Calibri"/>
                <w:b/>
                <w:highlight w:val="lightGray"/>
                <w:lang w:val="fr-BE"/>
              </w:rPr>
              <w:t>Intended user (e.g. professional, non-professional)</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083AA6C1" w14:textId="77777777" w:rsidR="00C825A4" w:rsidRPr="00C825A4" w:rsidRDefault="00C825A4" w:rsidP="008D7EDC">
            <w:pPr>
              <w:pStyle w:val="Standaard-Tabellen"/>
              <w:rPr>
                <w:rFonts w:eastAsia="Calibri"/>
                <w:b/>
                <w:highlight w:val="lightGray"/>
              </w:rPr>
            </w:pPr>
            <w:r w:rsidRPr="00C825A4">
              <w:rPr>
                <w:rFonts w:eastAsia="Calibri"/>
                <w:b/>
                <w:highlight w:val="lightGray"/>
              </w:rPr>
              <w:t>Compatibility of the product with the proposed packaging materials (Yes/No)</w:t>
            </w:r>
          </w:p>
        </w:tc>
      </w:tr>
      <w:tr w:rsidR="00C825A4" w:rsidRPr="00C825A4" w14:paraId="5111A77C" w14:textId="77777777" w:rsidTr="00C825A4">
        <w:tc>
          <w:tcPr>
            <w:tcW w:w="666" w:type="pct"/>
            <w:shd w:val="clear" w:color="auto" w:fill="auto"/>
          </w:tcPr>
          <w:p w14:paraId="446240EC" w14:textId="77777777" w:rsidR="00C825A4" w:rsidRPr="00C825A4" w:rsidRDefault="00C825A4" w:rsidP="008D7EDC">
            <w:pPr>
              <w:pStyle w:val="Standaard-Tabellen"/>
              <w:rPr>
                <w:rFonts w:eastAsia="Calibri"/>
                <w:highlight w:val="lightGray"/>
              </w:rPr>
            </w:pPr>
            <w:r w:rsidRPr="00C825A4">
              <w:rPr>
                <w:rFonts w:eastAsia="Calibri"/>
                <w:highlight w:val="lightGray"/>
              </w:rPr>
              <w:t>Bottle</w:t>
            </w:r>
          </w:p>
        </w:tc>
        <w:tc>
          <w:tcPr>
            <w:tcW w:w="1344" w:type="pct"/>
            <w:shd w:val="clear" w:color="auto" w:fill="auto"/>
          </w:tcPr>
          <w:p w14:paraId="08617E78" w14:textId="77777777" w:rsidR="00C825A4" w:rsidRPr="00C825A4" w:rsidRDefault="00C825A4" w:rsidP="008D7EDC">
            <w:pPr>
              <w:pStyle w:val="Standaard-Tabellen"/>
              <w:rPr>
                <w:rFonts w:eastAsia="Calibri"/>
                <w:highlight w:val="lightGray"/>
              </w:rPr>
            </w:pPr>
            <w:r w:rsidRPr="00C825A4">
              <w:rPr>
                <w:rFonts w:eastAsia="Calibri"/>
                <w:highlight w:val="lightGray"/>
              </w:rPr>
              <w:t>≥100 mL - ≤250 mL</w:t>
            </w:r>
          </w:p>
        </w:tc>
        <w:tc>
          <w:tcPr>
            <w:tcW w:w="665" w:type="pct"/>
            <w:shd w:val="clear" w:color="auto" w:fill="auto"/>
          </w:tcPr>
          <w:p w14:paraId="1F3D882E" w14:textId="77777777" w:rsidR="00C825A4" w:rsidRPr="00C825A4" w:rsidRDefault="00C825A4" w:rsidP="008D7EDC">
            <w:pPr>
              <w:pStyle w:val="Standaard-Tabellen"/>
              <w:rPr>
                <w:rFonts w:eastAsia="Calibri"/>
                <w:highlight w:val="lightGray"/>
              </w:rPr>
            </w:pPr>
            <w:r w:rsidRPr="00C825A4">
              <w:rPr>
                <w:rFonts w:eastAsia="Calibri"/>
                <w:highlight w:val="lightGray"/>
              </w:rPr>
              <w:t>HDPE</w:t>
            </w:r>
          </w:p>
        </w:tc>
        <w:tc>
          <w:tcPr>
            <w:tcW w:w="667" w:type="pct"/>
            <w:shd w:val="clear" w:color="auto" w:fill="auto"/>
          </w:tcPr>
          <w:p w14:paraId="169E043C" w14:textId="77777777" w:rsidR="00C825A4" w:rsidRPr="00C825A4" w:rsidRDefault="00C825A4" w:rsidP="008D7EDC">
            <w:pPr>
              <w:pStyle w:val="Standaard-Tabellen"/>
              <w:rPr>
                <w:rFonts w:eastAsia="Calibri"/>
                <w:highlight w:val="lightGray"/>
              </w:rPr>
            </w:pPr>
            <w:r w:rsidRPr="00C825A4">
              <w:rPr>
                <w:rFonts w:eastAsia="Calibri"/>
                <w:highlight w:val="lightGray"/>
              </w:rPr>
              <w:t>pump head covered by a cap *</w:t>
            </w:r>
          </w:p>
        </w:tc>
        <w:tc>
          <w:tcPr>
            <w:tcW w:w="828" w:type="pct"/>
            <w:shd w:val="clear" w:color="auto" w:fill="auto"/>
          </w:tcPr>
          <w:p w14:paraId="47153C20" w14:textId="77777777" w:rsidR="00C825A4" w:rsidRPr="00C825A4" w:rsidRDefault="00C825A4" w:rsidP="008D7EDC">
            <w:pPr>
              <w:pStyle w:val="Standaard-Tabellen"/>
              <w:rPr>
                <w:rFonts w:eastAsia="Calibri"/>
                <w:highlight w:val="lightGray"/>
              </w:rPr>
            </w:pPr>
            <w:r w:rsidRPr="00C825A4">
              <w:rPr>
                <w:rFonts w:eastAsia="Calibri"/>
                <w:highlight w:val="lightGray"/>
              </w:rPr>
              <w:t>non-professional</w:t>
            </w:r>
          </w:p>
        </w:tc>
        <w:tc>
          <w:tcPr>
            <w:tcW w:w="830" w:type="pct"/>
            <w:shd w:val="clear" w:color="auto" w:fill="auto"/>
          </w:tcPr>
          <w:p w14:paraId="14B078A9" w14:textId="77777777" w:rsidR="00C825A4" w:rsidRPr="00C825A4" w:rsidRDefault="00C825A4" w:rsidP="008D7EDC">
            <w:pPr>
              <w:pStyle w:val="Standaard-Tabellen"/>
              <w:rPr>
                <w:rFonts w:eastAsia="Calibri"/>
                <w:highlight w:val="lightGray"/>
              </w:rPr>
            </w:pPr>
            <w:r w:rsidRPr="00C825A4">
              <w:rPr>
                <w:rFonts w:eastAsia="Calibri"/>
                <w:highlight w:val="lightGray"/>
              </w:rPr>
              <w:t>Yes</w:t>
            </w:r>
          </w:p>
        </w:tc>
      </w:tr>
    </w:tbl>
    <w:p w14:paraId="2D5333D0" w14:textId="2B6CC6EE" w:rsidR="00C825A4" w:rsidRDefault="00C825A4" w:rsidP="00C825A4">
      <w:pPr>
        <w:rPr>
          <w:rFonts w:eastAsia="Calibri"/>
          <w:lang w:eastAsia="en-US"/>
        </w:rPr>
      </w:pPr>
      <w:r w:rsidRPr="00C825A4">
        <w:rPr>
          <w:rFonts w:eastAsia="Calibri"/>
          <w:highlight w:val="lightGray"/>
          <w:lang w:eastAsia="en-US"/>
        </w:rPr>
        <w:t>* A new spray system</w:t>
      </w:r>
      <w:r w:rsidR="00727E86">
        <w:rPr>
          <w:rFonts w:eastAsia="Calibri"/>
          <w:highlight w:val="lightGray"/>
          <w:lang w:eastAsia="en-US"/>
        </w:rPr>
        <w:t xml:space="preserve"> for 100mL bottle (300µL per spray)</w:t>
      </w:r>
      <w:r w:rsidRPr="00C825A4">
        <w:rPr>
          <w:rFonts w:eastAsia="Calibri"/>
          <w:highlight w:val="lightGray"/>
          <w:lang w:eastAsia="en-US"/>
        </w:rPr>
        <w:t xml:space="preserve"> was </w:t>
      </w:r>
      <w:r w:rsidR="00727E86">
        <w:rPr>
          <w:rFonts w:eastAsia="Calibri"/>
          <w:highlight w:val="lightGray"/>
          <w:lang w:eastAsia="en-US"/>
        </w:rPr>
        <w:t>added</w:t>
      </w:r>
      <w:r w:rsidR="00727E86" w:rsidRPr="00C825A4">
        <w:rPr>
          <w:rFonts w:eastAsia="Calibri"/>
          <w:highlight w:val="lightGray"/>
          <w:lang w:eastAsia="en-US"/>
        </w:rPr>
        <w:t xml:space="preserve"> </w:t>
      </w:r>
      <w:r w:rsidRPr="00C825A4">
        <w:rPr>
          <w:rFonts w:eastAsia="Calibri"/>
          <w:highlight w:val="lightGray"/>
          <w:lang w:eastAsia="en-US"/>
        </w:rPr>
        <w:t>in the scope of minor change 2021</w:t>
      </w:r>
      <w:r w:rsidR="00727E86">
        <w:rPr>
          <w:rFonts w:eastAsia="Calibri"/>
          <w:lang w:eastAsia="en-US"/>
        </w:rPr>
        <w:t>.</w:t>
      </w:r>
    </w:p>
    <w:p w14:paraId="05BB6ABC" w14:textId="392877CE" w:rsidR="008E2686" w:rsidRPr="00BD2EF1" w:rsidRDefault="008E2686">
      <w:pPr>
        <w:spacing w:before="0" w:after="160" w:line="259" w:lineRule="auto"/>
      </w:pPr>
    </w:p>
    <w:p w14:paraId="01FA7003" w14:textId="77777777" w:rsidR="008E2686" w:rsidRPr="00BD2EF1" w:rsidRDefault="008E2686" w:rsidP="008E2686">
      <w:pPr>
        <w:pStyle w:val="Titre3"/>
      </w:pPr>
      <w:bookmarkStart w:id="113" w:name="_Toc425344097"/>
      <w:bookmarkStart w:id="114" w:name="_Toc93326527"/>
      <w:r w:rsidRPr="00BD2EF1">
        <w:t>Documentation</w:t>
      </w:r>
      <w:bookmarkEnd w:id="113"/>
      <w:bookmarkEnd w:id="114"/>
    </w:p>
    <w:p w14:paraId="6C26FE98" w14:textId="4B806DA1" w:rsidR="002F1B7A" w:rsidRDefault="00663E9D" w:rsidP="002F1B7A">
      <w:pPr>
        <w:pStyle w:val="Titre4"/>
      </w:pPr>
      <w:bookmarkStart w:id="115" w:name="_Toc425344098"/>
      <w:bookmarkStart w:id="116" w:name="_Toc93326528"/>
      <w:r w:rsidRPr="00BD2EF1">
        <w:t>Data submitted in relation to product application</w:t>
      </w:r>
      <w:bookmarkEnd w:id="115"/>
      <w:bookmarkEnd w:id="116"/>
    </w:p>
    <w:p w14:paraId="18FA9128" w14:textId="1D27E3AF" w:rsidR="009461FB" w:rsidRDefault="009461FB" w:rsidP="009461FB">
      <w:pPr>
        <w:rPr>
          <w:lang w:eastAsia="en-US"/>
        </w:rPr>
      </w:pPr>
    </w:p>
    <w:p w14:paraId="410F8E23" w14:textId="77777777" w:rsidR="009461FB" w:rsidRPr="009461FB" w:rsidRDefault="009461FB" w:rsidP="009461FB">
      <w:pPr>
        <w:pStyle w:val="Paragraphedeliste"/>
        <w:numPr>
          <w:ilvl w:val="0"/>
          <w:numId w:val="68"/>
        </w:numPr>
        <w:rPr>
          <w:b/>
        </w:rPr>
      </w:pPr>
      <w:r w:rsidRPr="009461FB">
        <w:rPr>
          <w:b/>
        </w:rPr>
        <w:t>FIRST AUTHORISATION – 2017 (BE CA)</w:t>
      </w:r>
    </w:p>
    <w:p w14:paraId="1E566BFF" w14:textId="77777777" w:rsidR="009461FB" w:rsidRPr="009461FB" w:rsidRDefault="009461FB" w:rsidP="009461FB">
      <w:pPr>
        <w:rPr>
          <w:lang w:eastAsia="en-US"/>
        </w:rPr>
      </w:pPr>
    </w:p>
    <w:p w14:paraId="66971690" w14:textId="079B9766" w:rsidR="00CD542D" w:rsidRDefault="00CD542D" w:rsidP="00CD542D">
      <w:pPr>
        <w:rPr>
          <w:lang w:eastAsia="en-US"/>
        </w:rPr>
      </w:pPr>
      <w:r>
        <w:rPr>
          <w:lang w:eastAsia="en-US"/>
        </w:rPr>
        <w:t>Please see §3.1 list of studies for the biocidal product.</w:t>
      </w:r>
    </w:p>
    <w:p w14:paraId="770BE6BD" w14:textId="77777777" w:rsidR="009461FB" w:rsidRDefault="009461FB" w:rsidP="00CD542D">
      <w:pPr>
        <w:rPr>
          <w:lang w:eastAsia="en-US"/>
        </w:rPr>
      </w:pPr>
    </w:p>
    <w:p w14:paraId="241783E0" w14:textId="116EA8FD" w:rsidR="006E4F81" w:rsidRPr="00FB463E" w:rsidRDefault="009461FB" w:rsidP="009461FB">
      <w:pPr>
        <w:pStyle w:val="Paragraphedeliste"/>
        <w:numPr>
          <w:ilvl w:val="0"/>
          <w:numId w:val="65"/>
        </w:numPr>
        <w:rPr>
          <w:rFonts w:eastAsia="Calibri"/>
          <w:b/>
          <w:lang w:eastAsia="en-US"/>
        </w:rPr>
      </w:pPr>
      <w:r w:rsidRPr="00FB463E">
        <w:rPr>
          <w:rFonts w:eastAsia="Calibri"/>
          <w:b/>
          <w:lang w:eastAsia="en-US"/>
        </w:rPr>
        <w:t>MAJOR CHANGE FOR SPRAY REPULSIF IR200 – 2019 (FR CA)</w:t>
      </w:r>
    </w:p>
    <w:p w14:paraId="5D55BA5D" w14:textId="77777777" w:rsidR="009461FB" w:rsidRPr="00FB463E" w:rsidRDefault="009461FB" w:rsidP="009461FB">
      <w:pPr>
        <w:pStyle w:val="Paragraphedeliste"/>
        <w:rPr>
          <w:rFonts w:eastAsia="Calibri"/>
          <w:b/>
          <w:lang w:eastAsia="en-US"/>
        </w:rPr>
      </w:pPr>
    </w:p>
    <w:p w14:paraId="11422DE9" w14:textId="1F501D3C" w:rsidR="006D08AE" w:rsidRPr="00FB463E" w:rsidRDefault="006D08AE" w:rsidP="00FB463E">
      <w:pPr>
        <w:pStyle w:val="Paragraphedeliste"/>
        <w:widowControl w:val="0"/>
        <w:numPr>
          <w:ilvl w:val="0"/>
          <w:numId w:val="51"/>
        </w:numPr>
        <w:kinsoku w:val="0"/>
        <w:overflowPunct w:val="0"/>
        <w:autoSpaceDE w:val="0"/>
        <w:autoSpaceDN w:val="0"/>
        <w:adjustRightInd w:val="0"/>
        <w:spacing w:before="292" w:line="290" w:lineRule="exact"/>
        <w:ind w:left="709" w:right="216"/>
        <w:jc w:val="both"/>
        <w:textAlignment w:val="baseline"/>
        <w:rPr>
          <w:rFonts w:cs="Arial"/>
          <w:spacing w:val="1"/>
          <w:u w:val="single"/>
          <w:lang w:val="en-US" w:eastAsia="fr-FR"/>
        </w:rPr>
      </w:pPr>
      <w:r w:rsidRPr="00FB463E">
        <w:rPr>
          <w:rFonts w:cs="Arial"/>
          <w:spacing w:val="1"/>
          <w:u w:val="single"/>
          <w:lang w:val="en-US" w:eastAsia="fr-FR"/>
        </w:rPr>
        <w:t>P</w:t>
      </w:r>
      <w:r w:rsidR="006E50DF" w:rsidRPr="00FB463E">
        <w:rPr>
          <w:rFonts w:cs="Arial"/>
          <w:spacing w:val="1"/>
          <w:u w:val="single"/>
          <w:lang w:val="en-US" w:eastAsia="fr-FR"/>
        </w:rPr>
        <w:t>h</w:t>
      </w:r>
      <w:r w:rsidRPr="00FB463E">
        <w:rPr>
          <w:rFonts w:cs="Arial"/>
          <w:spacing w:val="1"/>
          <w:u w:val="single"/>
          <w:lang w:val="en-US" w:eastAsia="fr-FR"/>
        </w:rPr>
        <w:t>ysico-chemical part</w:t>
      </w:r>
    </w:p>
    <w:p w14:paraId="13D93C61" w14:textId="38D49143" w:rsidR="006D08AE" w:rsidRPr="00FB463E" w:rsidRDefault="006D08AE" w:rsidP="00FB463E">
      <w:pPr>
        <w:pStyle w:val="Paragraphedeliste"/>
        <w:widowControl w:val="0"/>
        <w:numPr>
          <w:ilvl w:val="0"/>
          <w:numId w:val="31"/>
        </w:numPr>
        <w:kinsoku w:val="0"/>
        <w:overflowPunct w:val="0"/>
        <w:autoSpaceDE w:val="0"/>
        <w:autoSpaceDN w:val="0"/>
        <w:adjustRightInd w:val="0"/>
        <w:spacing w:before="292" w:line="290" w:lineRule="exact"/>
        <w:ind w:right="216"/>
        <w:jc w:val="both"/>
        <w:textAlignment w:val="baseline"/>
        <w:rPr>
          <w:rFonts w:cs="Arial"/>
          <w:spacing w:val="1"/>
          <w:u w:val="single"/>
          <w:lang w:val="en-US" w:eastAsia="fr-FR"/>
        </w:rPr>
      </w:pPr>
      <w:r w:rsidRPr="00FB463E">
        <w:rPr>
          <w:lang w:val="en-US" w:eastAsia="fr-FR"/>
        </w:rPr>
        <w:t xml:space="preserve">An accelerated storage study in the new sprayer system of the product </w:t>
      </w:r>
      <w:r w:rsidR="009461FB" w:rsidRPr="00FB463E">
        <w:rPr>
          <w:lang w:val="en-US" w:eastAsia="fr-FR"/>
        </w:rPr>
        <w:t>was</w:t>
      </w:r>
      <w:r w:rsidRPr="00FB463E">
        <w:rPr>
          <w:lang w:val="en-US" w:eastAsia="fr-FR"/>
        </w:rPr>
        <w:t xml:space="preserve"> provided.</w:t>
      </w:r>
    </w:p>
    <w:p w14:paraId="576DB040" w14:textId="77777777" w:rsidR="006D08AE" w:rsidRPr="00FB463E" w:rsidRDefault="006D08AE" w:rsidP="00FB463E">
      <w:pPr>
        <w:pStyle w:val="Paragraphedeliste"/>
        <w:widowControl w:val="0"/>
        <w:kinsoku w:val="0"/>
        <w:overflowPunct w:val="0"/>
        <w:autoSpaceDE w:val="0"/>
        <w:autoSpaceDN w:val="0"/>
        <w:adjustRightInd w:val="0"/>
        <w:spacing w:before="292" w:line="290" w:lineRule="exact"/>
        <w:ind w:right="216"/>
        <w:jc w:val="both"/>
        <w:textAlignment w:val="baseline"/>
        <w:rPr>
          <w:rFonts w:cs="Arial"/>
          <w:spacing w:val="1"/>
          <w:u w:val="single"/>
          <w:lang w:val="en-US" w:eastAsia="fr-FR"/>
        </w:rPr>
      </w:pPr>
    </w:p>
    <w:p w14:paraId="27DDF289" w14:textId="140E9517" w:rsidR="006E4F81" w:rsidRPr="00FB463E" w:rsidRDefault="006E4F81" w:rsidP="00FB463E">
      <w:pPr>
        <w:pStyle w:val="Paragraphedeliste"/>
        <w:widowControl w:val="0"/>
        <w:numPr>
          <w:ilvl w:val="0"/>
          <w:numId w:val="45"/>
        </w:numPr>
        <w:kinsoku w:val="0"/>
        <w:overflowPunct w:val="0"/>
        <w:autoSpaceDE w:val="0"/>
        <w:autoSpaceDN w:val="0"/>
        <w:adjustRightInd w:val="0"/>
        <w:spacing w:before="292" w:line="290" w:lineRule="exact"/>
        <w:ind w:right="216"/>
        <w:jc w:val="both"/>
        <w:textAlignment w:val="baseline"/>
        <w:rPr>
          <w:rFonts w:cs="Arial"/>
          <w:spacing w:val="1"/>
          <w:u w:val="single"/>
          <w:lang w:val="en-US" w:eastAsia="fr-FR"/>
        </w:rPr>
      </w:pPr>
      <w:r w:rsidRPr="00FB463E">
        <w:rPr>
          <w:rFonts w:cs="Arial"/>
          <w:spacing w:val="1"/>
          <w:u w:val="single"/>
          <w:lang w:val="en-US" w:eastAsia="fr-FR"/>
        </w:rPr>
        <w:t>Efficacy</w:t>
      </w:r>
    </w:p>
    <w:p w14:paraId="63881F69" w14:textId="7055D51F" w:rsidR="006E4F81" w:rsidRPr="00FB463E" w:rsidRDefault="006E4F81" w:rsidP="00FB463E">
      <w:pPr>
        <w:widowControl w:val="0"/>
        <w:kinsoku w:val="0"/>
        <w:overflowPunct w:val="0"/>
        <w:autoSpaceDE w:val="0"/>
        <w:autoSpaceDN w:val="0"/>
        <w:adjustRightInd w:val="0"/>
        <w:spacing w:before="292" w:line="290" w:lineRule="exact"/>
        <w:ind w:right="216"/>
        <w:jc w:val="both"/>
        <w:textAlignment w:val="baseline"/>
        <w:rPr>
          <w:rFonts w:cs="Arial"/>
          <w:spacing w:val="1"/>
          <w:u w:val="single"/>
          <w:lang w:val="en-US" w:eastAsia="fr-FR"/>
        </w:rPr>
      </w:pPr>
      <w:r w:rsidRPr="00FB463E">
        <w:rPr>
          <w:rFonts w:cs="Arial"/>
          <w:spacing w:val="1"/>
          <w:u w:val="single"/>
          <w:lang w:val="en-US" w:eastAsia="fr-FR"/>
        </w:rPr>
        <w:t>The following tests were submitted:</w:t>
      </w:r>
    </w:p>
    <w:p w14:paraId="7AF71060" w14:textId="4ACD297D" w:rsidR="006E4F81" w:rsidRPr="00FB463E" w:rsidRDefault="006E4F81" w:rsidP="00FB463E">
      <w:pPr>
        <w:ind w:left="225"/>
        <w:rPr>
          <w:b/>
          <w:lang w:eastAsia="en-US"/>
        </w:rPr>
      </w:pPr>
      <w:r w:rsidRPr="00FB463E">
        <w:rPr>
          <w:b/>
          <w:lang w:eastAsia="en-US"/>
        </w:rPr>
        <w:t>Mosquitoes</w:t>
      </w:r>
    </w:p>
    <w:p w14:paraId="733C346C" w14:textId="77777777" w:rsidR="006E4F81" w:rsidRPr="00FB463E" w:rsidRDefault="006E4F81" w:rsidP="00FB463E">
      <w:pPr>
        <w:pStyle w:val="Paragraphedeliste"/>
        <w:numPr>
          <w:ilvl w:val="0"/>
          <w:numId w:val="44"/>
        </w:numPr>
        <w:spacing w:before="0" w:after="0" w:line="260" w:lineRule="atLeast"/>
        <w:ind w:left="810"/>
        <w:jc w:val="both"/>
        <w:rPr>
          <w:lang w:val="en-US"/>
        </w:rPr>
      </w:pPr>
      <w:r w:rsidRPr="00FB463E">
        <w:t>An arm-in-cage study conducted with ten human volunteers with the product “</w:t>
      </w:r>
      <w:r w:rsidRPr="00FB463E">
        <w:rPr>
          <w:lang w:val="en-US"/>
        </w:rPr>
        <w:t xml:space="preserve">SPRAY IR3535 20% ANTI-POUX” </w:t>
      </w:r>
      <w:r w:rsidRPr="00FB463E">
        <w:t xml:space="preserve">(20% w/w IR3535) applied on skin against two </w:t>
      </w:r>
      <w:r w:rsidRPr="00FB463E">
        <w:rPr>
          <w:lang w:val="en-US"/>
        </w:rPr>
        <w:t>mosquito species</w:t>
      </w:r>
      <w:r w:rsidRPr="00FB463E">
        <w:rPr>
          <w:i/>
          <w:lang w:val="en-US"/>
        </w:rPr>
        <w:t xml:space="preserve"> (Aedes aegypti </w:t>
      </w:r>
      <w:r w:rsidRPr="00FB463E">
        <w:rPr>
          <w:lang w:val="en-US"/>
        </w:rPr>
        <w:t>and</w:t>
      </w:r>
      <w:r w:rsidRPr="00FB463E">
        <w:rPr>
          <w:i/>
          <w:lang w:val="en-US"/>
        </w:rPr>
        <w:t xml:space="preserve"> Culex quinquefasciatus) </w:t>
      </w:r>
      <w:r w:rsidRPr="00FB463E">
        <w:rPr>
          <w:lang w:val="en-US"/>
        </w:rPr>
        <w:t>in temperate conditions.</w:t>
      </w:r>
    </w:p>
    <w:p w14:paraId="67B415AF" w14:textId="77777777" w:rsidR="006E4F81" w:rsidRPr="00FB463E" w:rsidRDefault="006E4F81" w:rsidP="00FB463E">
      <w:pPr>
        <w:pStyle w:val="Paragraphedeliste"/>
        <w:numPr>
          <w:ilvl w:val="0"/>
          <w:numId w:val="44"/>
        </w:numPr>
        <w:spacing w:before="0" w:after="0" w:line="260" w:lineRule="atLeast"/>
        <w:ind w:left="810"/>
        <w:jc w:val="both"/>
        <w:rPr>
          <w:lang w:val="en-US"/>
        </w:rPr>
      </w:pPr>
      <w:r w:rsidRPr="00FB463E">
        <w:t>An arm-in-cage study conducted with ten human volunteers with the product “</w:t>
      </w:r>
      <w:r w:rsidRPr="00FB463E">
        <w:rPr>
          <w:lang w:val="en-US"/>
        </w:rPr>
        <w:t xml:space="preserve">SPRAY IR3535 20% ANTI-POUX” </w:t>
      </w:r>
      <w:r w:rsidRPr="00FB463E">
        <w:t xml:space="preserve">(20% w/w IR3535) applied on skin against two </w:t>
      </w:r>
      <w:r w:rsidRPr="00FB463E">
        <w:rPr>
          <w:lang w:val="en-US"/>
        </w:rPr>
        <w:t>mosquito species</w:t>
      </w:r>
      <w:r w:rsidRPr="00FB463E">
        <w:rPr>
          <w:i/>
          <w:lang w:val="en-US"/>
        </w:rPr>
        <w:t xml:space="preserve"> (Aedes albopictus </w:t>
      </w:r>
      <w:r w:rsidRPr="00FB463E">
        <w:rPr>
          <w:lang w:val="en-US"/>
        </w:rPr>
        <w:t>and</w:t>
      </w:r>
      <w:r w:rsidRPr="00FB463E">
        <w:rPr>
          <w:i/>
          <w:lang w:val="en-US"/>
        </w:rPr>
        <w:t xml:space="preserve"> Anopheles gambiae) </w:t>
      </w:r>
      <w:r w:rsidRPr="00FB463E">
        <w:rPr>
          <w:lang w:val="en-US"/>
        </w:rPr>
        <w:t>in tropical conditions.</w:t>
      </w:r>
    </w:p>
    <w:p w14:paraId="02B0BD8F" w14:textId="77777777" w:rsidR="006E4F81" w:rsidRPr="00FB463E" w:rsidRDefault="006E4F81" w:rsidP="00FB463E">
      <w:pPr>
        <w:pStyle w:val="Paragraphedeliste"/>
        <w:numPr>
          <w:ilvl w:val="0"/>
          <w:numId w:val="44"/>
        </w:numPr>
        <w:spacing w:before="0" w:after="0" w:line="260" w:lineRule="atLeast"/>
        <w:ind w:left="810"/>
        <w:jc w:val="both"/>
        <w:rPr>
          <w:lang w:val="en-US"/>
        </w:rPr>
      </w:pPr>
      <w:r w:rsidRPr="00FB463E">
        <w:t>Arm-in-cage studies conducted with ten human volunteers with the product “</w:t>
      </w:r>
      <w:r w:rsidRPr="00FB463E">
        <w:rPr>
          <w:lang w:val="en-US"/>
        </w:rPr>
        <w:t xml:space="preserve">SPRAY IR3535 20% ANTI-POUX” </w:t>
      </w:r>
      <w:r w:rsidRPr="00FB463E">
        <w:t>(20% w/w IR3535) applied two types of fabric (cotton and polyester) three mosquito species (</w:t>
      </w:r>
      <w:r w:rsidRPr="00FB463E">
        <w:rPr>
          <w:i/>
        </w:rPr>
        <w:t>Aedes aegypti</w:t>
      </w:r>
      <w:r w:rsidRPr="00FB463E">
        <w:t xml:space="preserve">, </w:t>
      </w:r>
      <w:r w:rsidRPr="00FB463E">
        <w:rPr>
          <w:i/>
        </w:rPr>
        <w:t>Aedes albopictus</w:t>
      </w:r>
      <w:r w:rsidRPr="00FB463E">
        <w:t xml:space="preserve">, </w:t>
      </w:r>
      <w:r w:rsidRPr="00FB463E">
        <w:rPr>
          <w:i/>
        </w:rPr>
        <w:t>Culex pipiens</w:t>
      </w:r>
      <w:r w:rsidRPr="00FB463E">
        <w:t xml:space="preserve"> and </w:t>
      </w:r>
      <w:r w:rsidRPr="00FB463E">
        <w:rPr>
          <w:i/>
        </w:rPr>
        <w:t>Anopheles gambiae</w:t>
      </w:r>
      <w:r w:rsidRPr="00FB463E">
        <w:t>).</w:t>
      </w:r>
    </w:p>
    <w:p w14:paraId="5164C867" w14:textId="77777777" w:rsidR="006E4F81" w:rsidRPr="00FB463E" w:rsidRDefault="006E4F81" w:rsidP="00FB463E">
      <w:pPr>
        <w:ind w:left="375"/>
        <w:rPr>
          <w:lang w:eastAsia="en-US"/>
        </w:rPr>
      </w:pPr>
    </w:p>
    <w:p w14:paraId="2268ECC4" w14:textId="77777777" w:rsidR="006E4F81" w:rsidRPr="00FB463E" w:rsidRDefault="006E4F81" w:rsidP="00FB463E">
      <w:pPr>
        <w:ind w:left="225"/>
        <w:rPr>
          <w:b/>
          <w:lang w:eastAsia="en-US"/>
        </w:rPr>
      </w:pPr>
      <w:r w:rsidRPr="00FB463E">
        <w:rPr>
          <w:b/>
          <w:lang w:eastAsia="en-US"/>
        </w:rPr>
        <w:t>Ticks</w:t>
      </w:r>
    </w:p>
    <w:p w14:paraId="2E4FE16A" w14:textId="77777777" w:rsidR="006E4F81" w:rsidRPr="00FB463E" w:rsidRDefault="006E4F81" w:rsidP="00FB463E">
      <w:pPr>
        <w:pStyle w:val="Paragraphedeliste"/>
        <w:numPr>
          <w:ilvl w:val="0"/>
          <w:numId w:val="44"/>
        </w:numPr>
        <w:spacing w:before="0" w:after="0" w:line="260" w:lineRule="atLeast"/>
        <w:ind w:left="660"/>
        <w:jc w:val="both"/>
        <w:rPr>
          <w:i/>
          <w:lang w:val="en-US"/>
        </w:rPr>
      </w:pPr>
      <w:r w:rsidRPr="00FB463E">
        <w:t>Laboratory studies conducted with ten mice with the product “</w:t>
      </w:r>
      <w:r w:rsidRPr="00FB463E">
        <w:rPr>
          <w:lang w:val="en-US"/>
        </w:rPr>
        <w:t xml:space="preserve">SPRAY IR3535 20% ANTI-POUX” </w:t>
      </w:r>
      <w:r w:rsidRPr="00FB463E">
        <w:t>(20% w/w IR3535) applied on mouse against adults and nymphs ticks (</w:t>
      </w:r>
      <w:r w:rsidRPr="00FB463E">
        <w:rPr>
          <w:i/>
        </w:rPr>
        <w:t>Ixodes ricinus</w:t>
      </w:r>
      <w:r w:rsidRPr="00FB463E">
        <w:t>) in temperate conditions.</w:t>
      </w:r>
    </w:p>
    <w:p w14:paraId="49875A8D" w14:textId="77777777" w:rsidR="006E4F81" w:rsidRPr="00FB463E" w:rsidRDefault="006E4F81" w:rsidP="00FB463E">
      <w:pPr>
        <w:pStyle w:val="Paragraphedeliste"/>
        <w:numPr>
          <w:ilvl w:val="0"/>
          <w:numId w:val="44"/>
        </w:numPr>
        <w:spacing w:before="0" w:after="0" w:line="260" w:lineRule="atLeast"/>
        <w:ind w:left="660"/>
        <w:jc w:val="both"/>
        <w:rPr>
          <w:i/>
          <w:lang w:val="en-US"/>
        </w:rPr>
      </w:pPr>
      <w:r w:rsidRPr="00FB463E">
        <w:t>Laboratory studies conducted with ten mice with the product “</w:t>
      </w:r>
      <w:r w:rsidRPr="00FB463E">
        <w:rPr>
          <w:lang w:val="en-US"/>
        </w:rPr>
        <w:t xml:space="preserve">SPRAY IR3535 20% ANTI-POUX” </w:t>
      </w:r>
      <w:r w:rsidRPr="00FB463E">
        <w:t>(20% w/w IR3535) applied on two type of fabric (cotton and polyester) on mouse against adults and nymphs ticks (</w:t>
      </w:r>
      <w:r w:rsidRPr="00FB463E">
        <w:rPr>
          <w:i/>
        </w:rPr>
        <w:t>Ixodes ricinus</w:t>
      </w:r>
      <w:r w:rsidRPr="00FB463E">
        <w:t>) in temperate conditions.</w:t>
      </w:r>
    </w:p>
    <w:p w14:paraId="68A9B228" w14:textId="77777777" w:rsidR="006E4F81" w:rsidRPr="00FB463E" w:rsidRDefault="006E4F81" w:rsidP="00FB463E">
      <w:pPr>
        <w:ind w:left="367"/>
        <w:jc w:val="both"/>
        <w:rPr>
          <w:i/>
          <w:lang w:val="en-US"/>
        </w:rPr>
      </w:pPr>
    </w:p>
    <w:p w14:paraId="512487B1" w14:textId="77777777" w:rsidR="006E4F81" w:rsidRPr="00FB463E" w:rsidRDefault="006E4F81" w:rsidP="00FB463E">
      <w:pPr>
        <w:ind w:left="225"/>
        <w:rPr>
          <w:b/>
          <w:lang w:eastAsia="en-US"/>
        </w:rPr>
      </w:pPr>
      <w:r w:rsidRPr="00FB463E">
        <w:rPr>
          <w:b/>
          <w:lang w:eastAsia="en-US"/>
        </w:rPr>
        <w:lastRenderedPageBreak/>
        <w:t>House dust mites</w:t>
      </w:r>
    </w:p>
    <w:p w14:paraId="01765F01" w14:textId="77777777" w:rsidR="006E4F81" w:rsidRPr="00FB463E" w:rsidRDefault="006E4F81" w:rsidP="00FB463E">
      <w:pPr>
        <w:pStyle w:val="Paragraphedeliste"/>
        <w:numPr>
          <w:ilvl w:val="0"/>
          <w:numId w:val="44"/>
        </w:numPr>
        <w:spacing w:before="0" w:after="0" w:line="260" w:lineRule="atLeast"/>
        <w:ind w:left="660"/>
        <w:jc w:val="both"/>
      </w:pPr>
      <w:r w:rsidRPr="00FB463E">
        <w:t>A free-choice laboratory test was carried out with House Dust mites (</w:t>
      </w:r>
      <w:r w:rsidRPr="00FB463E">
        <w:rPr>
          <w:i/>
        </w:rPr>
        <w:t>Dermatophagoïdes pteronyssinus</w:t>
      </w:r>
      <w:r w:rsidRPr="00FB463E">
        <w:t>) with the product “</w:t>
      </w:r>
      <w:r w:rsidRPr="00FB463E">
        <w:rPr>
          <w:lang w:val="en-US"/>
        </w:rPr>
        <w:t xml:space="preserve">SPRAY IR3535 20% ANTI-POUX” </w:t>
      </w:r>
      <w:r w:rsidRPr="00FB463E">
        <w:t>(20% w/w IR3535).</w:t>
      </w:r>
    </w:p>
    <w:p w14:paraId="35276AB4" w14:textId="77777777" w:rsidR="006E4F81" w:rsidRPr="00FB463E" w:rsidRDefault="006E4F81" w:rsidP="00FB463E">
      <w:pPr>
        <w:ind w:left="225"/>
        <w:jc w:val="both"/>
        <w:rPr>
          <w:i/>
          <w:lang w:val="en-US"/>
        </w:rPr>
      </w:pPr>
    </w:p>
    <w:p w14:paraId="44353DDA" w14:textId="77777777" w:rsidR="006E4F81" w:rsidRPr="00FB463E" w:rsidRDefault="006E4F81" w:rsidP="00FB463E">
      <w:pPr>
        <w:ind w:left="225"/>
        <w:rPr>
          <w:b/>
          <w:lang w:eastAsia="en-US"/>
        </w:rPr>
      </w:pPr>
      <w:r w:rsidRPr="00FB463E">
        <w:rPr>
          <w:b/>
          <w:lang w:eastAsia="en-US"/>
        </w:rPr>
        <w:t>Human head lice</w:t>
      </w:r>
    </w:p>
    <w:p w14:paraId="1D8E356D" w14:textId="38FF2AF8" w:rsidR="006E4F81" w:rsidRPr="00FB463E" w:rsidRDefault="006E4F81" w:rsidP="00FB463E">
      <w:pPr>
        <w:pStyle w:val="Paragraphedeliste"/>
        <w:numPr>
          <w:ilvl w:val="0"/>
          <w:numId w:val="44"/>
        </w:numPr>
        <w:spacing w:before="0" w:after="0" w:line="260" w:lineRule="atLeast"/>
        <w:ind w:left="660"/>
        <w:jc w:val="both"/>
      </w:pPr>
      <w:r w:rsidRPr="00FB463E">
        <w:t>Laboratory tests were carried out with human head lice (</w:t>
      </w:r>
      <w:r w:rsidRPr="00FB463E">
        <w:rPr>
          <w:i/>
        </w:rPr>
        <w:t>Pediculus humanus capitis</w:t>
      </w:r>
      <w:r w:rsidRPr="00FB463E">
        <w:t>) with the product “</w:t>
      </w:r>
      <w:r w:rsidRPr="00FB463E">
        <w:rPr>
          <w:lang w:val="en-US"/>
        </w:rPr>
        <w:t xml:space="preserve">SPRAY IR3535 20% ANTI-POUX” </w:t>
      </w:r>
      <w:r w:rsidRPr="00FB463E">
        <w:t>(20% w/w IR3535).</w:t>
      </w:r>
    </w:p>
    <w:p w14:paraId="78840B4D" w14:textId="10355AB0" w:rsidR="006E4F81" w:rsidRDefault="006E4F81" w:rsidP="00CD542D">
      <w:pPr>
        <w:rPr>
          <w:lang w:eastAsia="en-US"/>
        </w:rPr>
      </w:pPr>
    </w:p>
    <w:p w14:paraId="42F28FC8" w14:textId="77777777" w:rsidR="00C825A4" w:rsidRPr="00C825A4" w:rsidRDefault="00C825A4" w:rsidP="00C825A4">
      <w:pPr>
        <w:pStyle w:val="Paragraphedeliste"/>
        <w:numPr>
          <w:ilvl w:val="0"/>
          <w:numId w:val="65"/>
        </w:numPr>
        <w:rPr>
          <w:rFonts w:eastAsia="Calibri"/>
          <w:b/>
          <w:highlight w:val="lightGray"/>
          <w:lang w:eastAsia="en-US"/>
        </w:rPr>
      </w:pPr>
      <w:r w:rsidRPr="00C825A4">
        <w:rPr>
          <w:rFonts w:eastAsia="Calibri"/>
          <w:b/>
          <w:highlight w:val="lightGray"/>
          <w:lang w:eastAsia="en-US"/>
        </w:rPr>
        <w:t>MINOR CHANGE FOR SPRAY REPULSIF IR200 – 2021 (FR CA)</w:t>
      </w:r>
    </w:p>
    <w:p w14:paraId="6E82CD6F" w14:textId="77777777" w:rsidR="00C825A4" w:rsidRPr="00C825A4" w:rsidRDefault="00C825A4" w:rsidP="00C825A4">
      <w:pPr>
        <w:pStyle w:val="Paragraphedeliste"/>
        <w:rPr>
          <w:rFonts w:eastAsia="Calibri"/>
          <w:b/>
          <w:highlight w:val="lightGray"/>
          <w:lang w:eastAsia="en-US"/>
        </w:rPr>
      </w:pPr>
    </w:p>
    <w:p w14:paraId="2B101D1A" w14:textId="77777777" w:rsidR="00C825A4" w:rsidRPr="00C825A4" w:rsidRDefault="00C825A4" w:rsidP="00C825A4">
      <w:pPr>
        <w:pStyle w:val="Paragraphedeliste"/>
        <w:widowControl w:val="0"/>
        <w:numPr>
          <w:ilvl w:val="0"/>
          <w:numId w:val="51"/>
        </w:numPr>
        <w:kinsoku w:val="0"/>
        <w:overflowPunct w:val="0"/>
        <w:autoSpaceDE w:val="0"/>
        <w:autoSpaceDN w:val="0"/>
        <w:adjustRightInd w:val="0"/>
        <w:spacing w:before="292" w:line="290" w:lineRule="exact"/>
        <w:ind w:left="709" w:right="216"/>
        <w:jc w:val="both"/>
        <w:textAlignment w:val="baseline"/>
        <w:rPr>
          <w:rFonts w:cs="Arial"/>
          <w:spacing w:val="1"/>
          <w:highlight w:val="lightGray"/>
          <w:u w:val="single"/>
          <w:lang w:val="en-US" w:eastAsia="fr-FR"/>
        </w:rPr>
      </w:pPr>
      <w:r w:rsidRPr="00C825A4">
        <w:rPr>
          <w:rFonts w:cs="Arial"/>
          <w:spacing w:val="1"/>
          <w:highlight w:val="lightGray"/>
          <w:u w:val="single"/>
          <w:lang w:val="en-US" w:eastAsia="fr-FR"/>
        </w:rPr>
        <w:t>Physico-chemical part</w:t>
      </w:r>
    </w:p>
    <w:p w14:paraId="24393900" w14:textId="77777777" w:rsidR="00C825A4" w:rsidRPr="00C825A4" w:rsidRDefault="00C825A4" w:rsidP="00C825A4">
      <w:pPr>
        <w:pStyle w:val="Paragraphedeliste"/>
        <w:widowControl w:val="0"/>
        <w:numPr>
          <w:ilvl w:val="0"/>
          <w:numId w:val="76"/>
        </w:numPr>
        <w:kinsoku w:val="0"/>
        <w:overflowPunct w:val="0"/>
        <w:autoSpaceDE w:val="0"/>
        <w:autoSpaceDN w:val="0"/>
        <w:adjustRightInd w:val="0"/>
        <w:spacing w:before="292" w:line="290" w:lineRule="exact"/>
        <w:ind w:right="216"/>
        <w:jc w:val="both"/>
        <w:textAlignment w:val="baseline"/>
        <w:rPr>
          <w:rFonts w:cs="Arial"/>
          <w:bCs/>
          <w:spacing w:val="1"/>
          <w:highlight w:val="lightGray"/>
          <w:u w:val="single"/>
          <w:lang w:val="en-US" w:eastAsia="fr-FR"/>
        </w:rPr>
      </w:pPr>
      <w:r w:rsidRPr="00C825A4">
        <w:rPr>
          <w:rFonts w:cs="Arial"/>
          <w:bCs/>
          <w:highlight w:val="lightGray"/>
        </w:rPr>
        <w:t xml:space="preserve">Chemical analyses and physical stability study during and after a storage after 30 months were provided (100ml &amp; 250ml) </w:t>
      </w:r>
    </w:p>
    <w:p w14:paraId="424C8493" w14:textId="77777777" w:rsidR="00C825A4" w:rsidRPr="00C825A4" w:rsidRDefault="00C825A4" w:rsidP="00C825A4">
      <w:pPr>
        <w:pStyle w:val="Paragraphedeliste"/>
        <w:widowControl w:val="0"/>
        <w:numPr>
          <w:ilvl w:val="0"/>
          <w:numId w:val="76"/>
        </w:numPr>
        <w:kinsoku w:val="0"/>
        <w:overflowPunct w:val="0"/>
        <w:autoSpaceDE w:val="0"/>
        <w:autoSpaceDN w:val="0"/>
        <w:adjustRightInd w:val="0"/>
        <w:spacing w:before="292" w:line="290" w:lineRule="exact"/>
        <w:ind w:right="216"/>
        <w:jc w:val="both"/>
        <w:textAlignment w:val="baseline"/>
        <w:rPr>
          <w:rFonts w:cs="Arial"/>
          <w:bCs/>
          <w:spacing w:val="1"/>
          <w:highlight w:val="lightGray"/>
          <w:u w:val="single"/>
          <w:lang w:val="en-US" w:eastAsia="fr-FR"/>
        </w:rPr>
      </w:pPr>
      <w:r w:rsidRPr="00C825A4">
        <w:rPr>
          <w:rFonts w:cs="Arial"/>
          <w:bCs/>
          <w:highlight w:val="lightGray"/>
        </w:rPr>
        <w:t>Physical stability study during and after storage after 24 months (additional studies) was provided (100 mL bottle, 100 µL pump)</w:t>
      </w:r>
    </w:p>
    <w:p w14:paraId="0C86D180" w14:textId="77777777" w:rsidR="00C825A4" w:rsidRPr="00C825A4" w:rsidRDefault="00C825A4" w:rsidP="00C825A4">
      <w:pPr>
        <w:pStyle w:val="Paragraphedeliste"/>
        <w:widowControl w:val="0"/>
        <w:numPr>
          <w:ilvl w:val="0"/>
          <w:numId w:val="76"/>
        </w:numPr>
        <w:kinsoku w:val="0"/>
        <w:overflowPunct w:val="0"/>
        <w:autoSpaceDE w:val="0"/>
        <w:autoSpaceDN w:val="0"/>
        <w:adjustRightInd w:val="0"/>
        <w:spacing w:before="292" w:line="290" w:lineRule="exact"/>
        <w:ind w:right="216"/>
        <w:jc w:val="both"/>
        <w:textAlignment w:val="baseline"/>
        <w:rPr>
          <w:rFonts w:cs="Arial"/>
          <w:bCs/>
          <w:spacing w:val="1"/>
          <w:highlight w:val="lightGray"/>
          <w:u w:val="single"/>
          <w:lang w:val="en-US" w:eastAsia="fr-FR"/>
        </w:rPr>
      </w:pPr>
      <w:r w:rsidRPr="00C825A4">
        <w:rPr>
          <w:highlight w:val="lightGray"/>
          <w:lang w:val="en-US" w:eastAsia="fr-FR"/>
        </w:rPr>
        <w:t>An accelerated storage study in the new sprayer system of the product was provided (100ml bottle, new pump 300 µL)</w:t>
      </w:r>
    </w:p>
    <w:p w14:paraId="69E4D333" w14:textId="77777777" w:rsidR="002971AD" w:rsidRPr="00C825A4" w:rsidRDefault="002971AD" w:rsidP="00CD542D">
      <w:pPr>
        <w:rPr>
          <w:lang w:val="en-US" w:eastAsia="en-US"/>
        </w:rPr>
      </w:pPr>
    </w:p>
    <w:p w14:paraId="4D4971FF" w14:textId="77777777" w:rsidR="00663E9D" w:rsidRPr="00BD2EF1" w:rsidRDefault="00663E9D" w:rsidP="00663E9D">
      <w:pPr>
        <w:pStyle w:val="Titre4"/>
      </w:pPr>
      <w:bookmarkStart w:id="117" w:name="_Toc425344099"/>
      <w:bookmarkStart w:id="118" w:name="_Toc93326529"/>
      <w:r w:rsidRPr="00BD2EF1">
        <w:t>Access to documentation</w:t>
      </w:r>
      <w:bookmarkEnd w:id="117"/>
      <w:bookmarkEnd w:id="118"/>
    </w:p>
    <w:p w14:paraId="05015D93" w14:textId="77777777" w:rsidR="009461FB" w:rsidRPr="009461FB" w:rsidRDefault="009461FB" w:rsidP="009461FB">
      <w:pPr>
        <w:pStyle w:val="Paragraphedeliste"/>
        <w:numPr>
          <w:ilvl w:val="0"/>
          <w:numId w:val="68"/>
        </w:numPr>
        <w:rPr>
          <w:b/>
        </w:rPr>
      </w:pPr>
      <w:r w:rsidRPr="009461FB">
        <w:rPr>
          <w:b/>
        </w:rPr>
        <w:t>FIRST AUTHORISATION – 2017 (BE CA)</w:t>
      </w:r>
    </w:p>
    <w:p w14:paraId="15A71BC1" w14:textId="16BD02B8" w:rsidR="00663E9D" w:rsidRDefault="00663E9D" w:rsidP="00663E9D">
      <w:pPr>
        <w:rPr>
          <w:rFonts w:eastAsia="Calibri"/>
          <w:lang w:eastAsia="en-US"/>
        </w:rPr>
      </w:pPr>
      <w:r>
        <w:rPr>
          <w:rFonts w:eastAsia="Calibri"/>
          <w:lang w:eastAsia="en-US"/>
        </w:rPr>
        <w:t>The applicant of this product is the same as the review programme participant for the active substance and is thus the owner of all data on the active substance.</w:t>
      </w:r>
    </w:p>
    <w:p w14:paraId="6C1DFD2C" w14:textId="09FE8A4A" w:rsidR="00230912" w:rsidRDefault="00230912" w:rsidP="00663E9D">
      <w:pPr>
        <w:rPr>
          <w:rFonts w:eastAsia="Calibri"/>
          <w:lang w:eastAsia="en-US"/>
        </w:rPr>
      </w:pPr>
    </w:p>
    <w:p w14:paraId="75AEDFFD" w14:textId="77777777" w:rsidR="009461FB" w:rsidRPr="002971AD" w:rsidRDefault="009461FB" w:rsidP="00FB463E">
      <w:pPr>
        <w:pStyle w:val="Paragraphedeliste"/>
        <w:numPr>
          <w:ilvl w:val="0"/>
          <w:numId w:val="68"/>
        </w:numPr>
        <w:rPr>
          <w:rFonts w:eastAsia="Calibri"/>
          <w:b/>
          <w:lang w:eastAsia="en-US"/>
        </w:rPr>
      </w:pPr>
      <w:r w:rsidRPr="00FB463E">
        <w:rPr>
          <w:rFonts w:eastAsia="Calibri"/>
          <w:b/>
          <w:lang w:eastAsia="en-US"/>
        </w:rPr>
        <w:t>MAJOR CHANGE FOR SPRAY REPULSIF IR200 – 2019 (FR CA)</w:t>
      </w:r>
    </w:p>
    <w:p w14:paraId="24023F35" w14:textId="43F8205D" w:rsidR="00A964A9" w:rsidRDefault="00230912" w:rsidP="00FB463E">
      <w:r>
        <w:t>T</w:t>
      </w:r>
      <w:r w:rsidR="00A964A9">
        <w:t>he authorization holder has a letter of access from Merck KGaA for the following data:</w:t>
      </w:r>
    </w:p>
    <w:p w14:paraId="053F93DF" w14:textId="77777777" w:rsidR="00A964A9" w:rsidRDefault="00A964A9" w:rsidP="00FB463E">
      <w:r>
        <w:t>-</w:t>
      </w:r>
      <w:r>
        <w:tab/>
        <w:t>The data package on the basis of which IR3535 was approved under the regulation 528/2012, through Commission Implementing Regulation 406/2014.</w:t>
      </w:r>
    </w:p>
    <w:p w14:paraId="73188DA7" w14:textId="77777777" w:rsidR="00A964A9" w:rsidRDefault="00A964A9" w:rsidP="00FB463E">
      <w:r>
        <w:t>-</w:t>
      </w:r>
      <w:r>
        <w:tab/>
        <w:t>The data package from the Product Assessment Report of the product Insect Repellent Spray Lice IR3535® 20% (Case number BC-PR013536-21), evaluated by Belgium.</w:t>
      </w:r>
    </w:p>
    <w:p w14:paraId="46E085F7" w14:textId="0FFF2FFD" w:rsidR="00663E9D" w:rsidRDefault="00A964A9" w:rsidP="002971AD">
      <w:r>
        <w:t> </w:t>
      </w:r>
    </w:p>
    <w:p w14:paraId="2E80402E" w14:textId="77777777" w:rsidR="00370417" w:rsidRPr="00BD2EF1" w:rsidRDefault="00370417"/>
    <w:p w14:paraId="092AEA53" w14:textId="77777777" w:rsidR="00604E84" w:rsidRPr="00BD2EF1" w:rsidRDefault="00604E84" w:rsidP="008737BD">
      <w:pPr>
        <w:sectPr w:rsidR="00604E84" w:rsidRPr="00BD2EF1" w:rsidSect="006456DE">
          <w:pgSz w:w="11906" w:h="16838"/>
          <w:pgMar w:top="1247" w:right="1247" w:bottom="1247" w:left="1247" w:header="709" w:footer="709" w:gutter="0"/>
          <w:cols w:space="708"/>
          <w:docGrid w:linePitch="360"/>
        </w:sectPr>
      </w:pPr>
    </w:p>
    <w:p w14:paraId="4E6C1BD0" w14:textId="77777777" w:rsidR="008737BD" w:rsidRPr="00BD2EF1" w:rsidRDefault="0028480A" w:rsidP="0028480A">
      <w:pPr>
        <w:pStyle w:val="Titre2"/>
      </w:pPr>
      <w:bookmarkStart w:id="119" w:name="_Toc93326530"/>
      <w:r w:rsidRPr="00BD2EF1">
        <w:lastRenderedPageBreak/>
        <w:t>Assessment of the biocidal product</w:t>
      </w:r>
      <w:bookmarkEnd w:id="119"/>
    </w:p>
    <w:p w14:paraId="2473D41B" w14:textId="77777777" w:rsidR="0028480A" w:rsidRPr="00190DC8" w:rsidRDefault="0028480A" w:rsidP="00190DC8">
      <w:pPr>
        <w:pStyle w:val="Titre3"/>
      </w:pPr>
      <w:bookmarkStart w:id="120" w:name="_Toc93326531"/>
      <w:r w:rsidRPr="00190DC8">
        <w:t>Intended use(s) as applied for by</w:t>
      </w:r>
      <w:bookmarkStart w:id="121" w:name="_GoBack"/>
      <w:bookmarkEnd w:id="121"/>
      <w:r w:rsidRPr="00190DC8">
        <w:t xml:space="preserve"> the applicant</w:t>
      </w:r>
      <w:bookmarkEnd w:id="120"/>
    </w:p>
    <w:p w14:paraId="42D9C959" w14:textId="3A888015" w:rsidR="002D196C" w:rsidRDefault="0053704B" w:rsidP="002D196C">
      <w:pPr>
        <w:pStyle w:val="Paragraphedeliste"/>
        <w:numPr>
          <w:ilvl w:val="0"/>
          <w:numId w:val="68"/>
        </w:numPr>
        <w:rPr>
          <w:b/>
        </w:rPr>
      </w:pPr>
      <w:r w:rsidRPr="009461FB">
        <w:rPr>
          <w:b/>
        </w:rPr>
        <w:t>FIRST AUTHORISATION – 2017 (BE CA)</w:t>
      </w:r>
    </w:p>
    <w:p w14:paraId="21A67821" w14:textId="0C76DE91" w:rsidR="002D196C" w:rsidRDefault="002D196C" w:rsidP="002D196C">
      <w:pPr>
        <w:rPr>
          <w:b/>
        </w:rPr>
      </w:pPr>
    </w:p>
    <w:tbl>
      <w:tblPr>
        <w:tblW w:w="0" w:type="auto"/>
        <w:tblLayout w:type="fixed"/>
        <w:tblCellMar>
          <w:left w:w="0" w:type="dxa"/>
          <w:right w:w="0" w:type="dxa"/>
        </w:tblCellMar>
        <w:tblLook w:val="04A0" w:firstRow="1" w:lastRow="0" w:firstColumn="1" w:lastColumn="0" w:noHBand="0" w:noVBand="1"/>
      </w:tblPr>
      <w:tblGrid>
        <w:gridCol w:w="4080"/>
        <w:gridCol w:w="720"/>
        <w:gridCol w:w="60"/>
        <w:gridCol w:w="900"/>
        <w:gridCol w:w="40"/>
        <w:gridCol w:w="340"/>
        <w:gridCol w:w="1400"/>
        <w:gridCol w:w="480"/>
        <w:gridCol w:w="1560"/>
        <w:gridCol w:w="3900"/>
        <w:gridCol w:w="20"/>
      </w:tblGrid>
      <w:tr w:rsidR="002D196C" w:rsidRPr="002D196C" w14:paraId="4D89A55E" w14:textId="77777777" w:rsidTr="00965030">
        <w:trPr>
          <w:trHeight w:val="255"/>
        </w:trPr>
        <w:tc>
          <w:tcPr>
            <w:tcW w:w="4080" w:type="dxa"/>
            <w:tcBorders>
              <w:top w:val="single" w:sz="8" w:space="0" w:color="auto"/>
              <w:right w:val="single" w:sz="8" w:space="0" w:color="auto"/>
            </w:tcBorders>
            <w:vAlign w:val="bottom"/>
          </w:tcPr>
          <w:p w14:paraId="1C9B03B9" w14:textId="77777777" w:rsidR="002D196C" w:rsidRPr="002D196C" w:rsidRDefault="002D196C" w:rsidP="00965030">
            <w:pPr>
              <w:spacing w:before="0" w:after="0"/>
              <w:ind w:left="40"/>
              <w:rPr>
                <w:rFonts w:ascii="Times New Roman" w:hAnsi="Times New Roman"/>
                <w:lang w:val="fr-FR" w:eastAsia="fr-FR"/>
              </w:rPr>
            </w:pPr>
            <w:r w:rsidRPr="002D196C">
              <w:rPr>
                <w:rFonts w:eastAsia="Verdana" w:cs="Verdana"/>
                <w:b/>
                <w:bCs/>
                <w:sz w:val="17"/>
                <w:szCs w:val="17"/>
                <w:lang w:val="fr-FR" w:eastAsia="fr-FR"/>
              </w:rPr>
              <w:t>Product Type</w:t>
            </w:r>
          </w:p>
        </w:tc>
        <w:tc>
          <w:tcPr>
            <w:tcW w:w="9400" w:type="dxa"/>
            <w:gridSpan w:val="9"/>
            <w:tcBorders>
              <w:top w:val="single" w:sz="8" w:space="0" w:color="auto"/>
            </w:tcBorders>
            <w:vAlign w:val="bottom"/>
          </w:tcPr>
          <w:p w14:paraId="01EA9A3E" w14:textId="77777777" w:rsidR="002D196C" w:rsidRPr="002D196C" w:rsidRDefault="002D196C" w:rsidP="00965030">
            <w:pPr>
              <w:spacing w:before="0" w:after="0"/>
              <w:rPr>
                <w:rFonts w:ascii="Times New Roman" w:hAnsi="Times New Roman"/>
                <w:lang w:val="fr-FR" w:eastAsia="fr-FR"/>
              </w:rPr>
            </w:pPr>
            <w:r w:rsidRPr="002D196C">
              <w:rPr>
                <w:rFonts w:eastAsia="Verdana" w:cs="Verdana"/>
                <w:sz w:val="17"/>
                <w:szCs w:val="17"/>
                <w:lang w:val="fr-FR" w:eastAsia="fr-FR"/>
              </w:rPr>
              <w:t>PT19 – Repellents and attractants (Pest control)</w:t>
            </w:r>
          </w:p>
        </w:tc>
        <w:tc>
          <w:tcPr>
            <w:tcW w:w="0" w:type="dxa"/>
            <w:vAlign w:val="bottom"/>
          </w:tcPr>
          <w:p w14:paraId="202BDB52"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5CECDED5" w14:textId="77777777" w:rsidTr="00965030">
        <w:trPr>
          <w:trHeight w:val="38"/>
        </w:trPr>
        <w:tc>
          <w:tcPr>
            <w:tcW w:w="4080" w:type="dxa"/>
            <w:tcBorders>
              <w:bottom w:val="single" w:sz="8" w:space="0" w:color="auto"/>
              <w:right w:val="single" w:sz="8" w:space="0" w:color="auto"/>
            </w:tcBorders>
            <w:vAlign w:val="bottom"/>
          </w:tcPr>
          <w:p w14:paraId="3499EA0E" w14:textId="77777777" w:rsidR="002D196C" w:rsidRPr="002D196C" w:rsidRDefault="002D196C" w:rsidP="00965030">
            <w:pPr>
              <w:spacing w:before="0" w:after="0"/>
              <w:rPr>
                <w:rFonts w:ascii="Times New Roman" w:hAnsi="Times New Roman"/>
                <w:sz w:val="3"/>
                <w:szCs w:val="3"/>
                <w:lang w:val="fr-FR" w:eastAsia="fr-FR"/>
              </w:rPr>
            </w:pPr>
          </w:p>
        </w:tc>
        <w:tc>
          <w:tcPr>
            <w:tcW w:w="720" w:type="dxa"/>
            <w:tcBorders>
              <w:bottom w:val="single" w:sz="8" w:space="0" w:color="auto"/>
            </w:tcBorders>
            <w:vAlign w:val="bottom"/>
          </w:tcPr>
          <w:p w14:paraId="0FB4EBF0" w14:textId="77777777" w:rsidR="002D196C" w:rsidRPr="002D196C" w:rsidRDefault="002D196C" w:rsidP="00965030">
            <w:pPr>
              <w:spacing w:before="0" w:after="0"/>
              <w:rPr>
                <w:rFonts w:ascii="Times New Roman" w:hAnsi="Times New Roman"/>
                <w:sz w:val="3"/>
                <w:szCs w:val="3"/>
                <w:lang w:val="fr-FR" w:eastAsia="fr-FR"/>
              </w:rPr>
            </w:pPr>
          </w:p>
        </w:tc>
        <w:tc>
          <w:tcPr>
            <w:tcW w:w="960" w:type="dxa"/>
            <w:gridSpan w:val="2"/>
            <w:tcBorders>
              <w:bottom w:val="single" w:sz="8" w:space="0" w:color="auto"/>
            </w:tcBorders>
            <w:vAlign w:val="bottom"/>
          </w:tcPr>
          <w:p w14:paraId="2ACC094A" w14:textId="77777777" w:rsidR="002D196C" w:rsidRPr="002D196C" w:rsidRDefault="002D196C" w:rsidP="00965030">
            <w:pPr>
              <w:spacing w:before="0" w:after="0"/>
              <w:rPr>
                <w:rFonts w:ascii="Times New Roman" w:hAnsi="Times New Roman"/>
                <w:sz w:val="3"/>
                <w:szCs w:val="3"/>
                <w:lang w:val="fr-FR" w:eastAsia="fr-FR"/>
              </w:rPr>
            </w:pPr>
          </w:p>
        </w:tc>
        <w:tc>
          <w:tcPr>
            <w:tcW w:w="380" w:type="dxa"/>
            <w:gridSpan w:val="2"/>
            <w:tcBorders>
              <w:bottom w:val="single" w:sz="8" w:space="0" w:color="auto"/>
            </w:tcBorders>
            <w:vAlign w:val="bottom"/>
          </w:tcPr>
          <w:p w14:paraId="708D3113" w14:textId="77777777" w:rsidR="002D196C" w:rsidRPr="002D196C" w:rsidRDefault="002D196C" w:rsidP="00965030">
            <w:pPr>
              <w:spacing w:before="0" w:after="0"/>
              <w:rPr>
                <w:rFonts w:ascii="Times New Roman" w:hAnsi="Times New Roman"/>
                <w:sz w:val="3"/>
                <w:szCs w:val="3"/>
                <w:lang w:val="fr-FR" w:eastAsia="fr-FR"/>
              </w:rPr>
            </w:pPr>
          </w:p>
        </w:tc>
        <w:tc>
          <w:tcPr>
            <w:tcW w:w="1400" w:type="dxa"/>
            <w:tcBorders>
              <w:bottom w:val="single" w:sz="8" w:space="0" w:color="auto"/>
            </w:tcBorders>
            <w:vAlign w:val="bottom"/>
          </w:tcPr>
          <w:p w14:paraId="73A093E5" w14:textId="77777777" w:rsidR="002D196C" w:rsidRPr="002D196C" w:rsidRDefault="002D196C" w:rsidP="00965030">
            <w:pPr>
              <w:spacing w:before="0" w:after="0"/>
              <w:rPr>
                <w:rFonts w:ascii="Times New Roman" w:hAnsi="Times New Roman"/>
                <w:sz w:val="3"/>
                <w:szCs w:val="3"/>
                <w:lang w:val="fr-FR" w:eastAsia="fr-FR"/>
              </w:rPr>
            </w:pPr>
          </w:p>
        </w:tc>
        <w:tc>
          <w:tcPr>
            <w:tcW w:w="480" w:type="dxa"/>
            <w:tcBorders>
              <w:bottom w:val="single" w:sz="8" w:space="0" w:color="auto"/>
            </w:tcBorders>
            <w:vAlign w:val="bottom"/>
          </w:tcPr>
          <w:p w14:paraId="7256AAE7" w14:textId="77777777" w:rsidR="002D196C" w:rsidRPr="002D196C" w:rsidRDefault="002D196C" w:rsidP="00965030">
            <w:pPr>
              <w:spacing w:before="0" w:after="0"/>
              <w:rPr>
                <w:rFonts w:ascii="Times New Roman" w:hAnsi="Times New Roman"/>
                <w:sz w:val="3"/>
                <w:szCs w:val="3"/>
                <w:lang w:val="fr-FR" w:eastAsia="fr-FR"/>
              </w:rPr>
            </w:pPr>
          </w:p>
        </w:tc>
        <w:tc>
          <w:tcPr>
            <w:tcW w:w="1560" w:type="dxa"/>
            <w:tcBorders>
              <w:bottom w:val="single" w:sz="8" w:space="0" w:color="auto"/>
            </w:tcBorders>
            <w:vAlign w:val="bottom"/>
          </w:tcPr>
          <w:p w14:paraId="01E763B9" w14:textId="77777777" w:rsidR="002D196C" w:rsidRPr="002D196C" w:rsidRDefault="002D196C" w:rsidP="00965030">
            <w:pPr>
              <w:spacing w:before="0" w:after="0"/>
              <w:rPr>
                <w:rFonts w:ascii="Times New Roman" w:hAnsi="Times New Roman"/>
                <w:sz w:val="3"/>
                <w:szCs w:val="3"/>
                <w:lang w:val="fr-FR" w:eastAsia="fr-FR"/>
              </w:rPr>
            </w:pPr>
          </w:p>
        </w:tc>
        <w:tc>
          <w:tcPr>
            <w:tcW w:w="3900" w:type="dxa"/>
            <w:tcBorders>
              <w:bottom w:val="single" w:sz="8" w:space="0" w:color="auto"/>
            </w:tcBorders>
            <w:vAlign w:val="bottom"/>
          </w:tcPr>
          <w:p w14:paraId="24E950CE" w14:textId="77777777" w:rsidR="002D196C" w:rsidRPr="002D196C" w:rsidRDefault="002D196C" w:rsidP="00965030">
            <w:pPr>
              <w:spacing w:before="0" w:after="0"/>
              <w:rPr>
                <w:rFonts w:ascii="Times New Roman" w:hAnsi="Times New Roman"/>
                <w:sz w:val="3"/>
                <w:szCs w:val="3"/>
                <w:lang w:val="fr-FR" w:eastAsia="fr-FR"/>
              </w:rPr>
            </w:pPr>
          </w:p>
        </w:tc>
        <w:tc>
          <w:tcPr>
            <w:tcW w:w="0" w:type="dxa"/>
            <w:vAlign w:val="bottom"/>
          </w:tcPr>
          <w:p w14:paraId="25CDA2D7"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6FFC13B1" w14:textId="77777777" w:rsidTr="00965030">
        <w:trPr>
          <w:trHeight w:val="225"/>
        </w:trPr>
        <w:tc>
          <w:tcPr>
            <w:tcW w:w="4080" w:type="dxa"/>
            <w:tcBorders>
              <w:right w:val="single" w:sz="8" w:space="0" w:color="auto"/>
            </w:tcBorders>
            <w:vAlign w:val="bottom"/>
          </w:tcPr>
          <w:p w14:paraId="062D6B39" w14:textId="77777777" w:rsidR="002D196C" w:rsidRPr="002D196C" w:rsidRDefault="002D196C" w:rsidP="00965030">
            <w:pPr>
              <w:spacing w:before="0" w:after="0"/>
              <w:ind w:left="40"/>
              <w:rPr>
                <w:rFonts w:ascii="Times New Roman" w:hAnsi="Times New Roman"/>
                <w:lang w:val="en-US" w:eastAsia="fr-FR"/>
              </w:rPr>
            </w:pPr>
            <w:r w:rsidRPr="002D196C">
              <w:rPr>
                <w:rFonts w:eastAsia="Verdana" w:cs="Verdana"/>
                <w:b/>
                <w:bCs/>
                <w:sz w:val="17"/>
                <w:szCs w:val="17"/>
                <w:lang w:val="en-US" w:eastAsia="fr-FR"/>
              </w:rPr>
              <w:t>Where relevant, an exact description of</w:t>
            </w:r>
          </w:p>
        </w:tc>
        <w:tc>
          <w:tcPr>
            <w:tcW w:w="9400" w:type="dxa"/>
            <w:gridSpan w:val="9"/>
            <w:vAlign w:val="bottom"/>
          </w:tcPr>
          <w:p w14:paraId="17771505" w14:textId="77777777" w:rsidR="002D196C" w:rsidRPr="002D196C" w:rsidRDefault="002D196C" w:rsidP="00965030">
            <w:pPr>
              <w:spacing w:before="0" w:after="0"/>
              <w:rPr>
                <w:rFonts w:ascii="Times New Roman" w:hAnsi="Times New Roman"/>
                <w:lang w:val="fr-FR" w:eastAsia="fr-FR"/>
              </w:rPr>
            </w:pPr>
            <w:r w:rsidRPr="002D196C">
              <w:rPr>
                <w:rFonts w:eastAsia="Verdana" w:cs="Verdana"/>
                <w:sz w:val="17"/>
                <w:szCs w:val="17"/>
                <w:lang w:val="en-US" w:eastAsia="fr-FR"/>
              </w:rPr>
              <w:t xml:space="preserve">Evenly apply the product to the hair and take care to also treat the nape of the neck and behind the ear. </w:t>
            </w:r>
            <w:r w:rsidRPr="002D196C">
              <w:rPr>
                <w:rFonts w:eastAsia="Verdana" w:cs="Verdana"/>
                <w:sz w:val="17"/>
                <w:szCs w:val="17"/>
                <w:lang w:val="fr-FR" w:eastAsia="fr-FR"/>
              </w:rPr>
              <w:t>For</w:t>
            </w:r>
          </w:p>
        </w:tc>
        <w:tc>
          <w:tcPr>
            <w:tcW w:w="0" w:type="dxa"/>
            <w:vAlign w:val="bottom"/>
          </w:tcPr>
          <w:p w14:paraId="4E6E13D8"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6206AAE3" w14:textId="77777777" w:rsidTr="00965030">
        <w:trPr>
          <w:trHeight w:val="238"/>
        </w:trPr>
        <w:tc>
          <w:tcPr>
            <w:tcW w:w="4080" w:type="dxa"/>
            <w:tcBorders>
              <w:right w:val="single" w:sz="8" w:space="0" w:color="auto"/>
            </w:tcBorders>
            <w:vAlign w:val="bottom"/>
          </w:tcPr>
          <w:p w14:paraId="348C5F6B" w14:textId="77777777" w:rsidR="002D196C" w:rsidRPr="002D196C" w:rsidRDefault="002D196C" w:rsidP="00965030">
            <w:pPr>
              <w:spacing w:before="0" w:after="0" w:line="204" w:lineRule="exact"/>
              <w:ind w:left="40"/>
              <w:rPr>
                <w:rFonts w:ascii="Times New Roman" w:hAnsi="Times New Roman"/>
                <w:lang w:val="fr-FR" w:eastAsia="fr-FR"/>
              </w:rPr>
            </w:pPr>
            <w:r w:rsidRPr="002D196C">
              <w:rPr>
                <w:rFonts w:eastAsia="Verdana" w:cs="Verdana"/>
                <w:b/>
                <w:bCs/>
                <w:sz w:val="17"/>
                <w:szCs w:val="17"/>
                <w:lang w:val="fr-FR" w:eastAsia="fr-FR"/>
              </w:rPr>
              <w:t>the authorised use</w:t>
            </w:r>
          </w:p>
        </w:tc>
        <w:tc>
          <w:tcPr>
            <w:tcW w:w="9400" w:type="dxa"/>
            <w:gridSpan w:val="9"/>
            <w:vAlign w:val="bottom"/>
          </w:tcPr>
          <w:p w14:paraId="083557ED" w14:textId="77777777" w:rsidR="002D196C" w:rsidRPr="002D196C" w:rsidRDefault="002D196C" w:rsidP="00965030">
            <w:pPr>
              <w:spacing w:before="0" w:after="0" w:line="238" w:lineRule="exact"/>
              <w:rPr>
                <w:rFonts w:ascii="Times New Roman" w:hAnsi="Times New Roman"/>
                <w:lang w:val="en-US" w:eastAsia="fr-FR"/>
              </w:rPr>
            </w:pPr>
            <w:r w:rsidRPr="002D196C">
              <w:rPr>
                <w:rFonts w:eastAsia="Verdana" w:cs="Verdana"/>
                <w:sz w:val="17"/>
                <w:szCs w:val="17"/>
                <w:lang w:val="en-US" w:eastAsia="fr-FR"/>
              </w:rPr>
              <w:t>a single application of Insect Repellent Pump Spray IR3535</w:t>
            </w:r>
            <w:r w:rsidRPr="002D196C">
              <w:rPr>
                <w:rFonts w:eastAsia="Verdana" w:cs="Verdana"/>
                <w:sz w:val="22"/>
                <w:szCs w:val="22"/>
                <w:vertAlign w:val="superscript"/>
                <w:lang w:val="en-US" w:eastAsia="fr-FR"/>
              </w:rPr>
              <w:t>®</w:t>
            </w:r>
            <w:r w:rsidRPr="002D196C">
              <w:rPr>
                <w:rFonts w:eastAsia="Verdana" w:cs="Verdana"/>
                <w:sz w:val="17"/>
                <w:szCs w:val="17"/>
                <w:lang w:val="en-US" w:eastAsia="fr-FR"/>
              </w:rPr>
              <w:t xml:space="preserve"> 20 %, 0.5 g product per application which is</w:t>
            </w:r>
          </w:p>
        </w:tc>
        <w:tc>
          <w:tcPr>
            <w:tcW w:w="0" w:type="dxa"/>
            <w:vAlign w:val="bottom"/>
          </w:tcPr>
          <w:p w14:paraId="017AE097" w14:textId="77777777" w:rsidR="002D196C" w:rsidRPr="002D196C" w:rsidRDefault="002D196C" w:rsidP="00965030">
            <w:pPr>
              <w:spacing w:before="0" w:after="0"/>
              <w:rPr>
                <w:rFonts w:ascii="Times New Roman" w:hAnsi="Times New Roman"/>
                <w:sz w:val="1"/>
                <w:szCs w:val="1"/>
                <w:lang w:val="en-US" w:eastAsia="fr-FR"/>
              </w:rPr>
            </w:pPr>
          </w:p>
        </w:tc>
      </w:tr>
      <w:tr w:rsidR="002D196C" w:rsidRPr="002D196C" w14:paraId="2C6703DF" w14:textId="77777777" w:rsidTr="00965030">
        <w:trPr>
          <w:trHeight w:val="172"/>
        </w:trPr>
        <w:tc>
          <w:tcPr>
            <w:tcW w:w="4080" w:type="dxa"/>
            <w:tcBorders>
              <w:right w:val="single" w:sz="8" w:space="0" w:color="auto"/>
            </w:tcBorders>
            <w:vAlign w:val="bottom"/>
          </w:tcPr>
          <w:p w14:paraId="34D6C2D9" w14:textId="77777777" w:rsidR="002D196C" w:rsidRPr="002D196C" w:rsidRDefault="002D196C" w:rsidP="00965030">
            <w:pPr>
              <w:spacing w:before="0" w:after="0"/>
              <w:rPr>
                <w:rFonts w:ascii="Times New Roman" w:hAnsi="Times New Roman"/>
                <w:sz w:val="14"/>
                <w:szCs w:val="14"/>
                <w:lang w:val="en-US" w:eastAsia="fr-FR"/>
              </w:rPr>
            </w:pPr>
          </w:p>
        </w:tc>
        <w:tc>
          <w:tcPr>
            <w:tcW w:w="9400" w:type="dxa"/>
            <w:gridSpan w:val="9"/>
            <w:vAlign w:val="bottom"/>
          </w:tcPr>
          <w:p w14:paraId="2DFDD1DB" w14:textId="77777777" w:rsidR="002D196C" w:rsidRPr="002D196C" w:rsidRDefault="002D196C" w:rsidP="00965030">
            <w:pPr>
              <w:spacing w:before="0" w:after="0" w:line="173" w:lineRule="exact"/>
              <w:rPr>
                <w:rFonts w:ascii="Times New Roman" w:hAnsi="Times New Roman"/>
                <w:lang w:val="fr-FR" w:eastAsia="fr-FR"/>
              </w:rPr>
            </w:pPr>
            <w:r w:rsidRPr="002D196C">
              <w:rPr>
                <w:rFonts w:eastAsia="Verdana" w:cs="Verdana"/>
                <w:sz w:val="17"/>
                <w:szCs w:val="17"/>
                <w:lang w:val="en-US" w:eastAsia="fr-FR"/>
              </w:rPr>
              <w:t xml:space="preserve">equivalent to 100 mg a.s. / application) is sufficient to treat the hair after having used a pediculicide. </w:t>
            </w:r>
            <w:r w:rsidRPr="002D196C">
              <w:rPr>
                <w:rFonts w:eastAsia="Verdana" w:cs="Verdana"/>
                <w:sz w:val="17"/>
                <w:szCs w:val="17"/>
                <w:lang w:val="fr-FR" w:eastAsia="fr-FR"/>
              </w:rPr>
              <w:t>The</w:t>
            </w:r>
          </w:p>
        </w:tc>
        <w:tc>
          <w:tcPr>
            <w:tcW w:w="0" w:type="dxa"/>
            <w:vAlign w:val="bottom"/>
          </w:tcPr>
          <w:p w14:paraId="7D687BEC"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513D4377" w14:textId="77777777" w:rsidTr="00965030">
        <w:trPr>
          <w:trHeight w:val="206"/>
        </w:trPr>
        <w:tc>
          <w:tcPr>
            <w:tcW w:w="4080" w:type="dxa"/>
            <w:tcBorders>
              <w:right w:val="single" w:sz="8" w:space="0" w:color="auto"/>
            </w:tcBorders>
            <w:vAlign w:val="bottom"/>
          </w:tcPr>
          <w:p w14:paraId="070C54A9" w14:textId="77777777" w:rsidR="002D196C" w:rsidRPr="002D196C" w:rsidRDefault="002D196C" w:rsidP="00965030">
            <w:pPr>
              <w:spacing w:before="0" w:after="0"/>
              <w:rPr>
                <w:rFonts w:ascii="Times New Roman" w:hAnsi="Times New Roman"/>
                <w:sz w:val="17"/>
                <w:szCs w:val="17"/>
                <w:lang w:val="fr-FR" w:eastAsia="fr-FR"/>
              </w:rPr>
            </w:pPr>
          </w:p>
        </w:tc>
        <w:tc>
          <w:tcPr>
            <w:tcW w:w="9400" w:type="dxa"/>
            <w:gridSpan w:val="9"/>
            <w:vAlign w:val="bottom"/>
          </w:tcPr>
          <w:p w14:paraId="7F189847" w14:textId="77777777" w:rsidR="002D196C" w:rsidRPr="002D196C" w:rsidRDefault="002D196C" w:rsidP="00965030">
            <w:pPr>
              <w:spacing w:before="0" w:after="0"/>
              <w:rPr>
                <w:rFonts w:ascii="Times New Roman" w:hAnsi="Times New Roman"/>
                <w:lang w:val="en-US" w:eastAsia="fr-FR"/>
              </w:rPr>
            </w:pPr>
            <w:r w:rsidRPr="002D196C">
              <w:rPr>
                <w:rFonts w:eastAsia="Verdana" w:cs="Verdana"/>
                <w:sz w:val="17"/>
                <w:szCs w:val="17"/>
                <w:lang w:val="en-US" w:eastAsia="fr-FR"/>
              </w:rPr>
              <w:t>application must be repeated after washing the hair. The biocidal product should only be applied by adults to</w:t>
            </w:r>
          </w:p>
        </w:tc>
        <w:tc>
          <w:tcPr>
            <w:tcW w:w="0" w:type="dxa"/>
            <w:vAlign w:val="bottom"/>
          </w:tcPr>
          <w:p w14:paraId="6D96E788" w14:textId="77777777" w:rsidR="002D196C" w:rsidRPr="002D196C" w:rsidRDefault="002D196C" w:rsidP="00965030">
            <w:pPr>
              <w:spacing w:before="0" w:after="0"/>
              <w:rPr>
                <w:rFonts w:ascii="Times New Roman" w:hAnsi="Times New Roman"/>
                <w:sz w:val="1"/>
                <w:szCs w:val="1"/>
                <w:lang w:val="en-US" w:eastAsia="fr-FR"/>
              </w:rPr>
            </w:pPr>
          </w:p>
        </w:tc>
      </w:tr>
      <w:tr w:rsidR="002D196C" w:rsidRPr="002D196C" w14:paraId="6E3AD19B" w14:textId="77777777" w:rsidTr="00965030">
        <w:trPr>
          <w:trHeight w:val="204"/>
        </w:trPr>
        <w:tc>
          <w:tcPr>
            <w:tcW w:w="4080" w:type="dxa"/>
            <w:tcBorders>
              <w:right w:val="single" w:sz="8" w:space="0" w:color="auto"/>
            </w:tcBorders>
            <w:vAlign w:val="bottom"/>
          </w:tcPr>
          <w:p w14:paraId="36521E33" w14:textId="77777777" w:rsidR="002D196C" w:rsidRPr="002D196C" w:rsidRDefault="002D196C" w:rsidP="00965030">
            <w:pPr>
              <w:spacing w:before="0" w:after="0"/>
              <w:rPr>
                <w:rFonts w:ascii="Times New Roman" w:hAnsi="Times New Roman"/>
                <w:sz w:val="17"/>
                <w:szCs w:val="17"/>
                <w:lang w:val="en-US" w:eastAsia="fr-FR"/>
              </w:rPr>
            </w:pPr>
          </w:p>
        </w:tc>
        <w:tc>
          <w:tcPr>
            <w:tcW w:w="3460" w:type="dxa"/>
            <w:gridSpan w:val="6"/>
            <w:vAlign w:val="bottom"/>
          </w:tcPr>
          <w:p w14:paraId="075D4892" w14:textId="77777777" w:rsidR="002D196C" w:rsidRPr="002D196C" w:rsidRDefault="002D196C" w:rsidP="00965030">
            <w:pPr>
              <w:spacing w:before="0" w:after="0" w:line="204" w:lineRule="exact"/>
              <w:rPr>
                <w:rFonts w:ascii="Times New Roman" w:hAnsi="Times New Roman"/>
                <w:lang w:val="fr-FR" w:eastAsia="fr-FR"/>
              </w:rPr>
            </w:pPr>
            <w:r w:rsidRPr="002D196C">
              <w:rPr>
                <w:rFonts w:eastAsia="Verdana" w:cs="Verdana"/>
                <w:sz w:val="17"/>
                <w:szCs w:val="17"/>
                <w:lang w:val="fr-FR" w:eastAsia="fr-FR"/>
              </w:rPr>
              <w:t>children under 10 years.</w:t>
            </w:r>
          </w:p>
        </w:tc>
        <w:tc>
          <w:tcPr>
            <w:tcW w:w="480" w:type="dxa"/>
            <w:vAlign w:val="bottom"/>
          </w:tcPr>
          <w:p w14:paraId="20B5CBCD" w14:textId="77777777" w:rsidR="002D196C" w:rsidRPr="002D196C" w:rsidRDefault="002D196C" w:rsidP="00965030">
            <w:pPr>
              <w:spacing w:before="0" w:after="0"/>
              <w:rPr>
                <w:rFonts w:ascii="Times New Roman" w:hAnsi="Times New Roman"/>
                <w:sz w:val="17"/>
                <w:szCs w:val="17"/>
                <w:lang w:val="fr-FR" w:eastAsia="fr-FR"/>
              </w:rPr>
            </w:pPr>
          </w:p>
        </w:tc>
        <w:tc>
          <w:tcPr>
            <w:tcW w:w="1560" w:type="dxa"/>
            <w:vAlign w:val="bottom"/>
          </w:tcPr>
          <w:p w14:paraId="79584B3D" w14:textId="77777777" w:rsidR="002D196C" w:rsidRPr="002D196C" w:rsidRDefault="002D196C" w:rsidP="00965030">
            <w:pPr>
              <w:spacing w:before="0" w:after="0"/>
              <w:rPr>
                <w:rFonts w:ascii="Times New Roman" w:hAnsi="Times New Roman"/>
                <w:sz w:val="17"/>
                <w:szCs w:val="17"/>
                <w:lang w:val="fr-FR" w:eastAsia="fr-FR"/>
              </w:rPr>
            </w:pPr>
          </w:p>
        </w:tc>
        <w:tc>
          <w:tcPr>
            <w:tcW w:w="3900" w:type="dxa"/>
            <w:vAlign w:val="bottom"/>
          </w:tcPr>
          <w:p w14:paraId="4B4B6636" w14:textId="77777777" w:rsidR="002D196C" w:rsidRPr="002D196C" w:rsidRDefault="002D196C" w:rsidP="00965030">
            <w:pPr>
              <w:spacing w:before="0" w:after="0"/>
              <w:rPr>
                <w:rFonts w:ascii="Times New Roman" w:hAnsi="Times New Roman"/>
                <w:sz w:val="17"/>
                <w:szCs w:val="17"/>
                <w:lang w:val="fr-FR" w:eastAsia="fr-FR"/>
              </w:rPr>
            </w:pPr>
          </w:p>
        </w:tc>
        <w:tc>
          <w:tcPr>
            <w:tcW w:w="0" w:type="dxa"/>
            <w:vAlign w:val="bottom"/>
          </w:tcPr>
          <w:p w14:paraId="269CF39F"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3B02FCFD" w14:textId="77777777" w:rsidTr="00965030">
        <w:trPr>
          <w:trHeight w:val="36"/>
        </w:trPr>
        <w:tc>
          <w:tcPr>
            <w:tcW w:w="4080" w:type="dxa"/>
            <w:tcBorders>
              <w:bottom w:val="single" w:sz="8" w:space="0" w:color="auto"/>
              <w:right w:val="single" w:sz="8" w:space="0" w:color="auto"/>
            </w:tcBorders>
            <w:vAlign w:val="bottom"/>
          </w:tcPr>
          <w:p w14:paraId="61882603" w14:textId="77777777" w:rsidR="002D196C" w:rsidRPr="002D196C" w:rsidRDefault="002D196C" w:rsidP="00965030">
            <w:pPr>
              <w:spacing w:before="0" w:after="0"/>
              <w:rPr>
                <w:rFonts w:ascii="Times New Roman" w:hAnsi="Times New Roman"/>
                <w:sz w:val="3"/>
                <w:szCs w:val="3"/>
                <w:lang w:val="fr-FR" w:eastAsia="fr-FR"/>
              </w:rPr>
            </w:pPr>
          </w:p>
        </w:tc>
        <w:tc>
          <w:tcPr>
            <w:tcW w:w="720" w:type="dxa"/>
            <w:tcBorders>
              <w:bottom w:val="single" w:sz="8" w:space="0" w:color="auto"/>
            </w:tcBorders>
            <w:vAlign w:val="bottom"/>
          </w:tcPr>
          <w:p w14:paraId="3F2720EC" w14:textId="77777777" w:rsidR="002D196C" w:rsidRPr="002D196C" w:rsidRDefault="002D196C" w:rsidP="00965030">
            <w:pPr>
              <w:spacing w:before="0" w:after="0"/>
              <w:rPr>
                <w:rFonts w:ascii="Times New Roman" w:hAnsi="Times New Roman"/>
                <w:sz w:val="3"/>
                <w:szCs w:val="3"/>
                <w:lang w:val="fr-FR" w:eastAsia="fr-FR"/>
              </w:rPr>
            </w:pPr>
          </w:p>
        </w:tc>
        <w:tc>
          <w:tcPr>
            <w:tcW w:w="960" w:type="dxa"/>
            <w:gridSpan w:val="2"/>
            <w:tcBorders>
              <w:bottom w:val="single" w:sz="8" w:space="0" w:color="auto"/>
            </w:tcBorders>
            <w:vAlign w:val="bottom"/>
          </w:tcPr>
          <w:p w14:paraId="5B26E3C9" w14:textId="77777777" w:rsidR="002D196C" w:rsidRPr="002D196C" w:rsidRDefault="002D196C" w:rsidP="00965030">
            <w:pPr>
              <w:spacing w:before="0" w:after="0"/>
              <w:rPr>
                <w:rFonts w:ascii="Times New Roman" w:hAnsi="Times New Roman"/>
                <w:sz w:val="3"/>
                <w:szCs w:val="3"/>
                <w:lang w:val="fr-FR" w:eastAsia="fr-FR"/>
              </w:rPr>
            </w:pPr>
          </w:p>
        </w:tc>
        <w:tc>
          <w:tcPr>
            <w:tcW w:w="40" w:type="dxa"/>
            <w:tcBorders>
              <w:bottom w:val="single" w:sz="8" w:space="0" w:color="auto"/>
            </w:tcBorders>
            <w:vAlign w:val="bottom"/>
          </w:tcPr>
          <w:p w14:paraId="7DFD7EFE" w14:textId="77777777" w:rsidR="002D196C" w:rsidRPr="002D196C" w:rsidRDefault="002D196C" w:rsidP="00965030">
            <w:pPr>
              <w:spacing w:before="0" w:after="0"/>
              <w:rPr>
                <w:rFonts w:ascii="Times New Roman" w:hAnsi="Times New Roman"/>
                <w:sz w:val="3"/>
                <w:szCs w:val="3"/>
                <w:lang w:val="fr-FR" w:eastAsia="fr-FR"/>
              </w:rPr>
            </w:pPr>
          </w:p>
        </w:tc>
        <w:tc>
          <w:tcPr>
            <w:tcW w:w="340" w:type="dxa"/>
            <w:tcBorders>
              <w:bottom w:val="single" w:sz="8" w:space="0" w:color="auto"/>
            </w:tcBorders>
            <w:vAlign w:val="bottom"/>
          </w:tcPr>
          <w:p w14:paraId="00FDC279" w14:textId="77777777" w:rsidR="002D196C" w:rsidRPr="002D196C" w:rsidRDefault="002D196C" w:rsidP="00965030">
            <w:pPr>
              <w:spacing w:before="0" w:after="0"/>
              <w:rPr>
                <w:rFonts w:ascii="Times New Roman" w:hAnsi="Times New Roman"/>
                <w:sz w:val="3"/>
                <w:szCs w:val="3"/>
                <w:lang w:val="fr-FR" w:eastAsia="fr-FR"/>
              </w:rPr>
            </w:pPr>
          </w:p>
        </w:tc>
        <w:tc>
          <w:tcPr>
            <w:tcW w:w="1400" w:type="dxa"/>
            <w:tcBorders>
              <w:bottom w:val="single" w:sz="8" w:space="0" w:color="auto"/>
            </w:tcBorders>
            <w:vAlign w:val="bottom"/>
          </w:tcPr>
          <w:p w14:paraId="221A5A86" w14:textId="77777777" w:rsidR="002D196C" w:rsidRPr="002D196C" w:rsidRDefault="002D196C" w:rsidP="00965030">
            <w:pPr>
              <w:spacing w:before="0" w:after="0"/>
              <w:rPr>
                <w:rFonts w:ascii="Times New Roman" w:hAnsi="Times New Roman"/>
                <w:sz w:val="3"/>
                <w:szCs w:val="3"/>
                <w:lang w:val="fr-FR" w:eastAsia="fr-FR"/>
              </w:rPr>
            </w:pPr>
          </w:p>
        </w:tc>
        <w:tc>
          <w:tcPr>
            <w:tcW w:w="480" w:type="dxa"/>
            <w:tcBorders>
              <w:bottom w:val="single" w:sz="8" w:space="0" w:color="auto"/>
            </w:tcBorders>
            <w:vAlign w:val="bottom"/>
          </w:tcPr>
          <w:p w14:paraId="680F93DB" w14:textId="77777777" w:rsidR="002D196C" w:rsidRPr="002D196C" w:rsidRDefault="002D196C" w:rsidP="00965030">
            <w:pPr>
              <w:spacing w:before="0" w:after="0"/>
              <w:rPr>
                <w:rFonts w:ascii="Times New Roman" w:hAnsi="Times New Roman"/>
                <w:sz w:val="3"/>
                <w:szCs w:val="3"/>
                <w:lang w:val="fr-FR" w:eastAsia="fr-FR"/>
              </w:rPr>
            </w:pPr>
          </w:p>
        </w:tc>
        <w:tc>
          <w:tcPr>
            <w:tcW w:w="1560" w:type="dxa"/>
            <w:tcBorders>
              <w:bottom w:val="single" w:sz="8" w:space="0" w:color="auto"/>
            </w:tcBorders>
            <w:vAlign w:val="bottom"/>
          </w:tcPr>
          <w:p w14:paraId="38A82159" w14:textId="77777777" w:rsidR="002D196C" w:rsidRPr="002D196C" w:rsidRDefault="002D196C" w:rsidP="00965030">
            <w:pPr>
              <w:spacing w:before="0" w:after="0"/>
              <w:rPr>
                <w:rFonts w:ascii="Times New Roman" w:hAnsi="Times New Roman"/>
                <w:sz w:val="3"/>
                <w:szCs w:val="3"/>
                <w:lang w:val="fr-FR" w:eastAsia="fr-FR"/>
              </w:rPr>
            </w:pPr>
          </w:p>
        </w:tc>
        <w:tc>
          <w:tcPr>
            <w:tcW w:w="3900" w:type="dxa"/>
            <w:tcBorders>
              <w:bottom w:val="single" w:sz="8" w:space="0" w:color="auto"/>
            </w:tcBorders>
            <w:vAlign w:val="bottom"/>
          </w:tcPr>
          <w:p w14:paraId="25141AF7" w14:textId="77777777" w:rsidR="002D196C" w:rsidRPr="002D196C" w:rsidRDefault="002D196C" w:rsidP="00965030">
            <w:pPr>
              <w:spacing w:before="0" w:after="0"/>
              <w:rPr>
                <w:rFonts w:ascii="Times New Roman" w:hAnsi="Times New Roman"/>
                <w:sz w:val="3"/>
                <w:szCs w:val="3"/>
                <w:lang w:val="fr-FR" w:eastAsia="fr-FR"/>
              </w:rPr>
            </w:pPr>
          </w:p>
        </w:tc>
        <w:tc>
          <w:tcPr>
            <w:tcW w:w="0" w:type="dxa"/>
            <w:vAlign w:val="bottom"/>
          </w:tcPr>
          <w:p w14:paraId="0F5B4216"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78DCCFCE" w14:textId="77777777" w:rsidTr="00965030">
        <w:trPr>
          <w:trHeight w:val="20"/>
        </w:trPr>
        <w:tc>
          <w:tcPr>
            <w:tcW w:w="4080" w:type="dxa"/>
            <w:vMerge w:val="restart"/>
            <w:tcBorders>
              <w:right w:val="single" w:sz="8" w:space="0" w:color="auto"/>
            </w:tcBorders>
            <w:vAlign w:val="bottom"/>
          </w:tcPr>
          <w:p w14:paraId="7CB05C2F" w14:textId="77777777" w:rsidR="002D196C" w:rsidRPr="002D196C" w:rsidRDefault="002D196C" w:rsidP="00965030">
            <w:pPr>
              <w:spacing w:before="0" w:after="0"/>
              <w:ind w:left="40"/>
              <w:rPr>
                <w:rFonts w:ascii="Times New Roman" w:hAnsi="Times New Roman"/>
                <w:lang w:val="fr-FR" w:eastAsia="fr-FR"/>
              </w:rPr>
            </w:pPr>
            <w:r w:rsidRPr="002D196C">
              <w:rPr>
                <w:rFonts w:eastAsia="Verdana" w:cs="Verdana"/>
                <w:b/>
                <w:bCs/>
                <w:sz w:val="17"/>
                <w:szCs w:val="17"/>
                <w:lang w:val="fr-FR" w:eastAsia="fr-FR"/>
              </w:rPr>
              <w:t>Target organism (including development</w:t>
            </w:r>
          </w:p>
        </w:tc>
        <w:tc>
          <w:tcPr>
            <w:tcW w:w="720" w:type="dxa"/>
            <w:tcBorders>
              <w:bottom w:val="single" w:sz="8" w:space="0" w:color="auto"/>
            </w:tcBorders>
            <w:vAlign w:val="bottom"/>
          </w:tcPr>
          <w:p w14:paraId="14CD74F5" w14:textId="77777777" w:rsidR="002D196C" w:rsidRPr="002D196C" w:rsidRDefault="002D196C" w:rsidP="00965030">
            <w:pPr>
              <w:spacing w:before="0" w:after="0" w:line="20" w:lineRule="exact"/>
              <w:rPr>
                <w:rFonts w:ascii="Times New Roman" w:hAnsi="Times New Roman"/>
                <w:sz w:val="1"/>
                <w:szCs w:val="1"/>
                <w:lang w:val="fr-FR" w:eastAsia="fr-FR"/>
              </w:rPr>
            </w:pPr>
          </w:p>
        </w:tc>
        <w:tc>
          <w:tcPr>
            <w:tcW w:w="60" w:type="dxa"/>
            <w:tcBorders>
              <w:bottom w:val="single" w:sz="8" w:space="0" w:color="auto"/>
            </w:tcBorders>
            <w:vAlign w:val="bottom"/>
          </w:tcPr>
          <w:p w14:paraId="290C947A" w14:textId="77777777" w:rsidR="002D196C" w:rsidRPr="002D196C" w:rsidRDefault="002D196C" w:rsidP="00965030">
            <w:pPr>
              <w:spacing w:before="0" w:after="0" w:line="20" w:lineRule="exact"/>
              <w:rPr>
                <w:rFonts w:ascii="Times New Roman" w:hAnsi="Times New Roman"/>
                <w:sz w:val="1"/>
                <w:szCs w:val="1"/>
                <w:lang w:val="fr-FR" w:eastAsia="fr-FR"/>
              </w:rPr>
            </w:pPr>
          </w:p>
        </w:tc>
        <w:tc>
          <w:tcPr>
            <w:tcW w:w="900" w:type="dxa"/>
            <w:tcBorders>
              <w:bottom w:val="single" w:sz="8" w:space="0" w:color="auto"/>
            </w:tcBorders>
            <w:vAlign w:val="bottom"/>
          </w:tcPr>
          <w:p w14:paraId="62A8CC02" w14:textId="77777777" w:rsidR="002D196C" w:rsidRPr="002D196C" w:rsidRDefault="002D196C" w:rsidP="00965030">
            <w:pPr>
              <w:spacing w:before="0" w:after="0" w:line="20" w:lineRule="exact"/>
              <w:rPr>
                <w:rFonts w:ascii="Times New Roman" w:hAnsi="Times New Roman"/>
                <w:sz w:val="1"/>
                <w:szCs w:val="1"/>
                <w:lang w:val="fr-FR" w:eastAsia="fr-FR"/>
              </w:rPr>
            </w:pPr>
          </w:p>
        </w:tc>
        <w:tc>
          <w:tcPr>
            <w:tcW w:w="40" w:type="dxa"/>
            <w:tcBorders>
              <w:bottom w:val="single" w:sz="8" w:space="0" w:color="auto"/>
            </w:tcBorders>
            <w:vAlign w:val="bottom"/>
          </w:tcPr>
          <w:p w14:paraId="00A751B5" w14:textId="77777777" w:rsidR="002D196C" w:rsidRPr="002D196C" w:rsidRDefault="002D196C" w:rsidP="00965030">
            <w:pPr>
              <w:spacing w:before="0" w:after="0" w:line="20" w:lineRule="exact"/>
              <w:rPr>
                <w:rFonts w:ascii="Times New Roman" w:hAnsi="Times New Roman"/>
                <w:sz w:val="1"/>
                <w:szCs w:val="1"/>
                <w:lang w:val="fr-FR" w:eastAsia="fr-FR"/>
              </w:rPr>
            </w:pPr>
          </w:p>
        </w:tc>
        <w:tc>
          <w:tcPr>
            <w:tcW w:w="340" w:type="dxa"/>
            <w:tcBorders>
              <w:bottom w:val="single" w:sz="8" w:space="0" w:color="auto"/>
            </w:tcBorders>
            <w:vAlign w:val="bottom"/>
          </w:tcPr>
          <w:p w14:paraId="2DF62C3A" w14:textId="77777777" w:rsidR="002D196C" w:rsidRPr="002D196C" w:rsidRDefault="002D196C" w:rsidP="00965030">
            <w:pPr>
              <w:spacing w:before="0" w:after="0" w:line="20" w:lineRule="exact"/>
              <w:rPr>
                <w:rFonts w:ascii="Times New Roman" w:hAnsi="Times New Roman"/>
                <w:sz w:val="1"/>
                <w:szCs w:val="1"/>
                <w:lang w:val="fr-FR" w:eastAsia="fr-FR"/>
              </w:rPr>
            </w:pPr>
          </w:p>
        </w:tc>
        <w:tc>
          <w:tcPr>
            <w:tcW w:w="1400" w:type="dxa"/>
            <w:tcBorders>
              <w:bottom w:val="single" w:sz="8" w:space="0" w:color="auto"/>
            </w:tcBorders>
            <w:vAlign w:val="bottom"/>
          </w:tcPr>
          <w:p w14:paraId="580B6BA3" w14:textId="77777777" w:rsidR="002D196C" w:rsidRPr="002D196C" w:rsidRDefault="002D196C" w:rsidP="00965030">
            <w:pPr>
              <w:spacing w:before="0" w:after="0" w:line="20" w:lineRule="exact"/>
              <w:rPr>
                <w:rFonts w:ascii="Times New Roman" w:hAnsi="Times New Roman"/>
                <w:sz w:val="1"/>
                <w:szCs w:val="1"/>
                <w:lang w:val="fr-FR" w:eastAsia="fr-FR"/>
              </w:rPr>
            </w:pPr>
          </w:p>
        </w:tc>
        <w:tc>
          <w:tcPr>
            <w:tcW w:w="480" w:type="dxa"/>
            <w:tcBorders>
              <w:bottom w:val="single" w:sz="8" w:space="0" w:color="auto"/>
            </w:tcBorders>
            <w:vAlign w:val="bottom"/>
          </w:tcPr>
          <w:p w14:paraId="492D24E4" w14:textId="77777777" w:rsidR="002D196C" w:rsidRPr="002D196C" w:rsidRDefault="002D196C" w:rsidP="00965030">
            <w:pPr>
              <w:spacing w:before="0" w:after="0" w:line="20" w:lineRule="exact"/>
              <w:rPr>
                <w:rFonts w:ascii="Times New Roman" w:hAnsi="Times New Roman"/>
                <w:sz w:val="1"/>
                <w:szCs w:val="1"/>
                <w:lang w:val="fr-FR" w:eastAsia="fr-FR"/>
              </w:rPr>
            </w:pPr>
          </w:p>
        </w:tc>
        <w:tc>
          <w:tcPr>
            <w:tcW w:w="1560" w:type="dxa"/>
            <w:tcBorders>
              <w:bottom w:val="single" w:sz="8" w:space="0" w:color="auto"/>
            </w:tcBorders>
            <w:vAlign w:val="bottom"/>
          </w:tcPr>
          <w:p w14:paraId="63ED2AB9" w14:textId="77777777" w:rsidR="002D196C" w:rsidRPr="002D196C" w:rsidRDefault="002D196C" w:rsidP="00965030">
            <w:pPr>
              <w:spacing w:before="0" w:after="0" w:line="20" w:lineRule="exact"/>
              <w:rPr>
                <w:rFonts w:ascii="Times New Roman" w:hAnsi="Times New Roman"/>
                <w:sz w:val="1"/>
                <w:szCs w:val="1"/>
                <w:lang w:val="fr-FR" w:eastAsia="fr-FR"/>
              </w:rPr>
            </w:pPr>
          </w:p>
        </w:tc>
        <w:tc>
          <w:tcPr>
            <w:tcW w:w="3900" w:type="dxa"/>
            <w:vAlign w:val="bottom"/>
          </w:tcPr>
          <w:p w14:paraId="1C8CEAA1" w14:textId="77777777" w:rsidR="002D196C" w:rsidRPr="002D196C" w:rsidRDefault="002D196C" w:rsidP="00965030">
            <w:pPr>
              <w:spacing w:before="0" w:after="0" w:line="20" w:lineRule="exact"/>
              <w:rPr>
                <w:rFonts w:ascii="Times New Roman" w:hAnsi="Times New Roman"/>
                <w:sz w:val="1"/>
                <w:szCs w:val="1"/>
                <w:lang w:val="fr-FR" w:eastAsia="fr-FR"/>
              </w:rPr>
            </w:pPr>
          </w:p>
        </w:tc>
        <w:tc>
          <w:tcPr>
            <w:tcW w:w="0" w:type="dxa"/>
            <w:vAlign w:val="bottom"/>
          </w:tcPr>
          <w:p w14:paraId="6511D9C9" w14:textId="77777777" w:rsidR="002D196C" w:rsidRPr="002D196C" w:rsidRDefault="002D196C" w:rsidP="00965030">
            <w:pPr>
              <w:spacing w:before="0" w:after="0" w:line="20" w:lineRule="exact"/>
              <w:rPr>
                <w:rFonts w:ascii="Times New Roman" w:hAnsi="Times New Roman"/>
                <w:sz w:val="1"/>
                <w:szCs w:val="1"/>
                <w:lang w:val="fr-FR" w:eastAsia="fr-FR"/>
              </w:rPr>
            </w:pPr>
          </w:p>
        </w:tc>
      </w:tr>
      <w:tr w:rsidR="002D196C" w:rsidRPr="002D196C" w14:paraId="6D853286" w14:textId="77777777" w:rsidTr="00965030">
        <w:trPr>
          <w:trHeight w:val="192"/>
        </w:trPr>
        <w:tc>
          <w:tcPr>
            <w:tcW w:w="4080" w:type="dxa"/>
            <w:vMerge/>
            <w:tcBorders>
              <w:right w:val="single" w:sz="8" w:space="0" w:color="auto"/>
            </w:tcBorders>
            <w:vAlign w:val="bottom"/>
          </w:tcPr>
          <w:p w14:paraId="4A1CFF3B" w14:textId="77777777" w:rsidR="002D196C" w:rsidRPr="002D196C" w:rsidRDefault="002D196C" w:rsidP="00965030">
            <w:pPr>
              <w:spacing w:before="0" w:after="0"/>
              <w:rPr>
                <w:rFonts w:ascii="Times New Roman" w:hAnsi="Times New Roman"/>
                <w:sz w:val="16"/>
                <w:szCs w:val="16"/>
                <w:lang w:val="fr-FR" w:eastAsia="fr-FR"/>
              </w:rPr>
            </w:pPr>
          </w:p>
        </w:tc>
        <w:tc>
          <w:tcPr>
            <w:tcW w:w="1680" w:type="dxa"/>
            <w:gridSpan w:val="3"/>
            <w:tcBorders>
              <w:bottom w:val="single" w:sz="8" w:space="0" w:color="auto"/>
              <w:right w:val="single" w:sz="8" w:space="0" w:color="auto"/>
            </w:tcBorders>
            <w:vAlign w:val="bottom"/>
          </w:tcPr>
          <w:p w14:paraId="55785BC4" w14:textId="77777777" w:rsidR="002D196C" w:rsidRPr="002D196C" w:rsidRDefault="002D196C" w:rsidP="00965030">
            <w:pPr>
              <w:spacing w:before="0" w:after="0" w:line="192" w:lineRule="exact"/>
              <w:ind w:left="100"/>
              <w:rPr>
                <w:rFonts w:ascii="Times New Roman" w:hAnsi="Times New Roman"/>
                <w:lang w:val="fr-FR" w:eastAsia="fr-FR"/>
              </w:rPr>
            </w:pPr>
            <w:r w:rsidRPr="002D196C">
              <w:rPr>
                <w:rFonts w:eastAsia="Verdana" w:cs="Verdana"/>
                <w:b/>
                <w:bCs/>
                <w:sz w:val="17"/>
                <w:szCs w:val="17"/>
                <w:lang w:val="fr-FR" w:eastAsia="fr-FR"/>
              </w:rPr>
              <w:t>Scientific name</w:t>
            </w:r>
          </w:p>
        </w:tc>
        <w:tc>
          <w:tcPr>
            <w:tcW w:w="40" w:type="dxa"/>
            <w:tcBorders>
              <w:bottom w:val="single" w:sz="8" w:space="0" w:color="auto"/>
            </w:tcBorders>
            <w:vAlign w:val="bottom"/>
          </w:tcPr>
          <w:p w14:paraId="0565462C" w14:textId="77777777" w:rsidR="002D196C" w:rsidRPr="002D196C" w:rsidRDefault="002D196C" w:rsidP="00965030">
            <w:pPr>
              <w:spacing w:before="0" w:after="0"/>
              <w:rPr>
                <w:rFonts w:ascii="Times New Roman" w:hAnsi="Times New Roman"/>
                <w:sz w:val="16"/>
                <w:szCs w:val="16"/>
                <w:lang w:val="fr-FR" w:eastAsia="fr-FR"/>
              </w:rPr>
            </w:pPr>
          </w:p>
        </w:tc>
        <w:tc>
          <w:tcPr>
            <w:tcW w:w="1740" w:type="dxa"/>
            <w:gridSpan w:val="2"/>
            <w:tcBorders>
              <w:bottom w:val="single" w:sz="8" w:space="0" w:color="auto"/>
              <w:right w:val="single" w:sz="8" w:space="0" w:color="auto"/>
            </w:tcBorders>
            <w:vAlign w:val="bottom"/>
          </w:tcPr>
          <w:p w14:paraId="1941C2E7" w14:textId="77777777" w:rsidR="002D196C" w:rsidRPr="002D196C" w:rsidRDefault="002D196C" w:rsidP="00965030">
            <w:pPr>
              <w:spacing w:before="0" w:after="0" w:line="192" w:lineRule="exact"/>
              <w:ind w:left="40"/>
              <w:rPr>
                <w:rFonts w:ascii="Times New Roman" w:hAnsi="Times New Roman"/>
                <w:lang w:val="fr-FR" w:eastAsia="fr-FR"/>
              </w:rPr>
            </w:pPr>
            <w:r w:rsidRPr="002D196C">
              <w:rPr>
                <w:rFonts w:eastAsia="Verdana" w:cs="Verdana"/>
                <w:b/>
                <w:bCs/>
                <w:sz w:val="17"/>
                <w:szCs w:val="17"/>
                <w:lang w:val="fr-FR" w:eastAsia="fr-FR"/>
              </w:rPr>
              <w:t>Common name</w:t>
            </w:r>
          </w:p>
        </w:tc>
        <w:tc>
          <w:tcPr>
            <w:tcW w:w="2040" w:type="dxa"/>
            <w:gridSpan w:val="2"/>
            <w:tcBorders>
              <w:bottom w:val="single" w:sz="8" w:space="0" w:color="auto"/>
              <w:right w:val="single" w:sz="8" w:space="0" w:color="auto"/>
            </w:tcBorders>
            <w:vAlign w:val="bottom"/>
          </w:tcPr>
          <w:p w14:paraId="0ADEE53F" w14:textId="77777777" w:rsidR="002D196C" w:rsidRPr="002D196C" w:rsidRDefault="002D196C" w:rsidP="00965030">
            <w:pPr>
              <w:spacing w:before="0" w:after="0" w:line="192" w:lineRule="exact"/>
              <w:ind w:left="100"/>
              <w:rPr>
                <w:rFonts w:ascii="Times New Roman" w:hAnsi="Times New Roman"/>
                <w:lang w:val="fr-FR" w:eastAsia="fr-FR"/>
              </w:rPr>
            </w:pPr>
            <w:r w:rsidRPr="002D196C">
              <w:rPr>
                <w:rFonts w:eastAsia="Verdana" w:cs="Verdana"/>
                <w:b/>
                <w:bCs/>
                <w:sz w:val="17"/>
                <w:szCs w:val="17"/>
                <w:lang w:val="fr-FR" w:eastAsia="fr-FR"/>
              </w:rPr>
              <w:t>Development stage</w:t>
            </w:r>
          </w:p>
        </w:tc>
        <w:tc>
          <w:tcPr>
            <w:tcW w:w="3900" w:type="dxa"/>
            <w:vAlign w:val="bottom"/>
          </w:tcPr>
          <w:p w14:paraId="240D66BF" w14:textId="77777777" w:rsidR="002D196C" w:rsidRPr="002D196C" w:rsidRDefault="002D196C" w:rsidP="00965030">
            <w:pPr>
              <w:spacing w:before="0" w:after="0"/>
              <w:rPr>
                <w:rFonts w:ascii="Times New Roman" w:hAnsi="Times New Roman"/>
                <w:sz w:val="16"/>
                <w:szCs w:val="16"/>
                <w:lang w:val="fr-FR" w:eastAsia="fr-FR"/>
              </w:rPr>
            </w:pPr>
          </w:p>
        </w:tc>
        <w:tc>
          <w:tcPr>
            <w:tcW w:w="0" w:type="dxa"/>
            <w:vAlign w:val="bottom"/>
          </w:tcPr>
          <w:p w14:paraId="312B8474"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777F2D6D" w14:textId="77777777" w:rsidTr="00965030">
        <w:trPr>
          <w:trHeight w:val="196"/>
        </w:trPr>
        <w:tc>
          <w:tcPr>
            <w:tcW w:w="4080" w:type="dxa"/>
            <w:tcBorders>
              <w:right w:val="single" w:sz="8" w:space="0" w:color="auto"/>
            </w:tcBorders>
            <w:vAlign w:val="bottom"/>
          </w:tcPr>
          <w:p w14:paraId="29F03D76" w14:textId="77777777" w:rsidR="002D196C" w:rsidRPr="002D196C" w:rsidRDefault="002D196C" w:rsidP="00965030">
            <w:pPr>
              <w:spacing w:before="0" w:after="0" w:line="180" w:lineRule="exact"/>
              <w:ind w:left="40"/>
              <w:rPr>
                <w:rFonts w:ascii="Times New Roman" w:hAnsi="Times New Roman"/>
                <w:lang w:val="fr-FR" w:eastAsia="fr-FR"/>
              </w:rPr>
            </w:pPr>
            <w:r w:rsidRPr="002D196C">
              <w:rPr>
                <w:rFonts w:eastAsia="Verdana" w:cs="Verdana"/>
                <w:b/>
                <w:bCs/>
                <w:sz w:val="17"/>
                <w:szCs w:val="17"/>
                <w:lang w:val="fr-FR" w:eastAsia="fr-FR"/>
              </w:rPr>
              <w:t>stage)</w:t>
            </w:r>
          </w:p>
        </w:tc>
        <w:tc>
          <w:tcPr>
            <w:tcW w:w="1680" w:type="dxa"/>
            <w:gridSpan w:val="3"/>
            <w:tcBorders>
              <w:bottom w:val="single" w:sz="8" w:space="0" w:color="auto"/>
              <w:right w:val="single" w:sz="8" w:space="0" w:color="auto"/>
            </w:tcBorders>
            <w:vAlign w:val="bottom"/>
          </w:tcPr>
          <w:p w14:paraId="0072983C" w14:textId="77777777" w:rsidR="002D196C" w:rsidRPr="002D196C" w:rsidRDefault="002D196C" w:rsidP="00965030">
            <w:pPr>
              <w:spacing w:before="0" w:after="0" w:line="196" w:lineRule="exact"/>
              <w:ind w:left="100"/>
              <w:rPr>
                <w:rFonts w:ascii="Times New Roman" w:hAnsi="Times New Roman"/>
                <w:lang w:val="fr-FR" w:eastAsia="fr-FR"/>
              </w:rPr>
            </w:pPr>
            <w:r w:rsidRPr="002D196C">
              <w:rPr>
                <w:rFonts w:eastAsia="Verdana" w:cs="Verdana"/>
                <w:sz w:val="17"/>
                <w:szCs w:val="17"/>
                <w:lang w:val="fr-FR" w:eastAsia="fr-FR"/>
              </w:rPr>
              <w:t>Pediculidae</w:t>
            </w:r>
          </w:p>
        </w:tc>
        <w:tc>
          <w:tcPr>
            <w:tcW w:w="40" w:type="dxa"/>
            <w:tcBorders>
              <w:bottom w:val="single" w:sz="8" w:space="0" w:color="auto"/>
            </w:tcBorders>
            <w:vAlign w:val="bottom"/>
          </w:tcPr>
          <w:p w14:paraId="4746EA65" w14:textId="77777777" w:rsidR="002D196C" w:rsidRPr="002D196C" w:rsidRDefault="002D196C" w:rsidP="00965030">
            <w:pPr>
              <w:spacing w:before="0" w:after="0"/>
              <w:rPr>
                <w:rFonts w:ascii="Times New Roman" w:hAnsi="Times New Roman"/>
                <w:sz w:val="17"/>
                <w:szCs w:val="17"/>
                <w:lang w:val="fr-FR" w:eastAsia="fr-FR"/>
              </w:rPr>
            </w:pPr>
          </w:p>
        </w:tc>
        <w:tc>
          <w:tcPr>
            <w:tcW w:w="1740" w:type="dxa"/>
            <w:gridSpan w:val="2"/>
            <w:tcBorders>
              <w:bottom w:val="single" w:sz="8" w:space="0" w:color="auto"/>
              <w:right w:val="single" w:sz="8" w:space="0" w:color="auto"/>
            </w:tcBorders>
            <w:vAlign w:val="bottom"/>
          </w:tcPr>
          <w:p w14:paraId="069B122B" w14:textId="77777777" w:rsidR="002D196C" w:rsidRPr="002D196C" w:rsidRDefault="002D196C" w:rsidP="00965030">
            <w:pPr>
              <w:spacing w:before="0" w:after="0" w:line="196" w:lineRule="exact"/>
              <w:ind w:left="40"/>
              <w:rPr>
                <w:rFonts w:ascii="Times New Roman" w:hAnsi="Times New Roman"/>
                <w:lang w:val="fr-FR" w:eastAsia="fr-FR"/>
              </w:rPr>
            </w:pPr>
            <w:r w:rsidRPr="002D196C">
              <w:rPr>
                <w:rFonts w:eastAsia="Verdana" w:cs="Verdana"/>
                <w:sz w:val="17"/>
                <w:szCs w:val="17"/>
                <w:lang w:val="fr-FR" w:eastAsia="fr-FR"/>
              </w:rPr>
              <w:t>Human head louse</w:t>
            </w:r>
          </w:p>
        </w:tc>
        <w:tc>
          <w:tcPr>
            <w:tcW w:w="2040" w:type="dxa"/>
            <w:gridSpan w:val="2"/>
            <w:tcBorders>
              <w:bottom w:val="single" w:sz="8" w:space="0" w:color="auto"/>
              <w:right w:val="single" w:sz="8" w:space="0" w:color="auto"/>
            </w:tcBorders>
            <w:vAlign w:val="bottom"/>
          </w:tcPr>
          <w:p w14:paraId="0614A2AA" w14:textId="77777777" w:rsidR="002D196C" w:rsidRPr="002D196C" w:rsidRDefault="002D196C" w:rsidP="00965030">
            <w:pPr>
              <w:spacing w:before="0" w:after="0" w:line="196" w:lineRule="exact"/>
              <w:ind w:left="100"/>
              <w:rPr>
                <w:rFonts w:ascii="Times New Roman" w:hAnsi="Times New Roman"/>
                <w:lang w:val="fr-FR" w:eastAsia="fr-FR"/>
              </w:rPr>
            </w:pPr>
            <w:r w:rsidRPr="002D196C">
              <w:rPr>
                <w:rFonts w:eastAsia="Verdana" w:cs="Verdana"/>
                <w:sz w:val="17"/>
                <w:szCs w:val="17"/>
                <w:lang w:val="fr-FR" w:eastAsia="fr-FR"/>
              </w:rPr>
              <w:t>Adult</w:t>
            </w:r>
          </w:p>
        </w:tc>
        <w:tc>
          <w:tcPr>
            <w:tcW w:w="3900" w:type="dxa"/>
            <w:vAlign w:val="bottom"/>
          </w:tcPr>
          <w:p w14:paraId="60B0F938" w14:textId="77777777" w:rsidR="002D196C" w:rsidRPr="002D196C" w:rsidRDefault="002D196C" w:rsidP="00965030">
            <w:pPr>
              <w:spacing w:before="0" w:after="0"/>
              <w:rPr>
                <w:rFonts w:ascii="Times New Roman" w:hAnsi="Times New Roman"/>
                <w:sz w:val="17"/>
                <w:szCs w:val="17"/>
                <w:lang w:val="fr-FR" w:eastAsia="fr-FR"/>
              </w:rPr>
            </w:pPr>
          </w:p>
        </w:tc>
        <w:tc>
          <w:tcPr>
            <w:tcW w:w="0" w:type="dxa"/>
            <w:vAlign w:val="bottom"/>
          </w:tcPr>
          <w:p w14:paraId="0055D2A8"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3CD6CAEE" w14:textId="77777777" w:rsidTr="00965030">
        <w:trPr>
          <w:trHeight w:val="26"/>
        </w:trPr>
        <w:tc>
          <w:tcPr>
            <w:tcW w:w="4080" w:type="dxa"/>
            <w:tcBorders>
              <w:bottom w:val="single" w:sz="8" w:space="0" w:color="auto"/>
              <w:right w:val="single" w:sz="8" w:space="0" w:color="auto"/>
            </w:tcBorders>
            <w:vAlign w:val="bottom"/>
          </w:tcPr>
          <w:p w14:paraId="64FEA9DB" w14:textId="77777777" w:rsidR="002D196C" w:rsidRPr="002D196C" w:rsidRDefault="002D196C" w:rsidP="00965030">
            <w:pPr>
              <w:spacing w:before="0" w:after="0"/>
              <w:rPr>
                <w:rFonts w:ascii="Times New Roman" w:hAnsi="Times New Roman"/>
                <w:sz w:val="2"/>
                <w:szCs w:val="2"/>
                <w:lang w:val="fr-FR" w:eastAsia="fr-FR"/>
              </w:rPr>
            </w:pPr>
          </w:p>
        </w:tc>
        <w:tc>
          <w:tcPr>
            <w:tcW w:w="720" w:type="dxa"/>
            <w:tcBorders>
              <w:bottom w:val="single" w:sz="8" w:space="0" w:color="auto"/>
            </w:tcBorders>
            <w:vAlign w:val="bottom"/>
          </w:tcPr>
          <w:p w14:paraId="18C71725" w14:textId="77777777" w:rsidR="002D196C" w:rsidRPr="002D196C" w:rsidRDefault="002D196C" w:rsidP="00965030">
            <w:pPr>
              <w:spacing w:before="0" w:after="0"/>
              <w:rPr>
                <w:rFonts w:ascii="Times New Roman" w:hAnsi="Times New Roman"/>
                <w:sz w:val="2"/>
                <w:szCs w:val="2"/>
                <w:lang w:val="fr-FR" w:eastAsia="fr-FR"/>
              </w:rPr>
            </w:pPr>
          </w:p>
        </w:tc>
        <w:tc>
          <w:tcPr>
            <w:tcW w:w="1340" w:type="dxa"/>
            <w:gridSpan w:val="4"/>
            <w:tcBorders>
              <w:bottom w:val="single" w:sz="8" w:space="0" w:color="auto"/>
            </w:tcBorders>
            <w:vAlign w:val="bottom"/>
          </w:tcPr>
          <w:p w14:paraId="28CF9F17" w14:textId="77777777" w:rsidR="002D196C" w:rsidRPr="002D196C" w:rsidRDefault="002D196C" w:rsidP="00965030">
            <w:pPr>
              <w:spacing w:before="0" w:after="0"/>
              <w:rPr>
                <w:rFonts w:ascii="Times New Roman" w:hAnsi="Times New Roman"/>
                <w:sz w:val="2"/>
                <w:szCs w:val="2"/>
                <w:lang w:val="fr-FR" w:eastAsia="fr-FR"/>
              </w:rPr>
            </w:pPr>
          </w:p>
        </w:tc>
        <w:tc>
          <w:tcPr>
            <w:tcW w:w="1400" w:type="dxa"/>
            <w:tcBorders>
              <w:bottom w:val="single" w:sz="8" w:space="0" w:color="auto"/>
            </w:tcBorders>
            <w:vAlign w:val="bottom"/>
          </w:tcPr>
          <w:p w14:paraId="4016F51F" w14:textId="77777777" w:rsidR="002D196C" w:rsidRPr="002D196C" w:rsidRDefault="002D196C" w:rsidP="00965030">
            <w:pPr>
              <w:spacing w:before="0" w:after="0"/>
              <w:rPr>
                <w:rFonts w:ascii="Times New Roman" w:hAnsi="Times New Roman"/>
                <w:sz w:val="2"/>
                <w:szCs w:val="2"/>
                <w:lang w:val="fr-FR" w:eastAsia="fr-FR"/>
              </w:rPr>
            </w:pPr>
          </w:p>
        </w:tc>
        <w:tc>
          <w:tcPr>
            <w:tcW w:w="480" w:type="dxa"/>
            <w:tcBorders>
              <w:bottom w:val="single" w:sz="8" w:space="0" w:color="auto"/>
            </w:tcBorders>
            <w:vAlign w:val="bottom"/>
          </w:tcPr>
          <w:p w14:paraId="4BC66FD7" w14:textId="77777777" w:rsidR="002D196C" w:rsidRPr="002D196C" w:rsidRDefault="002D196C" w:rsidP="00965030">
            <w:pPr>
              <w:spacing w:before="0" w:after="0"/>
              <w:rPr>
                <w:rFonts w:ascii="Times New Roman" w:hAnsi="Times New Roman"/>
                <w:sz w:val="2"/>
                <w:szCs w:val="2"/>
                <w:lang w:val="fr-FR" w:eastAsia="fr-FR"/>
              </w:rPr>
            </w:pPr>
          </w:p>
        </w:tc>
        <w:tc>
          <w:tcPr>
            <w:tcW w:w="1560" w:type="dxa"/>
            <w:tcBorders>
              <w:bottom w:val="single" w:sz="8" w:space="0" w:color="auto"/>
            </w:tcBorders>
            <w:vAlign w:val="bottom"/>
          </w:tcPr>
          <w:p w14:paraId="16BD732F" w14:textId="77777777" w:rsidR="002D196C" w:rsidRPr="002D196C" w:rsidRDefault="002D196C" w:rsidP="00965030">
            <w:pPr>
              <w:spacing w:before="0" w:after="0"/>
              <w:rPr>
                <w:rFonts w:ascii="Times New Roman" w:hAnsi="Times New Roman"/>
                <w:sz w:val="2"/>
                <w:szCs w:val="2"/>
                <w:lang w:val="fr-FR" w:eastAsia="fr-FR"/>
              </w:rPr>
            </w:pPr>
          </w:p>
        </w:tc>
        <w:tc>
          <w:tcPr>
            <w:tcW w:w="3900" w:type="dxa"/>
            <w:tcBorders>
              <w:bottom w:val="single" w:sz="8" w:space="0" w:color="auto"/>
            </w:tcBorders>
            <w:vAlign w:val="bottom"/>
          </w:tcPr>
          <w:p w14:paraId="7CF89103" w14:textId="77777777" w:rsidR="002D196C" w:rsidRPr="002D196C" w:rsidRDefault="002D196C" w:rsidP="00965030">
            <w:pPr>
              <w:spacing w:before="0" w:after="0"/>
              <w:rPr>
                <w:rFonts w:ascii="Times New Roman" w:hAnsi="Times New Roman"/>
                <w:sz w:val="2"/>
                <w:szCs w:val="2"/>
                <w:lang w:val="fr-FR" w:eastAsia="fr-FR"/>
              </w:rPr>
            </w:pPr>
          </w:p>
        </w:tc>
        <w:tc>
          <w:tcPr>
            <w:tcW w:w="0" w:type="dxa"/>
            <w:vAlign w:val="bottom"/>
          </w:tcPr>
          <w:p w14:paraId="66E0101B"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36458E13" w14:textId="77777777" w:rsidTr="00965030">
        <w:trPr>
          <w:trHeight w:val="228"/>
        </w:trPr>
        <w:tc>
          <w:tcPr>
            <w:tcW w:w="4080" w:type="dxa"/>
            <w:tcBorders>
              <w:right w:val="single" w:sz="8" w:space="0" w:color="auto"/>
            </w:tcBorders>
            <w:vAlign w:val="bottom"/>
          </w:tcPr>
          <w:p w14:paraId="1733CE40" w14:textId="77777777" w:rsidR="002D196C" w:rsidRPr="002D196C" w:rsidRDefault="002D196C" w:rsidP="00965030">
            <w:pPr>
              <w:spacing w:before="0" w:after="0"/>
              <w:ind w:left="40"/>
              <w:rPr>
                <w:rFonts w:ascii="Times New Roman" w:hAnsi="Times New Roman"/>
                <w:lang w:val="fr-FR" w:eastAsia="fr-FR"/>
              </w:rPr>
            </w:pPr>
            <w:r w:rsidRPr="002D196C">
              <w:rPr>
                <w:rFonts w:eastAsia="Verdana" w:cs="Verdana"/>
                <w:b/>
                <w:bCs/>
                <w:sz w:val="17"/>
                <w:szCs w:val="17"/>
                <w:lang w:val="fr-FR" w:eastAsia="fr-FR"/>
              </w:rPr>
              <w:t>Field of use</w:t>
            </w:r>
          </w:p>
        </w:tc>
        <w:tc>
          <w:tcPr>
            <w:tcW w:w="3460" w:type="dxa"/>
            <w:gridSpan w:val="6"/>
            <w:vAlign w:val="bottom"/>
          </w:tcPr>
          <w:p w14:paraId="397C3329" w14:textId="77777777" w:rsidR="002D196C" w:rsidRPr="002D196C" w:rsidRDefault="002D196C" w:rsidP="00965030">
            <w:pPr>
              <w:spacing w:before="0" w:after="0"/>
              <w:rPr>
                <w:rFonts w:ascii="Times New Roman" w:hAnsi="Times New Roman"/>
                <w:lang w:val="en-US" w:eastAsia="fr-FR"/>
              </w:rPr>
            </w:pPr>
            <w:r w:rsidRPr="002D196C">
              <w:rPr>
                <w:rFonts w:eastAsia="Verdana" w:cs="Verdana"/>
                <w:sz w:val="17"/>
                <w:szCs w:val="17"/>
                <w:lang w:val="en-US" w:eastAsia="fr-FR"/>
              </w:rPr>
              <w:t>Indoors in well ventilated areas</w:t>
            </w:r>
          </w:p>
        </w:tc>
        <w:tc>
          <w:tcPr>
            <w:tcW w:w="480" w:type="dxa"/>
            <w:vAlign w:val="bottom"/>
          </w:tcPr>
          <w:p w14:paraId="6CC3716D" w14:textId="77777777" w:rsidR="002D196C" w:rsidRPr="002D196C" w:rsidRDefault="002D196C" w:rsidP="00965030">
            <w:pPr>
              <w:spacing w:before="0" w:after="0"/>
              <w:rPr>
                <w:rFonts w:ascii="Times New Roman" w:hAnsi="Times New Roman"/>
                <w:sz w:val="19"/>
                <w:szCs w:val="19"/>
                <w:lang w:val="en-US" w:eastAsia="fr-FR"/>
              </w:rPr>
            </w:pPr>
          </w:p>
        </w:tc>
        <w:tc>
          <w:tcPr>
            <w:tcW w:w="1560" w:type="dxa"/>
            <w:vAlign w:val="bottom"/>
          </w:tcPr>
          <w:p w14:paraId="20E35205" w14:textId="77777777" w:rsidR="002D196C" w:rsidRPr="002D196C" w:rsidRDefault="002D196C" w:rsidP="00965030">
            <w:pPr>
              <w:spacing w:before="0" w:after="0"/>
              <w:rPr>
                <w:rFonts w:ascii="Times New Roman" w:hAnsi="Times New Roman"/>
                <w:sz w:val="19"/>
                <w:szCs w:val="19"/>
                <w:lang w:val="en-US" w:eastAsia="fr-FR"/>
              </w:rPr>
            </w:pPr>
          </w:p>
        </w:tc>
        <w:tc>
          <w:tcPr>
            <w:tcW w:w="3900" w:type="dxa"/>
            <w:vAlign w:val="bottom"/>
          </w:tcPr>
          <w:p w14:paraId="4BCE4130" w14:textId="77777777" w:rsidR="002D196C" w:rsidRPr="002D196C" w:rsidRDefault="002D196C" w:rsidP="00965030">
            <w:pPr>
              <w:spacing w:before="0" w:after="0"/>
              <w:rPr>
                <w:rFonts w:ascii="Times New Roman" w:hAnsi="Times New Roman"/>
                <w:sz w:val="19"/>
                <w:szCs w:val="19"/>
                <w:lang w:val="en-US" w:eastAsia="fr-FR"/>
              </w:rPr>
            </w:pPr>
          </w:p>
        </w:tc>
        <w:tc>
          <w:tcPr>
            <w:tcW w:w="0" w:type="dxa"/>
            <w:vAlign w:val="bottom"/>
          </w:tcPr>
          <w:p w14:paraId="42A7B131" w14:textId="77777777" w:rsidR="002D196C" w:rsidRPr="002D196C" w:rsidRDefault="002D196C" w:rsidP="00965030">
            <w:pPr>
              <w:spacing w:before="0" w:after="0"/>
              <w:rPr>
                <w:rFonts w:ascii="Times New Roman" w:hAnsi="Times New Roman"/>
                <w:sz w:val="1"/>
                <w:szCs w:val="1"/>
                <w:lang w:val="en-US" w:eastAsia="fr-FR"/>
              </w:rPr>
            </w:pPr>
          </w:p>
        </w:tc>
      </w:tr>
      <w:tr w:rsidR="002D196C" w:rsidRPr="002D196C" w14:paraId="0CA5D9DE" w14:textId="77777777" w:rsidTr="00965030">
        <w:trPr>
          <w:trHeight w:val="36"/>
        </w:trPr>
        <w:tc>
          <w:tcPr>
            <w:tcW w:w="4080" w:type="dxa"/>
            <w:tcBorders>
              <w:bottom w:val="single" w:sz="8" w:space="0" w:color="auto"/>
              <w:right w:val="single" w:sz="8" w:space="0" w:color="auto"/>
            </w:tcBorders>
            <w:vAlign w:val="bottom"/>
          </w:tcPr>
          <w:p w14:paraId="2568509C" w14:textId="77777777" w:rsidR="002D196C" w:rsidRPr="002D196C" w:rsidRDefault="002D196C" w:rsidP="00965030">
            <w:pPr>
              <w:spacing w:before="0" w:after="0"/>
              <w:rPr>
                <w:rFonts w:ascii="Times New Roman" w:hAnsi="Times New Roman"/>
                <w:sz w:val="3"/>
                <w:szCs w:val="3"/>
                <w:lang w:val="en-US" w:eastAsia="fr-FR"/>
              </w:rPr>
            </w:pPr>
          </w:p>
        </w:tc>
        <w:tc>
          <w:tcPr>
            <w:tcW w:w="720" w:type="dxa"/>
            <w:tcBorders>
              <w:bottom w:val="single" w:sz="8" w:space="0" w:color="auto"/>
            </w:tcBorders>
            <w:vAlign w:val="bottom"/>
          </w:tcPr>
          <w:p w14:paraId="2DE9451E" w14:textId="77777777" w:rsidR="002D196C" w:rsidRPr="002D196C" w:rsidRDefault="002D196C" w:rsidP="00965030">
            <w:pPr>
              <w:spacing w:before="0" w:after="0"/>
              <w:rPr>
                <w:rFonts w:ascii="Times New Roman" w:hAnsi="Times New Roman"/>
                <w:sz w:val="3"/>
                <w:szCs w:val="3"/>
                <w:lang w:val="en-US" w:eastAsia="fr-FR"/>
              </w:rPr>
            </w:pPr>
          </w:p>
        </w:tc>
        <w:tc>
          <w:tcPr>
            <w:tcW w:w="60" w:type="dxa"/>
            <w:tcBorders>
              <w:bottom w:val="single" w:sz="8" w:space="0" w:color="auto"/>
            </w:tcBorders>
            <w:vAlign w:val="bottom"/>
          </w:tcPr>
          <w:p w14:paraId="690D5E92" w14:textId="77777777" w:rsidR="002D196C" w:rsidRPr="002D196C" w:rsidRDefault="002D196C" w:rsidP="00965030">
            <w:pPr>
              <w:spacing w:before="0" w:after="0"/>
              <w:rPr>
                <w:rFonts w:ascii="Times New Roman" w:hAnsi="Times New Roman"/>
                <w:sz w:val="3"/>
                <w:szCs w:val="3"/>
                <w:lang w:val="en-US" w:eastAsia="fr-FR"/>
              </w:rPr>
            </w:pPr>
          </w:p>
        </w:tc>
        <w:tc>
          <w:tcPr>
            <w:tcW w:w="900" w:type="dxa"/>
            <w:tcBorders>
              <w:bottom w:val="single" w:sz="8" w:space="0" w:color="auto"/>
            </w:tcBorders>
            <w:vAlign w:val="bottom"/>
          </w:tcPr>
          <w:p w14:paraId="40F1FC9A" w14:textId="77777777" w:rsidR="002D196C" w:rsidRPr="002D196C" w:rsidRDefault="002D196C" w:rsidP="00965030">
            <w:pPr>
              <w:spacing w:before="0" w:after="0"/>
              <w:rPr>
                <w:rFonts w:ascii="Times New Roman" w:hAnsi="Times New Roman"/>
                <w:sz w:val="3"/>
                <w:szCs w:val="3"/>
                <w:lang w:val="en-US" w:eastAsia="fr-FR"/>
              </w:rPr>
            </w:pPr>
          </w:p>
        </w:tc>
        <w:tc>
          <w:tcPr>
            <w:tcW w:w="40" w:type="dxa"/>
            <w:tcBorders>
              <w:bottom w:val="single" w:sz="8" w:space="0" w:color="auto"/>
            </w:tcBorders>
            <w:vAlign w:val="bottom"/>
          </w:tcPr>
          <w:p w14:paraId="1E747990" w14:textId="77777777" w:rsidR="002D196C" w:rsidRPr="002D196C" w:rsidRDefault="002D196C" w:rsidP="00965030">
            <w:pPr>
              <w:spacing w:before="0" w:after="0"/>
              <w:rPr>
                <w:rFonts w:ascii="Times New Roman" w:hAnsi="Times New Roman"/>
                <w:sz w:val="3"/>
                <w:szCs w:val="3"/>
                <w:lang w:val="en-US" w:eastAsia="fr-FR"/>
              </w:rPr>
            </w:pPr>
          </w:p>
        </w:tc>
        <w:tc>
          <w:tcPr>
            <w:tcW w:w="340" w:type="dxa"/>
            <w:tcBorders>
              <w:bottom w:val="single" w:sz="8" w:space="0" w:color="auto"/>
            </w:tcBorders>
            <w:vAlign w:val="bottom"/>
          </w:tcPr>
          <w:p w14:paraId="75684614" w14:textId="77777777" w:rsidR="002D196C" w:rsidRPr="002D196C" w:rsidRDefault="002D196C" w:rsidP="00965030">
            <w:pPr>
              <w:spacing w:before="0" w:after="0"/>
              <w:rPr>
                <w:rFonts w:ascii="Times New Roman" w:hAnsi="Times New Roman"/>
                <w:sz w:val="3"/>
                <w:szCs w:val="3"/>
                <w:lang w:val="en-US" w:eastAsia="fr-FR"/>
              </w:rPr>
            </w:pPr>
          </w:p>
        </w:tc>
        <w:tc>
          <w:tcPr>
            <w:tcW w:w="1400" w:type="dxa"/>
            <w:tcBorders>
              <w:bottom w:val="single" w:sz="8" w:space="0" w:color="auto"/>
            </w:tcBorders>
            <w:vAlign w:val="bottom"/>
          </w:tcPr>
          <w:p w14:paraId="3C555305" w14:textId="77777777" w:rsidR="002D196C" w:rsidRPr="002D196C" w:rsidRDefault="002D196C" w:rsidP="00965030">
            <w:pPr>
              <w:spacing w:before="0" w:after="0"/>
              <w:rPr>
                <w:rFonts w:ascii="Times New Roman" w:hAnsi="Times New Roman"/>
                <w:sz w:val="3"/>
                <w:szCs w:val="3"/>
                <w:lang w:val="en-US" w:eastAsia="fr-FR"/>
              </w:rPr>
            </w:pPr>
          </w:p>
        </w:tc>
        <w:tc>
          <w:tcPr>
            <w:tcW w:w="480" w:type="dxa"/>
            <w:tcBorders>
              <w:bottom w:val="single" w:sz="8" w:space="0" w:color="auto"/>
            </w:tcBorders>
            <w:vAlign w:val="bottom"/>
          </w:tcPr>
          <w:p w14:paraId="305EB412" w14:textId="77777777" w:rsidR="002D196C" w:rsidRPr="002D196C" w:rsidRDefault="002D196C" w:rsidP="00965030">
            <w:pPr>
              <w:spacing w:before="0" w:after="0"/>
              <w:rPr>
                <w:rFonts w:ascii="Times New Roman" w:hAnsi="Times New Roman"/>
                <w:sz w:val="3"/>
                <w:szCs w:val="3"/>
                <w:lang w:val="en-US" w:eastAsia="fr-FR"/>
              </w:rPr>
            </w:pPr>
          </w:p>
        </w:tc>
        <w:tc>
          <w:tcPr>
            <w:tcW w:w="1560" w:type="dxa"/>
            <w:tcBorders>
              <w:bottom w:val="single" w:sz="8" w:space="0" w:color="auto"/>
            </w:tcBorders>
            <w:vAlign w:val="bottom"/>
          </w:tcPr>
          <w:p w14:paraId="3C2ED46E" w14:textId="77777777" w:rsidR="002D196C" w:rsidRPr="002D196C" w:rsidRDefault="002D196C" w:rsidP="00965030">
            <w:pPr>
              <w:spacing w:before="0" w:after="0"/>
              <w:rPr>
                <w:rFonts w:ascii="Times New Roman" w:hAnsi="Times New Roman"/>
                <w:sz w:val="3"/>
                <w:szCs w:val="3"/>
                <w:lang w:val="en-US" w:eastAsia="fr-FR"/>
              </w:rPr>
            </w:pPr>
          </w:p>
        </w:tc>
        <w:tc>
          <w:tcPr>
            <w:tcW w:w="3900" w:type="dxa"/>
            <w:tcBorders>
              <w:bottom w:val="single" w:sz="8" w:space="0" w:color="auto"/>
            </w:tcBorders>
            <w:vAlign w:val="bottom"/>
          </w:tcPr>
          <w:p w14:paraId="6B985B25" w14:textId="77777777" w:rsidR="002D196C" w:rsidRPr="002D196C" w:rsidRDefault="002D196C" w:rsidP="00965030">
            <w:pPr>
              <w:spacing w:before="0" w:after="0"/>
              <w:rPr>
                <w:rFonts w:ascii="Times New Roman" w:hAnsi="Times New Roman"/>
                <w:sz w:val="3"/>
                <w:szCs w:val="3"/>
                <w:lang w:val="en-US" w:eastAsia="fr-FR"/>
              </w:rPr>
            </w:pPr>
          </w:p>
        </w:tc>
        <w:tc>
          <w:tcPr>
            <w:tcW w:w="0" w:type="dxa"/>
            <w:vAlign w:val="bottom"/>
          </w:tcPr>
          <w:p w14:paraId="4EED9CD1" w14:textId="77777777" w:rsidR="002D196C" w:rsidRPr="002D196C" w:rsidRDefault="002D196C" w:rsidP="00965030">
            <w:pPr>
              <w:spacing w:before="0" w:after="0"/>
              <w:rPr>
                <w:rFonts w:ascii="Times New Roman" w:hAnsi="Times New Roman"/>
                <w:sz w:val="1"/>
                <w:szCs w:val="1"/>
                <w:lang w:val="en-US" w:eastAsia="fr-FR"/>
              </w:rPr>
            </w:pPr>
          </w:p>
        </w:tc>
      </w:tr>
      <w:tr w:rsidR="002D196C" w:rsidRPr="002D196C" w14:paraId="0B7E33A4" w14:textId="77777777" w:rsidTr="00965030">
        <w:trPr>
          <w:trHeight w:val="223"/>
        </w:trPr>
        <w:tc>
          <w:tcPr>
            <w:tcW w:w="4080" w:type="dxa"/>
            <w:tcBorders>
              <w:right w:val="single" w:sz="8" w:space="0" w:color="auto"/>
            </w:tcBorders>
            <w:vAlign w:val="bottom"/>
          </w:tcPr>
          <w:p w14:paraId="51A3C841" w14:textId="77777777" w:rsidR="002D196C" w:rsidRPr="002D196C" w:rsidRDefault="002D196C" w:rsidP="00965030">
            <w:pPr>
              <w:spacing w:before="0" w:after="0"/>
              <w:ind w:left="40"/>
              <w:rPr>
                <w:rFonts w:ascii="Times New Roman" w:hAnsi="Times New Roman"/>
                <w:lang w:val="fr-FR" w:eastAsia="fr-FR"/>
              </w:rPr>
            </w:pPr>
            <w:r w:rsidRPr="002D196C">
              <w:rPr>
                <w:rFonts w:eastAsia="Verdana" w:cs="Verdana"/>
                <w:b/>
                <w:bCs/>
                <w:sz w:val="17"/>
                <w:szCs w:val="17"/>
                <w:lang w:val="fr-FR" w:eastAsia="fr-FR"/>
              </w:rPr>
              <w:t>Application method(s)</w:t>
            </w:r>
          </w:p>
        </w:tc>
        <w:tc>
          <w:tcPr>
            <w:tcW w:w="780" w:type="dxa"/>
            <w:gridSpan w:val="2"/>
            <w:vAlign w:val="bottom"/>
          </w:tcPr>
          <w:p w14:paraId="13463EB5" w14:textId="77777777" w:rsidR="002D196C" w:rsidRPr="002D196C" w:rsidRDefault="002D196C" w:rsidP="00965030">
            <w:pPr>
              <w:spacing w:before="0" w:after="0"/>
              <w:rPr>
                <w:rFonts w:ascii="Times New Roman" w:hAnsi="Times New Roman"/>
                <w:lang w:val="fr-FR" w:eastAsia="fr-FR"/>
              </w:rPr>
            </w:pPr>
            <w:r w:rsidRPr="002D196C">
              <w:rPr>
                <w:rFonts w:eastAsia="Verdana" w:cs="Verdana"/>
                <w:sz w:val="17"/>
                <w:szCs w:val="17"/>
                <w:lang w:val="fr-FR" w:eastAsia="fr-FR"/>
              </w:rPr>
              <w:t>Spraying</w:t>
            </w:r>
          </w:p>
        </w:tc>
        <w:tc>
          <w:tcPr>
            <w:tcW w:w="900" w:type="dxa"/>
            <w:vAlign w:val="bottom"/>
          </w:tcPr>
          <w:p w14:paraId="08E0581C" w14:textId="77777777" w:rsidR="002D196C" w:rsidRPr="002D196C" w:rsidRDefault="002D196C" w:rsidP="00965030">
            <w:pPr>
              <w:spacing w:before="0" w:after="0"/>
              <w:rPr>
                <w:rFonts w:ascii="Times New Roman" w:hAnsi="Times New Roman"/>
                <w:sz w:val="19"/>
                <w:szCs w:val="19"/>
                <w:lang w:val="fr-FR" w:eastAsia="fr-FR"/>
              </w:rPr>
            </w:pPr>
          </w:p>
        </w:tc>
        <w:tc>
          <w:tcPr>
            <w:tcW w:w="40" w:type="dxa"/>
            <w:vAlign w:val="bottom"/>
          </w:tcPr>
          <w:p w14:paraId="21A0E00C" w14:textId="77777777" w:rsidR="002D196C" w:rsidRPr="002D196C" w:rsidRDefault="002D196C" w:rsidP="00965030">
            <w:pPr>
              <w:spacing w:before="0" w:after="0"/>
              <w:rPr>
                <w:rFonts w:ascii="Times New Roman" w:hAnsi="Times New Roman"/>
                <w:sz w:val="19"/>
                <w:szCs w:val="19"/>
                <w:lang w:val="fr-FR" w:eastAsia="fr-FR"/>
              </w:rPr>
            </w:pPr>
          </w:p>
        </w:tc>
        <w:tc>
          <w:tcPr>
            <w:tcW w:w="340" w:type="dxa"/>
            <w:vAlign w:val="bottom"/>
          </w:tcPr>
          <w:p w14:paraId="33BFF6D7" w14:textId="77777777" w:rsidR="002D196C" w:rsidRPr="002D196C" w:rsidRDefault="002D196C" w:rsidP="00965030">
            <w:pPr>
              <w:spacing w:before="0" w:after="0"/>
              <w:rPr>
                <w:rFonts w:ascii="Times New Roman" w:hAnsi="Times New Roman"/>
                <w:sz w:val="19"/>
                <w:szCs w:val="19"/>
                <w:lang w:val="fr-FR" w:eastAsia="fr-FR"/>
              </w:rPr>
            </w:pPr>
          </w:p>
        </w:tc>
        <w:tc>
          <w:tcPr>
            <w:tcW w:w="1400" w:type="dxa"/>
            <w:vAlign w:val="bottom"/>
          </w:tcPr>
          <w:p w14:paraId="666D5EB5" w14:textId="77777777" w:rsidR="002D196C" w:rsidRPr="002D196C" w:rsidRDefault="002D196C" w:rsidP="00965030">
            <w:pPr>
              <w:spacing w:before="0" w:after="0"/>
              <w:rPr>
                <w:rFonts w:ascii="Times New Roman" w:hAnsi="Times New Roman"/>
                <w:sz w:val="19"/>
                <w:szCs w:val="19"/>
                <w:lang w:val="fr-FR" w:eastAsia="fr-FR"/>
              </w:rPr>
            </w:pPr>
          </w:p>
        </w:tc>
        <w:tc>
          <w:tcPr>
            <w:tcW w:w="480" w:type="dxa"/>
            <w:vAlign w:val="bottom"/>
          </w:tcPr>
          <w:p w14:paraId="0CD74656" w14:textId="77777777" w:rsidR="002D196C" w:rsidRPr="002D196C" w:rsidRDefault="002D196C" w:rsidP="00965030">
            <w:pPr>
              <w:spacing w:before="0" w:after="0"/>
              <w:rPr>
                <w:rFonts w:ascii="Times New Roman" w:hAnsi="Times New Roman"/>
                <w:sz w:val="19"/>
                <w:szCs w:val="19"/>
                <w:lang w:val="fr-FR" w:eastAsia="fr-FR"/>
              </w:rPr>
            </w:pPr>
          </w:p>
        </w:tc>
        <w:tc>
          <w:tcPr>
            <w:tcW w:w="1560" w:type="dxa"/>
            <w:vAlign w:val="bottom"/>
          </w:tcPr>
          <w:p w14:paraId="39B1F908" w14:textId="77777777" w:rsidR="002D196C" w:rsidRPr="002D196C" w:rsidRDefault="002D196C" w:rsidP="00965030">
            <w:pPr>
              <w:spacing w:before="0" w:after="0"/>
              <w:rPr>
                <w:rFonts w:ascii="Times New Roman" w:hAnsi="Times New Roman"/>
                <w:sz w:val="19"/>
                <w:szCs w:val="19"/>
                <w:lang w:val="fr-FR" w:eastAsia="fr-FR"/>
              </w:rPr>
            </w:pPr>
          </w:p>
        </w:tc>
        <w:tc>
          <w:tcPr>
            <w:tcW w:w="3900" w:type="dxa"/>
            <w:vAlign w:val="bottom"/>
          </w:tcPr>
          <w:p w14:paraId="7BAB6CB0" w14:textId="77777777" w:rsidR="002D196C" w:rsidRPr="002D196C" w:rsidRDefault="002D196C" w:rsidP="00965030">
            <w:pPr>
              <w:spacing w:before="0" w:after="0"/>
              <w:rPr>
                <w:rFonts w:ascii="Times New Roman" w:hAnsi="Times New Roman"/>
                <w:sz w:val="19"/>
                <w:szCs w:val="19"/>
                <w:lang w:val="fr-FR" w:eastAsia="fr-FR"/>
              </w:rPr>
            </w:pPr>
          </w:p>
        </w:tc>
        <w:tc>
          <w:tcPr>
            <w:tcW w:w="0" w:type="dxa"/>
            <w:vAlign w:val="bottom"/>
          </w:tcPr>
          <w:p w14:paraId="7A759265"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2FAEB09B" w14:textId="77777777" w:rsidTr="00965030">
        <w:trPr>
          <w:trHeight w:val="38"/>
        </w:trPr>
        <w:tc>
          <w:tcPr>
            <w:tcW w:w="4080" w:type="dxa"/>
            <w:tcBorders>
              <w:bottom w:val="single" w:sz="8" w:space="0" w:color="auto"/>
              <w:right w:val="single" w:sz="8" w:space="0" w:color="auto"/>
            </w:tcBorders>
            <w:vAlign w:val="bottom"/>
          </w:tcPr>
          <w:p w14:paraId="038FD34E" w14:textId="77777777" w:rsidR="002D196C" w:rsidRPr="002D196C" w:rsidRDefault="002D196C" w:rsidP="00965030">
            <w:pPr>
              <w:spacing w:before="0" w:after="0"/>
              <w:rPr>
                <w:rFonts w:ascii="Times New Roman" w:hAnsi="Times New Roman"/>
                <w:sz w:val="3"/>
                <w:szCs w:val="3"/>
                <w:lang w:val="fr-FR" w:eastAsia="fr-FR"/>
              </w:rPr>
            </w:pPr>
          </w:p>
        </w:tc>
        <w:tc>
          <w:tcPr>
            <w:tcW w:w="720" w:type="dxa"/>
            <w:tcBorders>
              <w:bottom w:val="single" w:sz="8" w:space="0" w:color="auto"/>
            </w:tcBorders>
            <w:vAlign w:val="bottom"/>
          </w:tcPr>
          <w:p w14:paraId="3FA9F7B5" w14:textId="77777777" w:rsidR="002D196C" w:rsidRPr="002D196C" w:rsidRDefault="002D196C" w:rsidP="00965030">
            <w:pPr>
              <w:spacing w:before="0" w:after="0"/>
              <w:rPr>
                <w:rFonts w:ascii="Times New Roman" w:hAnsi="Times New Roman"/>
                <w:sz w:val="3"/>
                <w:szCs w:val="3"/>
                <w:lang w:val="fr-FR" w:eastAsia="fr-FR"/>
              </w:rPr>
            </w:pPr>
          </w:p>
        </w:tc>
        <w:tc>
          <w:tcPr>
            <w:tcW w:w="1000" w:type="dxa"/>
            <w:gridSpan w:val="3"/>
            <w:tcBorders>
              <w:bottom w:val="single" w:sz="8" w:space="0" w:color="auto"/>
            </w:tcBorders>
            <w:vAlign w:val="bottom"/>
          </w:tcPr>
          <w:p w14:paraId="7690A036" w14:textId="77777777" w:rsidR="002D196C" w:rsidRPr="002D196C" w:rsidRDefault="002D196C" w:rsidP="00965030">
            <w:pPr>
              <w:spacing w:before="0" w:after="0"/>
              <w:rPr>
                <w:rFonts w:ascii="Times New Roman" w:hAnsi="Times New Roman"/>
                <w:sz w:val="3"/>
                <w:szCs w:val="3"/>
                <w:lang w:val="fr-FR" w:eastAsia="fr-FR"/>
              </w:rPr>
            </w:pPr>
          </w:p>
        </w:tc>
        <w:tc>
          <w:tcPr>
            <w:tcW w:w="340" w:type="dxa"/>
            <w:tcBorders>
              <w:bottom w:val="single" w:sz="8" w:space="0" w:color="auto"/>
            </w:tcBorders>
            <w:vAlign w:val="bottom"/>
          </w:tcPr>
          <w:p w14:paraId="255F2012" w14:textId="77777777" w:rsidR="002D196C" w:rsidRPr="002D196C" w:rsidRDefault="002D196C" w:rsidP="00965030">
            <w:pPr>
              <w:spacing w:before="0" w:after="0"/>
              <w:rPr>
                <w:rFonts w:ascii="Times New Roman" w:hAnsi="Times New Roman"/>
                <w:sz w:val="3"/>
                <w:szCs w:val="3"/>
                <w:lang w:val="fr-FR" w:eastAsia="fr-FR"/>
              </w:rPr>
            </w:pPr>
          </w:p>
        </w:tc>
        <w:tc>
          <w:tcPr>
            <w:tcW w:w="1400" w:type="dxa"/>
            <w:tcBorders>
              <w:bottom w:val="single" w:sz="8" w:space="0" w:color="auto"/>
            </w:tcBorders>
            <w:vAlign w:val="bottom"/>
          </w:tcPr>
          <w:p w14:paraId="4D5E0E1B" w14:textId="77777777" w:rsidR="002D196C" w:rsidRPr="002D196C" w:rsidRDefault="002D196C" w:rsidP="00965030">
            <w:pPr>
              <w:spacing w:before="0" w:after="0"/>
              <w:rPr>
                <w:rFonts w:ascii="Times New Roman" w:hAnsi="Times New Roman"/>
                <w:sz w:val="3"/>
                <w:szCs w:val="3"/>
                <w:lang w:val="fr-FR" w:eastAsia="fr-FR"/>
              </w:rPr>
            </w:pPr>
          </w:p>
        </w:tc>
        <w:tc>
          <w:tcPr>
            <w:tcW w:w="480" w:type="dxa"/>
            <w:tcBorders>
              <w:bottom w:val="single" w:sz="8" w:space="0" w:color="auto"/>
            </w:tcBorders>
            <w:vAlign w:val="bottom"/>
          </w:tcPr>
          <w:p w14:paraId="2C500B29" w14:textId="77777777" w:rsidR="002D196C" w:rsidRPr="002D196C" w:rsidRDefault="002D196C" w:rsidP="00965030">
            <w:pPr>
              <w:spacing w:before="0" w:after="0"/>
              <w:rPr>
                <w:rFonts w:ascii="Times New Roman" w:hAnsi="Times New Roman"/>
                <w:sz w:val="3"/>
                <w:szCs w:val="3"/>
                <w:lang w:val="fr-FR" w:eastAsia="fr-FR"/>
              </w:rPr>
            </w:pPr>
          </w:p>
        </w:tc>
        <w:tc>
          <w:tcPr>
            <w:tcW w:w="1560" w:type="dxa"/>
            <w:tcBorders>
              <w:bottom w:val="single" w:sz="8" w:space="0" w:color="auto"/>
            </w:tcBorders>
            <w:vAlign w:val="bottom"/>
          </w:tcPr>
          <w:p w14:paraId="15C8E635" w14:textId="77777777" w:rsidR="002D196C" w:rsidRPr="002D196C" w:rsidRDefault="002D196C" w:rsidP="00965030">
            <w:pPr>
              <w:spacing w:before="0" w:after="0"/>
              <w:rPr>
                <w:rFonts w:ascii="Times New Roman" w:hAnsi="Times New Roman"/>
                <w:sz w:val="3"/>
                <w:szCs w:val="3"/>
                <w:lang w:val="fr-FR" w:eastAsia="fr-FR"/>
              </w:rPr>
            </w:pPr>
          </w:p>
        </w:tc>
        <w:tc>
          <w:tcPr>
            <w:tcW w:w="3900" w:type="dxa"/>
            <w:tcBorders>
              <w:bottom w:val="single" w:sz="8" w:space="0" w:color="auto"/>
            </w:tcBorders>
            <w:vAlign w:val="bottom"/>
          </w:tcPr>
          <w:p w14:paraId="57344F93" w14:textId="77777777" w:rsidR="002D196C" w:rsidRPr="002D196C" w:rsidRDefault="002D196C" w:rsidP="00965030">
            <w:pPr>
              <w:spacing w:before="0" w:after="0"/>
              <w:rPr>
                <w:rFonts w:ascii="Times New Roman" w:hAnsi="Times New Roman"/>
                <w:sz w:val="3"/>
                <w:szCs w:val="3"/>
                <w:lang w:val="fr-FR" w:eastAsia="fr-FR"/>
              </w:rPr>
            </w:pPr>
          </w:p>
        </w:tc>
        <w:tc>
          <w:tcPr>
            <w:tcW w:w="0" w:type="dxa"/>
            <w:vAlign w:val="bottom"/>
          </w:tcPr>
          <w:p w14:paraId="0CDDAFD2"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27DBE487" w14:textId="77777777" w:rsidTr="00965030">
        <w:trPr>
          <w:trHeight w:val="225"/>
        </w:trPr>
        <w:tc>
          <w:tcPr>
            <w:tcW w:w="4080" w:type="dxa"/>
            <w:tcBorders>
              <w:right w:val="single" w:sz="8" w:space="0" w:color="auto"/>
            </w:tcBorders>
            <w:vAlign w:val="bottom"/>
          </w:tcPr>
          <w:p w14:paraId="5BB9EF51" w14:textId="77777777" w:rsidR="002D196C" w:rsidRPr="002D196C" w:rsidRDefault="002D196C" w:rsidP="00965030">
            <w:pPr>
              <w:spacing w:before="0" w:after="0"/>
              <w:ind w:left="40"/>
              <w:rPr>
                <w:rFonts w:ascii="Times New Roman" w:hAnsi="Times New Roman"/>
                <w:lang w:val="en-US" w:eastAsia="fr-FR"/>
              </w:rPr>
            </w:pPr>
            <w:r w:rsidRPr="002D196C">
              <w:rPr>
                <w:rFonts w:eastAsia="Verdana" w:cs="Verdana"/>
                <w:b/>
                <w:bCs/>
                <w:sz w:val="17"/>
                <w:szCs w:val="17"/>
                <w:lang w:val="en-US" w:eastAsia="fr-FR"/>
              </w:rPr>
              <w:t>Application rate(s) and frequency</w:t>
            </w:r>
          </w:p>
        </w:tc>
        <w:tc>
          <w:tcPr>
            <w:tcW w:w="1720" w:type="dxa"/>
            <w:gridSpan w:val="4"/>
            <w:vAlign w:val="bottom"/>
          </w:tcPr>
          <w:p w14:paraId="071EDB6F" w14:textId="77777777" w:rsidR="002D196C" w:rsidRPr="002D196C" w:rsidRDefault="002D196C" w:rsidP="00965030">
            <w:pPr>
              <w:spacing w:before="0" w:after="0"/>
              <w:rPr>
                <w:rFonts w:ascii="Times New Roman" w:hAnsi="Times New Roman"/>
                <w:lang w:val="fr-FR" w:eastAsia="fr-FR"/>
              </w:rPr>
            </w:pPr>
            <w:r w:rsidRPr="002D196C">
              <w:rPr>
                <w:rFonts w:eastAsia="Verdana" w:cs="Verdana"/>
                <w:sz w:val="17"/>
                <w:szCs w:val="17"/>
                <w:lang w:val="fr-FR" w:eastAsia="fr-FR"/>
              </w:rPr>
              <w:t>Dose: 0.5 mL</w:t>
            </w:r>
          </w:p>
        </w:tc>
        <w:tc>
          <w:tcPr>
            <w:tcW w:w="340" w:type="dxa"/>
            <w:vAlign w:val="bottom"/>
          </w:tcPr>
          <w:p w14:paraId="45D4DF1B" w14:textId="77777777" w:rsidR="002D196C" w:rsidRPr="002D196C" w:rsidRDefault="002D196C" w:rsidP="00965030">
            <w:pPr>
              <w:spacing w:before="0" w:after="0"/>
              <w:rPr>
                <w:rFonts w:ascii="Times New Roman" w:hAnsi="Times New Roman"/>
                <w:sz w:val="19"/>
                <w:szCs w:val="19"/>
                <w:lang w:val="fr-FR" w:eastAsia="fr-FR"/>
              </w:rPr>
            </w:pPr>
          </w:p>
        </w:tc>
        <w:tc>
          <w:tcPr>
            <w:tcW w:w="1400" w:type="dxa"/>
            <w:vAlign w:val="bottom"/>
          </w:tcPr>
          <w:p w14:paraId="127FE7FA" w14:textId="77777777" w:rsidR="002D196C" w:rsidRPr="002D196C" w:rsidRDefault="002D196C" w:rsidP="00965030">
            <w:pPr>
              <w:spacing w:before="0" w:after="0"/>
              <w:rPr>
                <w:rFonts w:ascii="Times New Roman" w:hAnsi="Times New Roman"/>
                <w:sz w:val="19"/>
                <w:szCs w:val="19"/>
                <w:lang w:val="fr-FR" w:eastAsia="fr-FR"/>
              </w:rPr>
            </w:pPr>
          </w:p>
        </w:tc>
        <w:tc>
          <w:tcPr>
            <w:tcW w:w="480" w:type="dxa"/>
            <w:vAlign w:val="bottom"/>
          </w:tcPr>
          <w:p w14:paraId="4FF31B24" w14:textId="77777777" w:rsidR="002D196C" w:rsidRPr="002D196C" w:rsidRDefault="002D196C" w:rsidP="00965030">
            <w:pPr>
              <w:spacing w:before="0" w:after="0"/>
              <w:rPr>
                <w:rFonts w:ascii="Times New Roman" w:hAnsi="Times New Roman"/>
                <w:sz w:val="19"/>
                <w:szCs w:val="19"/>
                <w:lang w:val="fr-FR" w:eastAsia="fr-FR"/>
              </w:rPr>
            </w:pPr>
          </w:p>
        </w:tc>
        <w:tc>
          <w:tcPr>
            <w:tcW w:w="1560" w:type="dxa"/>
            <w:vAlign w:val="bottom"/>
          </w:tcPr>
          <w:p w14:paraId="3C650C32" w14:textId="77777777" w:rsidR="002D196C" w:rsidRPr="002D196C" w:rsidRDefault="002D196C" w:rsidP="00965030">
            <w:pPr>
              <w:spacing w:before="0" w:after="0"/>
              <w:rPr>
                <w:rFonts w:ascii="Times New Roman" w:hAnsi="Times New Roman"/>
                <w:sz w:val="19"/>
                <w:szCs w:val="19"/>
                <w:lang w:val="fr-FR" w:eastAsia="fr-FR"/>
              </w:rPr>
            </w:pPr>
          </w:p>
        </w:tc>
        <w:tc>
          <w:tcPr>
            <w:tcW w:w="3900" w:type="dxa"/>
            <w:vAlign w:val="bottom"/>
          </w:tcPr>
          <w:p w14:paraId="0B91A505" w14:textId="77777777" w:rsidR="002D196C" w:rsidRPr="002D196C" w:rsidRDefault="002D196C" w:rsidP="00965030">
            <w:pPr>
              <w:spacing w:before="0" w:after="0"/>
              <w:rPr>
                <w:rFonts w:ascii="Times New Roman" w:hAnsi="Times New Roman"/>
                <w:sz w:val="19"/>
                <w:szCs w:val="19"/>
                <w:lang w:val="fr-FR" w:eastAsia="fr-FR"/>
              </w:rPr>
            </w:pPr>
          </w:p>
        </w:tc>
        <w:tc>
          <w:tcPr>
            <w:tcW w:w="0" w:type="dxa"/>
            <w:vAlign w:val="bottom"/>
          </w:tcPr>
          <w:p w14:paraId="6D7475E6"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7A9B38D6" w14:textId="77777777" w:rsidTr="00965030">
        <w:trPr>
          <w:trHeight w:val="204"/>
        </w:trPr>
        <w:tc>
          <w:tcPr>
            <w:tcW w:w="4080" w:type="dxa"/>
            <w:tcBorders>
              <w:right w:val="single" w:sz="8" w:space="0" w:color="auto"/>
            </w:tcBorders>
            <w:vAlign w:val="bottom"/>
          </w:tcPr>
          <w:p w14:paraId="39DADF24" w14:textId="77777777" w:rsidR="002D196C" w:rsidRPr="002D196C" w:rsidRDefault="002D196C" w:rsidP="00965030">
            <w:pPr>
              <w:spacing w:before="0" w:after="0"/>
              <w:rPr>
                <w:rFonts w:ascii="Times New Roman" w:hAnsi="Times New Roman"/>
                <w:sz w:val="17"/>
                <w:szCs w:val="17"/>
                <w:lang w:val="fr-FR" w:eastAsia="fr-FR"/>
              </w:rPr>
            </w:pPr>
          </w:p>
        </w:tc>
        <w:tc>
          <w:tcPr>
            <w:tcW w:w="1720" w:type="dxa"/>
            <w:gridSpan w:val="4"/>
            <w:vAlign w:val="bottom"/>
          </w:tcPr>
          <w:p w14:paraId="1CAF4897" w14:textId="77777777" w:rsidR="002D196C" w:rsidRPr="002D196C" w:rsidRDefault="002D196C" w:rsidP="00965030">
            <w:pPr>
              <w:spacing w:before="0" w:after="0" w:line="204" w:lineRule="exact"/>
              <w:rPr>
                <w:rFonts w:ascii="Times New Roman" w:hAnsi="Times New Roman"/>
                <w:lang w:val="fr-FR" w:eastAsia="fr-FR"/>
              </w:rPr>
            </w:pPr>
            <w:r w:rsidRPr="002D196C">
              <w:rPr>
                <w:rFonts w:eastAsia="Verdana" w:cs="Verdana"/>
                <w:sz w:val="17"/>
                <w:szCs w:val="17"/>
                <w:lang w:val="fr-FR" w:eastAsia="fr-FR"/>
              </w:rPr>
              <w:t>Dilution: 100%</w:t>
            </w:r>
          </w:p>
        </w:tc>
        <w:tc>
          <w:tcPr>
            <w:tcW w:w="340" w:type="dxa"/>
            <w:vAlign w:val="bottom"/>
          </w:tcPr>
          <w:p w14:paraId="0B807A89" w14:textId="77777777" w:rsidR="002D196C" w:rsidRPr="002D196C" w:rsidRDefault="002D196C" w:rsidP="00965030">
            <w:pPr>
              <w:spacing w:before="0" w:after="0"/>
              <w:rPr>
                <w:rFonts w:ascii="Times New Roman" w:hAnsi="Times New Roman"/>
                <w:sz w:val="17"/>
                <w:szCs w:val="17"/>
                <w:lang w:val="fr-FR" w:eastAsia="fr-FR"/>
              </w:rPr>
            </w:pPr>
          </w:p>
        </w:tc>
        <w:tc>
          <w:tcPr>
            <w:tcW w:w="1400" w:type="dxa"/>
            <w:vAlign w:val="bottom"/>
          </w:tcPr>
          <w:p w14:paraId="5AE99DA7" w14:textId="77777777" w:rsidR="002D196C" w:rsidRPr="002D196C" w:rsidRDefault="002D196C" w:rsidP="00965030">
            <w:pPr>
              <w:spacing w:before="0" w:after="0"/>
              <w:rPr>
                <w:rFonts w:ascii="Times New Roman" w:hAnsi="Times New Roman"/>
                <w:sz w:val="17"/>
                <w:szCs w:val="17"/>
                <w:lang w:val="fr-FR" w:eastAsia="fr-FR"/>
              </w:rPr>
            </w:pPr>
          </w:p>
        </w:tc>
        <w:tc>
          <w:tcPr>
            <w:tcW w:w="480" w:type="dxa"/>
            <w:vAlign w:val="bottom"/>
          </w:tcPr>
          <w:p w14:paraId="4F51FF3C" w14:textId="77777777" w:rsidR="002D196C" w:rsidRPr="002D196C" w:rsidRDefault="002D196C" w:rsidP="00965030">
            <w:pPr>
              <w:spacing w:before="0" w:after="0"/>
              <w:rPr>
                <w:rFonts w:ascii="Times New Roman" w:hAnsi="Times New Roman"/>
                <w:sz w:val="17"/>
                <w:szCs w:val="17"/>
                <w:lang w:val="fr-FR" w:eastAsia="fr-FR"/>
              </w:rPr>
            </w:pPr>
          </w:p>
        </w:tc>
        <w:tc>
          <w:tcPr>
            <w:tcW w:w="1560" w:type="dxa"/>
            <w:vAlign w:val="bottom"/>
          </w:tcPr>
          <w:p w14:paraId="17B98C66" w14:textId="77777777" w:rsidR="002D196C" w:rsidRPr="002D196C" w:rsidRDefault="002D196C" w:rsidP="00965030">
            <w:pPr>
              <w:spacing w:before="0" w:after="0"/>
              <w:rPr>
                <w:rFonts w:ascii="Times New Roman" w:hAnsi="Times New Roman"/>
                <w:sz w:val="17"/>
                <w:szCs w:val="17"/>
                <w:lang w:val="fr-FR" w:eastAsia="fr-FR"/>
              </w:rPr>
            </w:pPr>
          </w:p>
        </w:tc>
        <w:tc>
          <w:tcPr>
            <w:tcW w:w="3900" w:type="dxa"/>
            <w:vAlign w:val="bottom"/>
          </w:tcPr>
          <w:p w14:paraId="444BD23D" w14:textId="77777777" w:rsidR="002D196C" w:rsidRPr="002D196C" w:rsidRDefault="002D196C" w:rsidP="00965030">
            <w:pPr>
              <w:spacing w:before="0" w:after="0"/>
              <w:rPr>
                <w:rFonts w:ascii="Times New Roman" w:hAnsi="Times New Roman"/>
                <w:sz w:val="17"/>
                <w:szCs w:val="17"/>
                <w:lang w:val="fr-FR" w:eastAsia="fr-FR"/>
              </w:rPr>
            </w:pPr>
          </w:p>
        </w:tc>
        <w:tc>
          <w:tcPr>
            <w:tcW w:w="0" w:type="dxa"/>
            <w:vAlign w:val="bottom"/>
          </w:tcPr>
          <w:p w14:paraId="2BCD35F1"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7302A08D" w14:textId="77777777" w:rsidTr="00965030">
        <w:trPr>
          <w:trHeight w:val="240"/>
        </w:trPr>
        <w:tc>
          <w:tcPr>
            <w:tcW w:w="4080" w:type="dxa"/>
            <w:tcBorders>
              <w:right w:val="single" w:sz="8" w:space="0" w:color="auto"/>
            </w:tcBorders>
            <w:vAlign w:val="bottom"/>
          </w:tcPr>
          <w:p w14:paraId="2FE0653A" w14:textId="77777777" w:rsidR="002D196C" w:rsidRPr="002D196C" w:rsidRDefault="002D196C" w:rsidP="00965030">
            <w:pPr>
              <w:spacing w:before="0" w:after="0"/>
              <w:rPr>
                <w:rFonts w:ascii="Times New Roman" w:hAnsi="Times New Roman"/>
                <w:lang w:val="fr-FR" w:eastAsia="fr-FR"/>
              </w:rPr>
            </w:pPr>
          </w:p>
        </w:tc>
        <w:tc>
          <w:tcPr>
            <w:tcW w:w="9400" w:type="dxa"/>
            <w:gridSpan w:val="9"/>
            <w:vAlign w:val="bottom"/>
          </w:tcPr>
          <w:p w14:paraId="4E9822BC" w14:textId="77777777" w:rsidR="002D196C" w:rsidRPr="002D196C" w:rsidRDefault="002D196C" w:rsidP="00965030">
            <w:pPr>
              <w:spacing w:before="0" w:after="0" w:line="240" w:lineRule="exact"/>
              <w:rPr>
                <w:rFonts w:ascii="Times New Roman" w:hAnsi="Times New Roman"/>
                <w:lang w:val="en-US" w:eastAsia="fr-FR"/>
              </w:rPr>
            </w:pPr>
            <w:r w:rsidRPr="002D196C">
              <w:rPr>
                <w:rFonts w:eastAsia="Verdana" w:cs="Verdana"/>
                <w:w w:val="99"/>
                <w:sz w:val="17"/>
                <w:szCs w:val="17"/>
                <w:lang w:val="en-US" w:eastAsia="fr-FR"/>
              </w:rPr>
              <w:t>Timing: Insect Repellent Pump Spray Lice IR3535</w:t>
            </w:r>
            <w:r w:rsidRPr="002D196C">
              <w:rPr>
                <w:rFonts w:eastAsia="Verdana" w:cs="Verdana"/>
                <w:w w:val="99"/>
                <w:sz w:val="22"/>
                <w:szCs w:val="22"/>
                <w:vertAlign w:val="superscript"/>
                <w:lang w:val="en-US" w:eastAsia="fr-FR"/>
              </w:rPr>
              <w:t>®</w:t>
            </w:r>
            <w:r w:rsidRPr="002D196C">
              <w:rPr>
                <w:rFonts w:eastAsia="Verdana" w:cs="Verdana"/>
                <w:w w:val="99"/>
                <w:sz w:val="17"/>
                <w:szCs w:val="17"/>
                <w:lang w:val="en-US" w:eastAsia="fr-FR"/>
              </w:rPr>
              <w:t xml:space="preserve"> 20 % is intended to be used to prevent reinfestation with</w:t>
            </w:r>
          </w:p>
        </w:tc>
        <w:tc>
          <w:tcPr>
            <w:tcW w:w="0" w:type="dxa"/>
            <w:vAlign w:val="bottom"/>
          </w:tcPr>
          <w:p w14:paraId="3D7956C5" w14:textId="77777777" w:rsidR="002D196C" w:rsidRPr="002D196C" w:rsidRDefault="002D196C" w:rsidP="00965030">
            <w:pPr>
              <w:spacing w:before="0" w:after="0"/>
              <w:rPr>
                <w:rFonts w:ascii="Times New Roman" w:hAnsi="Times New Roman"/>
                <w:sz w:val="1"/>
                <w:szCs w:val="1"/>
                <w:lang w:val="en-US" w:eastAsia="fr-FR"/>
              </w:rPr>
            </w:pPr>
          </w:p>
        </w:tc>
      </w:tr>
      <w:tr w:rsidR="002D196C" w:rsidRPr="002D196C" w14:paraId="4A2EFE1A" w14:textId="77777777" w:rsidTr="00965030">
        <w:trPr>
          <w:trHeight w:val="172"/>
        </w:trPr>
        <w:tc>
          <w:tcPr>
            <w:tcW w:w="4080" w:type="dxa"/>
            <w:tcBorders>
              <w:right w:val="single" w:sz="8" w:space="0" w:color="auto"/>
            </w:tcBorders>
            <w:vAlign w:val="bottom"/>
          </w:tcPr>
          <w:p w14:paraId="46D62B05" w14:textId="77777777" w:rsidR="002D196C" w:rsidRPr="002D196C" w:rsidRDefault="002D196C" w:rsidP="00965030">
            <w:pPr>
              <w:spacing w:before="0" w:after="0"/>
              <w:rPr>
                <w:rFonts w:ascii="Times New Roman" w:hAnsi="Times New Roman"/>
                <w:sz w:val="14"/>
                <w:szCs w:val="14"/>
                <w:lang w:val="en-US" w:eastAsia="fr-FR"/>
              </w:rPr>
            </w:pPr>
          </w:p>
        </w:tc>
        <w:tc>
          <w:tcPr>
            <w:tcW w:w="9400" w:type="dxa"/>
            <w:gridSpan w:val="9"/>
            <w:vAlign w:val="bottom"/>
          </w:tcPr>
          <w:p w14:paraId="213D4AF1" w14:textId="77777777" w:rsidR="002D196C" w:rsidRPr="002D196C" w:rsidRDefault="002D196C" w:rsidP="00965030">
            <w:pPr>
              <w:spacing w:before="0" w:after="0" w:line="173" w:lineRule="exact"/>
              <w:rPr>
                <w:rFonts w:ascii="Times New Roman" w:hAnsi="Times New Roman"/>
                <w:lang w:val="fr-FR" w:eastAsia="fr-FR"/>
              </w:rPr>
            </w:pPr>
            <w:r w:rsidRPr="002D196C">
              <w:rPr>
                <w:rFonts w:eastAsia="Verdana" w:cs="Verdana"/>
                <w:sz w:val="17"/>
                <w:szCs w:val="17"/>
                <w:lang w:val="en-US" w:eastAsia="fr-FR"/>
              </w:rPr>
              <w:t xml:space="preserve">lice after a pediculicide treatment. It is usually applied once a day. </w:t>
            </w:r>
            <w:r w:rsidRPr="002D196C">
              <w:rPr>
                <w:rFonts w:eastAsia="Verdana" w:cs="Verdana"/>
                <w:sz w:val="17"/>
                <w:szCs w:val="17"/>
                <w:lang w:val="fr-FR" w:eastAsia="fr-FR"/>
              </w:rPr>
              <w:t>The application must be repeated after</w:t>
            </w:r>
          </w:p>
        </w:tc>
        <w:tc>
          <w:tcPr>
            <w:tcW w:w="0" w:type="dxa"/>
            <w:vAlign w:val="bottom"/>
          </w:tcPr>
          <w:p w14:paraId="4770B726"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5CFC7D0B" w14:textId="77777777" w:rsidTr="00965030">
        <w:trPr>
          <w:trHeight w:val="204"/>
        </w:trPr>
        <w:tc>
          <w:tcPr>
            <w:tcW w:w="4080" w:type="dxa"/>
            <w:tcBorders>
              <w:right w:val="single" w:sz="8" w:space="0" w:color="auto"/>
            </w:tcBorders>
            <w:vAlign w:val="bottom"/>
          </w:tcPr>
          <w:p w14:paraId="07D7085C" w14:textId="77777777" w:rsidR="002D196C" w:rsidRPr="002D196C" w:rsidRDefault="002D196C" w:rsidP="00965030">
            <w:pPr>
              <w:spacing w:before="0" w:after="0"/>
              <w:rPr>
                <w:rFonts w:ascii="Times New Roman" w:hAnsi="Times New Roman"/>
                <w:sz w:val="17"/>
                <w:szCs w:val="17"/>
                <w:lang w:val="fr-FR" w:eastAsia="fr-FR"/>
              </w:rPr>
            </w:pPr>
          </w:p>
        </w:tc>
        <w:tc>
          <w:tcPr>
            <w:tcW w:w="1720" w:type="dxa"/>
            <w:gridSpan w:val="4"/>
            <w:vAlign w:val="bottom"/>
          </w:tcPr>
          <w:p w14:paraId="5F686DE3" w14:textId="77777777" w:rsidR="002D196C" w:rsidRPr="002D196C" w:rsidRDefault="002D196C" w:rsidP="00965030">
            <w:pPr>
              <w:spacing w:before="0" w:after="0" w:line="204" w:lineRule="exact"/>
              <w:rPr>
                <w:rFonts w:ascii="Times New Roman" w:hAnsi="Times New Roman"/>
                <w:lang w:val="fr-FR" w:eastAsia="fr-FR"/>
              </w:rPr>
            </w:pPr>
            <w:r w:rsidRPr="002D196C">
              <w:rPr>
                <w:rFonts w:eastAsia="Verdana" w:cs="Verdana"/>
                <w:w w:val="99"/>
                <w:sz w:val="17"/>
                <w:szCs w:val="17"/>
                <w:lang w:val="fr-FR" w:eastAsia="fr-FR"/>
              </w:rPr>
              <w:t>washing of the hair.</w:t>
            </w:r>
          </w:p>
        </w:tc>
        <w:tc>
          <w:tcPr>
            <w:tcW w:w="340" w:type="dxa"/>
            <w:vAlign w:val="bottom"/>
          </w:tcPr>
          <w:p w14:paraId="444C8DB5" w14:textId="77777777" w:rsidR="002D196C" w:rsidRPr="002D196C" w:rsidRDefault="002D196C" w:rsidP="00965030">
            <w:pPr>
              <w:spacing w:before="0" w:after="0"/>
              <w:rPr>
                <w:rFonts w:ascii="Times New Roman" w:hAnsi="Times New Roman"/>
                <w:sz w:val="17"/>
                <w:szCs w:val="17"/>
                <w:lang w:val="fr-FR" w:eastAsia="fr-FR"/>
              </w:rPr>
            </w:pPr>
          </w:p>
        </w:tc>
        <w:tc>
          <w:tcPr>
            <w:tcW w:w="1400" w:type="dxa"/>
            <w:vAlign w:val="bottom"/>
          </w:tcPr>
          <w:p w14:paraId="47E53657" w14:textId="77777777" w:rsidR="002D196C" w:rsidRPr="002D196C" w:rsidRDefault="002D196C" w:rsidP="00965030">
            <w:pPr>
              <w:spacing w:before="0" w:after="0"/>
              <w:rPr>
                <w:rFonts w:ascii="Times New Roman" w:hAnsi="Times New Roman"/>
                <w:sz w:val="17"/>
                <w:szCs w:val="17"/>
                <w:lang w:val="fr-FR" w:eastAsia="fr-FR"/>
              </w:rPr>
            </w:pPr>
          </w:p>
        </w:tc>
        <w:tc>
          <w:tcPr>
            <w:tcW w:w="480" w:type="dxa"/>
            <w:vAlign w:val="bottom"/>
          </w:tcPr>
          <w:p w14:paraId="3F627C6D" w14:textId="77777777" w:rsidR="002D196C" w:rsidRPr="002D196C" w:rsidRDefault="002D196C" w:rsidP="00965030">
            <w:pPr>
              <w:spacing w:before="0" w:after="0"/>
              <w:rPr>
                <w:rFonts w:ascii="Times New Roman" w:hAnsi="Times New Roman"/>
                <w:sz w:val="17"/>
                <w:szCs w:val="17"/>
                <w:lang w:val="fr-FR" w:eastAsia="fr-FR"/>
              </w:rPr>
            </w:pPr>
          </w:p>
        </w:tc>
        <w:tc>
          <w:tcPr>
            <w:tcW w:w="1560" w:type="dxa"/>
            <w:vAlign w:val="bottom"/>
          </w:tcPr>
          <w:p w14:paraId="404C2CC0" w14:textId="77777777" w:rsidR="002D196C" w:rsidRPr="002D196C" w:rsidRDefault="002D196C" w:rsidP="00965030">
            <w:pPr>
              <w:spacing w:before="0" w:after="0"/>
              <w:rPr>
                <w:rFonts w:ascii="Times New Roman" w:hAnsi="Times New Roman"/>
                <w:sz w:val="17"/>
                <w:szCs w:val="17"/>
                <w:lang w:val="fr-FR" w:eastAsia="fr-FR"/>
              </w:rPr>
            </w:pPr>
          </w:p>
        </w:tc>
        <w:tc>
          <w:tcPr>
            <w:tcW w:w="3900" w:type="dxa"/>
            <w:vAlign w:val="bottom"/>
          </w:tcPr>
          <w:p w14:paraId="455DA2B5" w14:textId="77777777" w:rsidR="002D196C" w:rsidRPr="002D196C" w:rsidRDefault="002D196C" w:rsidP="00965030">
            <w:pPr>
              <w:spacing w:before="0" w:after="0"/>
              <w:rPr>
                <w:rFonts w:ascii="Times New Roman" w:hAnsi="Times New Roman"/>
                <w:sz w:val="17"/>
                <w:szCs w:val="17"/>
                <w:lang w:val="fr-FR" w:eastAsia="fr-FR"/>
              </w:rPr>
            </w:pPr>
          </w:p>
        </w:tc>
        <w:tc>
          <w:tcPr>
            <w:tcW w:w="0" w:type="dxa"/>
            <w:vAlign w:val="bottom"/>
          </w:tcPr>
          <w:p w14:paraId="3437D53E"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4C0AF70F" w14:textId="77777777" w:rsidTr="00965030">
        <w:trPr>
          <w:trHeight w:val="36"/>
        </w:trPr>
        <w:tc>
          <w:tcPr>
            <w:tcW w:w="4080" w:type="dxa"/>
            <w:tcBorders>
              <w:bottom w:val="single" w:sz="8" w:space="0" w:color="auto"/>
              <w:right w:val="single" w:sz="8" w:space="0" w:color="auto"/>
            </w:tcBorders>
            <w:vAlign w:val="bottom"/>
          </w:tcPr>
          <w:p w14:paraId="5D5600D0" w14:textId="77777777" w:rsidR="002D196C" w:rsidRPr="002D196C" w:rsidRDefault="002D196C" w:rsidP="00965030">
            <w:pPr>
              <w:spacing w:before="0" w:after="0"/>
              <w:rPr>
                <w:rFonts w:ascii="Times New Roman" w:hAnsi="Times New Roman"/>
                <w:sz w:val="3"/>
                <w:szCs w:val="3"/>
                <w:lang w:val="fr-FR" w:eastAsia="fr-FR"/>
              </w:rPr>
            </w:pPr>
          </w:p>
        </w:tc>
        <w:tc>
          <w:tcPr>
            <w:tcW w:w="720" w:type="dxa"/>
            <w:tcBorders>
              <w:bottom w:val="single" w:sz="8" w:space="0" w:color="auto"/>
            </w:tcBorders>
            <w:vAlign w:val="bottom"/>
          </w:tcPr>
          <w:p w14:paraId="476A0208" w14:textId="77777777" w:rsidR="002D196C" w:rsidRPr="002D196C" w:rsidRDefault="002D196C" w:rsidP="00965030">
            <w:pPr>
              <w:spacing w:before="0" w:after="0"/>
              <w:rPr>
                <w:rFonts w:ascii="Times New Roman" w:hAnsi="Times New Roman"/>
                <w:sz w:val="3"/>
                <w:szCs w:val="3"/>
                <w:lang w:val="fr-FR" w:eastAsia="fr-FR"/>
              </w:rPr>
            </w:pPr>
          </w:p>
        </w:tc>
        <w:tc>
          <w:tcPr>
            <w:tcW w:w="1000" w:type="dxa"/>
            <w:gridSpan w:val="3"/>
            <w:tcBorders>
              <w:bottom w:val="single" w:sz="8" w:space="0" w:color="auto"/>
            </w:tcBorders>
            <w:vAlign w:val="bottom"/>
          </w:tcPr>
          <w:p w14:paraId="48DCB7E9" w14:textId="77777777" w:rsidR="002D196C" w:rsidRPr="002D196C" w:rsidRDefault="002D196C" w:rsidP="00965030">
            <w:pPr>
              <w:spacing w:before="0" w:after="0"/>
              <w:rPr>
                <w:rFonts w:ascii="Times New Roman" w:hAnsi="Times New Roman"/>
                <w:sz w:val="3"/>
                <w:szCs w:val="3"/>
                <w:lang w:val="fr-FR" w:eastAsia="fr-FR"/>
              </w:rPr>
            </w:pPr>
          </w:p>
        </w:tc>
        <w:tc>
          <w:tcPr>
            <w:tcW w:w="340" w:type="dxa"/>
            <w:tcBorders>
              <w:bottom w:val="single" w:sz="8" w:space="0" w:color="auto"/>
            </w:tcBorders>
            <w:vAlign w:val="bottom"/>
          </w:tcPr>
          <w:p w14:paraId="568838AA" w14:textId="77777777" w:rsidR="002D196C" w:rsidRPr="002D196C" w:rsidRDefault="002D196C" w:rsidP="00965030">
            <w:pPr>
              <w:spacing w:before="0" w:after="0"/>
              <w:rPr>
                <w:rFonts w:ascii="Times New Roman" w:hAnsi="Times New Roman"/>
                <w:sz w:val="3"/>
                <w:szCs w:val="3"/>
                <w:lang w:val="fr-FR" w:eastAsia="fr-FR"/>
              </w:rPr>
            </w:pPr>
          </w:p>
        </w:tc>
        <w:tc>
          <w:tcPr>
            <w:tcW w:w="1400" w:type="dxa"/>
            <w:tcBorders>
              <w:bottom w:val="single" w:sz="8" w:space="0" w:color="auto"/>
            </w:tcBorders>
            <w:vAlign w:val="bottom"/>
          </w:tcPr>
          <w:p w14:paraId="42F2B57D" w14:textId="77777777" w:rsidR="002D196C" w:rsidRPr="002D196C" w:rsidRDefault="002D196C" w:rsidP="00965030">
            <w:pPr>
              <w:spacing w:before="0" w:after="0"/>
              <w:rPr>
                <w:rFonts w:ascii="Times New Roman" w:hAnsi="Times New Roman"/>
                <w:sz w:val="3"/>
                <w:szCs w:val="3"/>
                <w:lang w:val="fr-FR" w:eastAsia="fr-FR"/>
              </w:rPr>
            </w:pPr>
          </w:p>
        </w:tc>
        <w:tc>
          <w:tcPr>
            <w:tcW w:w="480" w:type="dxa"/>
            <w:tcBorders>
              <w:bottom w:val="single" w:sz="8" w:space="0" w:color="auto"/>
            </w:tcBorders>
            <w:vAlign w:val="bottom"/>
          </w:tcPr>
          <w:p w14:paraId="74294D2E" w14:textId="77777777" w:rsidR="002D196C" w:rsidRPr="002D196C" w:rsidRDefault="002D196C" w:rsidP="00965030">
            <w:pPr>
              <w:spacing w:before="0" w:after="0"/>
              <w:rPr>
                <w:rFonts w:ascii="Times New Roman" w:hAnsi="Times New Roman"/>
                <w:sz w:val="3"/>
                <w:szCs w:val="3"/>
                <w:lang w:val="fr-FR" w:eastAsia="fr-FR"/>
              </w:rPr>
            </w:pPr>
          </w:p>
        </w:tc>
        <w:tc>
          <w:tcPr>
            <w:tcW w:w="1560" w:type="dxa"/>
            <w:tcBorders>
              <w:bottom w:val="single" w:sz="8" w:space="0" w:color="auto"/>
            </w:tcBorders>
            <w:vAlign w:val="bottom"/>
          </w:tcPr>
          <w:p w14:paraId="6F82D691" w14:textId="77777777" w:rsidR="002D196C" w:rsidRPr="002D196C" w:rsidRDefault="002D196C" w:rsidP="00965030">
            <w:pPr>
              <w:spacing w:before="0" w:after="0"/>
              <w:rPr>
                <w:rFonts w:ascii="Times New Roman" w:hAnsi="Times New Roman"/>
                <w:sz w:val="3"/>
                <w:szCs w:val="3"/>
                <w:lang w:val="fr-FR" w:eastAsia="fr-FR"/>
              </w:rPr>
            </w:pPr>
          </w:p>
        </w:tc>
        <w:tc>
          <w:tcPr>
            <w:tcW w:w="3900" w:type="dxa"/>
            <w:tcBorders>
              <w:bottom w:val="single" w:sz="8" w:space="0" w:color="auto"/>
            </w:tcBorders>
            <w:vAlign w:val="bottom"/>
          </w:tcPr>
          <w:p w14:paraId="096E786F" w14:textId="77777777" w:rsidR="002D196C" w:rsidRPr="002D196C" w:rsidRDefault="002D196C" w:rsidP="00965030">
            <w:pPr>
              <w:spacing w:before="0" w:after="0"/>
              <w:rPr>
                <w:rFonts w:ascii="Times New Roman" w:hAnsi="Times New Roman"/>
                <w:sz w:val="3"/>
                <w:szCs w:val="3"/>
                <w:lang w:val="fr-FR" w:eastAsia="fr-FR"/>
              </w:rPr>
            </w:pPr>
          </w:p>
        </w:tc>
        <w:tc>
          <w:tcPr>
            <w:tcW w:w="0" w:type="dxa"/>
            <w:vAlign w:val="bottom"/>
          </w:tcPr>
          <w:p w14:paraId="6E0EE242"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5450DFF9" w14:textId="77777777" w:rsidTr="00965030">
        <w:trPr>
          <w:trHeight w:val="228"/>
        </w:trPr>
        <w:tc>
          <w:tcPr>
            <w:tcW w:w="4080" w:type="dxa"/>
            <w:tcBorders>
              <w:right w:val="single" w:sz="8" w:space="0" w:color="auto"/>
            </w:tcBorders>
            <w:vAlign w:val="bottom"/>
          </w:tcPr>
          <w:p w14:paraId="5BB4E8AB" w14:textId="77777777" w:rsidR="002D196C" w:rsidRPr="002D196C" w:rsidRDefault="002D196C" w:rsidP="00965030">
            <w:pPr>
              <w:spacing w:before="0" w:after="0"/>
              <w:ind w:left="40"/>
              <w:rPr>
                <w:rFonts w:ascii="Times New Roman" w:hAnsi="Times New Roman"/>
                <w:lang w:val="fr-FR" w:eastAsia="fr-FR"/>
              </w:rPr>
            </w:pPr>
            <w:r w:rsidRPr="002D196C">
              <w:rPr>
                <w:rFonts w:eastAsia="Verdana" w:cs="Verdana"/>
                <w:b/>
                <w:bCs/>
                <w:sz w:val="17"/>
                <w:szCs w:val="17"/>
                <w:lang w:val="fr-FR" w:eastAsia="fr-FR"/>
              </w:rPr>
              <w:t>Category(ies) of users</w:t>
            </w:r>
          </w:p>
        </w:tc>
        <w:tc>
          <w:tcPr>
            <w:tcW w:w="1720" w:type="dxa"/>
            <w:gridSpan w:val="4"/>
            <w:vAlign w:val="bottom"/>
          </w:tcPr>
          <w:p w14:paraId="464EC961" w14:textId="77777777" w:rsidR="002D196C" w:rsidRPr="002D196C" w:rsidRDefault="002D196C" w:rsidP="00965030">
            <w:pPr>
              <w:spacing w:before="0" w:after="0"/>
              <w:rPr>
                <w:rFonts w:ascii="Times New Roman" w:hAnsi="Times New Roman"/>
                <w:lang w:val="fr-FR" w:eastAsia="fr-FR"/>
              </w:rPr>
            </w:pPr>
            <w:r w:rsidRPr="002D196C">
              <w:rPr>
                <w:rFonts w:eastAsia="Verdana" w:cs="Verdana"/>
                <w:sz w:val="17"/>
                <w:szCs w:val="17"/>
                <w:lang w:val="fr-FR" w:eastAsia="fr-FR"/>
              </w:rPr>
              <w:t>General public</w:t>
            </w:r>
          </w:p>
        </w:tc>
        <w:tc>
          <w:tcPr>
            <w:tcW w:w="340" w:type="dxa"/>
            <w:vAlign w:val="bottom"/>
          </w:tcPr>
          <w:p w14:paraId="57905F3C" w14:textId="77777777" w:rsidR="002D196C" w:rsidRPr="002D196C" w:rsidRDefault="002D196C" w:rsidP="00965030">
            <w:pPr>
              <w:spacing w:before="0" w:after="0"/>
              <w:rPr>
                <w:rFonts w:ascii="Times New Roman" w:hAnsi="Times New Roman"/>
                <w:sz w:val="19"/>
                <w:szCs w:val="19"/>
                <w:lang w:val="fr-FR" w:eastAsia="fr-FR"/>
              </w:rPr>
            </w:pPr>
          </w:p>
        </w:tc>
        <w:tc>
          <w:tcPr>
            <w:tcW w:w="1400" w:type="dxa"/>
            <w:vAlign w:val="bottom"/>
          </w:tcPr>
          <w:p w14:paraId="58A26832" w14:textId="77777777" w:rsidR="002D196C" w:rsidRPr="002D196C" w:rsidRDefault="002D196C" w:rsidP="00965030">
            <w:pPr>
              <w:spacing w:before="0" w:after="0"/>
              <w:rPr>
                <w:rFonts w:ascii="Times New Roman" w:hAnsi="Times New Roman"/>
                <w:sz w:val="19"/>
                <w:szCs w:val="19"/>
                <w:lang w:val="fr-FR" w:eastAsia="fr-FR"/>
              </w:rPr>
            </w:pPr>
          </w:p>
        </w:tc>
        <w:tc>
          <w:tcPr>
            <w:tcW w:w="480" w:type="dxa"/>
            <w:vAlign w:val="bottom"/>
          </w:tcPr>
          <w:p w14:paraId="6984397A" w14:textId="77777777" w:rsidR="002D196C" w:rsidRPr="002D196C" w:rsidRDefault="002D196C" w:rsidP="00965030">
            <w:pPr>
              <w:spacing w:before="0" w:after="0"/>
              <w:rPr>
                <w:rFonts w:ascii="Times New Roman" w:hAnsi="Times New Roman"/>
                <w:sz w:val="19"/>
                <w:szCs w:val="19"/>
                <w:lang w:val="fr-FR" w:eastAsia="fr-FR"/>
              </w:rPr>
            </w:pPr>
          </w:p>
        </w:tc>
        <w:tc>
          <w:tcPr>
            <w:tcW w:w="1560" w:type="dxa"/>
            <w:vAlign w:val="bottom"/>
          </w:tcPr>
          <w:p w14:paraId="109DEC11" w14:textId="77777777" w:rsidR="002D196C" w:rsidRPr="002D196C" w:rsidRDefault="002D196C" w:rsidP="00965030">
            <w:pPr>
              <w:spacing w:before="0" w:after="0"/>
              <w:rPr>
                <w:rFonts w:ascii="Times New Roman" w:hAnsi="Times New Roman"/>
                <w:sz w:val="19"/>
                <w:szCs w:val="19"/>
                <w:lang w:val="fr-FR" w:eastAsia="fr-FR"/>
              </w:rPr>
            </w:pPr>
          </w:p>
        </w:tc>
        <w:tc>
          <w:tcPr>
            <w:tcW w:w="3900" w:type="dxa"/>
            <w:vAlign w:val="bottom"/>
          </w:tcPr>
          <w:p w14:paraId="15760D7D" w14:textId="77777777" w:rsidR="002D196C" w:rsidRPr="002D196C" w:rsidRDefault="002D196C" w:rsidP="00965030">
            <w:pPr>
              <w:spacing w:before="0" w:after="0"/>
              <w:rPr>
                <w:rFonts w:ascii="Times New Roman" w:hAnsi="Times New Roman"/>
                <w:sz w:val="19"/>
                <w:szCs w:val="19"/>
                <w:lang w:val="fr-FR" w:eastAsia="fr-FR"/>
              </w:rPr>
            </w:pPr>
          </w:p>
        </w:tc>
        <w:tc>
          <w:tcPr>
            <w:tcW w:w="0" w:type="dxa"/>
            <w:vAlign w:val="bottom"/>
          </w:tcPr>
          <w:p w14:paraId="6CF0288F"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1A322F3C" w14:textId="77777777" w:rsidTr="00965030">
        <w:trPr>
          <w:trHeight w:val="36"/>
        </w:trPr>
        <w:tc>
          <w:tcPr>
            <w:tcW w:w="4080" w:type="dxa"/>
            <w:tcBorders>
              <w:bottom w:val="single" w:sz="8" w:space="0" w:color="auto"/>
              <w:right w:val="single" w:sz="8" w:space="0" w:color="auto"/>
            </w:tcBorders>
            <w:vAlign w:val="bottom"/>
          </w:tcPr>
          <w:p w14:paraId="3DAD2E32" w14:textId="77777777" w:rsidR="002D196C" w:rsidRPr="002D196C" w:rsidRDefault="002D196C" w:rsidP="00965030">
            <w:pPr>
              <w:spacing w:before="0" w:after="0"/>
              <w:rPr>
                <w:rFonts w:ascii="Times New Roman" w:hAnsi="Times New Roman"/>
                <w:sz w:val="3"/>
                <w:szCs w:val="3"/>
                <w:lang w:val="fr-FR" w:eastAsia="fr-FR"/>
              </w:rPr>
            </w:pPr>
          </w:p>
        </w:tc>
        <w:tc>
          <w:tcPr>
            <w:tcW w:w="720" w:type="dxa"/>
            <w:tcBorders>
              <w:bottom w:val="single" w:sz="8" w:space="0" w:color="auto"/>
            </w:tcBorders>
            <w:vAlign w:val="bottom"/>
          </w:tcPr>
          <w:p w14:paraId="37D20CBB" w14:textId="77777777" w:rsidR="002D196C" w:rsidRPr="002D196C" w:rsidRDefault="002D196C" w:rsidP="00965030">
            <w:pPr>
              <w:spacing w:before="0" w:after="0"/>
              <w:rPr>
                <w:rFonts w:ascii="Times New Roman" w:hAnsi="Times New Roman"/>
                <w:sz w:val="3"/>
                <w:szCs w:val="3"/>
                <w:lang w:val="fr-FR" w:eastAsia="fr-FR"/>
              </w:rPr>
            </w:pPr>
          </w:p>
        </w:tc>
        <w:tc>
          <w:tcPr>
            <w:tcW w:w="60" w:type="dxa"/>
            <w:tcBorders>
              <w:bottom w:val="single" w:sz="8" w:space="0" w:color="auto"/>
            </w:tcBorders>
            <w:vAlign w:val="bottom"/>
          </w:tcPr>
          <w:p w14:paraId="103F303D" w14:textId="77777777" w:rsidR="002D196C" w:rsidRPr="002D196C" w:rsidRDefault="002D196C" w:rsidP="00965030">
            <w:pPr>
              <w:spacing w:before="0" w:after="0"/>
              <w:rPr>
                <w:rFonts w:ascii="Times New Roman" w:hAnsi="Times New Roman"/>
                <w:sz w:val="3"/>
                <w:szCs w:val="3"/>
                <w:lang w:val="fr-FR" w:eastAsia="fr-FR"/>
              </w:rPr>
            </w:pPr>
          </w:p>
        </w:tc>
        <w:tc>
          <w:tcPr>
            <w:tcW w:w="940" w:type="dxa"/>
            <w:gridSpan w:val="2"/>
            <w:tcBorders>
              <w:bottom w:val="single" w:sz="8" w:space="0" w:color="auto"/>
            </w:tcBorders>
            <w:vAlign w:val="bottom"/>
          </w:tcPr>
          <w:p w14:paraId="632A4084" w14:textId="77777777" w:rsidR="002D196C" w:rsidRPr="002D196C" w:rsidRDefault="002D196C" w:rsidP="00965030">
            <w:pPr>
              <w:spacing w:before="0" w:after="0"/>
              <w:rPr>
                <w:rFonts w:ascii="Times New Roman" w:hAnsi="Times New Roman"/>
                <w:sz w:val="3"/>
                <w:szCs w:val="3"/>
                <w:lang w:val="fr-FR" w:eastAsia="fr-FR"/>
              </w:rPr>
            </w:pPr>
          </w:p>
        </w:tc>
        <w:tc>
          <w:tcPr>
            <w:tcW w:w="340" w:type="dxa"/>
            <w:tcBorders>
              <w:bottom w:val="single" w:sz="8" w:space="0" w:color="auto"/>
            </w:tcBorders>
            <w:vAlign w:val="bottom"/>
          </w:tcPr>
          <w:p w14:paraId="66F9F62C" w14:textId="77777777" w:rsidR="002D196C" w:rsidRPr="002D196C" w:rsidRDefault="002D196C" w:rsidP="00965030">
            <w:pPr>
              <w:spacing w:before="0" w:after="0"/>
              <w:rPr>
                <w:rFonts w:ascii="Times New Roman" w:hAnsi="Times New Roman"/>
                <w:sz w:val="3"/>
                <w:szCs w:val="3"/>
                <w:lang w:val="fr-FR" w:eastAsia="fr-FR"/>
              </w:rPr>
            </w:pPr>
          </w:p>
        </w:tc>
        <w:tc>
          <w:tcPr>
            <w:tcW w:w="1400" w:type="dxa"/>
            <w:tcBorders>
              <w:bottom w:val="single" w:sz="8" w:space="0" w:color="auto"/>
            </w:tcBorders>
            <w:vAlign w:val="bottom"/>
          </w:tcPr>
          <w:p w14:paraId="1E65D73E" w14:textId="77777777" w:rsidR="002D196C" w:rsidRPr="002D196C" w:rsidRDefault="002D196C" w:rsidP="00965030">
            <w:pPr>
              <w:spacing w:before="0" w:after="0"/>
              <w:rPr>
                <w:rFonts w:ascii="Times New Roman" w:hAnsi="Times New Roman"/>
                <w:sz w:val="3"/>
                <w:szCs w:val="3"/>
                <w:lang w:val="fr-FR" w:eastAsia="fr-FR"/>
              </w:rPr>
            </w:pPr>
          </w:p>
        </w:tc>
        <w:tc>
          <w:tcPr>
            <w:tcW w:w="480" w:type="dxa"/>
            <w:tcBorders>
              <w:bottom w:val="single" w:sz="8" w:space="0" w:color="auto"/>
            </w:tcBorders>
            <w:vAlign w:val="bottom"/>
          </w:tcPr>
          <w:p w14:paraId="43FF3685" w14:textId="77777777" w:rsidR="002D196C" w:rsidRPr="002D196C" w:rsidRDefault="002D196C" w:rsidP="00965030">
            <w:pPr>
              <w:spacing w:before="0" w:after="0"/>
              <w:rPr>
                <w:rFonts w:ascii="Times New Roman" w:hAnsi="Times New Roman"/>
                <w:sz w:val="3"/>
                <w:szCs w:val="3"/>
                <w:lang w:val="fr-FR" w:eastAsia="fr-FR"/>
              </w:rPr>
            </w:pPr>
          </w:p>
        </w:tc>
        <w:tc>
          <w:tcPr>
            <w:tcW w:w="1560" w:type="dxa"/>
            <w:tcBorders>
              <w:bottom w:val="single" w:sz="8" w:space="0" w:color="auto"/>
            </w:tcBorders>
            <w:vAlign w:val="bottom"/>
          </w:tcPr>
          <w:p w14:paraId="30DB73B8" w14:textId="77777777" w:rsidR="002D196C" w:rsidRPr="002D196C" w:rsidRDefault="002D196C" w:rsidP="00965030">
            <w:pPr>
              <w:spacing w:before="0" w:after="0"/>
              <w:rPr>
                <w:rFonts w:ascii="Times New Roman" w:hAnsi="Times New Roman"/>
                <w:sz w:val="3"/>
                <w:szCs w:val="3"/>
                <w:lang w:val="fr-FR" w:eastAsia="fr-FR"/>
              </w:rPr>
            </w:pPr>
          </w:p>
        </w:tc>
        <w:tc>
          <w:tcPr>
            <w:tcW w:w="3900" w:type="dxa"/>
            <w:tcBorders>
              <w:bottom w:val="single" w:sz="8" w:space="0" w:color="auto"/>
            </w:tcBorders>
            <w:vAlign w:val="bottom"/>
          </w:tcPr>
          <w:p w14:paraId="6DF326CB" w14:textId="77777777" w:rsidR="002D196C" w:rsidRPr="002D196C" w:rsidRDefault="002D196C" w:rsidP="00965030">
            <w:pPr>
              <w:spacing w:before="0" w:after="0"/>
              <w:rPr>
                <w:rFonts w:ascii="Times New Roman" w:hAnsi="Times New Roman"/>
                <w:sz w:val="3"/>
                <w:szCs w:val="3"/>
                <w:lang w:val="fr-FR" w:eastAsia="fr-FR"/>
              </w:rPr>
            </w:pPr>
          </w:p>
        </w:tc>
        <w:tc>
          <w:tcPr>
            <w:tcW w:w="0" w:type="dxa"/>
            <w:vAlign w:val="bottom"/>
          </w:tcPr>
          <w:p w14:paraId="2424287E"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54B46122" w14:textId="77777777" w:rsidTr="00965030">
        <w:trPr>
          <w:trHeight w:val="20"/>
        </w:trPr>
        <w:tc>
          <w:tcPr>
            <w:tcW w:w="4080" w:type="dxa"/>
            <w:vMerge w:val="restart"/>
            <w:tcBorders>
              <w:right w:val="single" w:sz="8" w:space="0" w:color="auto"/>
            </w:tcBorders>
            <w:vAlign w:val="bottom"/>
          </w:tcPr>
          <w:p w14:paraId="124AD2E3" w14:textId="77777777" w:rsidR="002D196C" w:rsidRPr="002D196C" w:rsidRDefault="002D196C" w:rsidP="00965030">
            <w:pPr>
              <w:spacing w:before="0" w:after="0"/>
              <w:ind w:left="40"/>
              <w:rPr>
                <w:rFonts w:ascii="Times New Roman" w:hAnsi="Times New Roman"/>
                <w:lang w:val="en-US" w:eastAsia="fr-FR"/>
              </w:rPr>
            </w:pPr>
            <w:r w:rsidRPr="002D196C">
              <w:rPr>
                <w:rFonts w:eastAsia="Verdana" w:cs="Verdana"/>
                <w:b/>
                <w:bCs/>
                <w:sz w:val="17"/>
                <w:szCs w:val="17"/>
                <w:lang w:val="en-US" w:eastAsia="fr-FR"/>
              </w:rPr>
              <w:t>Pack sizes and packaging material</w:t>
            </w:r>
          </w:p>
        </w:tc>
        <w:tc>
          <w:tcPr>
            <w:tcW w:w="720" w:type="dxa"/>
            <w:tcBorders>
              <w:bottom w:val="single" w:sz="8" w:space="0" w:color="auto"/>
            </w:tcBorders>
            <w:vAlign w:val="bottom"/>
          </w:tcPr>
          <w:p w14:paraId="5B8909E2" w14:textId="77777777" w:rsidR="002D196C" w:rsidRPr="002D196C" w:rsidRDefault="002D196C" w:rsidP="00965030">
            <w:pPr>
              <w:spacing w:before="0" w:after="0" w:line="20" w:lineRule="exact"/>
              <w:rPr>
                <w:rFonts w:ascii="Times New Roman" w:hAnsi="Times New Roman"/>
                <w:sz w:val="1"/>
                <w:szCs w:val="1"/>
                <w:lang w:val="en-US" w:eastAsia="fr-FR"/>
              </w:rPr>
            </w:pPr>
          </w:p>
        </w:tc>
        <w:tc>
          <w:tcPr>
            <w:tcW w:w="60" w:type="dxa"/>
            <w:tcBorders>
              <w:bottom w:val="single" w:sz="8" w:space="0" w:color="auto"/>
            </w:tcBorders>
            <w:vAlign w:val="bottom"/>
          </w:tcPr>
          <w:p w14:paraId="334CFE84" w14:textId="77777777" w:rsidR="002D196C" w:rsidRPr="002D196C" w:rsidRDefault="002D196C" w:rsidP="00965030">
            <w:pPr>
              <w:spacing w:before="0" w:after="0" w:line="20" w:lineRule="exact"/>
              <w:rPr>
                <w:rFonts w:ascii="Times New Roman" w:hAnsi="Times New Roman"/>
                <w:sz w:val="1"/>
                <w:szCs w:val="1"/>
                <w:lang w:val="en-US" w:eastAsia="fr-FR"/>
              </w:rPr>
            </w:pPr>
          </w:p>
        </w:tc>
        <w:tc>
          <w:tcPr>
            <w:tcW w:w="900" w:type="dxa"/>
            <w:tcBorders>
              <w:bottom w:val="single" w:sz="8" w:space="0" w:color="auto"/>
            </w:tcBorders>
            <w:vAlign w:val="bottom"/>
          </w:tcPr>
          <w:p w14:paraId="2BCCD882" w14:textId="77777777" w:rsidR="002D196C" w:rsidRPr="002D196C" w:rsidRDefault="002D196C" w:rsidP="00965030">
            <w:pPr>
              <w:spacing w:before="0" w:after="0" w:line="20" w:lineRule="exact"/>
              <w:rPr>
                <w:rFonts w:ascii="Times New Roman" w:hAnsi="Times New Roman"/>
                <w:sz w:val="1"/>
                <w:szCs w:val="1"/>
                <w:lang w:val="en-US" w:eastAsia="fr-FR"/>
              </w:rPr>
            </w:pPr>
          </w:p>
        </w:tc>
        <w:tc>
          <w:tcPr>
            <w:tcW w:w="40" w:type="dxa"/>
            <w:tcBorders>
              <w:bottom w:val="single" w:sz="8" w:space="0" w:color="auto"/>
            </w:tcBorders>
            <w:vAlign w:val="bottom"/>
          </w:tcPr>
          <w:p w14:paraId="6C9AC2CC" w14:textId="77777777" w:rsidR="002D196C" w:rsidRPr="002D196C" w:rsidRDefault="002D196C" w:rsidP="00965030">
            <w:pPr>
              <w:spacing w:before="0" w:after="0" w:line="20" w:lineRule="exact"/>
              <w:rPr>
                <w:rFonts w:ascii="Times New Roman" w:hAnsi="Times New Roman"/>
                <w:sz w:val="1"/>
                <w:szCs w:val="1"/>
                <w:lang w:val="en-US" w:eastAsia="fr-FR"/>
              </w:rPr>
            </w:pPr>
          </w:p>
        </w:tc>
        <w:tc>
          <w:tcPr>
            <w:tcW w:w="340" w:type="dxa"/>
            <w:tcBorders>
              <w:bottom w:val="single" w:sz="8" w:space="0" w:color="auto"/>
            </w:tcBorders>
            <w:vAlign w:val="bottom"/>
          </w:tcPr>
          <w:p w14:paraId="08300892" w14:textId="77777777" w:rsidR="002D196C" w:rsidRPr="002D196C" w:rsidRDefault="002D196C" w:rsidP="00965030">
            <w:pPr>
              <w:spacing w:before="0" w:after="0" w:line="20" w:lineRule="exact"/>
              <w:rPr>
                <w:rFonts w:ascii="Times New Roman" w:hAnsi="Times New Roman"/>
                <w:sz w:val="1"/>
                <w:szCs w:val="1"/>
                <w:lang w:val="en-US" w:eastAsia="fr-FR"/>
              </w:rPr>
            </w:pPr>
          </w:p>
        </w:tc>
        <w:tc>
          <w:tcPr>
            <w:tcW w:w="1400" w:type="dxa"/>
            <w:tcBorders>
              <w:bottom w:val="single" w:sz="8" w:space="0" w:color="auto"/>
            </w:tcBorders>
            <w:vAlign w:val="bottom"/>
          </w:tcPr>
          <w:p w14:paraId="35C57147" w14:textId="77777777" w:rsidR="002D196C" w:rsidRPr="002D196C" w:rsidRDefault="002D196C" w:rsidP="00965030">
            <w:pPr>
              <w:spacing w:before="0" w:after="0" w:line="20" w:lineRule="exact"/>
              <w:rPr>
                <w:rFonts w:ascii="Times New Roman" w:hAnsi="Times New Roman"/>
                <w:sz w:val="1"/>
                <w:szCs w:val="1"/>
                <w:lang w:val="en-US" w:eastAsia="fr-FR"/>
              </w:rPr>
            </w:pPr>
          </w:p>
        </w:tc>
        <w:tc>
          <w:tcPr>
            <w:tcW w:w="480" w:type="dxa"/>
            <w:tcBorders>
              <w:bottom w:val="single" w:sz="8" w:space="0" w:color="auto"/>
            </w:tcBorders>
            <w:vAlign w:val="bottom"/>
          </w:tcPr>
          <w:p w14:paraId="72977905" w14:textId="77777777" w:rsidR="002D196C" w:rsidRPr="002D196C" w:rsidRDefault="002D196C" w:rsidP="00965030">
            <w:pPr>
              <w:spacing w:before="0" w:after="0" w:line="20" w:lineRule="exact"/>
              <w:rPr>
                <w:rFonts w:ascii="Times New Roman" w:hAnsi="Times New Roman"/>
                <w:sz w:val="1"/>
                <w:szCs w:val="1"/>
                <w:lang w:val="en-US" w:eastAsia="fr-FR"/>
              </w:rPr>
            </w:pPr>
          </w:p>
        </w:tc>
        <w:tc>
          <w:tcPr>
            <w:tcW w:w="1560" w:type="dxa"/>
            <w:vAlign w:val="bottom"/>
          </w:tcPr>
          <w:p w14:paraId="380AB8EA" w14:textId="77777777" w:rsidR="002D196C" w:rsidRPr="002D196C" w:rsidRDefault="002D196C" w:rsidP="00965030">
            <w:pPr>
              <w:spacing w:before="0" w:after="0" w:line="20" w:lineRule="exact"/>
              <w:rPr>
                <w:rFonts w:ascii="Times New Roman" w:hAnsi="Times New Roman"/>
                <w:sz w:val="1"/>
                <w:szCs w:val="1"/>
                <w:lang w:val="en-US" w:eastAsia="fr-FR"/>
              </w:rPr>
            </w:pPr>
          </w:p>
        </w:tc>
        <w:tc>
          <w:tcPr>
            <w:tcW w:w="3900" w:type="dxa"/>
            <w:vAlign w:val="bottom"/>
          </w:tcPr>
          <w:p w14:paraId="0E64CBD7" w14:textId="77777777" w:rsidR="002D196C" w:rsidRPr="002D196C" w:rsidRDefault="002D196C" w:rsidP="00965030">
            <w:pPr>
              <w:spacing w:before="0" w:after="0" w:line="20" w:lineRule="exact"/>
              <w:rPr>
                <w:rFonts w:ascii="Times New Roman" w:hAnsi="Times New Roman"/>
                <w:sz w:val="1"/>
                <w:szCs w:val="1"/>
                <w:lang w:val="en-US" w:eastAsia="fr-FR"/>
              </w:rPr>
            </w:pPr>
          </w:p>
        </w:tc>
        <w:tc>
          <w:tcPr>
            <w:tcW w:w="0" w:type="dxa"/>
            <w:vAlign w:val="bottom"/>
          </w:tcPr>
          <w:p w14:paraId="4BECC0FC" w14:textId="77777777" w:rsidR="002D196C" w:rsidRPr="002D196C" w:rsidRDefault="002D196C" w:rsidP="00965030">
            <w:pPr>
              <w:spacing w:before="0" w:after="0" w:line="20" w:lineRule="exact"/>
              <w:rPr>
                <w:rFonts w:ascii="Times New Roman" w:hAnsi="Times New Roman"/>
                <w:sz w:val="1"/>
                <w:szCs w:val="1"/>
                <w:lang w:val="en-US" w:eastAsia="fr-FR"/>
              </w:rPr>
            </w:pPr>
          </w:p>
        </w:tc>
      </w:tr>
      <w:tr w:rsidR="002D196C" w:rsidRPr="002D196C" w14:paraId="68AE0518" w14:textId="77777777" w:rsidTr="00965030">
        <w:trPr>
          <w:trHeight w:val="192"/>
        </w:trPr>
        <w:tc>
          <w:tcPr>
            <w:tcW w:w="4080" w:type="dxa"/>
            <w:vMerge/>
            <w:tcBorders>
              <w:right w:val="single" w:sz="8" w:space="0" w:color="auto"/>
            </w:tcBorders>
            <w:vAlign w:val="bottom"/>
          </w:tcPr>
          <w:p w14:paraId="26FF2A2C" w14:textId="77777777" w:rsidR="002D196C" w:rsidRPr="002D196C" w:rsidRDefault="002D196C" w:rsidP="00965030">
            <w:pPr>
              <w:spacing w:before="0" w:after="0"/>
              <w:rPr>
                <w:rFonts w:ascii="Times New Roman" w:hAnsi="Times New Roman"/>
                <w:sz w:val="16"/>
                <w:szCs w:val="16"/>
                <w:lang w:val="en-US" w:eastAsia="fr-FR"/>
              </w:rPr>
            </w:pPr>
          </w:p>
        </w:tc>
        <w:tc>
          <w:tcPr>
            <w:tcW w:w="720" w:type="dxa"/>
            <w:tcBorders>
              <w:bottom w:val="single" w:sz="8" w:space="0" w:color="auto"/>
              <w:right w:val="single" w:sz="8" w:space="0" w:color="auto"/>
            </w:tcBorders>
            <w:vAlign w:val="bottom"/>
          </w:tcPr>
          <w:p w14:paraId="2601A524" w14:textId="77777777" w:rsidR="002D196C" w:rsidRPr="002D196C" w:rsidRDefault="002D196C" w:rsidP="00965030">
            <w:pPr>
              <w:spacing w:before="0" w:after="0" w:line="192" w:lineRule="exact"/>
              <w:ind w:left="100"/>
              <w:rPr>
                <w:rFonts w:ascii="Times New Roman" w:hAnsi="Times New Roman"/>
                <w:lang w:val="fr-FR" w:eastAsia="fr-FR"/>
              </w:rPr>
            </w:pPr>
            <w:r w:rsidRPr="002D196C">
              <w:rPr>
                <w:rFonts w:eastAsia="Verdana" w:cs="Verdana"/>
                <w:b/>
                <w:bCs/>
                <w:sz w:val="17"/>
                <w:szCs w:val="17"/>
                <w:lang w:val="fr-FR" w:eastAsia="fr-FR"/>
              </w:rPr>
              <w:t>Type</w:t>
            </w:r>
          </w:p>
        </w:tc>
        <w:tc>
          <w:tcPr>
            <w:tcW w:w="60" w:type="dxa"/>
            <w:tcBorders>
              <w:bottom w:val="single" w:sz="8" w:space="0" w:color="auto"/>
            </w:tcBorders>
            <w:vAlign w:val="bottom"/>
          </w:tcPr>
          <w:p w14:paraId="282910AD" w14:textId="77777777" w:rsidR="002D196C" w:rsidRPr="002D196C" w:rsidRDefault="002D196C" w:rsidP="00965030">
            <w:pPr>
              <w:spacing w:before="0" w:after="0"/>
              <w:rPr>
                <w:rFonts w:ascii="Times New Roman" w:hAnsi="Times New Roman"/>
                <w:sz w:val="16"/>
                <w:szCs w:val="16"/>
                <w:lang w:val="fr-FR" w:eastAsia="fr-FR"/>
              </w:rPr>
            </w:pPr>
          </w:p>
        </w:tc>
        <w:tc>
          <w:tcPr>
            <w:tcW w:w="940" w:type="dxa"/>
            <w:gridSpan w:val="2"/>
            <w:tcBorders>
              <w:bottom w:val="single" w:sz="8" w:space="0" w:color="auto"/>
            </w:tcBorders>
            <w:vAlign w:val="bottom"/>
          </w:tcPr>
          <w:p w14:paraId="4A7171F9" w14:textId="77777777" w:rsidR="002D196C" w:rsidRPr="002D196C" w:rsidRDefault="002D196C" w:rsidP="00965030">
            <w:pPr>
              <w:spacing w:before="0" w:after="0" w:line="192" w:lineRule="exact"/>
              <w:ind w:left="20"/>
              <w:rPr>
                <w:rFonts w:ascii="Times New Roman" w:hAnsi="Times New Roman"/>
                <w:lang w:val="fr-FR" w:eastAsia="fr-FR"/>
              </w:rPr>
            </w:pPr>
            <w:r w:rsidRPr="002D196C">
              <w:rPr>
                <w:rFonts w:eastAsia="Verdana" w:cs="Verdana"/>
                <w:b/>
                <w:bCs/>
                <w:sz w:val="17"/>
                <w:szCs w:val="17"/>
                <w:lang w:val="fr-FR" w:eastAsia="fr-FR"/>
              </w:rPr>
              <w:t>Material</w:t>
            </w:r>
          </w:p>
        </w:tc>
        <w:tc>
          <w:tcPr>
            <w:tcW w:w="340" w:type="dxa"/>
            <w:tcBorders>
              <w:bottom w:val="single" w:sz="8" w:space="0" w:color="auto"/>
              <w:right w:val="single" w:sz="8" w:space="0" w:color="auto"/>
            </w:tcBorders>
            <w:vAlign w:val="bottom"/>
          </w:tcPr>
          <w:p w14:paraId="7D2E2EFA" w14:textId="77777777" w:rsidR="002D196C" w:rsidRPr="002D196C" w:rsidRDefault="002D196C" w:rsidP="00965030">
            <w:pPr>
              <w:spacing w:before="0" w:after="0"/>
              <w:rPr>
                <w:rFonts w:ascii="Times New Roman" w:hAnsi="Times New Roman"/>
                <w:sz w:val="16"/>
                <w:szCs w:val="16"/>
                <w:lang w:val="fr-FR" w:eastAsia="fr-FR"/>
              </w:rPr>
            </w:pPr>
          </w:p>
        </w:tc>
        <w:tc>
          <w:tcPr>
            <w:tcW w:w="1400" w:type="dxa"/>
            <w:tcBorders>
              <w:bottom w:val="single" w:sz="8" w:space="0" w:color="auto"/>
            </w:tcBorders>
            <w:vAlign w:val="bottom"/>
          </w:tcPr>
          <w:p w14:paraId="6FCD1EA2" w14:textId="77777777" w:rsidR="002D196C" w:rsidRPr="002D196C" w:rsidRDefault="002D196C" w:rsidP="00965030">
            <w:pPr>
              <w:spacing w:before="0" w:after="0" w:line="192" w:lineRule="exact"/>
              <w:ind w:left="100"/>
              <w:rPr>
                <w:rFonts w:ascii="Times New Roman" w:hAnsi="Times New Roman"/>
                <w:lang w:val="fr-FR" w:eastAsia="fr-FR"/>
              </w:rPr>
            </w:pPr>
            <w:r w:rsidRPr="002D196C">
              <w:rPr>
                <w:rFonts w:eastAsia="Verdana" w:cs="Verdana"/>
                <w:b/>
                <w:bCs/>
                <w:sz w:val="17"/>
                <w:szCs w:val="17"/>
                <w:lang w:val="fr-FR" w:eastAsia="fr-FR"/>
              </w:rPr>
              <w:t>Size</w:t>
            </w:r>
          </w:p>
        </w:tc>
        <w:tc>
          <w:tcPr>
            <w:tcW w:w="480" w:type="dxa"/>
            <w:tcBorders>
              <w:bottom w:val="single" w:sz="8" w:space="0" w:color="auto"/>
              <w:right w:val="single" w:sz="8" w:space="0" w:color="auto"/>
            </w:tcBorders>
            <w:vAlign w:val="bottom"/>
          </w:tcPr>
          <w:p w14:paraId="2B1D29C2" w14:textId="77777777" w:rsidR="002D196C" w:rsidRPr="002D196C" w:rsidRDefault="002D196C" w:rsidP="00965030">
            <w:pPr>
              <w:spacing w:before="0" w:after="0"/>
              <w:rPr>
                <w:rFonts w:ascii="Times New Roman" w:hAnsi="Times New Roman"/>
                <w:sz w:val="16"/>
                <w:szCs w:val="16"/>
                <w:lang w:val="fr-FR" w:eastAsia="fr-FR"/>
              </w:rPr>
            </w:pPr>
          </w:p>
        </w:tc>
        <w:tc>
          <w:tcPr>
            <w:tcW w:w="1560" w:type="dxa"/>
            <w:vAlign w:val="bottom"/>
          </w:tcPr>
          <w:p w14:paraId="18D7C987" w14:textId="77777777" w:rsidR="002D196C" w:rsidRPr="002D196C" w:rsidRDefault="002D196C" w:rsidP="00965030">
            <w:pPr>
              <w:spacing w:before="0" w:after="0"/>
              <w:rPr>
                <w:rFonts w:ascii="Times New Roman" w:hAnsi="Times New Roman"/>
                <w:sz w:val="16"/>
                <w:szCs w:val="16"/>
                <w:lang w:val="fr-FR" w:eastAsia="fr-FR"/>
              </w:rPr>
            </w:pPr>
          </w:p>
        </w:tc>
        <w:tc>
          <w:tcPr>
            <w:tcW w:w="3900" w:type="dxa"/>
            <w:vAlign w:val="bottom"/>
          </w:tcPr>
          <w:p w14:paraId="295AEF8D" w14:textId="77777777" w:rsidR="002D196C" w:rsidRPr="002D196C" w:rsidRDefault="002D196C" w:rsidP="00965030">
            <w:pPr>
              <w:spacing w:before="0" w:after="0"/>
              <w:rPr>
                <w:rFonts w:ascii="Times New Roman" w:hAnsi="Times New Roman"/>
                <w:sz w:val="16"/>
                <w:szCs w:val="16"/>
                <w:lang w:val="fr-FR" w:eastAsia="fr-FR"/>
              </w:rPr>
            </w:pPr>
          </w:p>
        </w:tc>
        <w:tc>
          <w:tcPr>
            <w:tcW w:w="0" w:type="dxa"/>
            <w:vAlign w:val="bottom"/>
          </w:tcPr>
          <w:p w14:paraId="20A4ADD8"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453B83F3" w14:textId="77777777" w:rsidTr="00965030">
        <w:trPr>
          <w:trHeight w:val="194"/>
        </w:trPr>
        <w:tc>
          <w:tcPr>
            <w:tcW w:w="4080" w:type="dxa"/>
            <w:tcBorders>
              <w:right w:val="single" w:sz="8" w:space="0" w:color="auto"/>
            </w:tcBorders>
            <w:vAlign w:val="bottom"/>
          </w:tcPr>
          <w:p w14:paraId="77064A73" w14:textId="77777777" w:rsidR="002D196C" w:rsidRPr="002D196C" w:rsidRDefault="002D196C" w:rsidP="00965030">
            <w:pPr>
              <w:spacing w:before="0" w:after="0"/>
              <w:rPr>
                <w:rFonts w:ascii="Times New Roman" w:hAnsi="Times New Roman"/>
                <w:sz w:val="16"/>
                <w:szCs w:val="16"/>
                <w:lang w:val="fr-FR" w:eastAsia="fr-FR"/>
              </w:rPr>
            </w:pPr>
          </w:p>
        </w:tc>
        <w:tc>
          <w:tcPr>
            <w:tcW w:w="720" w:type="dxa"/>
            <w:tcBorders>
              <w:bottom w:val="single" w:sz="8" w:space="0" w:color="auto"/>
              <w:right w:val="single" w:sz="8" w:space="0" w:color="auto"/>
            </w:tcBorders>
            <w:vAlign w:val="bottom"/>
          </w:tcPr>
          <w:p w14:paraId="47630AB9" w14:textId="77777777" w:rsidR="002D196C" w:rsidRPr="002D196C" w:rsidRDefault="002D196C" w:rsidP="00965030">
            <w:pPr>
              <w:spacing w:before="0" w:after="0" w:line="193" w:lineRule="exact"/>
              <w:ind w:left="100"/>
              <w:rPr>
                <w:rFonts w:ascii="Times New Roman" w:hAnsi="Times New Roman"/>
                <w:lang w:val="fr-FR" w:eastAsia="fr-FR"/>
              </w:rPr>
            </w:pPr>
            <w:r w:rsidRPr="002D196C">
              <w:rPr>
                <w:rFonts w:eastAsia="Verdana" w:cs="Verdana"/>
                <w:sz w:val="17"/>
                <w:szCs w:val="17"/>
                <w:lang w:val="fr-FR" w:eastAsia="fr-FR"/>
              </w:rPr>
              <w:t>Bottle</w:t>
            </w:r>
          </w:p>
        </w:tc>
        <w:tc>
          <w:tcPr>
            <w:tcW w:w="60" w:type="dxa"/>
            <w:tcBorders>
              <w:bottom w:val="single" w:sz="8" w:space="0" w:color="auto"/>
            </w:tcBorders>
            <w:vAlign w:val="bottom"/>
          </w:tcPr>
          <w:p w14:paraId="3D9F393E" w14:textId="77777777" w:rsidR="002D196C" w:rsidRPr="002D196C" w:rsidRDefault="002D196C" w:rsidP="00965030">
            <w:pPr>
              <w:spacing w:before="0" w:after="0"/>
              <w:rPr>
                <w:rFonts w:ascii="Times New Roman" w:hAnsi="Times New Roman"/>
                <w:sz w:val="16"/>
                <w:szCs w:val="16"/>
                <w:lang w:val="fr-FR" w:eastAsia="fr-FR"/>
              </w:rPr>
            </w:pPr>
          </w:p>
        </w:tc>
        <w:tc>
          <w:tcPr>
            <w:tcW w:w="1280" w:type="dxa"/>
            <w:gridSpan w:val="3"/>
            <w:tcBorders>
              <w:bottom w:val="single" w:sz="8" w:space="0" w:color="auto"/>
              <w:right w:val="single" w:sz="8" w:space="0" w:color="auto"/>
            </w:tcBorders>
            <w:vAlign w:val="bottom"/>
          </w:tcPr>
          <w:p w14:paraId="2063D7CB" w14:textId="77777777" w:rsidR="002D196C" w:rsidRPr="002D196C" w:rsidRDefault="002D196C" w:rsidP="00965030">
            <w:pPr>
              <w:spacing w:before="0" w:after="0" w:line="193" w:lineRule="exact"/>
              <w:ind w:left="20"/>
              <w:rPr>
                <w:rFonts w:ascii="Times New Roman" w:hAnsi="Times New Roman"/>
                <w:lang w:val="fr-FR" w:eastAsia="fr-FR"/>
              </w:rPr>
            </w:pPr>
            <w:r w:rsidRPr="002D196C">
              <w:rPr>
                <w:rFonts w:eastAsia="Verdana" w:cs="Verdana"/>
                <w:sz w:val="17"/>
                <w:szCs w:val="17"/>
                <w:lang w:val="fr-FR" w:eastAsia="fr-FR"/>
              </w:rPr>
              <w:t>Plastic: HDPE</w:t>
            </w:r>
          </w:p>
        </w:tc>
        <w:tc>
          <w:tcPr>
            <w:tcW w:w="1880" w:type="dxa"/>
            <w:gridSpan w:val="2"/>
            <w:tcBorders>
              <w:bottom w:val="single" w:sz="8" w:space="0" w:color="auto"/>
              <w:right w:val="single" w:sz="8" w:space="0" w:color="auto"/>
            </w:tcBorders>
            <w:vAlign w:val="bottom"/>
          </w:tcPr>
          <w:p w14:paraId="315A392D" w14:textId="77777777" w:rsidR="002D196C" w:rsidRPr="002D196C" w:rsidRDefault="002D196C" w:rsidP="00965030">
            <w:pPr>
              <w:spacing w:before="0" w:after="0" w:line="193" w:lineRule="exact"/>
              <w:ind w:left="100"/>
              <w:rPr>
                <w:rFonts w:ascii="Times New Roman" w:hAnsi="Times New Roman"/>
                <w:lang w:val="fr-FR" w:eastAsia="fr-FR"/>
              </w:rPr>
            </w:pPr>
            <w:r w:rsidRPr="002D196C">
              <w:rPr>
                <w:rFonts w:eastAsia="Verdana" w:cs="Verdana"/>
                <w:sz w:val="17"/>
                <w:szCs w:val="17"/>
                <w:lang w:val="fr-FR" w:eastAsia="fr-FR"/>
              </w:rPr>
              <w:t>&gt;25.0 - &lt;250.0 mL</w:t>
            </w:r>
          </w:p>
        </w:tc>
        <w:tc>
          <w:tcPr>
            <w:tcW w:w="5460" w:type="dxa"/>
            <w:gridSpan w:val="2"/>
            <w:vAlign w:val="bottom"/>
          </w:tcPr>
          <w:p w14:paraId="6D503030" w14:textId="77777777" w:rsidR="002D196C" w:rsidRPr="002D196C" w:rsidRDefault="002D196C" w:rsidP="00965030">
            <w:pPr>
              <w:spacing w:before="0" w:after="0"/>
              <w:rPr>
                <w:rFonts w:ascii="Times New Roman" w:hAnsi="Times New Roman"/>
                <w:sz w:val="16"/>
                <w:szCs w:val="16"/>
                <w:lang w:val="fr-FR" w:eastAsia="fr-FR"/>
              </w:rPr>
            </w:pPr>
          </w:p>
        </w:tc>
        <w:tc>
          <w:tcPr>
            <w:tcW w:w="0" w:type="dxa"/>
            <w:vAlign w:val="bottom"/>
          </w:tcPr>
          <w:p w14:paraId="38558E29" w14:textId="77777777" w:rsidR="002D196C" w:rsidRPr="002D196C" w:rsidRDefault="002D196C" w:rsidP="00965030">
            <w:pPr>
              <w:spacing w:before="0" w:after="0"/>
              <w:rPr>
                <w:rFonts w:ascii="Times New Roman" w:hAnsi="Times New Roman"/>
                <w:sz w:val="1"/>
                <w:szCs w:val="1"/>
                <w:lang w:val="fr-FR" w:eastAsia="fr-FR"/>
              </w:rPr>
            </w:pPr>
          </w:p>
        </w:tc>
      </w:tr>
      <w:tr w:rsidR="002D196C" w:rsidRPr="002D196C" w14:paraId="6793ED86" w14:textId="77777777" w:rsidTr="00965030">
        <w:trPr>
          <w:trHeight w:val="403"/>
        </w:trPr>
        <w:tc>
          <w:tcPr>
            <w:tcW w:w="4080" w:type="dxa"/>
            <w:tcBorders>
              <w:right w:val="single" w:sz="8" w:space="0" w:color="auto"/>
            </w:tcBorders>
            <w:vAlign w:val="bottom"/>
          </w:tcPr>
          <w:p w14:paraId="1741DEF1" w14:textId="77777777" w:rsidR="002D196C" w:rsidRPr="002D196C" w:rsidRDefault="002D196C" w:rsidP="00965030">
            <w:pPr>
              <w:spacing w:before="0" w:after="0"/>
              <w:rPr>
                <w:rFonts w:ascii="Times New Roman" w:hAnsi="Times New Roman"/>
                <w:sz w:val="24"/>
                <w:szCs w:val="24"/>
                <w:lang w:val="fr-FR" w:eastAsia="fr-FR"/>
              </w:rPr>
            </w:pPr>
          </w:p>
        </w:tc>
        <w:tc>
          <w:tcPr>
            <w:tcW w:w="9400" w:type="dxa"/>
            <w:gridSpan w:val="9"/>
            <w:vAlign w:val="bottom"/>
          </w:tcPr>
          <w:p w14:paraId="551278F9" w14:textId="77777777" w:rsidR="002D196C" w:rsidRPr="002D196C" w:rsidRDefault="002D196C" w:rsidP="00965030">
            <w:pPr>
              <w:spacing w:before="0" w:after="0"/>
              <w:rPr>
                <w:rFonts w:ascii="Times New Roman" w:hAnsi="Times New Roman"/>
                <w:lang w:val="en-US" w:eastAsia="fr-FR"/>
              </w:rPr>
            </w:pPr>
            <w:r w:rsidRPr="002D196C">
              <w:rPr>
                <w:rFonts w:eastAsia="Verdana" w:cs="Verdana"/>
                <w:sz w:val="17"/>
                <w:szCs w:val="17"/>
                <w:lang w:val="en-US" w:eastAsia="fr-FR"/>
              </w:rPr>
              <w:t>Note: Due to a technical issue with SPC-editor and IUCLID, the applicant wasn’t able to include the ≥ and ≤</w:t>
            </w:r>
          </w:p>
        </w:tc>
        <w:tc>
          <w:tcPr>
            <w:tcW w:w="0" w:type="dxa"/>
            <w:vAlign w:val="bottom"/>
          </w:tcPr>
          <w:p w14:paraId="40B7D5DA" w14:textId="77777777" w:rsidR="002D196C" w:rsidRPr="002D196C" w:rsidRDefault="002D196C" w:rsidP="00965030">
            <w:pPr>
              <w:spacing w:before="0" w:after="0"/>
              <w:rPr>
                <w:rFonts w:ascii="Times New Roman" w:hAnsi="Times New Roman"/>
                <w:sz w:val="1"/>
                <w:szCs w:val="1"/>
                <w:lang w:val="en-US" w:eastAsia="fr-FR"/>
              </w:rPr>
            </w:pPr>
          </w:p>
        </w:tc>
      </w:tr>
      <w:tr w:rsidR="002D196C" w:rsidRPr="002D196C" w14:paraId="6614DBF1" w14:textId="77777777" w:rsidTr="00965030">
        <w:trPr>
          <w:trHeight w:val="206"/>
        </w:trPr>
        <w:tc>
          <w:tcPr>
            <w:tcW w:w="4080" w:type="dxa"/>
            <w:tcBorders>
              <w:right w:val="single" w:sz="8" w:space="0" w:color="auto"/>
            </w:tcBorders>
            <w:vAlign w:val="bottom"/>
          </w:tcPr>
          <w:p w14:paraId="310C2C03" w14:textId="77777777" w:rsidR="002D196C" w:rsidRPr="002D196C" w:rsidRDefault="002D196C" w:rsidP="00965030">
            <w:pPr>
              <w:spacing w:before="0" w:after="0"/>
              <w:rPr>
                <w:rFonts w:ascii="Times New Roman" w:hAnsi="Times New Roman"/>
                <w:sz w:val="17"/>
                <w:szCs w:val="17"/>
                <w:lang w:val="en-US" w:eastAsia="fr-FR"/>
              </w:rPr>
            </w:pPr>
          </w:p>
        </w:tc>
        <w:tc>
          <w:tcPr>
            <w:tcW w:w="9400" w:type="dxa"/>
            <w:gridSpan w:val="9"/>
            <w:vAlign w:val="bottom"/>
          </w:tcPr>
          <w:p w14:paraId="3B012C02" w14:textId="77777777" w:rsidR="002D196C" w:rsidRPr="002D196C" w:rsidRDefault="002D196C" w:rsidP="00965030">
            <w:pPr>
              <w:spacing w:before="0" w:after="0"/>
              <w:rPr>
                <w:rFonts w:ascii="Times New Roman" w:hAnsi="Times New Roman"/>
                <w:lang w:val="en-US" w:eastAsia="fr-FR"/>
              </w:rPr>
            </w:pPr>
            <w:r w:rsidRPr="002D196C">
              <w:rPr>
                <w:rFonts w:eastAsia="Verdana" w:cs="Verdana"/>
                <w:sz w:val="17"/>
                <w:szCs w:val="17"/>
                <w:lang w:val="en-US" w:eastAsia="fr-FR"/>
              </w:rPr>
              <w:t>symbols. The applied packaging should have been ‘larger or equal to 25 mL to smaller or equal to 250 mL’.</w:t>
            </w:r>
          </w:p>
        </w:tc>
        <w:tc>
          <w:tcPr>
            <w:tcW w:w="0" w:type="dxa"/>
            <w:vAlign w:val="bottom"/>
          </w:tcPr>
          <w:p w14:paraId="3702160E" w14:textId="77777777" w:rsidR="002D196C" w:rsidRPr="002D196C" w:rsidRDefault="002D196C" w:rsidP="00965030">
            <w:pPr>
              <w:spacing w:before="0" w:after="0"/>
              <w:rPr>
                <w:rFonts w:ascii="Times New Roman" w:hAnsi="Times New Roman"/>
                <w:sz w:val="1"/>
                <w:szCs w:val="1"/>
                <w:lang w:val="en-US" w:eastAsia="fr-FR"/>
              </w:rPr>
            </w:pPr>
          </w:p>
        </w:tc>
      </w:tr>
      <w:tr w:rsidR="002D196C" w:rsidRPr="002D196C" w14:paraId="7FE4E428" w14:textId="77777777" w:rsidTr="00965030">
        <w:trPr>
          <w:trHeight w:val="36"/>
        </w:trPr>
        <w:tc>
          <w:tcPr>
            <w:tcW w:w="4080" w:type="dxa"/>
            <w:tcBorders>
              <w:bottom w:val="single" w:sz="8" w:space="0" w:color="auto"/>
              <w:right w:val="single" w:sz="8" w:space="0" w:color="auto"/>
            </w:tcBorders>
            <w:vAlign w:val="bottom"/>
          </w:tcPr>
          <w:p w14:paraId="4946A9FB" w14:textId="77777777" w:rsidR="002D196C" w:rsidRPr="002D196C" w:rsidRDefault="002D196C" w:rsidP="00965030">
            <w:pPr>
              <w:spacing w:before="0" w:after="0"/>
              <w:rPr>
                <w:rFonts w:ascii="Times New Roman" w:hAnsi="Times New Roman"/>
                <w:sz w:val="3"/>
                <w:szCs w:val="3"/>
                <w:lang w:val="en-US" w:eastAsia="fr-FR"/>
              </w:rPr>
            </w:pPr>
          </w:p>
        </w:tc>
        <w:tc>
          <w:tcPr>
            <w:tcW w:w="720" w:type="dxa"/>
            <w:tcBorders>
              <w:bottom w:val="single" w:sz="8" w:space="0" w:color="auto"/>
            </w:tcBorders>
            <w:vAlign w:val="bottom"/>
          </w:tcPr>
          <w:p w14:paraId="36F3DE92" w14:textId="77777777" w:rsidR="002D196C" w:rsidRPr="002D196C" w:rsidRDefault="002D196C" w:rsidP="00965030">
            <w:pPr>
              <w:spacing w:before="0" w:after="0"/>
              <w:rPr>
                <w:rFonts w:ascii="Times New Roman" w:hAnsi="Times New Roman"/>
                <w:sz w:val="3"/>
                <w:szCs w:val="3"/>
                <w:lang w:val="en-US" w:eastAsia="fr-FR"/>
              </w:rPr>
            </w:pPr>
          </w:p>
        </w:tc>
        <w:tc>
          <w:tcPr>
            <w:tcW w:w="60" w:type="dxa"/>
            <w:tcBorders>
              <w:bottom w:val="single" w:sz="8" w:space="0" w:color="auto"/>
            </w:tcBorders>
            <w:vAlign w:val="bottom"/>
          </w:tcPr>
          <w:p w14:paraId="44AE5F74" w14:textId="77777777" w:rsidR="002D196C" w:rsidRPr="002D196C" w:rsidRDefault="002D196C" w:rsidP="00965030">
            <w:pPr>
              <w:spacing w:before="0" w:after="0"/>
              <w:rPr>
                <w:rFonts w:ascii="Times New Roman" w:hAnsi="Times New Roman"/>
                <w:sz w:val="3"/>
                <w:szCs w:val="3"/>
                <w:lang w:val="en-US" w:eastAsia="fr-FR"/>
              </w:rPr>
            </w:pPr>
          </w:p>
        </w:tc>
        <w:tc>
          <w:tcPr>
            <w:tcW w:w="900" w:type="dxa"/>
            <w:tcBorders>
              <w:bottom w:val="single" w:sz="8" w:space="0" w:color="auto"/>
            </w:tcBorders>
            <w:vAlign w:val="bottom"/>
          </w:tcPr>
          <w:p w14:paraId="7090CBDD" w14:textId="77777777" w:rsidR="002D196C" w:rsidRPr="002D196C" w:rsidRDefault="002D196C" w:rsidP="00965030">
            <w:pPr>
              <w:spacing w:before="0" w:after="0"/>
              <w:rPr>
                <w:rFonts w:ascii="Times New Roman" w:hAnsi="Times New Roman"/>
                <w:sz w:val="3"/>
                <w:szCs w:val="3"/>
                <w:lang w:val="en-US" w:eastAsia="fr-FR"/>
              </w:rPr>
            </w:pPr>
          </w:p>
        </w:tc>
        <w:tc>
          <w:tcPr>
            <w:tcW w:w="40" w:type="dxa"/>
            <w:tcBorders>
              <w:bottom w:val="single" w:sz="8" w:space="0" w:color="auto"/>
            </w:tcBorders>
            <w:vAlign w:val="bottom"/>
          </w:tcPr>
          <w:p w14:paraId="7DE9DE9C" w14:textId="77777777" w:rsidR="002D196C" w:rsidRPr="002D196C" w:rsidRDefault="002D196C" w:rsidP="00965030">
            <w:pPr>
              <w:spacing w:before="0" w:after="0"/>
              <w:rPr>
                <w:rFonts w:ascii="Times New Roman" w:hAnsi="Times New Roman"/>
                <w:sz w:val="3"/>
                <w:szCs w:val="3"/>
                <w:lang w:val="en-US" w:eastAsia="fr-FR"/>
              </w:rPr>
            </w:pPr>
          </w:p>
        </w:tc>
        <w:tc>
          <w:tcPr>
            <w:tcW w:w="340" w:type="dxa"/>
            <w:tcBorders>
              <w:bottom w:val="single" w:sz="8" w:space="0" w:color="auto"/>
            </w:tcBorders>
            <w:vAlign w:val="bottom"/>
          </w:tcPr>
          <w:p w14:paraId="100DF44C" w14:textId="77777777" w:rsidR="002D196C" w:rsidRPr="002D196C" w:rsidRDefault="002D196C" w:rsidP="00965030">
            <w:pPr>
              <w:spacing w:before="0" w:after="0"/>
              <w:rPr>
                <w:rFonts w:ascii="Times New Roman" w:hAnsi="Times New Roman"/>
                <w:sz w:val="3"/>
                <w:szCs w:val="3"/>
                <w:lang w:val="en-US" w:eastAsia="fr-FR"/>
              </w:rPr>
            </w:pPr>
          </w:p>
        </w:tc>
        <w:tc>
          <w:tcPr>
            <w:tcW w:w="1400" w:type="dxa"/>
            <w:tcBorders>
              <w:bottom w:val="single" w:sz="8" w:space="0" w:color="auto"/>
            </w:tcBorders>
            <w:vAlign w:val="bottom"/>
          </w:tcPr>
          <w:p w14:paraId="0261B133" w14:textId="77777777" w:rsidR="002D196C" w:rsidRPr="002D196C" w:rsidRDefault="002D196C" w:rsidP="00965030">
            <w:pPr>
              <w:spacing w:before="0" w:after="0"/>
              <w:rPr>
                <w:rFonts w:ascii="Times New Roman" w:hAnsi="Times New Roman"/>
                <w:sz w:val="3"/>
                <w:szCs w:val="3"/>
                <w:lang w:val="en-US" w:eastAsia="fr-FR"/>
              </w:rPr>
            </w:pPr>
          </w:p>
        </w:tc>
        <w:tc>
          <w:tcPr>
            <w:tcW w:w="480" w:type="dxa"/>
            <w:tcBorders>
              <w:bottom w:val="single" w:sz="8" w:space="0" w:color="auto"/>
            </w:tcBorders>
            <w:vAlign w:val="bottom"/>
          </w:tcPr>
          <w:p w14:paraId="78D79DBB" w14:textId="77777777" w:rsidR="002D196C" w:rsidRPr="002D196C" w:rsidRDefault="002D196C" w:rsidP="00965030">
            <w:pPr>
              <w:spacing w:before="0" w:after="0"/>
              <w:rPr>
                <w:rFonts w:ascii="Times New Roman" w:hAnsi="Times New Roman"/>
                <w:sz w:val="3"/>
                <w:szCs w:val="3"/>
                <w:lang w:val="en-US" w:eastAsia="fr-FR"/>
              </w:rPr>
            </w:pPr>
          </w:p>
        </w:tc>
        <w:tc>
          <w:tcPr>
            <w:tcW w:w="1560" w:type="dxa"/>
            <w:tcBorders>
              <w:bottom w:val="single" w:sz="8" w:space="0" w:color="auto"/>
            </w:tcBorders>
            <w:vAlign w:val="bottom"/>
          </w:tcPr>
          <w:p w14:paraId="02CB1596" w14:textId="77777777" w:rsidR="002D196C" w:rsidRPr="002D196C" w:rsidRDefault="002D196C" w:rsidP="00965030">
            <w:pPr>
              <w:spacing w:before="0" w:after="0"/>
              <w:rPr>
                <w:rFonts w:ascii="Times New Roman" w:hAnsi="Times New Roman"/>
                <w:sz w:val="3"/>
                <w:szCs w:val="3"/>
                <w:lang w:val="en-US" w:eastAsia="fr-FR"/>
              </w:rPr>
            </w:pPr>
          </w:p>
        </w:tc>
        <w:tc>
          <w:tcPr>
            <w:tcW w:w="3900" w:type="dxa"/>
            <w:tcBorders>
              <w:bottom w:val="single" w:sz="8" w:space="0" w:color="auto"/>
            </w:tcBorders>
            <w:vAlign w:val="bottom"/>
          </w:tcPr>
          <w:p w14:paraId="4407CF45" w14:textId="77777777" w:rsidR="002D196C" w:rsidRPr="002D196C" w:rsidRDefault="002D196C" w:rsidP="00965030">
            <w:pPr>
              <w:spacing w:before="0" w:after="0"/>
              <w:rPr>
                <w:rFonts w:ascii="Times New Roman" w:hAnsi="Times New Roman"/>
                <w:sz w:val="3"/>
                <w:szCs w:val="3"/>
                <w:lang w:val="en-US" w:eastAsia="fr-FR"/>
              </w:rPr>
            </w:pPr>
          </w:p>
        </w:tc>
        <w:tc>
          <w:tcPr>
            <w:tcW w:w="0" w:type="dxa"/>
            <w:vAlign w:val="bottom"/>
          </w:tcPr>
          <w:p w14:paraId="7AA7513F" w14:textId="77777777" w:rsidR="002D196C" w:rsidRPr="002D196C" w:rsidRDefault="002D196C" w:rsidP="00965030">
            <w:pPr>
              <w:spacing w:before="0" w:after="0"/>
              <w:rPr>
                <w:rFonts w:ascii="Times New Roman" w:hAnsi="Times New Roman"/>
                <w:sz w:val="1"/>
                <w:szCs w:val="1"/>
                <w:lang w:val="en-US" w:eastAsia="fr-FR"/>
              </w:rPr>
            </w:pPr>
          </w:p>
        </w:tc>
      </w:tr>
    </w:tbl>
    <w:p w14:paraId="47451F77" w14:textId="77777777" w:rsidR="002D196C" w:rsidRPr="002D196C" w:rsidRDefault="002D196C" w:rsidP="002D196C">
      <w:pPr>
        <w:rPr>
          <w:b/>
          <w:lang w:val="en-US"/>
        </w:rPr>
        <w:sectPr w:rsidR="002D196C" w:rsidRPr="002D196C" w:rsidSect="002D196C">
          <w:pgSz w:w="16838" w:h="11906" w:orient="landscape"/>
          <w:pgMar w:top="1247" w:right="1247" w:bottom="1247" w:left="1247" w:header="709" w:footer="709" w:gutter="0"/>
          <w:cols w:space="708"/>
          <w:docGrid w:linePitch="360"/>
        </w:sectPr>
      </w:pPr>
    </w:p>
    <w:p w14:paraId="4C8F2A48" w14:textId="77777777" w:rsidR="0053704B" w:rsidRPr="00727E86" w:rsidRDefault="0053704B" w:rsidP="00FB463E">
      <w:pPr>
        <w:pStyle w:val="Paragraphedeliste"/>
        <w:numPr>
          <w:ilvl w:val="0"/>
          <w:numId w:val="68"/>
        </w:numPr>
        <w:rPr>
          <w:rFonts w:eastAsia="Calibri"/>
          <w:b/>
          <w:lang w:eastAsia="en-US"/>
        </w:rPr>
      </w:pPr>
      <w:r w:rsidRPr="00FB463E">
        <w:rPr>
          <w:rFonts w:eastAsia="Calibri"/>
          <w:b/>
          <w:lang w:eastAsia="en-US"/>
        </w:rPr>
        <w:lastRenderedPageBreak/>
        <w:t>MAJOR CHANGE FOR SPRAY REPULSIF IR200 – 2019 (FR CA)</w:t>
      </w:r>
    </w:p>
    <w:p w14:paraId="4FC6E0C6" w14:textId="77777777" w:rsidR="0053704B" w:rsidRPr="00FB463E" w:rsidRDefault="0053704B" w:rsidP="0053704B">
      <w:pPr>
        <w:pStyle w:val="Lgende"/>
        <w:spacing w:after="120"/>
        <w:ind w:left="0" w:firstLine="0"/>
        <w:rPr>
          <w:rFonts w:ascii="Verdana" w:hAnsi="Verdana"/>
        </w:rPr>
      </w:pPr>
      <w:r w:rsidRPr="00FB463E">
        <w:rPr>
          <w:rFonts w:ascii="Verdana" w:hAnsi="Verdana"/>
        </w:rPr>
        <w:t xml:space="preserve">Table </w:t>
      </w:r>
      <w:r w:rsidRPr="00FB463E">
        <w:rPr>
          <w:rFonts w:ascii="Verdana" w:hAnsi="Verdana"/>
        </w:rPr>
        <w:fldChar w:fldCharType="begin"/>
      </w:r>
      <w:r w:rsidRPr="00FB463E">
        <w:rPr>
          <w:rFonts w:ascii="Verdana" w:hAnsi="Verdana"/>
        </w:rPr>
        <w:instrText xml:space="preserve"> SEQ Table \* ARABIC </w:instrText>
      </w:r>
      <w:r w:rsidRPr="00FB463E">
        <w:rPr>
          <w:rFonts w:ascii="Verdana" w:hAnsi="Verdana"/>
        </w:rPr>
        <w:fldChar w:fldCharType="separate"/>
      </w:r>
      <w:r w:rsidRPr="00FB463E">
        <w:rPr>
          <w:rFonts w:ascii="Verdana" w:hAnsi="Verdana"/>
          <w:noProof/>
        </w:rPr>
        <w:t>1</w:t>
      </w:r>
      <w:r w:rsidRPr="00FB463E">
        <w:rPr>
          <w:rFonts w:ascii="Verdana" w:hAnsi="Verdana"/>
        </w:rPr>
        <w:fldChar w:fldCharType="end"/>
      </w:r>
      <w:r w:rsidRPr="00FB463E">
        <w:rPr>
          <w:rFonts w:ascii="Verdana" w:hAnsi="Verdana"/>
        </w:rPr>
        <w:t>. Intended use # 1 – Spray to repel human head lice (general public)</w:t>
      </w:r>
      <w:r w:rsidRPr="00FB463E">
        <w:rPr>
          <w:rStyle w:val="Appelnotedebasdep"/>
          <w:rFonts w:ascii="Verdana" w:hAnsi="Verdana"/>
        </w:rPr>
        <w:footnoteReference w:id="6"/>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3704B" w:rsidRPr="002D196C" w14:paraId="0E6C6903" w14:textId="77777777" w:rsidTr="00A22D8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BA9EFBD" w14:textId="77777777" w:rsidR="0053704B" w:rsidRPr="00FB463E" w:rsidRDefault="0053704B" w:rsidP="00A22D8C">
            <w:pPr>
              <w:rPr>
                <w:rFonts w:cs="Arial"/>
                <w:bCs/>
                <w:lang w:val="de-DE"/>
              </w:rPr>
            </w:pPr>
            <w:r w:rsidRPr="00FB463E">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615ED709" w14:textId="77777777" w:rsidR="0053704B" w:rsidRPr="00FB463E" w:rsidRDefault="0053704B" w:rsidP="00A22D8C">
            <w:pPr>
              <w:rPr>
                <w:rFonts w:cs="Arial"/>
                <w:bCs/>
                <w:lang w:val="de-DE"/>
              </w:rPr>
            </w:pPr>
            <w:r w:rsidRPr="00FB463E">
              <w:rPr>
                <w:rFonts w:cs="Arial"/>
                <w:bCs/>
                <w:lang w:val="de-DE"/>
              </w:rPr>
              <w:t>PT19 – Repellents and attractants (Pest control)</w:t>
            </w:r>
          </w:p>
        </w:tc>
      </w:tr>
      <w:tr w:rsidR="0053704B" w:rsidRPr="002D196C" w14:paraId="0C691AF2" w14:textId="77777777" w:rsidTr="00A22D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0054B6A" w14:textId="77777777" w:rsidR="0053704B" w:rsidRPr="00FB463E" w:rsidRDefault="0053704B" w:rsidP="00A22D8C">
            <w:pPr>
              <w:rPr>
                <w:rFonts w:cs="Arial"/>
                <w:bCs/>
                <w:lang w:val="en-US"/>
              </w:rPr>
            </w:pPr>
            <w:r w:rsidRPr="00FB463E">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2B0B9C" w14:textId="77777777" w:rsidR="0053704B" w:rsidRPr="00FB463E" w:rsidRDefault="0053704B" w:rsidP="00A22D8C">
            <w:pPr>
              <w:rPr>
                <w:rFonts w:cs="Arial"/>
                <w:bCs/>
              </w:rPr>
            </w:pPr>
            <w:r w:rsidRPr="00FB463E">
              <w:rPr>
                <w:rFonts w:cs="Arial"/>
                <w:bCs/>
              </w:rPr>
              <w:t>Repellent</w:t>
            </w:r>
          </w:p>
        </w:tc>
      </w:tr>
      <w:tr w:rsidR="0053704B" w:rsidRPr="002D196C" w14:paraId="22997CBB" w14:textId="77777777" w:rsidTr="00A22D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73B5D07" w14:textId="77777777" w:rsidR="0053704B" w:rsidRPr="00FB463E" w:rsidRDefault="0053704B" w:rsidP="00A22D8C">
            <w:pPr>
              <w:rPr>
                <w:rFonts w:cs="Arial"/>
                <w:bCs/>
                <w:lang w:val="en-US"/>
              </w:rPr>
            </w:pPr>
            <w:r w:rsidRPr="00FB463E">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53704B" w:rsidRPr="00727E86" w14:paraId="1811C575" w14:textId="77777777" w:rsidTr="00A22D8C">
              <w:tc>
                <w:tcPr>
                  <w:tcW w:w="2074" w:type="dxa"/>
                  <w:shd w:val="clear" w:color="auto" w:fill="auto"/>
                </w:tcPr>
                <w:p w14:paraId="7B6CA856" w14:textId="77777777" w:rsidR="0053704B" w:rsidRPr="00FB463E" w:rsidRDefault="0053704B" w:rsidP="00A22D8C">
                  <w:pPr>
                    <w:rPr>
                      <w:rFonts w:cs="Arial"/>
                      <w:b/>
                      <w:bCs/>
                    </w:rPr>
                  </w:pPr>
                  <w:r w:rsidRPr="00FB463E">
                    <w:rPr>
                      <w:rFonts w:cs="Arial"/>
                      <w:b/>
                      <w:bCs/>
                    </w:rPr>
                    <w:t>Scientific name</w:t>
                  </w:r>
                </w:p>
              </w:tc>
              <w:tc>
                <w:tcPr>
                  <w:tcW w:w="2074" w:type="dxa"/>
                  <w:shd w:val="clear" w:color="auto" w:fill="auto"/>
                </w:tcPr>
                <w:p w14:paraId="1282E06F" w14:textId="77777777" w:rsidR="0053704B" w:rsidRPr="00FB463E" w:rsidRDefault="0053704B" w:rsidP="00A22D8C">
                  <w:pPr>
                    <w:rPr>
                      <w:rFonts w:cs="Arial"/>
                      <w:b/>
                      <w:bCs/>
                    </w:rPr>
                  </w:pPr>
                  <w:r w:rsidRPr="00FB463E">
                    <w:rPr>
                      <w:rFonts w:cs="Arial"/>
                      <w:b/>
                      <w:bCs/>
                    </w:rPr>
                    <w:t>Common name</w:t>
                  </w:r>
                </w:p>
              </w:tc>
              <w:tc>
                <w:tcPr>
                  <w:tcW w:w="2075" w:type="dxa"/>
                  <w:shd w:val="clear" w:color="auto" w:fill="auto"/>
                </w:tcPr>
                <w:p w14:paraId="41E8B919" w14:textId="77777777" w:rsidR="0053704B" w:rsidRPr="00FB463E" w:rsidRDefault="0053704B" w:rsidP="00A22D8C">
                  <w:pPr>
                    <w:rPr>
                      <w:rFonts w:cs="Arial"/>
                      <w:b/>
                      <w:bCs/>
                    </w:rPr>
                  </w:pPr>
                  <w:r w:rsidRPr="00FB463E">
                    <w:rPr>
                      <w:rFonts w:cs="Arial"/>
                      <w:b/>
                      <w:bCs/>
                    </w:rPr>
                    <w:t>Development stage</w:t>
                  </w:r>
                </w:p>
              </w:tc>
            </w:tr>
            <w:tr w:rsidR="0053704B" w:rsidRPr="00727E86" w14:paraId="57384FBF" w14:textId="77777777" w:rsidTr="00A22D8C">
              <w:tc>
                <w:tcPr>
                  <w:tcW w:w="2074" w:type="dxa"/>
                  <w:shd w:val="clear" w:color="auto" w:fill="auto"/>
                </w:tcPr>
                <w:p w14:paraId="7CD0D704" w14:textId="77777777" w:rsidR="0053704B" w:rsidRPr="00FB463E" w:rsidRDefault="0053704B" w:rsidP="00A22D8C">
                  <w:pPr>
                    <w:rPr>
                      <w:rFonts w:cs="Arial"/>
                      <w:bCs/>
                      <w:i/>
                    </w:rPr>
                  </w:pPr>
                  <w:r w:rsidRPr="00FB463E">
                    <w:rPr>
                      <w:rFonts w:cs="Arial"/>
                      <w:bCs/>
                      <w:i/>
                    </w:rPr>
                    <w:t>Pediculidae</w:t>
                  </w:r>
                </w:p>
              </w:tc>
              <w:tc>
                <w:tcPr>
                  <w:tcW w:w="2074" w:type="dxa"/>
                  <w:shd w:val="clear" w:color="auto" w:fill="auto"/>
                </w:tcPr>
                <w:p w14:paraId="72D5B986" w14:textId="77777777" w:rsidR="0053704B" w:rsidRPr="00FB463E" w:rsidRDefault="0053704B" w:rsidP="00A22D8C">
                  <w:pPr>
                    <w:rPr>
                      <w:rFonts w:cs="Arial"/>
                      <w:bCs/>
                    </w:rPr>
                  </w:pPr>
                  <w:r w:rsidRPr="00FB463E">
                    <w:rPr>
                      <w:rFonts w:cs="Arial"/>
                      <w:bCs/>
                    </w:rPr>
                    <w:t>Human head louse</w:t>
                  </w:r>
                </w:p>
              </w:tc>
              <w:tc>
                <w:tcPr>
                  <w:tcW w:w="2075" w:type="dxa"/>
                  <w:shd w:val="clear" w:color="auto" w:fill="auto"/>
                </w:tcPr>
                <w:p w14:paraId="0C3B3A4D" w14:textId="77777777" w:rsidR="0053704B" w:rsidRPr="00FB463E" w:rsidRDefault="0053704B" w:rsidP="00A22D8C">
                  <w:pPr>
                    <w:rPr>
                      <w:rFonts w:cs="Arial"/>
                      <w:bCs/>
                    </w:rPr>
                  </w:pPr>
                  <w:r w:rsidRPr="00FB463E">
                    <w:rPr>
                      <w:rFonts w:cs="Arial"/>
                      <w:bCs/>
                    </w:rPr>
                    <w:t>Adults</w:t>
                  </w:r>
                </w:p>
              </w:tc>
            </w:tr>
          </w:tbl>
          <w:p w14:paraId="26583FEF" w14:textId="77777777" w:rsidR="0053704B" w:rsidRPr="00FB463E" w:rsidRDefault="0053704B" w:rsidP="00A22D8C">
            <w:pPr>
              <w:rPr>
                <w:rFonts w:cs="Arial"/>
                <w:bCs/>
              </w:rPr>
            </w:pPr>
          </w:p>
        </w:tc>
      </w:tr>
      <w:tr w:rsidR="0053704B" w:rsidRPr="002D196C" w14:paraId="650A7119" w14:textId="77777777" w:rsidTr="00A22D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552E1A8" w14:textId="77777777" w:rsidR="0053704B" w:rsidRPr="00FB463E" w:rsidRDefault="0053704B" w:rsidP="00A22D8C">
            <w:pPr>
              <w:rPr>
                <w:rFonts w:cs="Arial"/>
                <w:bCs/>
                <w:lang w:val="de-DE"/>
              </w:rPr>
            </w:pPr>
            <w:r w:rsidRPr="00FB463E">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A7CE10" w14:textId="77777777" w:rsidR="0053704B" w:rsidRPr="00FB463E" w:rsidRDefault="0053704B" w:rsidP="00A22D8C">
            <w:pPr>
              <w:rPr>
                <w:rFonts w:cs="Arial"/>
                <w:bCs/>
              </w:rPr>
            </w:pPr>
            <w:r w:rsidRPr="00FB463E">
              <w:rPr>
                <w:rFonts w:cs="Arial"/>
                <w:bCs/>
              </w:rPr>
              <w:t>Indoors in well ventilated areas.</w:t>
            </w:r>
          </w:p>
          <w:p w14:paraId="4B99022B" w14:textId="77777777" w:rsidR="0053704B" w:rsidRPr="00FB463E" w:rsidRDefault="0053704B" w:rsidP="00A22D8C">
            <w:pPr>
              <w:rPr>
                <w:rFonts w:cs="Arial"/>
                <w:bCs/>
              </w:rPr>
            </w:pPr>
          </w:p>
          <w:p w14:paraId="47F51AF7" w14:textId="77777777" w:rsidR="0053704B" w:rsidRPr="00FB463E" w:rsidRDefault="0053704B" w:rsidP="00A22D8C">
            <w:pPr>
              <w:rPr>
                <w:rFonts w:cs="Arial"/>
                <w:bCs/>
              </w:rPr>
            </w:pPr>
            <w:r w:rsidRPr="00FB463E">
              <w:rPr>
                <w:rFonts w:cs="Arial"/>
                <w:bCs/>
              </w:rPr>
              <w:t>Ready to use repellent product to prevent reinfestation with human head lice (</w:t>
            </w:r>
            <w:r w:rsidRPr="00FB463E">
              <w:rPr>
                <w:rFonts w:cs="Arial"/>
                <w:bCs/>
                <w:i/>
              </w:rPr>
              <w:t>Pediculus humanus capitis</w:t>
            </w:r>
            <w:r w:rsidRPr="00FB463E">
              <w:rPr>
                <w:rFonts w:cs="Arial"/>
                <w:bCs/>
              </w:rPr>
              <w:t>) only after a pediculicidal treatment.</w:t>
            </w:r>
          </w:p>
          <w:p w14:paraId="21184C6D" w14:textId="77777777" w:rsidR="0053704B" w:rsidRPr="00FB463E" w:rsidRDefault="0053704B" w:rsidP="00A22D8C">
            <w:pPr>
              <w:rPr>
                <w:rFonts w:cs="Arial"/>
                <w:bCs/>
              </w:rPr>
            </w:pPr>
          </w:p>
          <w:p w14:paraId="3C38AB25" w14:textId="77777777" w:rsidR="0053704B" w:rsidRPr="00FB463E" w:rsidRDefault="0053704B" w:rsidP="00A22D8C">
            <w:pPr>
              <w:rPr>
                <w:rFonts w:cs="Arial"/>
                <w:bCs/>
              </w:rPr>
            </w:pPr>
            <w:r w:rsidRPr="00FB463E">
              <w:rPr>
                <w:rFonts w:cs="Arial"/>
                <w:bCs/>
              </w:rPr>
              <w:t>It is to be applied on hair, the nape of the neck and behind the ears.</w:t>
            </w:r>
          </w:p>
        </w:tc>
      </w:tr>
      <w:tr w:rsidR="0053704B" w:rsidRPr="002D196C" w14:paraId="21C1DD1A" w14:textId="77777777" w:rsidTr="00A22D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CA1B0EF" w14:textId="77777777" w:rsidR="0053704B" w:rsidRPr="00FB463E" w:rsidRDefault="0053704B" w:rsidP="00A22D8C">
            <w:pPr>
              <w:rPr>
                <w:rFonts w:cs="Arial"/>
                <w:bCs/>
                <w:lang w:val="de-DE"/>
              </w:rPr>
            </w:pPr>
            <w:r w:rsidRPr="00FB463E">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0DAD65" w14:textId="77777777" w:rsidR="0053704B" w:rsidRPr="00FB463E" w:rsidRDefault="0053704B" w:rsidP="00A22D8C">
            <w:pPr>
              <w:rPr>
                <w:rFonts w:cs="Arial"/>
                <w:bCs/>
                <w:lang w:val="en-US"/>
              </w:rPr>
            </w:pPr>
            <w:r w:rsidRPr="00FB463E">
              <w:rPr>
                <w:rFonts w:cs="Arial"/>
                <w:bCs/>
                <w:lang w:val="en-US"/>
              </w:rPr>
              <w:t>Spraying: The ready to use product is a pump spray which is sprayed directly onto the hair.</w:t>
            </w:r>
          </w:p>
        </w:tc>
      </w:tr>
      <w:tr w:rsidR="0053704B" w:rsidRPr="002D196C" w14:paraId="2123586A" w14:textId="77777777" w:rsidTr="00A22D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54BE705" w14:textId="77777777" w:rsidR="0053704B" w:rsidRPr="00FB463E" w:rsidRDefault="0053704B" w:rsidP="00A22D8C">
            <w:pPr>
              <w:rPr>
                <w:rFonts w:cs="Arial"/>
                <w:bCs/>
                <w:lang w:val="en-US"/>
              </w:rPr>
            </w:pPr>
            <w:r w:rsidRPr="00FB463E">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EA639C" w14:textId="77777777" w:rsidR="0053704B" w:rsidRPr="00FB463E" w:rsidRDefault="0053704B" w:rsidP="00A22D8C">
            <w:pPr>
              <w:rPr>
                <w:rFonts w:cs="Arial"/>
                <w:bCs/>
              </w:rPr>
            </w:pPr>
            <w:r w:rsidRPr="00FB463E">
              <w:rPr>
                <w:rFonts w:cs="Arial"/>
                <w:bCs/>
              </w:rPr>
              <w:t>RTU leave-on product.</w:t>
            </w:r>
          </w:p>
          <w:p w14:paraId="19FC4BBD" w14:textId="77777777" w:rsidR="0053704B" w:rsidRPr="00FB463E" w:rsidRDefault="0053704B" w:rsidP="00A22D8C">
            <w:pPr>
              <w:rPr>
                <w:rFonts w:cs="Arial"/>
                <w:bCs/>
              </w:rPr>
            </w:pPr>
          </w:p>
          <w:p w14:paraId="7EF25312" w14:textId="77777777" w:rsidR="0053704B" w:rsidRPr="00FB463E" w:rsidRDefault="0053704B" w:rsidP="00A22D8C">
            <w:pPr>
              <w:rPr>
                <w:rFonts w:cs="Arial"/>
                <w:bCs/>
              </w:rPr>
            </w:pPr>
            <w:r w:rsidRPr="00FB463E">
              <w:rPr>
                <w:rFonts w:cs="Arial"/>
                <w:bCs/>
              </w:rPr>
              <w:t>Timing:</w:t>
            </w:r>
          </w:p>
          <w:p w14:paraId="3169C955" w14:textId="77777777" w:rsidR="0053704B" w:rsidRPr="00FB463E" w:rsidRDefault="0053704B" w:rsidP="00A22D8C">
            <w:pPr>
              <w:rPr>
                <w:rFonts w:cs="Arial"/>
                <w:bCs/>
              </w:rPr>
            </w:pPr>
            <w:r w:rsidRPr="00FB463E">
              <w:rPr>
                <w:rFonts w:cs="Arial"/>
                <w:bCs/>
              </w:rPr>
              <w:t>SPRAY REPULSIF IR200 is intended to be used to prevent reinfestation with human head lice (</w:t>
            </w:r>
            <w:r w:rsidRPr="00FB463E">
              <w:rPr>
                <w:rFonts w:cs="Arial"/>
                <w:bCs/>
                <w:i/>
              </w:rPr>
              <w:t>Pediculus humanus capitis</w:t>
            </w:r>
            <w:r w:rsidRPr="00FB463E">
              <w:rPr>
                <w:rFonts w:cs="Arial"/>
                <w:bCs/>
              </w:rPr>
              <w:t>) only after a pediculicidal treatment.</w:t>
            </w:r>
          </w:p>
          <w:p w14:paraId="425D9C05" w14:textId="77777777" w:rsidR="0053704B" w:rsidRPr="00FB463E" w:rsidRDefault="0053704B" w:rsidP="00A22D8C">
            <w:pPr>
              <w:rPr>
                <w:rFonts w:cs="Arial"/>
                <w:bCs/>
              </w:rPr>
            </w:pPr>
          </w:p>
          <w:p w14:paraId="1C373300" w14:textId="77777777" w:rsidR="0053704B" w:rsidRPr="00FB463E" w:rsidRDefault="0053704B" w:rsidP="00A22D8C">
            <w:pPr>
              <w:rPr>
                <w:rFonts w:cs="Arial"/>
                <w:bCs/>
              </w:rPr>
            </w:pPr>
            <w:r w:rsidRPr="00FB463E">
              <w:rPr>
                <w:rFonts w:cs="Arial"/>
                <w:bCs/>
              </w:rPr>
              <w:t>Reapply after washing the hair and at the latest after 2 days.</w:t>
            </w:r>
          </w:p>
          <w:p w14:paraId="0CAC4FE9" w14:textId="77777777" w:rsidR="0053704B" w:rsidRPr="00FB463E" w:rsidRDefault="0053704B" w:rsidP="00A22D8C">
            <w:pPr>
              <w:rPr>
                <w:rFonts w:cs="Arial"/>
                <w:bCs/>
              </w:rPr>
            </w:pPr>
          </w:p>
          <w:p w14:paraId="49824701" w14:textId="77777777" w:rsidR="0053704B" w:rsidRPr="00FB463E" w:rsidRDefault="0053704B" w:rsidP="00A22D8C">
            <w:pPr>
              <w:rPr>
                <w:rFonts w:cs="Arial"/>
                <w:bCs/>
              </w:rPr>
            </w:pPr>
            <w:r w:rsidRPr="00FB463E">
              <w:rPr>
                <w:rFonts w:cs="Arial"/>
                <w:bCs/>
              </w:rPr>
              <w:t>Dose per application:</w:t>
            </w:r>
          </w:p>
          <w:p w14:paraId="25EAD565" w14:textId="77777777" w:rsidR="0053704B" w:rsidRPr="00FB463E" w:rsidRDefault="0053704B" w:rsidP="00A22D8C">
            <w:pPr>
              <w:numPr>
                <w:ilvl w:val="0"/>
                <w:numId w:val="26"/>
              </w:numPr>
              <w:spacing w:before="0" w:after="0"/>
              <w:rPr>
                <w:rFonts w:cs="Arial"/>
                <w:bCs/>
              </w:rPr>
            </w:pPr>
            <w:r w:rsidRPr="00FB463E">
              <w:rPr>
                <w:rFonts w:cs="Arial"/>
                <w:bCs/>
              </w:rPr>
              <w:t>Adults: up to 1.05 g product or approx. 9 spray hubs per application.</w:t>
            </w:r>
          </w:p>
          <w:p w14:paraId="3D0949FA" w14:textId="77777777" w:rsidR="0053704B" w:rsidRPr="00FB463E" w:rsidRDefault="0053704B" w:rsidP="00A22D8C">
            <w:pPr>
              <w:numPr>
                <w:ilvl w:val="0"/>
                <w:numId w:val="26"/>
              </w:numPr>
              <w:spacing w:before="0" w:after="0"/>
              <w:rPr>
                <w:rFonts w:cs="Arial"/>
                <w:bCs/>
              </w:rPr>
            </w:pPr>
            <w:r w:rsidRPr="00FB463E">
              <w:rPr>
                <w:rFonts w:cs="Arial"/>
                <w:bCs/>
              </w:rPr>
              <w:t>Children from 0 to 11 years old: 0.5g or approx. 4 spray hubs per application</w:t>
            </w:r>
          </w:p>
          <w:p w14:paraId="2867BDD5" w14:textId="77777777" w:rsidR="0053704B" w:rsidRPr="00FB463E" w:rsidRDefault="0053704B" w:rsidP="00A22D8C">
            <w:pPr>
              <w:rPr>
                <w:rFonts w:cs="Arial"/>
                <w:bCs/>
              </w:rPr>
            </w:pPr>
          </w:p>
          <w:p w14:paraId="2EEA6F32" w14:textId="77777777" w:rsidR="0053704B" w:rsidRPr="00FB463E" w:rsidRDefault="0053704B" w:rsidP="00A22D8C">
            <w:pPr>
              <w:rPr>
                <w:rFonts w:cs="Arial"/>
                <w:bCs/>
              </w:rPr>
            </w:pPr>
            <w:r w:rsidRPr="00FB463E">
              <w:rPr>
                <w:rFonts w:cs="Arial"/>
                <w:bCs/>
              </w:rPr>
              <w:t>Product is usually applied only once per day. When reapplying, respect the allowed maximum number of applications per day:</w:t>
            </w:r>
          </w:p>
          <w:p w14:paraId="72B88A55" w14:textId="77777777" w:rsidR="0053704B" w:rsidRPr="00FB463E" w:rsidRDefault="0053704B" w:rsidP="00A22D8C">
            <w:pPr>
              <w:numPr>
                <w:ilvl w:val="0"/>
                <w:numId w:val="27"/>
              </w:numPr>
              <w:spacing w:before="0" w:after="0"/>
              <w:rPr>
                <w:rFonts w:cs="Arial"/>
                <w:bCs/>
              </w:rPr>
            </w:pPr>
            <w:r w:rsidRPr="00FB463E">
              <w:rPr>
                <w:rFonts w:cs="Arial"/>
                <w:bCs/>
              </w:rPr>
              <w:t>Adults and children older than 1 year: 3 times a day</w:t>
            </w:r>
          </w:p>
          <w:p w14:paraId="2C9FCF6C" w14:textId="77777777" w:rsidR="0053704B" w:rsidRPr="00FB463E" w:rsidRDefault="0053704B" w:rsidP="00A22D8C">
            <w:pPr>
              <w:numPr>
                <w:ilvl w:val="0"/>
                <w:numId w:val="27"/>
              </w:numPr>
              <w:spacing w:before="0" w:after="0"/>
              <w:rPr>
                <w:rFonts w:cs="Arial"/>
                <w:bCs/>
              </w:rPr>
            </w:pPr>
            <w:r w:rsidRPr="00FB463E">
              <w:rPr>
                <w:rFonts w:cs="Arial"/>
                <w:bCs/>
              </w:rPr>
              <w:t>Children between 0 and 1 year old: 2 times a day</w:t>
            </w:r>
          </w:p>
          <w:p w14:paraId="09E5357C" w14:textId="77777777" w:rsidR="0053704B" w:rsidRPr="00FB463E" w:rsidRDefault="0053704B" w:rsidP="00A22D8C">
            <w:pPr>
              <w:rPr>
                <w:rFonts w:cs="Arial"/>
                <w:bCs/>
              </w:rPr>
            </w:pPr>
          </w:p>
          <w:p w14:paraId="394181F5" w14:textId="77777777" w:rsidR="0053704B" w:rsidRPr="00FB463E" w:rsidRDefault="0053704B" w:rsidP="00A22D8C">
            <w:pPr>
              <w:rPr>
                <w:rFonts w:cs="Arial"/>
                <w:bCs/>
              </w:rPr>
            </w:pPr>
            <w:r w:rsidRPr="00FB463E">
              <w:rPr>
                <w:rFonts w:cs="Arial"/>
                <w:bCs/>
              </w:rPr>
              <w:t>When the biocidal product is applied to children under 11 years old, the product should be applied by an adult.</w:t>
            </w:r>
          </w:p>
        </w:tc>
      </w:tr>
      <w:tr w:rsidR="0053704B" w:rsidRPr="002D196C" w14:paraId="237586D4" w14:textId="77777777" w:rsidTr="00A22D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403AE20" w14:textId="77777777" w:rsidR="0053704B" w:rsidRPr="00FB463E" w:rsidRDefault="0053704B" w:rsidP="00A22D8C">
            <w:pPr>
              <w:rPr>
                <w:rFonts w:cs="Arial"/>
                <w:bCs/>
              </w:rPr>
            </w:pPr>
            <w:r w:rsidRPr="00FB463E">
              <w:rPr>
                <w:rFonts w:cs="Arial"/>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3BF6BC" w14:textId="77777777" w:rsidR="0053704B" w:rsidRPr="00FB463E" w:rsidRDefault="0053704B" w:rsidP="00A22D8C">
            <w:pPr>
              <w:rPr>
                <w:rFonts w:cs="Arial"/>
                <w:bCs/>
              </w:rPr>
            </w:pPr>
            <w:r w:rsidRPr="00FB463E">
              <w:rPr>
                <w:rFonts w:cs="Arial"/>
                <w:bCs/>
              </w:rPr>
              <w:t>General public</w:t>
            </w:r>
          </w:p>
        </w:tc>
      </w:tr>
      <w:tr w:rsidR="0053704B" w:rsidRPr="00FB5291" w14:paraId="625BD8B1" w14:textId="77777777" w:rsidTr="00A22D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EC248A8" w14:textId="77777777" w:rsidR="0053704B" w:rsidRPr="00FB463E" w:rsidRDefault="0053704B" w:rsidP="00A22D8C">
            <w:pPr>
              <w:rPr>
                <w:rFonts w:cs="Arial"/>
                <w:bCs/>
                <w:lang w:val="en-US"/>
              </w:rPr>
            </w:pPr>
            <w:r w:rsidRPr="00FB463E">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53704B" w:rsidRPr="00727E86" w14:paraId="341EE19C" w14:textId="77777777" w:rsidTr="00A22D8C">
              <w:tc>
                <w:tcPr>
                  <w:tcW w:w="2074" w:type="dxa"/>
                  <w:shd w:val="clear" w:color="auto" w:fill="auto"/>
                </w:tcPr>
                <w:p w14:paraId="2E6A4679" w14:textId="77777777" w:rsidR="0053704B" w:rsidRPr="00FB463E" w:rsidRDefault="0053704B" w:rsidP="00A22D8C">
                  <w:pPr>
                    <w:rPr>
                      <w:rFonts w:cs="Arial"/>
                      <w:b/>
                      <w:bCs/>
                    </w:rPr>
                  </w:pPr>
                  <w:r w:rsidRPr="00FB463E">
                    <w:rPr>
                      <w:rFonts w:cs="Arial"/>
                      <w:b/>
                      <w:bCs/>
                    </w:rPr>
                    <w:t>Type</w:t>
                  </w:r>
                </w:p>
              </w:tc>
              <w:tc>
                <w:tcPr>
                  <w:tcW w:w="2074" w:type="dxa"/>
                  <w:shd w:val="clear" w:color="auto" w:fill="auto"/>
                </w:tcPr>
                <w:p w14:paraId="3E1E6A19" w14:textId="77777777" w:rsidR="0053704B" w:rsidRPr="00FB463E" w:rsidRDefault="0053704B" w:rsidP="00A22D8C">
                  <w:pPr>
                    <w:rPr>
                      <w:rFonts w:cs="Arial"/>
                      <w:b/>
                      <w:bCs/>
                    </w:rPr>
                  </w:pPr>
                  <w:r w:rsidRPr="00FB463E">
                    <w:rPr>
                      <w:rFonts w:cs="Arial"/>
                      <w:b/>
                      <w:bCs/>
                    </w:rPr>
                    <w:t>Material</w:t>
                  </w:r>
                </w:p>
              </w:tc>
              <w:tc>
                <w:tcPr>
                  <w:tcW w:w="2075" w:type="dxa"/>
                  <w:shd w:val="clear" w:color="auto" w:fill="auto"/>
                </w:tcPr>
                <w:p w14:paraId="2FD90844" w14:textId="77777777" w:rsidR="0053704B" w:rsidRPr="00FB463E" w:rsidRDefault="0053704B" w:rsidP="00A22D8C">
                  <w:pPr>
                    <w:rPr>
                      <w:rFonts w:cs="Arial"/>
                      <w:b/>
                      <w:bCs/>
                    </w:rPr>
                  </w:pPr>
                  <w:r w:rsidRPr="00FB463E">
                    <w:rPr>
                      <w:rFonts w:cs="Arial"/>
                      <w:b/>
                      <w:bCs/>
                    </w:rPr>
                    <w:t>Size</w:t>
                  </w:r>
                </w:p>
              </w:tc>
            </w:tr>
            <w:tr w:rsidR="0053704B" w:rsidRPr="00727E86" w14:paraId="66101DEF" w14:textId="77777777" w:rsidTr="00A22D8C">
              <w:tc>
                <w:tcPr>
                  <w:tcW w:w="2074" w:type="dxa"/>
                  <w:shd w:val="clear" w:color="auto" w:fill="auto"/>
                </w:tcPr>
                <w:p w14:paraId="1FC1ED66" w14:textId="77777777" w:rsidR="0053704B" w:rsidRPr="00FB463E" w:rsidRDefault="0053704B" w:rsidP="00A22D8C">
                  <w:pPr>
                    <w:rPr>
                      <w:rFonts w:cs="Arial"/>
                      <w:bCs/>
                    </w:rPr>
                  </w:pPr>
                  <w:r w:rsidRPr="00FB463E">
                    <w:rPr>
                      <w:rFonts w:cs="Arial"/>
                      <w:bCs/>
                    </w:rPr>
                    <w:t>Bottle with a pump spray head</w:t>
                  </w:r>
                </w:p>
              </w:tc>
              <w:tc>
                <w:tcPr>
                  <w:tcW w:w="2074" w:type="dxa"/>
                  <w:shd w:val="clear" w:color="auto" w:fill="auto"/>
                </w:tcPr>
                <w:p w14:paraId="6DBD1FB8" w14:textId="77777777" w:rsidR="0053704B" w:rsidRPr="00FB463E" w:rsidRDefault="0053704B" w:rsidP="00A22D8C">
                  <w:pPr>
                    <w:rPr>
                      <w:rFonts w:cs="Arial"/>
                      <w:bCs/>
                    </w:rPr>
                  </w:pPr>
                  <w:r w:rsidRPr="00FB463E">
                    <w:rPr>
                      <w:rFonts w:cs="Arial"/>
                      <w:bCs/>
                    </w:rPr>
                    <w:t>Plastic: HDPE</w:t>
                  </w:r>
                </w:p>
              </w:tc>
              <w:tc>
                <w:tcPr>
                  <w:tcW w:w="2075" w:type="dxa"/>
                  <w:shd w:val="clear" w:color="auto" w:fill="auto"/>
                </w:tcPr>
                <w:p w14:paraId="0B76C27E" w14:textId="77777777" w:rsidR="0053704B" w:rsidRPr="00727E86" w:rsidRDefault="0053704B" w:rsidP="00A22D8C">
                  <w:pPr>
                    <w:rPr>
                      <w:rFonts w:cs="Arial"/>
                      <w:bCs/>
                    </w:rPr>
                  </w:pPr>
                  <w:r w:rsidRPr="00FB463E">
                    <w:rPr>
                      <w:rFonts w:cs="Arial"/>
                      <w:bCs/>
                    </w:rPr>
                    <w:t>100 to 250 mL</w:t>
                  </w:r>
                </w:p>
              </w:tc>
            </w:tr>
          </w:tbl>
          <w:p w14:paraId="13594294" w14:textId="77777777" w:rsidR="0053704B" w:rsidRPr="00727E86" w:rsidRDefault="0053704B" w:rsidP="00A22D8C">
            <w:pPr>
              <w:rPr>
                <w:rFonts w:cs="Arial"/>
                <w:bCs/>
              </w:rPr>
            </w:pPr>
          </w:p>
        </w:tc>
      </w:tr>
    </w:tbl>
    <w:p w14:paraId="3EB3CB3F" w14:textId="22747B05" w:rsidR="0053704B" w:rsidRDefault="0053704B" w:rsidP="00727E86">
      <w:pPr>
        <w:pStyle w:val="Lgende"/>
        <w:spacing w:after="120"/>
        <w:ind w:left="0" w:firstLine="0"/>
        <w:rPr>
          <w:rFonts w:ascii="Verdana" w:hAnsi="Verdana"/>
        </w:rPr>
      </w:pPr>
    </w:p>
    <w:p w14:paraId="69A04236" w14:textId="77777777" w:rsidR="0053704B" w:rsidRPr="005240CE" w:rsidRDefault="0053704B" w:rsidP="00762A41">
      <w:pPr>
        <w:pStyle w:val="Absatz"/>
      </w:pPr>
    </w:p>
    <w:p w14:paraId="47B11495" w14:textId="6361EC51" w:rsidR="00EC2A96" w:rsidRPr="00727E86" w:rsidRDefault="00EC2A96" w:rsidP="00FB463E">
      <w:pPr>
        <w:pStyle w:val="Lgende"/>
        <w:spacing w:after="120"/>
        <w:ind w:left="0" w:firstLine="0"/>
        <w:rPr>
          <w:rFonts w:ascii="Verdana" w:hAnsi="Verdana"/>
        </w:rPr>
      </w:pPr>
      <w:r w:rsidRPr="00727E86">
        <w:rPr>
          <w:rFonts w:ascii="Verdana" w:hAnsi="Verdana"/>
        </w:rPr>
        <w:t xml:space="preserve">Table </w:t>
      </w:r>
      <w:r w:rsidRPr="00727E86">
        <w:rPr>
          <w:rFonts w:ascii="Verdana" w:hAnsi="Verdana"/>
        </w:rPr>
        <w:fldChar w:fldCharType="begin"/>
      </w:r>
      <w:r w:rsidRPr="00727E86">
        <w:rPr>
          <w:rFonts w:ascii="Verdana" w:hAnsi="Verdana"/>
        </w:rPr>
        <w:instrText xml:space="preserve"> SEQ Table \* ARABIC </w:instrText>
      </w:r>
      <w:r w:rsidRPr="00727E86">
        <w:rPr>
          <w:rFonts w:ascii="Verdana" w:hAnsi="Verdana"/>
        </w:rPr>
        <w:fldChar w:fldCharType="separate"/>
      </w:r>
      <w:r w:rsidR="00752A50" w:rsidRPr="00727E86">
        <w:rPr>
          <w:rFonts w:ascii="Verdana" w:hAnsi="Verdana"/>
          <w:noProof/>
        </w:rPr>
        <w:t>2</w:t>
      </w:r>
      <w:r w:rsidRPr="00727E86">
        <w:rPr>
          <w:rFonts w:ascii="Verdana" w:hAnsi="Verdana"/>
        </w:rPr>
        <w:fldChar w:fldCharType="end"/>
      </w:r>
      <w:r w:rsidRPr="00727E86">
        <w:rPr>
          <w:rFonts w:ascii="Verdana" w:hAnsi="Verdana"/>
        </w:rPr>
        <w:t>. Intended use # 2 – Spray to treat textiles as barrier treatment against human head lice (general public)</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EC2A96" w:rsidRPr="00727E86" w14:paraId="50534716" w14:textId="77777777" w:rsidTr="00EC2A9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F6F6C32" w14:textId="77777777" w:rsidR="00EC2A96" w:rsidRPr="00762A41" w:rsidRDefault="00EC2A96" w:rsidP="00FB463E">
            <w:pPr>
              <w:rPr>
                <w:rFonts w:cs="Arial"/>
                <w:bCs/>
                <w:lang w:val="de-DE"/>
              </w:rPr>
            </w:pPr>
            <w:r w:rsidRPr="00762A41">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2096B2BA" w14:textId="77777777" w:rsidR="00EC2A96" w:rsidRPr="00762A41" w:rsidRDefault="00EC2A96" w:rsidP="00FB463E">
            <w:pPr>
              <w:rPr>
                <w:rFonts w:cs="Arial"/>
                <w:bCs/>
                <w:lang w:val="de-DE"/>
              </w:rPr>
            </w:pPr>
            <w:r w:rsidRPr="00762A41">
              <w:rPr>
                <w:rFonts w:cs="Arial"/>
                <w:bCs/>
                <w:lang w:val="de-DE"/>
              </w:rPr>
              <w:t>PT19 – Repellents and attractants (Pest control)</w:t>
            </w:r>
          </w:p>
        </w:tc>
      </w:tr>
      <w:tr w:rsidR="00EC2A96" w:rsidRPr="00727E86" w14:paraId="0A54C802"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5DAF5B4" w14:textId="77777777" w:rsidR="00EC2A96" w:rsidRPr="00727E86" w:rsidRDefault="00EC2A96" w:rsidP="00FB463E">
            <w:pPr>
              <w:rPr>
                <w:rFonts w:cs="Arial"/>
                <w:bCs/>
                <w:lang w:val="en-US"/>
              </w:rPr>
            </w:pPr>
            <w:r w:rsidRPr="00727E86">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10C4A5" w14:textId="77777777" w:rsidR="00EC2A96" w:rsidRPr="00727E86" w:rsidRDefault="00EC2A96" w:rsidP="00FB463E">
            <w:pPr>
              <w:rPr>
                <w:rFonts w:cs="Arial"/>
                <w:bCs/>
              </w:rPr>
            </w:pPr>
            <w:r w:rsidRPr="00727E86">
              <w:rPr>
                <w:rFonts w:cs="Arial"/>
                <w:bCs/>
              </w:rPr>
              <w:t>Repellent</w:t>
            </w:r>
          </w:p>
        </w:tc>
      </w:tr>
      <w:tr w:rsidR="00EC2A96" w:rsidRPr="00727E86" w14:paraId="2BBE9F28"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189B4F0" w14:textId="77777777" w:rsidR="00EC2A96" w:rsidRPr="00727E86" w:rsidRDefault="00EC2A96" w:rsidP="00FB463E">
            <w:pPr>
              <w:rPr>
                <w:rFonts w:cs="Arial"/>
                <w:bCs/>
                <w:lang w:val="en-US"/>
              </w:rPr>
            </w:pPr>
            <w:r w:rsidRPr="00727E86">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27E86" w14:paraId="1BB291E2" w14:textId="77777777" w:rsidTr="00EC2A96">
              <w:tc>
                <w:tcPr>
                  <w:tcW w:w="2074" w:type="dxa"/>
                  <w:shd w:val="clear" w:color="auto" w:fill="auto"/>
                </w:tcPr>
                <w:p w14:paraId="4AEF4E94" w14:textId="77777777" w:rsidR="00EC2A96" w:rsidRPr="00727E86" w:rsidRDefault="00EC2A96" w:rsidP="00FB463E">
                  <w:pPr>
                    <w:rPr>
                      <w:rFonts w:cs="Arial"/>
                      <w:b/>
                      <w:bCs/>
                    </w:rPr>
                  </w:pPr>
                  <w:r w:rsidRPr="00727E86">
                    <w:rPr>
                      <w:rFonts w:cs="Arial"/>
                      <w:b/>
                      <w:bCs/>
                    </w:rPr>
                    <w:t>Scientific name</w:t>
                  </w:r>
                </w:p>
              </w:tc>
              <w:tc>
                <w:tcPr>
                  <w:tcW w:w="2074" w:type="dxa"/>
                  <w:shd w:val="clear" w:color="auto" w:fill="auto"/>
                </w:tcPr>
                <w:p w14:paraId="59A6531D" w14:textId="77777777" w:rsidR="00EC2A96" w:rsidRPr="00727E86" w:rsidRDefault="00EC2A96" w:rsidP="00FB463E">
                  <w:pPr>
                    <w:rPr>
                      <w:rFonts w:cs="Arial"/>
                      <w:b/>
                      <w:bCs/>
                    </w:rPr>
                  </w:pPr>
                  <w:r w:rsidRPr="00727E86">
                    <w:rPr>
                      <w:rFonts w:cs="Arial"/>
                      <w:b/>
                      <w:bCs/>
                    </w:rPr>
                    <w:t>Common name</w:t>
                  </w:r>
                </w:p>
              </w:tc>
              <w:tc>
                <w:tcPr>
                  <w:tcW w:w="2075" w:type="dxa"/>
                  <w:shd w:val="clear" w:color="auto" w:fill="auto"/>
                </w:tcPr>
                <w:p w14:paraId="5CCF6716" w14:textId="77777777" w:rsidR="00EC2A96" w:rsidRPr="00727E86" w:rsidRDefault="00EC2A96" w:rsidP="00FB463E">
                  <w:pPr>
                    <w:rPr>
                      <w:rFonts w:cs="Arial"/>
                      <w:b/>
                      <w:bCs/>
                    </w:rPr>
                  </w:pPr>
                  <w:r w:rsidRPr="00727E86">
                    <w:rPr>
                      <w:rFonts w:cs="Arial"/>
                      <w:b/>
                      <w:bCs/>
                    </w:rPr>
                    <w:t>Development stage</w:t>
                  </w:r>
                </w:p>
              </w:tc>
            </w:tr>
            <w:tr w:rsidR="00EC2A96" w:rsidRPr="00727E86" w14:paraId="6F4E06C1" w14:textId="77777777" w:rsidTr="00EC2A96">
              <w:tc>
                <w:tcPr>
                  <w:tcW w:w="2074" w:type="dxa"/>
                  <w:shd w:val="clear" w:color="auto" w:fill="auto"/>
                </w:tcPr>
                <w:p w14:paraId="2C934B3E" w14:textId="77777777" w:rsidR="00EC2A96" w:rsidRPr="00727E86" w:rsidRDefault="00EC2A96" w:rsidP="00FB463E">
                  <w:pPr>
                    <w:rPr>
                      <w:rFonts w:cs="Arial"/>
                      <w:bCs/>
                      <w:i/>
                    </w:rPr>
                  </w:pPr>
                  <w:r w:rsidRPr="00727E86">
                    <w:rPr>
                      <w:rFonts w:cs="Arial"/>
                      <w:bCs/>
                      <w:i/>
                    </w:rPr>
                    <w:t>Pediculidae</w:t>
                  </w:r>
                </w:p>
              </w:tc>
              <w:tc>
                <w:tcPr>
                  <w:tcW w:w="2074" w:type="dxa"/>
                  <w:shd w:val="clear" w:color="auto" w:fill="auto"/>
                </w:tcPr>
                <w:p w14:paraId="29BA4F95" w14:textId="77777777" w:rsidR="00EC2A96" w:rsidRPr="00727E86" w:rsidRDefault="00EC2A96" w:rsidP="00FB463E">
                  <w:pPr>
                    <w:rPr>
                      <w:rFonts w:cs="Arial"/>
                      <w:bCs/>
                    </w:rPr>
                  </w:pPr>
                  <w:r w:rsidRPr="00727E86">
                    <w:rPr>
                      <w:rFonts w:cs="Arial"/>
                      <w:bCs/>
                    </w:rPr>
                    <w:t>Human head louse</w:t>
                  </w:r>
                </w:p>
              </w:tc>
              <w:tc>
                <w:tcPr>
                  <w:tcW w:w="2075" w:type="dxa"/>
                  <w:shd w:val="clear" w:color="auto" w:fill="auto"/>
                </w:tcPr>
                <w:p w14:paraId="6B8BDA99" w14:textId="77777777" w:rsidR="00EC2A96" w:rsidRPr="00727E86" w:rsidRDefault="00EC2A96" w:rsidP="00FB463E">
                  <w:pPr>
                    <w:rPr>
                      <w:rFonts w:cs="Arial"/>
                      <w:bCs/>
                    </w:rPr>
                  </w:pPr>
                  <w:r w:rsidRPr="00727E86">
                    <w:rPr>
                      <w:rFonts w:cs="Arial"/>
                      <w:bCs/>
                    </w:rPr>
                    <w:t>Adults</w:t>
                  </w:r>
                </w:p>
              </w:tc>
            </w:tr>
          </w:tbl>
          <w:p w14:paraId="1F661EF7" w14:textId="77777777" w:rsidR="00EC2A96" w:rsidRPr="00727E86" w:rsidRDefault="00EC2A96" w:rsidP="00FB463E">
            <w:pPr>
              <w:rPr>
                <w:rFonts w:cs="Arial"/>
                <w:bCs/>
              </w:rPr>
            </w:pPr>
          </w:p>
        </w:tc>
      </w:tr>
      <w:tr w:rsidR="00EC2A96" w:rsidRPr="00727E86" w14:paraId="02EE8556"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AEC8890" w14:textId="77777777" w:rsidR="00EC2A96" w:rsidRPr="00727E86" w:rsidRDefault="00EC2A96" w:rsidP="00FB463E">
            <w:pPr>
              <w:rPr>
                <w:rFonts w:cs="Arial"/>
                <w:bCs/>
                <w:lang w:val="de-DE"/>
              </w:rPr>
            </w:pPr>
            <w:r w:rsidRPr="00727E86">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3FDDA4" w14:textId="77777777" w:rsidR="00EC2A96" w:rsidRPr="00727E86" w:rsidRDefault="00EC2A96" w:rsidP="00FB463E">
            <w:pPr>
              <w:rPr>
                <w:rFonts w:cs="Arial"/>
                <w:bCs/>
              </w:rPr>
            </w:pPr>
            <w:r w:rsidRPr="00727E86">
              <w:rPr>
                <w:rFonts w:cs="Arial"/>
                <w:bCs/>
              </w:rPr>
              <w:t>Indoors in well ventilated areas.</w:t>
            </w:r>
          </w:p>
          <w:p w14:paraId="0026DAE9" w14:textId="77777777" w:rsidR="00EC2A96" w:rsidRPr="00727E86" w:rsidRDefault="00EC2A96" w:rsidP="00FB463E">
            <w:pPr>
              <w:rPr>
                <w:rFonts w:cs="Arial"/>
                <w:bCs/>
              </w:rPr>
            </w:pPr>
          </w:p>
          <w:p w14:paraId="6DA8D9B5" w14:textId="77777777" w:rsidR="00EC2A96" w:rsidRPr="00727E86" w:rsidRDefault="00EC2A96" w:rsidP="00FB463E">
            <w:pPr>
              <w:rPr>
                <w:rFonts w:cs="Arial"/>
                <w:bCs/>
              </w:rPr>
            </w:pPr>
            <w:r w:rsidRPr="00727E86">
              <w:rPr>
                <w:rFonts w:cs="Arial"/>
                <w:bCs/>
              </w:rPr>
              <w:t>SPRAY REPULSIF IR200 is a ready to use repellent product to prevent reinfestation with human head lice (</w:t>
            </w:r>
            <w:r w:rsidRPr="00727E86">
              <w:rPr>
                <w:rFonts w:cs="Arial"/>
                <w:bCs/>
                <w:i/>
              </w:rPr>
              <w:t>Pediculus humanus capitis</w:t>
            </w:r>
            <w:r w:rsidRPr="00727E86">
              <w:rPr>
                <w:rFonts w:cs="Arial"/>
                <w:bCs/>
              </w:rPr>
              <w:t>).</w:t>
            </w:r>
          </w:p>
          <w:p w14:paraId="01B4F663" w14:textId="77777777" w:rsidR="00EC2A96" w:rsidRPr="00727E86" w:rsidRDefault="00EC2A96" w:rsidP="00FB463E">
            <w:pPr>
              <w:rPr>
                <w:rFonts w:cs="Arial"/>
                <w:bCs/>
              </w:rPr>
            </w:pPr>
          </w:p>
          <w:p w14:paraId="165CD89C" w14:textId="77777777" w:rsidR="00EC2A96" w:rsidRPr="00727E86" w:rsidRDefault="00EC2A96" w:rsidP="00FB463E">
            <w:pPr>
              <w:rPr>
                <w:rFonts w:cs="Arial"/>
                <w:bCs/>
              </w:rPr>
            </w:pPr>
            <w:r w:rsidRPr="00727E86">
              <w:rPr>
                <w:rFonts w:cs="Arial"/>
                <w:bCs/>
              </w:rPr>
              <w:t>It is to be applied on bed linen and/or cloth’s surface in contact with the top of the body (head, neck and shoulders).</w:t>
            </w:r>
          </w:p>
        </w:tc>
      </w:tr>
      <w:tr w:rsidR="00EC2A96" w:rsidRPr="00727E86" w14:paraId="1FF63954"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37DE240" w14:textId="77777777" w:rsidR="00EC2A96" w:rsidRPr="00727E86" w:rsidRDefault="00EC2A96" w:rsidP="00FB463E">
            <w:pPr>
              <w:rPr>
                <w:rFonts w:cs="Arial"/>
                <w:bCs/>
                <w:lang w:val="de-DE"/>
              </w:rPr>
            </w:pPr>
            <w:r w:rsidRPr="00727E86">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5D78F5" w14:textId="77777777" w:rsidR="00EC2A96" w:rsidRPr="00727E86" w:rsidRDefault="00EC2A96" w:rsidP="00FB463E">
            <w:pPr>
              <w:rPr>
                <w:rFonts w:cs="Arial"/>
                <w:bCs/>
                <w:lang w:val="en-US"/>
              </w:rPr>
            </w:pPr>
            <w:r w:rsidRPr="00727E86">
              <w:rPr>
                <w:rFonts w:cs="Arial"/>
                <w:bCs/>
                <w:lang w:val="en-US"/>
              </w:rPr>
              <w:t>Spraying: The ready to use product is a pump spray which is sprayed directly onto the fabric (bed linen).</w:t>
            </w:r>
          </w:p>
        </w:tc>
      </w:tr>
      <w:tr w:rsidR="00EC2A96" w:rsidRPr="00727E86" w14:paraId="79C270A6"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4021BB0" w14:textId="77777777" w:rsidR="00EC2A96" w:rsidRPr="00727E86" w:rsidRDefault="00EC2A96" w:rsidP="00FB463E">
            <w:pPr>
              <w:rPr>
                <w:rFonts w:cs="Arial"/>
                <w:bCs/>
                <w:lang w:val="en-US"/>
              </w:rPr>
            </w:pPr>
            <w:r w:rsidRPr="00727E86">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ED166A" w14:textId="77777777" w:rsidR="00EC2A96" w:rsidRPr="00727E86" w:rsidRDefault="00EC2A96" w:rsidP="00FB463E">
            <w:pPr>
              <w:rPr>
                <w:rFonts w:cs="Arial"/>
                <w:bCs/>
              </w:rPr>
            </w:pPr>
            <w:r w:rsidRPr="00727E86">
              <w:rPr>
                <w:rFonts w:cs="Arial"/>
                <w:bCs/>
              </w:rPr>
              <w:t>RTU leave-on product.</w:t>
            </w:r>
          </w:p>
          <w:p w14:paraId="6581B46D" w14:textId="77777777" w:rsidR="00EC2A96" w:rsidRPr="00727E86" w:rsidRDefault="00EC2A96" w:rsidP="00FB463E">
            <w:pPr>
              <w:rPr>
                <w:rFonts w:cs="Arial"/>
                <w:bCs/>
              </w:rPr>
            </w:pPr>
          </w:p>
          <w:p w14:paraId="3BF3A439" w14:textId="77777777" w:rsidR="00EC2A96" w:rsidRPr="00727E86" w:rsidRDefault="00EC2A96" w:rsidP="00FB463E">
            <w:pPr>
              <w:rPr>
                <w:rFonts w:cs="Arial"/>
                <w:bCs/>
              </w:rPr>
            </w:pPr>
            <w:r w:rsidRPr="00727E86">
              <w:rPr>
                <w:rFonts w:cs="Arial"/>
                <w:bCs/>
              </w:rPr>
              <w:t>Timing:</w:t>
            </w:r>
          </w:p>
          <w:p w14:paraId="0CEFE465" w14:textId="77777777" w:rsidR="00EC2A96" w:rsidRPr="00727E86" w:rsidRDefault="00EC2A96" w:rsidP="00FB463E">
            <w:pPr>
              <w:rPr>
                <w:rFonts w:cs="Arial"/>
                <w:bCs/>
              </w:rPr>
            </w:pPr>
            <w:r w:rsidRPr="00727E86">
              <w:rPr>
                <w:rFonts w:cs="Arial"/>
                <w:bCs/>
              </w:rPr>
              <w:t>The bed linen should be treated everyday or after their washing</w:t>
            </w:r>
          </w:p>
          <w:p w14:paraId="6A19A751" w14:textId="77777777" w:rsidR="00EC2A96" w:rsidRPr="00727E86" w:rsidRDefault="00EC2A96" w:rsidP="00FB463E">
            <w:pPr>
              <w:rPr>
                <w:rFonts w:cs="Arial"/>
                <w:bCs/>
              </w:rPr>
            </w:pPr>
          </w:p>
          <w:p w14:paraId="7534CA34" w14:textId="77777777" w:rsidR="00EC2A96" w:rsidRPr="00727E86" w:rsidRDefault="00EC2A96" w:rsidP="00FB463E">
            <w:pPr>
              <w:rPr>
                <w:rFonts w:cs="Arial"/>
                <w:bCs/>
              </w:rPr>
            </w:pPr>
          </w:p>
          <w:p w14:paraId="053E2FCB" w14:textId="77777777" w:rsidR="00EC2A96" w:rsidRPr="00727E86" w:rsidRDefault="00EC2A96" w:rsidP="00FB463E">
            <w:pPr>
              <w:rPr>
                <w:rFonts w:cs="Arial"/>
                <w:bCs/>
              </w:rPr>
            </w:pPr>
            <w:r w:rsidRPr="00727E86">
              <w:rPr>
                <w:rFonts w:cs="Arial"/>
                <w:bCs/>
              </w:rPr>
              <w:t>Dose per application:</w:t>
            </w:r>
          </w:p>
          <w:p w14:paraId="3DBC3ECF" w14:textId="77777777" w:rsidR="00EC2A96" w:rsidRPr="00727E86" w:rsidRDefault="00EC2A96" w:rsidP="00FB463E">
            <w:pPr>
              <w:rPr>
                <w:rFonts w:cs="Arial"/>
                <w:bCs/>
              </w:rPr>
            </w:pPr>
            <w:r w:rsidRPr="00727E86">
              <w:rPr>
                <w:rFonts w:cs="Arial"/>
                <w:bCs/>
              </w:rPr>
              <w:t>10 g/m² of fabric</w:t>
            </w:r>
          </w:p>
        </w:tc>
      </w:tr>
      <w:tr w:rsidR="00EC2A96" w:rsidRPr="00727E86" w14:paraId="545E7418"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3688E43" w14:textId="77777777" w:rsidR="00EC2A96" w:rsidRPr="00727E86" w:rsidRDefault="00EC2A96" w:rsidP="00FB463E">
            <w:pPr>
              <w:rPr>
                <w:rFonts w:cs="Arial"/>
                <w:bCs/>
              </w:rPr>
            </w:pPr>
            <w:r w:rsidRPr="00727E86">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2660DA" w14:textId="77777777" w:rsidR="00EC2A96" w:rsidRPr="00727E86" w:rsidRDefault="00EC2A96" w:rsidP="00FB463E">
            <w:pPr>
              <w:rPr>
                <w:rFonts w:cs="Arial"/>
                <w:bCs/>
              </w:rPr>
            </w:pPr>
            <w:r w:rsidRPr="00727E86">
              <w:rPr>
                <w:rFonts w:cs="Arial"/>
                <w:bCs/>
              </w:rPr>
              <w:t>General public</w:t>
            </w:r>
          </w:p>
        </w:tc>
      </w:tr>
      <w:tr w:rsidR="00EC2A96" w:rsidRPr="00727E86" w14:paraId="0C8A814C"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98A1F2" w14:textId="77777777" w:rsidR="00EC2A96" w:rsidRPr="00727E86" w:rsidRDefault="00EC2A96" w:rsidP="00FB463E">
            <w:pPr>
              <w:rPr>
                <w:rFonts w:cs="Arial"/>
                <w:bCs/>
                <w:lang w:val="en-US"/>
              </w:rPr>
            </w:pPr>
            <w:r w:rsidRPr="00727E86">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27E86" w14:paraId="185AA289" w14:textId="77777777" w:rsidTr="00EC2A96">
              <w:tc>
                <w:tcPr>
                  <w:tcW w:w="2074" w:type="dxa"/>
                  <w:shd w:val="clear" w:color="auto" w:fill="auto"/>
                </w:tcPr>
                <w:p w14:paraId="6889A9F6" w14:textId="77777777" w:rsidR="00EC2A96" w:rsidRPr="00727E86" w:rsidRDefault="00EC2A96" w:rsidP="00FB463E">
                  <w:pPr>
                    <w:rPr>
                      <w:rFonts w:cs="Arial"/>
                      <w:b/>
                      <w:bCs/>
                    </w:rPr>
                  </w:pPr>
                  <w:r w:rsidRPr="00727E86">
                    <w:rPr>
                      <w:rFonts w:cs="Arial"/>
                      <w:b/>
                      <w:bCs/>
                    </w:rPr>
                    <w:t>Type</w:t>
                  </w:r>
                </w:p>
              </w:tc>
              <w:tc>
                <w:tcPr>
                  <w:tcW w:w="2074" w:type="dxa"/>
                  <w:shd w:val="clear" w:color="auto" w:fill="auto"/>
                </w:tcPr>
                <w:p w14:paraId="044A3589" w14:textId="77777777" w:rsidR="00EC2A96" w:rsidRPr="00727E86" w:rsidRDefault="00EC2A96" w:rsidP="00FB463E">
                  <w:pPr>
                    <w:rPr>
                      <w:rFonts w:cs="Arial"/>
                      <w:b/>
                      <w:bCs/>
                    </w:rPr>
                  </w:pPr>
                  <w:r w:rsidRPr="00727E86">
                    <w:rPr>
                      <w:rFonts w:cs="Arial"/>
                      <w:b/>
                      <w:bCs/>
                    </w:rPr>
                    <w:t>Material</w:t>
                  </w:r>
                </w:p>
              </w:tc>
              <w:tc>
                <w:tcPr>
                  <w:tcW w:w="2075" w:type="dxa"/>
                  <w:shd w:val="clear" w:color="auto" w:fill="auto"/>
                </w:tcPr>
                <w:p w14:paraId="2DF48337" w14:textId="77777777" w:rsidR="00EC2A96" w:rsidRPr="00727E86" w:rsidRDefault="00EC2A96" w:rsidP="00FB463E">
                  <w:pPr>
                    <w:rPr>
                      <w:rFonts w:cs="Arial"/>
                      <w:b/>
                      <w:bCs/>
                    </w:rPr>
                  </w:pPr>
                  <w:r w:rsidRPr="00727E86">
                    <w:rPr>
                      <w:rFonts w:cs="Arial"/>
                      <w:b/>
                      <w:bCs/>
                    </w:rPr>
                    <w:t>Size</w:t>
                  </w:r>
                </w:p>
              </w:tc>
            </w:tr>
            <w:tr w:rsidR="00EC2A96" w:rsidRPr="00727E86" w14:paraId="32E98DA1" w14:textId="77777777" w:rsidTr="00EC2A96">
              <w:tc>
                <w:tcPr>
                  <w:tcW w:w="2074" w:type="dxa"/>
                  <w:shd w:val="clear" w:color="auto" w:fill="auto"/>
                </w:tcPr>
                <w:p w14:paraId="681A152B" w14:textId="77777777" w:rsidR="00EC2A96" w:rsidRPr="00727E86" w:rsidRDefault="00EC2A96" w:rsidP="00FB463E">
                  <w:pPr>
                    <w:rPr>
                      <w:rFonts w:cs="Arial"/>
                      <w:bCs/>
                    </w:rPr>
                  </w:pPr>
                  <w:r w:rsidRPr="00727E86">
                    <w:rPr>
                      <w:rFonts w:cs="Arial"/>
                      <w:bCs/>
                    </w:rPr>
                    <w:t>Bottle with a pump spray head</w:t>
                  </w:r>
                </w:p>
              </w:tc>
              <w:tc>
                <w:tcPr>
                  <w:tcW w:w="2074" w:type="dxa"/>
                  <w:shd w:val="clear" w:color="auto" w:fill="auto"/>
                </w:tcPr>
                <w:p w14:paraId="4BAB03B0" w14:textId="77777777" w:rsidR="00EC2A96" w:rsidRPr="00727E86" w:rsidRDefault="00EC2A96" w:rsidP="00FB463E">
                  <w:pPr>
                    <w:rPr>
                      <w:rFonts w:cs="Arial"/>
                      <w:bCs/>
                    </w:rPr>
                  </w:pPr>
                  <w:r w:rsidRPr="00727E86">
                    <w:rPr>
                      <w:rFonts w:cs="Arial"/>
                      <w:bCs/>
                    </w:rPr>
                    <w:t>Plastic: HDPE</w:t>
                  </w:r>
                </w:p>
              </w:tc>
              <w:tc>
                <w:tcPr>
                  <w:tcW w:w="2075" w:type="dxa"/>
                  <w:shd w:val="clear" w:color="auto" w:fill="auto"/>
                </w:tcPr>
                <w:p w14:paraId="7AB95472" w14:textId="77777777" w:rsidR="00EC2A96" w:rsidRPr="00727E86" w:rsidRDefault="00EC2A96" w:rsidP="00FB463E">
                  <w:pPr>
                    <w:rPr>
                      <w:rFonts w:cs="Arial"/>
                      <w:bCs/>
                    </w:rPr>
                  </w:pPr>
                  <w:r w:rsidRPr="00727E86">
                    <w:rPr>
                      <w:rFonts w:cs="Arial"/>
                      <w:bCs/>
                    </w:rPr>
                    <w:t>100 to 250 mL</w:t>
                  </w:r>
                </w:p>
              </w:tc>
            </w:tr>
          </w:tbl>
          <w:p w14:paraId="44EB28D6" w14:textId="77777777" w:rsidR="00EC2A96" w:rsidRPr="00727E86" w:rsidRDefault="00EC2A96" w:rsidP="00FB463E">
            <w:pPr>
              <w:rPr>
                <w:rFonts w:cs="Arial"/>
                <w:bCs/>
              </w:rPr>
            </w:pPr>
          </w:p>
        </w:tc>
      </w:tr>
    </w:tbl>
    <w:p w14:paraId="388EF523" w14:textId="77777777" w:rsidR="00EC2A96" w:rsidRPr="00727E86" w:rsidRDefault="00EC2A96" w:rsidP="00FB463E">
      <w:pPr>
        <w:pStyle w:val="Absatz"/>
      </w:pPr>
    </w:p>
    <w:p w14:paraId="5F5EFFDA" w14:textId="470A4CB2" w:rsidR="00EC2A96" w:rsidRPr="00671A6D" w:rsidRDefault="00EC2A96" w:rsidP="00FB463E">
      <w:pPr>
        <w:pStyle w:val="Lgende"/>
        <w:spacing w:after="120"/>
        <w:ind w:left="0" w:firstLine="0"/>
        <w:rPr>
          <w:rFonts w:ascii="Verdana" w:hAnsi="Verdana"/>
        </w:rPr>
      </w:pPr>
      <w:r w:rsidRPr="00727E86">
        <w:rPr>
          <w:rFonts w:ascii="Verdana" w:hAnsi="Verdana"/>
        </w:rPr>
        <w:t xml:space="preserve">Table </w:t>
      </w:r>
      <w:r w:rsidRPr="00727E86">
        <w:rPr>
          <w:rFonts w:ascii="Verdana" w:hAnsi="Verdana"/>
        </w:rPr>
        <w:fldChar w:fldCharType="begin"/>
      </w:r>
      <w:r w:rsidRPr="00727E86">
        <w:rPr>
          <w:rFonts w:ascii="Verdana" w:hAnsi="Verdana"/>
        </w:rPr>
        <w:instrText xml:space="preserve"> SEQ Table \* ARABIC </w:instrText>
      </w:r>
      <w:r w:rsidRPr="00727E86">
        <w:rPr>
          <w:rFonts w:ascii="Verdana" w:hAnsi="Verdana"/>
        </w:rPr>
        <w:fldChar w:fldCharType="separate"/>
      </w:r>
      <w:r w:rsidR="00752A50" w:rsidRPr="00727E86">
        <w:rPr>
          <w:rFonts w:ascii="Verdana" w:hAnsi="Verdana"/>
          <w:noProof/>
        </w:rPr>
        <w:t>3</w:t>
      </w:r>
      <w:r w:rsidRPr="00727E86">
        <w:rPr>
          <w:rFonts w:ascii="Verdana" w:hAnsi="Verdana"/>
        </w:rPr>
        <w:fldChar w:fldCharType="end"/>
      </w:r>
      <w:r w:rsidRPr="00727E86">
        <w:rPr>
          <w:rFonts w:ascii="Verdana" w:hAnsi="Verdana"/>
        </w:rPr>
        <w:t>. Intended use # 3 – Spray to treat clothes against mosquitoes (general public)</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EC2A96" w:rsidRPr="00FB5291" w14:paraId="4BCA35D3" w14:textId="77777777" w:rsidTr="00EC2A9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A8A3A9E" w14:textId="77777777" w:rsidR="00EC2A96" w:rsidRPr="00FB5291" w:rsidRDefault="00EC2A96" w:rsidP="00FB463E">
            <w:pPr>
              <w:rPr>
                <w:rFonts w:cs="Arial"/>
                <w:bCs/>
                <w:lang w:val="de-DE"/>
              </w:rPr>
            </w:pPr>
            <w:r w:rsidRPr="00FB5291">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3F792DF" w14:textId="77777777" w:rsidR="00EC2A96" w:rsidRPr="00FB5291" w:rsidRDefault="00EC2A96" w:rsidP="00FB463E">
            <w:pPr>
              <w:rPr>
                <w:rFonts w:cs="Arial"/>
                <w:bCs/>
                <w:lang w:val="de-DE"/>
              </w:rPr>
            </w:pPr>
            <w:r w:rsidRPr="009B6579">
              <w:rPr>
                <w:rFonts w:cs="Arial"/>
                <w:bCs/>
                <w:lang w:val="de-DE"/>
              </w:rPr>
              <w:t>PT19 – Repellents and attractants (Pest control)</w:t>
            </w:r>
          </w:p>
        </w:tc>
      </w:tr>
      <w:tr w:rsidR="00EC2A96" w:rsidRPr="00FB5291" w14:paraId="46D87222"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77FBE10" w14:textId="77777777" w:rsidR="00EC2A96" w:rsidRPr="00FB463E" w:rsidRDefault="00EC2A96" w:rsidP="00FB463E">
            <w:pPr>
              <w:rPr>
                <w:rFonts w:cs="Arial"/>
                <w:bCs/>
              </w:rPr>
            </w:pPr>
            <w:r w:rsidRPr="00727E86">
              <w:rPr>
                <w:rFonts w:cs="Arial"/>
                <w:bCs/>
              </w:rPr>
              <w:lastRenderedPageBreak/>
              <w:t>Where relevant, an exact description of the authorised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AAB408E" w14:textId="77777777" w:rsidR="00EC2A96" w:rsidRPr="00727E86" w:rsidRDefault="00EC2A96" w:rsidP="00FB463E">
            <w:pPr>
              <w:rPr>
                <w:rFonts w:cs="Arial"/>
                <w:bCs/>
              </w:rPr>
            </w:pPr>
            <w:r w:rsidRPr="00727E86">
              <w:rPr>
                <w:rFonts w:cs="Arial"/>
                <w:bCs/>
              </w:rPr>
              <w:t>Repellent</w:t>
            </w:r>
          </w:p>
        </w:tc>
      </w:tr>
      <w:tr w:rsidR="00EC2A96" w:rsidRPr="00FB5291" w14:paraId="79B667C6"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89F676D" w14:textId="77777777" w:rsidR="00EC2A96" w:rsidRPr="00727E86" w:rsidRDefault="00EC2A96" w:rsidP="00FB463E">
            <w:pPr>
              <w:rPr>
                <w:rFonts w:cs="Arial"/>
                <w:bCs/>
                <w:lang w:val="en-US"/>
              </w:rPr>
            </w:pPr>
            <w:r w:rsidRPr="00727E86">
              <w:rPr>
                <w:rFonts w:cs="Arial"/>
                <w:bCs/>
              </w:rPr>
              <w:t>Target organism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27E86" w14:paraId="51647B0D" w14:textId="77777777" w:rsidTr="00EC2A96">
              <w:trPr>
                <w:trHeight w:val="20"/>
              </w:trPr>
              <w:tc>
                <w:tcPr>
                  <w:tcW w:w="2074" w:type="dxa"/>
                  <w:shd w:val="clear" w:color="auto" w:fill="auto"/>
                </w:tcPr>
                <w:p w14:paraId="164FC214" w14:textId="77777777" w:rsidR="00EC2A96" w:rsidRPr="00727E86" w:rsidRDefault="00EC2A96" w:rsidP="00FB463E">
                  <w:pPr>
                    <w:rPr>
                      <w:rFonts w:cs="Arial"/>
                      <w:b/>
                      <w:bCs/>
                    </w:rPr>
                  </w:pPr>
                  <w:r w:rsidRPr="00727E86">
                    <w:rPr>
                      <w:rFonts w:cs="Arial"/>
                      <w:b/>
                      <w:bCs/>
                    </w:rPr>
                    <w:t>Scientific name</w:t>
                  </w:r>
                </w:p>
              </w:tc>
              <w:tc>
                <w:tcPr>
                  <w:tcW w:w="2074" w:type="dxa"/>
                  <w:shd w:val="clear" w:color="auto" w:fill="auto"/>
                </w:tcPr>
                <w:p w14:paraId="0CD527F3" w14:textId="77777777" w:rsidR="00EC2A96" w:rsidRPr="00727E86" w:rsidRDefault="00EC2A96" w:rsidP="00FB463E">
                  <w:pPr>
                    <w:rPr>
                      <w:rFonts w:cs="Arial"/>
                      <w:b/>
                      <w:bCs/>
                    </w:rPr>
                  </w:pPr>
                  <w:r w:rsidRPr="00727E86">
                    <w:rPr>
                      <w:rFonts w:cs="Arial"/>
                      <w:b/>
                      <w:bCs/>
                    </w:rPr>
                    <w:t>Common name</w:t>
                  </w:r>
                </w:p>
              </w:tc>
              <w:tc>
                <w:tcPr>
                  <w:tcW w:w="2075" w:type="dxa"/>
                  <w:shd w:val="clear" w:color="auto" w:fill="auto"/>
                </w:tcPr>
                <w:p w14:paraId="686A4EF8" w14:textId="77777777" w:rsidR="00EC2A96" w:rsidRPr="00727E86" w:rsidRDefault="00EC2A96" w:rsidP="00FB463E">
                  <w:pPr>
                    <w:rPr>
                      <w:rFonts w:cs="Arial"/>
                      <w:b/>
                      <w:bCs/>
                    </w:rPr>
                  </w:pPr>
                  <w:r w:rsidRPr="00727E86">
                    <w:rPr>
                      <w:rFonts w:cs="Arial"/>
                      <w:b/>
                      <w:bCs/>
                    </w:rPr>
                    <w:t>Development stage</w:t>
                  </w:r>
                </w:p>
              </w:tc>
            </w:tr>
            <w:tr w:rsidR="00EC2A96" w:rsidRPr="00727E86" w14:paraId="58676623" w14:textId="77777777" w:rsidTr="00EC2A96">
              <w:trPr>
                <w:trHeight w:val="20"/>
              </w:trPr>
              <w:tc>
                <w:tcPr>
                  <w:tcW w:w="2074" w:type="dxa"/>
                  <w:shd w:val="clear" w:color="auto" w:fill="auto"/>
                </w:tcPr>
                <w:p w14:paraId="16D17E56" w14:textId="77777777" w:rsidR="00EC2A96" w:rsidRPr="00727E86" w:rsidRDefault="00EC2A96" w:rsidP="00FB463E">
                  <w:pPr>
                    <w:rPr>
                      <w:rFonts w:cs="Arial"/>
                      <w:bCs/>
                    </w:rPr>
                  </w:pPr>
                  <w:r w:rsidRPr="00727E86">
                    <w:rPr>
                      <w:rFonts w:cs="Arial"/>
                      <w:bCs/>
                    </w:rPr>
                    <w:t>Aedes aegypti</w:t>
                  </w:r>
                </w:p>
                <w:p w14:paraId="7DE87032" w14:textId="77777777" w:rsidR="00EC2A96" w:rsidRPr="00FB463E" w:rsidRDefault="00EC2A96" w:rsidP="00FB463E">
                  <w:pPr>
                    <w:rPr>
                      <w:rFonts w:cs="Arial"/>
                      <w:bCs/>
                    </w:rPr>
                  </w:pPr>
                  <w:r w:rsidRPr="00FB463E">
                    <w:rPr>
                      <w:rFonts w:cs="Arial"/>
                      <w:bCs/>
                    </w:rPr>
                    <w:t>Culex quinquefasciatus</w:t>
                  </w:r>
                </w:p>
                <w:p w14:paraId="59252EE4" w14:textId="77777777" w:rsidR="00EC2A96" w:rsidRPr="00FB463E" w:rsidRDefault="00EC2A96" w:rsidP="00FB463E">
                  <w:pPr>
                    <w:rPr>
                      <w:rFonts w:cs="Arial"/>
                      <w:bCs/>
                    </w:rPr>
                  </w:pPr>
                  <w:r w:rsidRPr="00FB463E">
                    <w:rPr>
                      <w:rFonts w:cs="Arial"/>
                      <w:bCs/>
                    </w:rPr>
                    <w:t>Aedes albopictus</w:t>
                  </w:r>
                </w:p>
                <w:p w14:paraId="0284BD12" w14:textId="77777777" w:rsidR="00EC2A96" w:rsidRPr="00FB463E" w:rsidRDefault="00EC2A96" w:rsidP="00FB463E">
                  <w:pPr>
                    <w:rPr>
                      <w:rFonts w:cs="Arial"/>
                      <w:bCs/>
                    </w:rPr>
                  </w:pPr>
                  <w:r w:rsidRPr="00FB463E">
                    <w:rPr>
                      <w:rFonts w:cs="Arial"/>
                      <w:bCs/>
                    </w:rPr>
                    <w:t>Anopheles gambia</w:t>
                  </w:r>
                </w:p>
              </w:tc>
              <w:tc>
                <w:tcPr>
                  <w:tcW w:w="2074" w:type="dxa"/>
                  <w:shd w:val="clear" w:color="auto" w:fill="auto"/>
                </w:tcPr>
                <w:p w14:paraId="3955FFA8" w14:textId="77777777" w:rsidR="00EC2A96" w:rsidRPr="00FB463E" w:rsidRDefault="00EC2A96" w:rsidP="00FB463E">
                  <w:pPr>
                    <w:rPr>
                      <w:rFonts w:cs="Arial"/>
                      <w:bCs/>
                    </w:rPr>
                  </w:pPr>
                  <w:r w:rsidRPr="00FB463E">
                    <w:rPr>
                      <w:rFonts w:cs="Arial"/>
                      <w:bCs/>
                    </w:rPr>
                    <w:t>Aedes spp.</w:t>
                  </w:r>
                </w:p>
                <w:p w14:paraId="333D98A4" w14:textId="77777777" w:rsidR="00EC2A96" w:rsidRPr="00FB463E" w:rsidRDefault="00EC2A96" w:rsidP="00FB463E">
                  <w:pPr>
                    <w:rPr>
                      <w:rFonts w:cs="Arial"/>
                      <w:bCs/>
                    </w:rPr>
                  </w:pPr>
                  <w:r w:rsidRPr="00FB463E">
                    <w:rPr>
                      <w:rFonts w:cs="Arial"/>
                      <w:bCs/>
                    </w:rPr>
                    <w:t>Culex spp.</w:t>
                  </w:r>
                </w:p>
                <w:p w14:paraId="5D15966E" w14:textId="77777777" w:rsidR="00EC2A96" w:rsidRPr="00727E86" w:rsidRDefault="00EC2A96" w:rsidP="00FB463E">
                  <w:pPr>
                    <w:rPr>
                      <w:rFonts w:cs="Arial"/>
                      <w:bCs/>
                    </w:rPr>
                  </w:pPr>
                  <w:r w:rsidRPr="00FB463E">
                    <w:rPr>
                      <w:rFonts w:cs="Arial"/>
                      <w:bCs/>
                    </w:rPr>
                    <w:t>Anopheles spp.</w:t>
                  </w:r>
                </w:p>
                <w:p w14:paraId="2038E569" w14:textId="77777777" w:rsidR="00EC2A96" w:rsidRPr="00762A41" w:rsidRDefault="00EC2A96" w:rsidP="00FB463E">
                  <w:pPr>
                    <w:rPr>
                      <w:rFonts w:cs="Arial"/>
                      <w:bCs/>
                    </w:rPr>
                  </w:pPr>
                </w:p>
              </w:tc>
              <w:tc>
                <w:tcPr>
                  <w:tcW w:w="2075" w:type="dxa"/>
                  <w:shd w:val="clear" w:color="auto" w:fill="auto"/>
                </w:tcPr>
                <w:p w14:paraId="41C5B2C1" w14:textId="77777777" w:rsidR="00EC2A96" w:rsidRPr="00762A41" w:rsidRDefault="00EC2A96" w:rsidP="00FB463E">
                  <w:pPr>
                    <w:rPr>
                      <w:rFonts w:cs="Arial"/>
                      <w:bCs/>
                    </w:rPr>
                  </w:pPr>
                  <w:r w:rsidRPr="00762A41">
                    <w:rPr>
                      <w:rFonts w:cs="Arial"/>
                      <w:bCs/>
                    </w:rPr>
                    <w:t>Adults</w:t>
                  </w:r>
                </w:p>
              </w:tc>
            </w:tr>
          </w:tbl>
          <w:p w14:paraId="11C62642" w14:textId="77777777" w:rsidR="00EC2A96" w:rsidRPr="00FB463E" w:rsidRDefault="00EC2A96" w:rsidP="00FB463E">
            <w:pPr>
              <w:rPr>
                <w:rFonts w:cs="Arial"/>
                <w:b/>
                <w:bCs/>
              </w:rPr>
            </w:pPr>
          </w:p>
        </w:tc>
      </w:tr>
      <w:tr w:rsidR="00EC2A96" w:rsidRPr="00FB5291" w14:paraId="2ADC6D06"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5B800CD" w14:textId="77777777" w:rsidR="00EC2A96" w:rsidRPr="00FB463E" w:rsidRDefault="00EC2A96" w:rsidP="00FB463E">
            <w:pPr>
              <w:rPr>
                <w:rFonts w:cs="Arial"/>
                <w:bCs/>
              </w:rPr>
            </w:pPr>
            <w:r w:rsidRPr="00727E86">
              <w:rPr>
                <w:rFonts w:cs="Arial"/>
                <w:bCs/>
              </w:rPr>
              <w:t>Field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F03ABA3" w14:textId="77777777" w:rsidR="00EC2A96" w:rsidRPr="00727E86" w:rsidRDefault="00EC2A96" w:rsidP="00FB463E">
            <w:pPr>
              <w:rPr>
                <w:rFonts w:cs="Arial"/>
                <w:bCs/>
              </w:rPr>
            </w:pPr>
            <w:r w:rsidRPr="00727E86">
              <w:rPr>
                <w:rFonts w:cs="Arial"/>
                <w:bCs/>
              </w:rPr>
              <w:t>Indoor use</w:t>
            </w:r>
          </w:p>
        </w:tc>
      </w:tr>
      <w:tr w:rsidR="00EC2A96" w:rsidRPr="00FB5291" w14:paraId="54794CBB"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54F4CBB" w14:textId="77777777" w:rsidR="00EC2A96" w:rsidRPr="00FB463E" w:rsidRDefault="00EC2A96" w:rsidP="00FB463E">
            <w:pPr>
              <w:rPr>
                <w:rFonts w:cs="Arial"/>
                <w:bCs/>
              </w:rPr>
            </w:pPr>
            <w:r w:rsidRPr="00727E86">
              <w:rPr>
                <w:rFonts w:cs="Arial"/>
                <w:bC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E3F7BB3" w14:textId="77777777" w:rsidR="00EC2A96" w:rsidRPr="00FB463E" w:rsidRDefault="00EC2A96" w:rsidP="00FB463E">
            <w:pPr>
              <w:rPr>
                <w:rFonts w:cs="Arial"/>
                <w:bCs/>
              </w:rPr>
            </w:pPr>
            <w:r w:rsidRPr="00FB463E">
              <w:rPr>
                <w:rFonts w:cs="Arial"/>
                <w:bCs/>
              </w:rPr>
              <w:t>Spraying: The ready to use product is a pump spray which is sprayed directly onto the textile.</w:t>
            </w:r>
          </w:p>
        </w:tc>
      </w:tr>
      <w:tr w:rsidR="00EC2A96" w:rsidRPr="00FB5291" w14:paraId="7786A81D"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C817F72" w14:textId="77777777" w:rsidR="00EC2A96" w:rsidRPr="00FB463E" w:rsidRDefault="00EC2A96" w:rsidP="00FB463E">
            <w:pPr>
              <w:rPr>
                <w:rFonts w:cs="Arial"/>
                <w:bCs/>
              </w:rPr>
            </w:pPr>
            <w:r w:rsidRPr="00727E86">
              <w:rPr>
                <w:rFonts w:cs="Arial"/>
                <w:bC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F030644" w14:textId="77777777" w:rsidR="00EC2A96" w:rsidRPr="00727E86" w:rsidRDefault="00EC2A96" w:rsidP="00FB463E">
            <w:pPr>
              <w:rPr>
                <w:rFonts w:cs="Arial"/>
                <w:bCs/>
              </w:rPr>
            </w:pPr>
            <w:r w:rsidRPr="00727E86">
              <w:rPr>
                <w:rFonts w:cs="Arial"/>
                <w:bCs/>
              </w:rPr>
              <w:t>RTU leave-on product.</w:t>
            </w:r>
          </w:p>
          <w:p w14:paraId="52142DFA" w14:textId="77777777" w:rsidR="00EC2A96" w:rsidRPr="00762A41" w:rsidRDefault="00EC2A96" w:rsidP="00FB463E">
            <w:pPr>
              <w:rPr>
                <w:rFonts w:cs="Arial"/>
                <w:bCs/>
              </w:rPr>
            </w:pPr>
          </w:p>
          <w:p w14:paraId="6B34B067" w14:textId="77777777" w:rsidR="00EC2A96" w:rsidRPr="00762A41" w:rsidRDefault="00EC2A96" w:rsidP="00FB463E">
            <w:pPr>
              <w:rPr>
                <w:rFonts w:cs="Arial"/>
                <w:bCs/>
              </w:rPr>
            </w:pPr>
            <w:r w:rsidRPr="00762A41">
              <w:rPr>
                <w:rFonts w:cs="Arial"/>
                <w:bCs/>
              </w:rPr>
              <w:t>Timing:</w:t>
            </w:r>
          </w:p>
          <w:p w14:paraId="5F603E6D" w14:textId="77777777" w:rsidR="00EC2A96" w:rsidRPr="00762A41" w:rsidRDefault="00EC2A96" w:rsidP="00FB463E">
            <w:pPr>
              <w:pStyle w:val="Paragraphedeliste"/>
              <w:numPr>
                <w:ilvl w:val="0"/>
                <w:numId w:val="28"/>
              </w:numPr>
              <w:spacing w:before="0" w:after="0"/>
              <w:contextualSpacing w:val="0"/>
              <w:rPr>
                <w:rFonts w:cs="Arial"/>
                <w:bCs/>
              </w:rPr>
            </w:pPr>
            <w:r w:rsidRPr="00762A41">
              <w:rPr>
                <w:rFonts w:cs="Arial"/>
                <w:bCs/>
              </w:rPr>
              <w:t>Clothes should be treated every 30 days or after their washing</w:t>
            </w:r>
          </w:p>
          <w:p w14:paraId="0A47C1BB" w14:textId="77777777" w:rsidR="00EC2A96" w:rsidRPr="00236917" w:rsidRDefault="00EC2A96" w:rsidP="00FB463E">
            <w:pPr>
              <w:rPr>
                <w:rFonts w:cs="Arial"/>
                <w:bCs/>
              </w:rPr>
            </w:pPr>
          </w:p>
          <w:p w14:paraId="7DDFC625" w14:textId="77777777" w:rsidR="00EC2A96" w:rsidRPr="00BE57B2" w:rsidRDefault="00EC2A96" w:rsidP="00FB463E">
            <w:pPr>
              <w:rPr>
                <w:rFonts w:cs="Arial"/>
                <w:bCs/>
              </w:rPr>
            </w:pPr>
            <w:r w:rsidRPr="00BE57B2">
              <w:rPr>
                <w:rFonts w:cs="Arial"/>
                <w:bCs/>
              </w:rPr>
              <w:t>Dose per application:</w:t>
            </w:r>
          </w:p>
          <w:p w14:paraId="0CC187E2" w14:textId="77777777" w:rsidR="00EC2A96" w:rsidRPr="00727E86" w:rsidRDefault="00EC2A96" w:rsidP="00FB463E">
            <w:pPr>
              <w:pStyle w:val="Paragraphedeliste"/>
              <w:numPr>
                <w:ilvl w:val="0"/>
                <w:numId w:val="28"/>
              </w:numPr>
              <w:spacing w:before="0" w:after="0"/>
              <w:contextualSpacing w:val="0"/>
              <w:rPr>
                <w:rFonts w:cs="Arial"/>
                <w:bCs/>
              </w:rPr>
            </w:pPr>
            <w:r w:rsidRPr="00727E86">
              <w:rPr>
                <w:rFonts w:cs="Arial"/>
                <w:bCs/>
              </w:rPr>
              <w:t xml:space="preserve">6.0 g/m² of fabric </w:t>
            </w:r>
          </w:p>
        </w:tc>
      </w:tr>
      <w:tr w:rsidR="00EC2A96" w:rsidRPr="00FB5291" w14:paraId="500629B7"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3EC5786" w14:textId="77777777" w:rsidR="00EC2A96" w:rsidRPr="00727E86" w:rsidRDefault="00EC2A96" w:rsidP="00FB463E">
            <w:pPr>
              <w:rPr>
                <w:rFonts w:cs="Arial"/>
                <w:bCs/>
              </w:rPr>
            </w:pPr>
            <w:r w:rsidRPr="00727E86">
              <w:rPr>
                <w:rFonts w:cs="Arial"/>
                <w:bC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CE6743E" w14:textId="77777777" w:rsidR="00EC2A96" w:rsidRPr="00727E86" w:rsidRDefault="00EC2A96" w:rsidP="00FB463E">
            <w:pPr>
              <w:rPr>
                <w:rFonts w:cs="Arial"/>
                <w:bCs/>
              </w:rPr>
            </w:pPr>
            <w:r w:rsidRPr="00727E86">
              <w:rPr>
                <w:rFonts w:cs="Arial"/>
                <w:bCs/>
              </w:rPr>
              <w:t>General public</w:t>
            </w:r>
          </w:p>
        </w:tc>
      </w:tr>
      <w:tr w:rsidR="00EC2A96" w:rsidRPr="00FB5291" w14:paraId="6EF8E1F3"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77B3E5B" w14:textId="77777777" w:rsidR="00EC2A96" w:rsidRPr="00727E86" w:rsidRDefault="00EC2A96" w:rsidP="00FB463E">
            <w:pPr>
              <w:rPr>
                <w:rFonts w:cs="Arial"/>
                <w:bCs/>
                <w:lang w:val="en-US"/>
              </w:rPr>
            </w:pPr>
            <w:r w:rsidRPr="00727E86">
              <w:rPr>
                <w:rFonts w:cs="Arial"/>
                <w:bC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27E86" w14:paraId="31293A3D" w14:textId="77777777" w:rsidTr="00EC2A96">
              <w:tc>
                <w:tcPr>
                  <w:tcW w:w="2074" w:type="dxa"/>
                  <w:shd w:val="clear" w:color="auto" w:fill="auto"/>
                </w:tcPr>
                <w:p w14:paraId="6E13D99C" w14:textId="77777777" w:rsidR="00EC2A96" w:rsidRPr="00727E86" w:rsidRDefault="00EC2A96" w:rsidP="00FB463E">
                  <w:pPr>
                    <w:rPr>
                      <w:rFonts w:cs="Arial"/>
                      <w:b/>
                      <w:bCs/>
                    </w:rPr>
                  </w:pPr>
                  <w:r w:rsidRPr="00727E86">
                    <w:rPr>
                      <w:rFonts w:cs="Arial"/>
                      <w:b/>
                      <w:bCs/>
                    </w:rPr>
                    <w:t>Type</w:t>
                  </w:r>
                </w:p>
              </w:tc>
              <w:tc>
                <w:tcPr>
                  <w:tcW w:w="2074" w:type="dxa"/>
                  <w:shd w:val="clear" w:color="auto" w:fill="auto"/>
                </w:tcPr>
                <w:p w14:paraId="0A902A7D" w14:textId="77777777" w:rsidR="00EC2A96" w:rsidRPr="00762A41" w:rsidRDefault="00EC2A96" w:rsidP="00FB463E">
                  <w:pPr>
                    <w:rPr>
                      <w:rFonts w:cs="Arial"/>
                      <w:b/>
                      <w:bCs/>
                    </w:rPr>
                  </w:pPr>
                  <w:r w:rsidRPr="00762A41">
                    <w:rPr>
                      <w:rFonts w:cs="Arial"/>
                      <w:b/>
                      <w:bCs/>
                    </w:rPr>
                    <w:t>Material</w:t>
                  </w:r>
                </w:p>
              </w:tc>
              <w:tc>
                <w:tcPr>
                  <w:tcW w:w="2075" w:type="dxa"/>
                  <w:shd w:val="clear" w:color="auto" w:fill="auto"/>
                </w:tcPr>
                <w:p w14:paraId="57BAB7C7" w14:textId="77777777" w:rsidR="00EC2A96" w:rsidRPr="00762A41" w:rsidRDefault="00EC2A96" w:rsidP="00FB463E">
                  <w:pPr>
                    <w:rPr>
                      <w:rFonts w:cs="Arial"/>
                      <w:b/>
                      <w:bCs/>
                    </w:rPr>
                  </w:pPr>
                  <w:r w:rsidRPr="00762A41">
                    <w:rPr>
                      <w:rFonts w:cs="Arial"/>
                      <w:b/>
                      <w:bCs/>
                    </w:rPr>
                    <w:t>Size</w:t>
                  </w:r>
                </w:p>
              </w:tc>
            </w:tr>
            <w:tr w:rsidR="00EC2A96" w:rsidRPr="00727E86" w14:paraId="1122768D" w14:textId="77777777" w:rsidTr="00EC2A96">
              <w:tc>
                <w:tcPr>
                  <w:tcW w:w="2074" w:type="dxa"/>
                  <w:shd w:val="clear" w:color="auto" w:fill="auto"/>
                </w:tcPr>
                <w:p w14:paraId="15AC140C" w14:textId="77777777" w:rsidR="00EC2A96" w:rsidRPr="00FB463E" w:rsidRDefault="00EC2A96" w:rsidP="00FB463E">
                  <w:pPr>
                    <w:rPr>
                      <w:rFonts w:cs="Arial"/>
                      <w:bCs/>
                      <w:lang w:val="en-US"/>
                    </w:rPr>
                  </w:pPr>
                  <w:r w:rsidRPr="00FB463E">
                    <w:rPr>
                      <w:rFonts w:cs="Arial"/>
                      <w:bCs/>
                      <w:lang w:val="en-US"/>
                    </w:rPr>
                    <w:t>Bottle with a pump spray head</w:t>
                  </w:r>
                </w:p>
              </w:tc>
              <w:tc>
                <w:tcPr>
                  <w:tcW w:w="2074" w:type="dxa"/>
                  <w:shd w:val="clear" w:color="auto" w:fill="auto"/>
                </w:tcPr>
                <w:p w14:paraId="0589DAB1" w14:textId="77777777" w:rsidR="00EC2A96" w:rsidRPr="00FB463E" w:rsidRDefault="00EC2A96" w:rsidP="00FB463E">
                  <w:pPr>
                    <w:rPr>
                      <w:rFonts w:cs="Arial"/>
                      <w:bCs/>
                      <w:lang w:val="en-US"/>
                    </w:rPr>
                  </w:pPr>
                  <w:r w:rsidRPr="00FB463E">
                    <w:rPr>
                      <w:rFonts w:cs="Arial"/>
                      <w:bCs/>
                      <w:lang w:val="en-US"/>
                    </w:rPr>
                    <w:t>Plastic: HDPE</w:t>
                  </w:r>
                </w:p>
              </w:tc>
              <w:tc>
                <w:tcPr>
                  <w:tcW w:w="2075" w:type="dxa"/>
                  <w:shd w:val="clear" w:color="auto" w:fill="auto"/>
                </w:tcPr>
                <w:p w14:paraId="149772F9" w14:textId="77777777" w:rsidR="00EC2A96" w:rsidRPr="00FB463E" w:rsidRDefault="00EC2A96" w:rsidP="00FB463E">
                  <w:pPr>
                    <w:rPr>
                      <w:rFonts w:cs="Arial"/>
                      <w:bCs/>
                      <w:lang w:val="en-US"/>
                    </w:rPr>
                  </w:pPr>
                  <w:r w:rsidRPr="00FB463E">
                    <w:rPr>
                      <w:rFonts w:cs="Arial"/>
                      <w:bCs/>
                      <w:lang w:val="en-US"/>
                    </w:rPr>
                    <w:t>100 to 250 mL</w:t>
                  </w:r>
                </w:p>
              </w:tc>
            </w:tr>
          </w:tbl>
          <w:p w14:paraId="722ACC9F" w14:textId="77777777" w:rsidR="00EC2A96" w:rsidRPr="00727E86" w:rsidRDefault="00EC2A96" w:rsidP="0053704B">
            <w:pPr>
              <w:shd w:val="clear" w:color="auto" w:fill="D9D9D9" w:themeFill="background1" w:themeFillShade="D9"/>
              <w:rPr>
                <w:rFonts w:cs="Arial"/>
                <w:bCs/>
              </w:rPr>
            </w:pPr>
          </w:p>
        </w:tc>
      </w:tr>
    </w:tbl>
    <w:p w14:paraId="5D012096" w14:textId="77777777" w:rsidR="00EC2A96" w:rsidRPr="00C0613A" w:rsidRDefault="00EC2A96" w:rsidP="00FB463E">
      <w:pPr>
        <w:pStyle w:val="Absatz"/>
      </w:pPr>
    </w:p>
    <w:p w14:paraId="0F4BF755" w14:textId="27DAAE76" w:rsidR="00EC2A96" w:rsidRPr="00671A6D" w:rsidRDefault="00EC2A96" w:rsidP="00FB463E">
      <w:pPr>
        <w:pStyle w:val="Lgende"/>
        <w:spacing w:after="120"/>
        <w:ind w:left="0" w:firstLine="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752A50">
        <w:rPr>
          <w:rFonts w:ascii="Verdana" w:hAnsi="Verdana"/>
          <w:noProof/>
        </w:rPr>
        <w:t>4</w:t>
      </w:r>
      <w:r w:rsidRPr="00671A6D">
        <w:rPr>
          <w:rFonts w:ascii="Verdana" w:hAnsi="Verdana"/>
        </w:rPr>
        <w:fldChar w:fldCharType="end"/>
      </w:r>
      <w:r w:rsidRPr="00671A6D">
        <w:rPr>
          <w:rFonts w:ascii="Verdana" w:hAnsi="Verdana"/>
        </w:rPr>
        <w:t xml:space="preserve">. </w:t>
      </w:r>
      <w:r>
        <w:rPr>
          <w:rFonts w:ascii="Verdana" w:hAnsi="Verdana"/>
        </w:rPr>
        <w:t>Intended u</w:t>
      </w:r>
      <w:r w:rsidRPr="00671A6D">
        <w:rPr>
          <w:rFonts w:ascii="Verdana" w:hAnsi="Verdana"/>
        </w:rPr>
        <w:t xml:space="preserve">se # </w:t>
      </w:r>
      <w:r>
        <w:rPr>
          <w:rFonts w:ascii="Verdana" w:hAnsi="Verdana"/>
        </w:rPr>
        <w:t>4</w:t>
      </w:r>
      <w:r w:rsidRPr="00671A6D">
        <w:rPr>
          <w:rFonts w:ascii="Verdana" w:hAnsi="Verdana"/>
        </w:rPr>
        <w:t xml:space="preserve"> – </w:t>
      </w:r>
      <w:r>
        <w:rPr>
          <w:rFonts w:ascii="Verdana" w:hAnsi="Verdana"/>
        </w:rPr>
        <w:t>Spray for skin application to repel mosquitoes (general public)</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EC2A96" w:rsidRPr="00FB5291" w14:paraId="5B86F172" w14:textId="77777777" w:rsidTr="00EC2A9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05C2D60" w14:textId="77777777" w:rsidR="00EC2A96" w:rsidRPr="00FB5291" w:rsidRDefault="00EC2A96" w:rsidP="00FB463E">
            <w:pPr>
              <w:rPr>
                <w:rFonts w:cs="Arial"/>
                <w:bCs/>
                <w:lang w:val="de-DE"/>
              </w:rPr>
            </w:pPr>
            <w:r w:rsidRPr="00FB5291">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1B45B03E" w14:textId="77777777" w:rsidR="00EC2A96" w:rsidRPr="00FB5291" w:rsidRDefault="00EC2A96" w:rsidP="00FB463E">
            <w:pPr>
              <w:rPr>
                <w:rFonts w:cs="Arial"/>
                <w:bCs/>
                <w:lang w:val="de-DE"/>
              </w:rPr>
            </w:pPr>
            <w:r w:rsidRPr="009B6579">
              <w:rPr>
                <w:rFonts w:cs="Arial"/>
                <w:bCs/>
                <w:lang w:val="de-DE"/>
              </w:rPr>
              <w:t>PT19 – Repellents and attractants (Pest control)</w:t>
            </w:r>
          </w:p>
        </w:tc>
      </w:tr>
      <w:tr w:rsidR="00EC2A96" w:rsidRPr="00FB5291" w14:paraId="4B764AED"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2E981B9" w14:textId="77777777" w:rsidR="00EC2A96" w:rsidRPr="00FB5291" w:rsidRDefault="00EC2A96" w:rsidP="00FB463E">
            <w:pPr>
              <w:rPr>
                <w:rFonts w:cs="Arial"/>
                <w:bCs/>
                <w:lang w:val="en-US"/>
              </w:rPr>
            </w:pPr>
            <w:r w:rsidRPr="00FB5291">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2271D8" w14:textId="77777777" w:rsidR="00EC2A96" w:rsidRPr="00FB5291" w:rsidRDefault="00EC2A96" w:rsidP="00FB463E">
            <w:pPr>
              <w:rPr>
                <w:rFonts w:cs="Arial"/>
                <w:bCs/>
              </w:rPr>
            </w:pPr>
            <w:r w:rsidRPr="009B6579">
              <w:rPr>
                <w:rFonts w:cs="Arial"/>
                <w:bCs/>
              </w:rPr>
              <w:t>Repellent</w:t>
            </w:r>
          </w:p>
        </w:tc>
      </w:tr>
      <w:tr w:rsidR="00EC2A96" w:rsidRPr="00FB5291" w14:paraId="5936BA8C"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4254FAD" w14:textId="77777777" w:rsidR="00EC2A96" w:rsidRPr="00FB5291" w:rsidRDefault="00EC2A96" w:rsidP="00FB463E">
            <w:pPr>
              <w:rPr>
                <w:rFonts w:cs="Arial"/>
                <w:bCs/>
                <w:lang w:val="en-US"/>
              </w:rPr>
            </w:pPr>
            <w:r w:rsidRPr="00FB5291">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7257C" w14:paraId="756A9CFE" w14:textId="77777777" w:rsidTr="00EC2A96">
              <w:tc>
                <w:tcPr>
                  <w:tcW w:w="2074" w:type="dxa"/>
                  <w:shd w:val="clear" w:color="auto" w:fill="auto"/>
                </w:tcPr>
                <w:p w14:paraId="766E50B3" w14:textId="77777777" w:rsidR="00EC2A96" w:rsidRPr="0077257C" w:rsidRDefault="00EC2A96" w:rsidP="00FB463E">
                  <w:pPr>
                    <w:rPr>
                      <w:rFonts w:cs="Arial"/>
                      <w:b/>
                      <w:bCs/>
                    </w:rPr>
                  </w:pPr>
                  <w:r w:rsidRPr="0077257C">
                    <w:rPr>
                      <w:rFonts w:cs="Arial"/>
                      <w:b/>
                      <w:bCs/>
                    </w:rPr>
                    <w:t>Scientific name</w:t>
                  </w:r>
                </w:p>
              </w:tc>
              <w:tc>
                <w:tcPr>
                  <w:tcW w:w="2074" w:type="dxa"/>
                  <w:shd w:val="clear" w:color="auto" w:fill="auto"/>
                </w:tcPr>
                <w:p w14:paraId="011ACD5B" w14:textId="77777777" w:rsidR="00EC2A96" w:rsidRPr="0077257C" w:rsidRDefault="00EC2A96" w:rsidP="00FB463E">
                  <w:pPr>
                    <w:rPr>
                      <w:rFonts w:cs="Arial"/>
                      <w:b/>
                      <w:bCs/>
                    </w:rPr>
                  </w:pPr>
                  <w:r w:rsidRPr="0077257C">
                    <w:rPr>
                      <w:rFonts w:cs="Arial"/>
                      <w:b/>
                      <w:bCs/>
                    </w:rPr>
                    <w:t>Common name</w:t>
                  </w:r>
                </w:p>
              </w:tc>
              <w:tc>
                <w:tcPr>
                  <w:tcW w:w="2075" w:type="dxa"/>
                  <w:shd w:val="clear" w:color="auto" w:fill="auto"/>
                </w:tcPr>
                <w:p w14:paraId="7C44C5F1" w14:textId="77777777" w:rsidR="00EC2A96" w:rsidRPr="0077257C" w:rsidRDefault="00EC2A96" w:rsidP="00FB463E">
                  <w:pPr>
                    <w:rPr>
                      <w:rFonts w:cs="Arial"/>
                      <w:b/>
                      <w:bCs/>
                    </w:rPr>
                  </w:pPr>
                  <w:r w:rsidRPr="0077257C">
                    <w:rPr>
                      <w:rFonts w:cs="Arial"/>
                      <w:b/>
                      <w:bCs/>
                    </w:rPr>
                    <w:t>Development stage</w:t>
                  </w:r>
                </w:p>
              </w:tc>
            </w:tr>
            <w:tr w:rsidR="00EC2A96" w:rsidRPr="0077257C" w14:paraId="46B15C3F" w14:textId="77777777" w:rsidTr="00EC2A96">
              <w:tc>
                <w:tcPr>
                  <w:tcW w:w="2074" w:type="dxa"/>
                  <w:shd w:val="clear" w:color="auto" w:fill="auto"/>
                </w:tcPr>
                <w:p w14:paraId="1615BDFA" w14:textId="77777777" w:rsidR="00EC2A96" w:rsidRPr="003F77BE" w:rsidRDefault="00EC2A96" w:rsidP="00FB463E">
                  <w:pPr>
                    <w:rPr>
                      <w:rFonts w:cs="Arial"/>
                      <w:bCs/>
                    </w:rPr>
                  </w:pPr>
                  <w:r w:rsidRPr="003F77BE">
                    <w:rPr>
                      <w:rFonts w:cs="Arial"/>
                      <w:bCs/>
                    </w:rPr>
                    <w:t>Aedes aegypti</w:t>
                  </w:r>
                </w:p>
                <w:p w14:paraId="5B25E37B" w14:textId="77777777" w:rsidR="00EC2A96" w:rsidRPr="003F77BE" w:rsidRDefault="00EC2A96" w:rsidP="00FB463E">
                  <w:pPr>
                    <w:rPr>
                      <w:rFonts w:cs="Arial"/>
                      <w:bCs/>
                      <w:i/>
                    </w:rPr>
                  </w:pPr>
                  <w:r w:rsidRPr="003F77BE">
                    <w:rPr>
                      <w:rFonts w:cs="Arial"/>
                      <w:bCs/>
                      <w:i/>
                    </w:rPr>
                    <w:t>Culex quinquefasciatus</w:t>
                  </w:r>
                </w:p>
                <w:p w14:paraId="5794C059" w14:textId="77777777" w:rsidR="00EC2A96" w:rsidRPr="003F77BE" w:rsidRDefault="00EC2A96" w:rsidP="00FB463E">
                  <w:pPr>
                    <w:rPr>
                      <w:rFonts w:cs="Arial"/>
                      <w:bCs/>
                      <w:i/>
                    </w:rPr>
                  </w:pPr>
                  <w:r w:rsidRPr="003F77BE">
                    <w:rPr>
                      <w:rFonts w:cs="Arial"/>
                      <w:bCs/>
                      <w:i/>
                    </w:rPr>
                    <w:t>Aedes albopictus</w:t>
                  </w:r>
                </w:p>
                <w:p w14:paraId="00A3E7EF" w14:textId="77777777" w:rsidR="00EC2A96" w:rsidRPr="0077257C" w:rsidRDefault="00EC2A96" w:rsidP="00FB463E">
                  <w:pPr>
                    <w:rPr>
                      <w:rFonts w:cs="Arial"/>
                      <w:bCs/>
                      <w:i/>
                    </w:rPr>
                  </w:pPr>
                  <w:r w:rsidRPr="003F77BE">
                    <w:rPr>
                      <w:rFonts w:cs="Arial"/>
                      <w:bCs/>
                      <w:i/>
                    </w:rPr>
                    <w:t>Anopheles gambia</w:t>
                  </w:r>
                </w:p>
              </w:tc>
              <w:tc>
                <w:tcPr>
                  <w:tcW w:w="2074" w:type="dxa"/>
                  <w:shd w:val="clear" w:color="auto" w:fill="auto"/>
                </w:tcPr>
                <w:p w14:paraId="2B0567E2" w14:textId="77777777" w:rsidR="00EC2A96" w:rsidRPr="003F77BE" w:rsidRDefault="00EC2A96" w:rsidP="00FB463E">
                  <w:pPr>
                    <w:rPr>
                      <w:rFonts w:cs="Arial"/>
                      <w:bCs/>
                      <w:i/>
                    </w:rPr>
                  </w:pPr>
                  <w:r w:rsidRPr="003F77BE">
                    <w:rPr>
                      <w:rFonts w:cs="Arial"/>
                      <w:bCs/>
                      <w:i/>
                    </w:rPr>
                    <w:t>Aedes spp.</w:t>
                  </w:r>
                </w:p>
                <w:p w14:paraId="096F1B74" w14:textId="77777777" w:rsidR="00EC2A96" w:rsidRPr="003F77BE" w:rsidRDefault="00EC2A96" w:rsidP="00FB463E">
                  <w:pPr>
                    <w:rPr>
                      <w:rFonts w:cs="Arial"/>
                      <w:bCs/>
                      <w:i/>
                    </w:rPr>
                  </w:pPr>
                  <w:r w:rsidRPr="003F77BE">
                    <w:rPr>
                      <w:rFonts w:cs="Arial"/>
                      <w:bCs/>
                      <w:i/>
                    </w:rPr>
                    <w:t>Culex spp.</w:t>
                  </w:r>
                </w:p>
                <w:p w14:paraId="067CE1A9" w14:textId="77777777" w:rsidR="00EC2A96" w:rsidRPr="0077257C" w:rsidRDefault="00EC2A96" w:rsidP="00FB463E">
                  <w:pPr>
                    <w:rPr>
                      <w:rFonts w:cs="Arial"/>
                      <w:bCs/>
                    </w:rPr>
                  </w:pPr>
                  <w:r w:rsidRPr="003F77BE">
                    <w:rPr>
                      <w:rFonts w:cs="Arial"/>
                      <w:bCs/>
                      <w:i/>
                    </w:rPr>
                    <w:t>Anopheles spp.</w:t>
                  </w:r>
                </w:p>
              </w:tc>
              <w:tc>
                <w:tcPr>
                  <w:tcW w:w="2075" w:type="dxa"/>
                  <w:shd w:val="clear" w:color="auto" w:fill="auto"/>
                </w:tcPr>
                <w:p w14:paraId="7FE9C82D" w14:textId="77777777" w:rsidR="00EC2A96" w:rsidRPr="0077257C" w:rsidRDefault="00EC2A96" w:rsidP="00FB463E">
                  <w:pPr>
                    <w:rPr>
                      <w:rFonts w:cs="Arial"/>
                      <w:bCs/>
                    </w:rPr>
                  </w:pPr>
                  <w:r w:rsidRPr="003F77BE">
                    <w:rPr>
                      <w:rFonts w:cs="Arial"/>
                      <w:bCs/>
                    </w:rPr>
                    <w:t>Adults</w:t>
                  </w:r>
                </w:p>
              </w:tc>
            </w:tr>
          </w:tbl>
          <w:p w14:paraId="1D2CC2B7" w14:textId="77777777" w:rsidR="00EC2A96" w:rsidRPr="00FB5291" w:rsidRDefault="00EC2A96" w:rsidP="00FB463E">
            <w:pPr>
              <w:rPr>
                <w:rFonts w:cs="Arial"/>
                <w:bCs/>
              </w:rPr>
            </w:pPr>
          </w:p>
        </w:tc>
      </w:tr>
      <w:tr w:rsidR="00EC2A96" w:rsidRPr="00FB5291" w14:paraId="6247883B"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39F856C" w14:textId="77777777" w:rsidR="00EC2A96" w:rsidRPr="00FB463E" w:rsidRDefault="00EC2A96" w:rsidP="00FB463E">
            <w:pPr>
              <w:rPr>
                <w:rFonts w:cs="Arial"/>
                <w:bCs/>
                <w:lang w:val="en-US"/>
              </w:rPr>
            </w:pPr>
            <w:r w:rsidRPr="00FB463E">
              <w:rPr>
                <w:rFonts w:cs="Arial"/>
                <w:bCs/>
                <w:lang w:val="en-US"/>
              </w:rPr>
              <w:t>Field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9CE3DAD" w14:textId="77777777" w:rsidR="00EC2A96" w:rsidRPr="00FB463E" w:rsidRDefault="00EC2A96" w:rsidP="00FB463E">
            <w:pPr>
              <w:rPr>
                <w:rFonts w:cs="Arial"/>
                <w:bCs/>
                <w:lang w:val="en-US"/>
              </w:rPr>
            </w:pPr>
            <w:r w:rsidRPr="00FB463E">
              <w:rPr>
                <w:rFonts w:cs="Arial"/>
                <w:bCs/>
                <w:lang w:val="en-US"/>
              </w:rPr>
              <w:t>Indoor use</w:t>
            </w:r>
          </w:p>
          <w:p w14:paraId="3820ED97" w14:textId="77777777" w:rsidR="00EC2A96" w:rsidRPr="00FB463E" w:rsidRDefault="00EC2A96" w:rsidP="00FB463E">
            <w:pPr>
              <w:rPr>
                <w:rFonts w:cs="Arial"/>
                <w:bCs/>
                <w:lang w:val="en-US"/>
              </w:rPr>
            </w:pPr>
            <w:r w:rsidRPr="00FB463E">
              <w:rPr>
                <w:rFonts w:cs="Arial"/>
                <w:bCs/>
                <w:lang w:val="en-US"/>
              </w:rPr>
              <w:t>Outdoor use</w:t>
            </w:r>
          </w:p>
        </w:tc>
      </w:tr>
      <w:tr w:rsidR="00EC2A96" w:rsidRPr="00FB5291" w14:paraId="48103F0E"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D42191F" w14:textId="77777777" w:rsidR="00EC2A96" w:rsidRPr="00FB463E" w:rsidRDefault="00EC2A96" w:rsidP="00FB463E">
            <w:pPr>
              <w:rPr>
                <w:rFonts w:cs="Arial"/>
                <w:bCs/>
                <w:lang w:val="en-US"/>
              </w:rPr>
            </w:pPr>
            <w:r w:rsidRPr="00FB463E">
              <w:rPr>
                <w:rFonts w:cs="Arial"/>
                <w:bCs/>
                <w:lang w:val="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BCAA45D" w14:textId="77777777" w:rsidR="00EC2A96" w:rsidRPr="0030763C" w:rsidRDefault="00EC2A96" w:rsidP="00FB463E">
            <w:pPr>
              <w:rPr>
                <w:rFonts w:cs="Arial"/>
                <w:bCs/>
                <w:lang w:val="en-US"/>
              </w:rPr>
            </w:pPr>
            <w:r w:rsidRPr="0030763C">
              <w:rPr>
                <w:rFonts w:cs="Arial"/>
                <w:bCs/>
                <w:lang w:val="en-US"/>
              </w:rPr>
              <w:t>Spraying: The ready to use product is a pump spray which is sprayed</w:t>
            </w:r>
            <w:r>
              <w:rPr>
                <w:rFonts w:cs="Arial"/>
                <w:bCs/>
                <w:lang w:val="en-US"/>
              </w:rPr>
              <w:t xml:space="preserve"> </w:t>
            </w:r>
            <w:r w:rsidRPr="0030763C">
              <w:rPr>
                <w:rFonts w:cs="Arial"/>
                <w:bCs/>
                <w:lang w:val="en-US"/>
              </w:rPr>
              <w:t>directly on</w:t>
            </w:r>
            <w:r>
              <w:rPr>
                <w:rFonts w:cs="Arial"/>
                <w:bCs/>
                <w:lang w:val="en-US"/>
              </w:rPr>
              <w:t xml:space="preserve"> skin</w:t>
            </w:r>
            <w:r w:rsidRPr="0030763C">
              <w:rPr>
                <w:rFonts w:cs="Arial"/>
                <w:bCs/>
                <w:lang w:val="en-US"/>
              </w:rPr>
              <w:t>.</w:t>
            </w:r>
          </w:p>
        </w:tc>
      </w:tr>
      <w:tr w:rsidR="00EC2A96" w:rsidRPr="00FB5291" w14:paraId="73EC5E91"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24FC990" w14:textId="77777777" w:rsidR="00EC2A96" w:rsidRPr="00FB5291" w:rsidRDefault="00EC2A96" w:rsidP="00FB463E">
            <w:pPr>
              <w:rPr>
                <w:rFonts w:cs="Arial"/>
                <w:bCs/>
                <w:lang w:val="en-US"/>
              </w:rPr>
            </w:pPr>
            <w:r w:rsidRPr="00FB463E">
              <w:rPr>
                <w:rFonts w:cs="Arial"/>
                <w:bCs/>
                <w:lang w:val="en-US"/>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F46C1C" w14:textId="77777777" w:rsidR="00EC2A96" w:rsidRPr="00FB463E" w:rsidRDefault="00EC2A96" w:rsidP="00FB463E">
            <w:pPr>
              <w:rPr>
                <w:rFonts w:cs="Arial"/>
                <w:bCs/>
                <w:lang w:val="en-US"/>
              </w:rPr>
            </w:pPr>
            <w:r w:rsidRPr="00FB463E">
              <w:rPr>
                <w:rFonts w:cs="Arial"/>
                <w:bCs/>
                <w:lang w:val="en-US"/>
              </w:rPr>
              <w:t>RTU leave-on product.</w:t>
            </w:r>
          </w:p>
          <w:p w14:paraId="70E43CFE" w14:textId="77777777" w:rsidR="00EC2A96" w:rsidRPr="00FB463E" w:rsidRDefault="00EC2A96" w:rsidP="00FB463E">
            <w:pPr>
              <w:rPr>
                <w:rFonts w:cs="Arial"/>
                <w:bCs/>
                <w:lang w:val="en-US"/>
              </w:rPr>
            </w:pPr>
          </w:p>
          <w:p w14:paraId="7F04DFC5" w14:textId="77777777" w:rsidR="00EC2A96" w:rsidRPr="00FB463E" w:rsidRDefault="00EC2A96" w:rsidP="00FB463E">
            <w:pPr>
              <w:rPr>
                <w:rFonts w:cs="Arial"/>
                <w:bCs/>
                <w:lang w:val="en-US"/>
              </w:rPr>
            </w:pPr>
            <w:r w:rsidRPr="00FB463E">
              <w:rPr>
                <w:rFonts w:cs="Arial"/>
                <w:bCs/>
                <w:lang w:val="en-US"/>
              </w:rPr>
              <w:t>Timing for temperate conditions:</w:t>
            </w:r>
          </w:p>
          <w:p w14:paraId="79098060" w14:textId="77777777" w:rsidR="00EC2A96" w:rsidRPr="00FB463E" w:rsidRDefault="00EC2A96" w:rsidP="00FB463E">
            <w:pPr>
              <w:rPr>
                <w:rFonts w:cs="Arial"/>
                <w:bCs/>
                <w:lang w:val="en-US"/>
              </w:rPr>
            </w:pPr>
            <w:r w:rsidRPr="00FB463E">
              <w:rPr>
                <w:rFonts w:cs="Arial"/>
                <w:bCs/>
                <w:lang w:val="en-US"/>
              </w:rPr>
              <w:t>Child &gt;6 years old and adult: 2 applications per day,</w:t>
            </w:r>
          </w:p>
          <w:p w14:paraId="7C8ECDCB" w14:textId="77777777" w:rsidR="00EC2A96" w:rsidRPr="00FB463E" w:rsidRDefault="00EC2A96" w:rsidP="00FB463E">
            <w:pPr>
              <w:rPr>
                <w:rFonts w:cs="Arial"/>
                <w:bCs/>
                <w:lang w:val="en-US"/>
              </w:rPr>
            </w:pPr>
            <w:r w:rsidRPr="00FB463E">
              <w:rPr>
                <w:rFonts w:cs="Arial"/>
                <w:bCs/>
                <w:lang w:val="en-US"/>
              </w:rPr>
              <w:t>Child ≥ 6 months old-6 years: 1 application per day.</w:t>
            </w:r>
          </w:p>
          <w:p w14:paraId="0D79ECBF" w14:textId="77777777" w:rsidR="00EC2A96" w:rsidRPr="00FB463E" w:rsidRDefault="00EC2A96" w:rsidP="00FB463E">
            <w:pPr>
              <w:rPr>
                <w:rFonts w:cs="Arial"/>
                <w:bCs/>
                <w:lang w:val="en-US"/>
              </w:rPr>
            </w:pPr>
          </w:p>
          <w:p w14:paraId="197C0294" w14:textId="77777777" w:rsidR="00EC2A96" w:rsidRPr="00FB463E" w:rsidRDefault="00EC2A96" w:rsidP="00FB463E">
            <w:pPr>
              <w:rPr>
                <w:rFonts w:cs="Arial"/>
                <w:bCs/>
                <w:lang w:val="en-US"/>
              </w:rPr>
            </w:pPr>
            <w:r w:rsidRPr="00FB463E">
              <w:rPr>
                <w:rFonts w:cs="Arial"/>
                <w:bCs/>
                <w:lang w:val="en-US"/>
              </w:rPr>
              <w:t>Timing for tropical conditions:</w:t>
            </w:r>
          </w:p>
          <w:p w14:paraId="457B9B2B" w14:textId="77777777" w:rsidR="00EC2A96" w:rsidRPr="00FB463E" w:rsidRDefault="00EC2A96" w:rsidP="00FB463E">
            <w:pPr>
              <w:rPr>
                <w:rFonts w:cs="Arial"/>
                <w:bCs/>
                <w:lang w:val="en-US"/>
              </w:rPr>
            </w:pPr>
            <w:r w:rsidRPr="00FB463E">
              <w:rPr>
                <w:rFonts w:cs="Arial"/>
                <w:bCs/>
                <w:lang w:val="en-US"/>
              </w:rPr>
              <w:t>Child &gt;11 years old and adult: 2 applications per day,</w:t>
            </w:r>
          </w:p>
          <w:p w14:paraId="31FC8B53" w14:textId="77777777" w:rsidR="00EC2A96" w:rsidRPr="00FB463E" w:rsidRDefault="00EC2A96" w:rsidP="00FB463E">
            <w:pPr>
              <w:rPr>
                <w:rFonts w:cs="Arial"/>
                <w:bCs/>
                <w:lang w:val="en-US"/>
              </w:rPr>
            </w:pPr>
            <w:r w:rsidRPr="00FB463E">
              <w:rPr>
                <w:rFonts w:cs="Arial"/>
                <w:bCs/>
                <w:lang w:val="en-US"/>
              </w:rPr>
              <w:t>Child ≥ 6 months old-11 years: 1 application per day.</w:t>
            </w:r>
          </w:p>
          <w:p w14:paraId="4079CCAA" w14:textId="77777777" w:rsidR="00EC2A96" w:rsidRPr="00FB463E" w:rsidRDefault="00EC2A96" w:rsidP="00FB463E">
            <w:pPr>
              <w:rPr>
                <w:rFonts w:cs="Arial"/>
                <w:bCs/>
                <w:lang w:val="en-US"/>
              </w:rPr>
            </w:pPr>
          </w:p>
          <w:p w14:paraId="1BAD639C" w14:textId="77777777" w:rsidR="00EC2A96" w:rsidRPr="00FB463E" w:rsidRDefault="00EC2A96" w:rsidP="00FB463E">
            <w:pPr>
              <w:rPr>
                <w:rFonts w:cs="Arial"/>
                <w:bCs/>
                <w:lang w:val="en-US"/>
              </w:rPr>
            </w:pPr>
          </w:p>
          <w:p w14:paraId="65D326F2" w14:textId="77777777" w:rsidR="00EC2A96" w:rsidRPr="00FB463E" w:rsidRDefault="00EC2A96" w:rsidP="00FB463E">
            <w:pPr>
              <w:rPr>
                <w:rFonts w:cs="Arial"/>
                <w:bCs/>
                <w:lang w:val="en-US"/>
              </w:rPr>
            </w:pPr>
            <w:r w:rsidRPr="00FB463E">
              <w:rPr>
                <w:rFonts w:cs="Arial"/>
                <w:bCs/>
                <w:lang w:val="en-US"/>
              </w:rPr>
              <w:t>Dose per application:</w:t>
            </w:r>
          </w:p>
          <w:p w14:paraId="7089F27E" w14:textId="77777777" w:rsidR="00EC2A96" w:rsidRPr="00FB463E" w:rsidRDefault="00EC2A96" w:rsidP="00FB463E">
            <w:pPr>
              <w:pStyle w:val="Paragraphedeliste"/>
              <w:numPr>
                <w:ilvl w:val="0"/>
                <w:numId w:val="28"/>
              </w:numPr>
              <w:spacing w:before="0" w:after="0"/>
              <w:contextualSpacing w:val="0"/>
              <w:rPr>
                <w:rFonts w:cs="Arial"/>
                <w:bCs/>
                <w:lang w:val="en-US"/>
              </w:rPr>
            </w:pPr>
            <w:r w:rsidRPr="00FB463E">
              <w:rPr>
                <w:rFonts w:cs="Arial"/>
                <w:bCs/>
                <w:lang w:val="en-US"/>
              </w:rPr>
              <w:t>6 g of product/m² in temperate conditions against A. aegypti and C. quinquefasciatus;</w:t>
            </w:r>
          </w:p>
          <w:p w14:paraId="7728D125" w14:textId="77777777" w:rsidR="00EC2A96" w:rsidRPr="00FB463E" w:rsidRDefault="00EC2A96" w:rsidP="00FB463E">
            <w:pPr>
              <w:pStyle w:val="Paragraphedeliste"/>
              <w:numPr>
                <w:ilvl w:val="0"/>
                <w:numId w:val="28"/>
              </w:numPr>
              <w:spacing w:before="0" w:after="0"/>
              <w:contextualSpacing w:val="0"/>
              <w:rPr>
                <w:rFonts w:cs="Arial"/>
                <w:bCs/>
                <w:lang w:val="en-US"/>
              </w:rPr>
            </w:pPr>
            <w:r w:rsidRPr="00FB463E">
              <w:rPr>
                <w:rFonts w:cs="Arial"/>
                <w:bCs/>
                <w:lang w:val="en-US"/>
              </w:rPr>
              <w:t>8 g of product/m² in tropical conditions against A. albopictus and A. gambia.</w:t>
            </w:r>
          </w:p>
        </w:tc>
      </w:tr>
      <w:tr w:rsidR="00EC2A96" w:rsidRPr="00FB5291" w14:paraId="7697C205"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DF4D0B1" w14:textId="77777777" w:rsidR="00EC2A96" w:rsidRPr="00FB463E" w:rsidRDefault="00EC2A96" w:rsidP="00FB463E">
            <w:pPr>
              <w:rPr>
                <w:rFonts w:cs="Arial"/>
                <w:bCs/>
                <w:lang w:val="en-US"/>
              </w:rPr>
            </w:pPr>
            <w:r w:rsidRPr="00FB463E">
              <w:rPr>
                <w:rFonts w:cs="Arial"/>
                <w:bCs/>
                <w:lang w:val="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F7056B" w14:textId="77777777" w:rsidR="00EC2A96" w:rsidRPr="00FB463E" w:rsidRDefault="00EC2A96" w:rsidP="00FB463E">
            <w:pPr>
              <w:rPr>
                <w:rFonts w:cs="Arial"/>
                <w:bCs/>
                <w:lang w:val="en-US"/>
              </w:rPr>
            </w:pPr>
            <w:r w:rsidRPr="00FB463E">
              <w:rPr>
                <w:rFonts w:cs="Arial"/>
                <w:bCs/>
                <w:lang w:val="en-US"/>
              </w:rPr>
              <w:t>General public</w:t>
            </w:r>
          </w:p>
        </w:tc>
      </w:tr>
      <w:tr w:rsidR="00EC2A96" w:rsidRPr="00FB5291" w14:paraId="56DAFE19"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6FB2617" w14:textId="77777777" w:rsidR="00EC2A96" w:rsidRPr="00FB5291" w:rsidRDefault="00EC2A96" w:rsidP="00FB463E">
            <w:pPr>
              <w:rPr>
                <w:rFonts w:cs="Arial"/>
                <w:bCs/>
                <w:lang w:val="en-US"/>
              </w:rPr>
            </w:pPr>
            <w:r w:rsidRPr="00FB5291">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7257C" w14:paraId="731337D4" w14:textId="77777777" w:rsidTr="00EC2A96">
              <w:tc>
                <w:tcPr>
                  <w:tcW w:w="2074" w:type="dxa"/>
                  <w:shd w:val="clear" w:color="auto" w:fill="auto"/>
                </w:tcPr>
                <w:p w14:paraId="5BF105F6" w14:textId="77777777" w:rsidR="00EC2A96" w:rsidRPr="0077257C" w:rsidRDefault="00EC2A96" w:rsidP="0053704B">
                  <w:pPr>
                    <w:shd w:val="clear" w:color="auto" w:fill="D9D9D9" w:themeFill="background1" w:themeFillShade="D9"/>
                    <w:rPr>
                      <w:rFonts w:cs="Arial"/>
                      <w:b/>
                      <w:bCs/>
                    </w:rPr>
                  </w:pPr>
                  <w:r w:rsidRPr="0077257C">
                    <w:rPr>
                      <w:rFonts w:cs="Arial"/>
                      <w:b/>
                      <w:bCs/>
                    </w:rPr>
                    <w:t>Type</w:t>
                  </w:r>
                </w:p>
              </w:tc>
              <w:tc>
                <w:tcPr>
                  <w:tcW w:w="2074" w:type="dxa"/>
                  <w:shd w:val="clear" w:color="auto" w:fill="auto"/>
                </w:tcPr>
                <w:p w14:paraId="487EA4C1" w14:textId="77777777" w:rsidR="00EC2A96" w:rsidRPr="0077257C" w:rsidRDefault="00EC2A96" w:rsidP="0053704B">
                  <w:pPr>
                    <w:shd w:val="clear" w:color="auto" w:fill="D9D9D9" w:themeFill="background1" w:themeFillShade="D9"/>
                    <w:rPr>
                      <w:rFonts w:cs="Arial"/>
                      <w:b/>
                      <w:bCs/>
                    </w:rPr>
                  </w:pPr>
                  <w:r w:rsidRPr="0077257C">
                    <w:rPr>
                      <w:rFonts w:cs="Arial"/>
                      <w:b/>
                      <w:bCs/>
                    </w:rPr>
                    <w:t>Material</w:t>
                  </w:r>
                </w:p>
              </w:tc>
              <w:tc>
                <w:tcPr>
                  <w:tcW w:w="2075" w:type="dxa"/>
                  <w:shd w:val="clear" w:color="auto" w:fill="auto"/>
                </w:tcPr>
                <w:p w14:paraId="3D8359A7" w14:textId="77777777" w:rsidR="00EC2A96" w:rsidRPr="0077257C" w:rsidRDefault="00EC2A96" w:rsidP="0053704B">
                  <w:pPr>
                    <w:shd w:val="clear" w:color="auto" w:fill="D9D9D9" w:themeFill="background1" w:themeFillShade="D9"/>
                    <w:rPr>
                      <w:rFonts w:cs="Arial"/>
                      <w:b/>
                      <w:bCs/>
                    </w:rPr>
                  </w:pPr>
                  <w:r w:rsidRPr="0077257C">
                    <w:rPr>
                      <w:rFonts w:cs="Arial"/>
                      <w:b/>
                      <w:bCs/>
                    </w:rPr>
                    <w:t>Size</w:t>
                  </w:r>
                </w:p>
              </w:tc>
            </w:tr>
            <w:tr w:rsidR="00EC2A96" w:rsidRPr="0077257C" w14:paraId="2A8ACA29" w14:textId="77777777" w:rsidTr="00EC2A96">
              <w:tc>
                <w:tcPr>
                  <w:tcW w:w="2074" w:type="dxa"/>
                  <w:shd w:val="clear" w:color="auto" w:fill="auto"/>
                </w:tcPr>
                <w:p w14:paraId="4351A9E4" w14:textId="77777777" w:rsidR="00EC2A96" w:rsidRPr="00FB463E" w:rsidRDefault="00EC2A96" w:rsidP="00FB463E">
                  <w:pPr>
                    <w:rPr>
                      <w:rFonts w:cs="Arial"/>
                      <w:bCs/>
                      <w:lang w:val="en-US"/>
                    </w:rPr>
                  </w:pPr>
                  <w:r w:rsidRPr="00FB463E">
                    <w:rPr>
                      <w:rFonts w:cs="Arial"/>
                      <w:bCs/>
                      <w:lang w:val="en-US"/>
                    </w:rPr>
                    <w:t>Bottle with a pump spray head</w:t>
                  </w:r>
                </w:p>
              </w:tc>
              <w:tc>
                <w:tcPr>
                  <w:tcW w:w="2074" w:type="dxa"/>
                  <w:shd w:val="clear" w:color="auto" w:fill="auto"/>
                </w:tcPr>
                <w:p w14:paraId="2EEF5CA2" w14:textId="77777777" w:rsidR="00EC2A96" w:rsidRPr="00FB463E" w:rsidRDefault="00EC2A96" w:rsidP="00FB463E">
                  <w:pPr>
                    <w:rPr>
                      <w:rFonts w:cs="Arial"/>
                      <w:bCs/>
                      <w:lang w:val="en-US"/>
                    </w:rPr>
                  </w:pPr>
                  <w:r w:rsidRPr="00FB463E">
                    <w:rPr>
                      <w:rFonts w:cs="Arial"/>
                      <w:bCs/>
                      <w:lang w:val="en-US"/>
                    </w:rPr>
                    <w:t>Plastic: HDPE</w:t>
                  </w:r>
                </w:p>
              </w:tc>
              <w:tc>
                <w:tcPr>
                  <w:tcW w:w="2075" w:type="dxa"/>
                  <w:shd w:val="clear" w:color="auto" w:fill="auto"/>
                </w:tcPr>
                <w:p w14:paraId="2FC16D4C" w14:textId="77777777" w:rsidR="00EC2A96" w:rsidRPr="00FB463E" w:rsidRDefault="00EC2A96" w:rsidP="00FB463E">
                  <w:pPr>
                    <w:rPr>
                      <w:rFonts w:cs="Arial"/>
                      <w:bCs/>
                      <w:lang w:val="en-US"/>
                    </w:rPr>
                  </w:pPr>
                  <w:r w:rsidRPr="00FB463E">
                    <w:rPr>
                      <w:rFonts w:cs="Arial"/>
                      <w:bCs/>
                      <w:lang w:val="en-US"/>
                    </w:rPr>
                    <w:t>100 to 250 mL</w:t>
                  </w:r>
                </w:p>
              </w:tc>
            </w:tr>
          </w:tbl>
          <w:p w14:paraId="297A60A9" w14:textId="77777777" w:rsidR="00EC2A96" w:rsidRPr="00FB5291" w:rsidRDefault="00EC2A96" w:rsidP="0053704B">
            <w:pPr>
              <w:shd w:val="clear" w:color="auto" w:fill="D9D9D9" w:themeFill="background1" w:themeFillShade="D9"/>
              <w:rPr>
                <w:rFonts w:cs="Arial"/>
                <w:bCs/>
              </w:rPr>
            </w:pPr>
          </w:p>
        </w:tc>
      </w:tr>
    </w:tbl>
    <w:p w14:paraId="2A52E298" w14:textId="77777777" w:rsidR="00EC2A96" w:rsidRPr="00C0613A" w:rsidRDefault="00EC2A96" w:rsidP="00FB463E">
      <w:pPr>
        <w:pStyle w:val="Absatz"/>
      </w:pPr>
    </w:p>
    <w:p w14:paraId="48CBAF12" w14:textId="4D9FAFC1" w:rsidR="00EC2A96" w:rsidRPr="00671A6D" w:rsidRDefault="00EC2A96" w:rsidP="00FB463E">
      <w:pPr>
        <w:pStyle w:val="Lgende"/>
        <w:spacing w:after="120"/>
        <w:ind w:left="0" w:firstLine="0"/>
        <w:rPr>
          <w:rFonts w:ascii="Verdana" w:hAnsi="Verdana"/>
        </w:rPr>
      </w:pPr>
      <w:r w:rsidRPr="00B606AC">
        <w:rPr>
          <w:rFonts w:ascii="Verdana" w:hAnsi="Verdana"/>
        </w:rPr>
        <w:t xml:space="preserve">Table </w:t>
      </w:r>
      <w:r w:rsidRPr="00721BD6">
        <w:rPr>
          <w:rFonts w:ascii="Verdana" w:hAnsi="Verdana"/>
        </w:rPr>
        <w:fldChar w:fldCharType="begin"/>
      </w:r>
      <w:r w:rsidRPr="00B606AC">
        <w:rPr>
          <w:rFonts w:ascii="Verdana" w:hAnsi="Verdana"/>
        </w:rPr>
        <w:instrText xml:space="preserve"> SEQ Table \* ARABIC </w:instrText>
      </w:r>
      <w:r w:rsidRPr="00721BD6">
        <w:rPr>
          <w:rFonts w:ascii="Verdana" w:hAnsi="Verdana"/>
        </w:rPr>
        <w:fldChar w:fldCharType="separate"/>
      </w:r>
      <w:r w:rsidR="00752A50">
        <w:rPr>
          <w:rFonts w:ascii="Verdana" w:hAnsi="Verdana"/>
          <w:noProof/>
        </w:rPr>
        <w:t>5</w:t>
      </w:r>
      <w:r w:rsidRPr="00721BD6">
        <w:rPr>
          <w:rFonts w:ascii="Verdana" w:hAnsi="Verdana"/>
        </w:rPr>
        <w:fldChar w:fldCharType="end"/>
      </w:r>
      <w:r w:rsidRPr="00B606AC">
        <w:rPr>
          <w:rFonts w:ascii="Verdana" w:hAnsi="Verdana"/>
        </w:rPr>
        <w:t xml:space="preserve">. </w:t>
      </w:r>
      <w:r w:rsidRPr="00FB463E">
        <w:rPr>
          <w:rFonts w:ascii="Verdana" w:hAnsi="Verdana" w:cs="Arial"/>
          <w:bCs/>
          <w:lang w:val="en-US"/>
        </w:rPr>
        <w:t>Intended use # 5 –</w:t>
      </w:r>
      <w:r w:rsidRPr="00721BD6">
        <w:rPr>
          <w:rFonts w:ascii="Verdana" w:hAnsi="Verdana"/>
        </w:rPr>
        <w:t xml:space="preserve"> Spray to treat clothes against ticks (general public)</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EC2A96" w:rsidRPr="00FB5291" w14:paraId="3DF67A73" w14:textId="77777777" w:rsidTr="00EC2A9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90814D0" w14:textId="77777777" w:rsidR="00EC2A96" w:rsidRPr="00FB463E" w:rsidRDefault="00EC2A96" w:rsidP="00FB463E">
            <w:pPr>
              <w:rPr>
                <w:rFonts w:cs="Arial"/>
                <w:bCs/>
                <w:lang w:val="en-US"/>
              </w:rPr>
            </w:pPr>
            <w:r w:rsidRPr="00FB463E">
              <w:rPr>
                <w:rFonts w:cs="Arial"/>
                <w:bCs/>
                <w:lang w:val="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56135025" w14:textId="77777777" w:rsidR="00EC2A96" w:rsidRPr="00FB463E" w:rsidRDefault="00EC2A96" w:rsidP="00FB463E">
            <w:pPr>
              <w:rPr>
                <w:rFonts w:cs="Arial"/>
                <w:bCs/>
                <w:lang w:val="en-US"/>
              </w:rPr>
            </w:pPr>
            <w:r w:rsidRPr="00FB463E">
              <w:rPr>
                <w:rFonts w:cs="Arial"/>
                <w:bCs/>
                <w:lang w:val="en-US"/>
              </w:rPr>
              <w:t>PT19 – Repellents and attractants (Pest control)</w:t>
            </w:r>
          </w:p>
        </w:tc>
      </w:tr>
      <w:tr w:rsidR="00EC2A96" w:rsidRPr="00FB5291" w14:paraId="05876400"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3C473E8" w14:textId="77777777" w:rsidR="00EC2A96" w:rsidRPr="00FB5291" w:rsidRDefault="00EC2A96" w:rsidP="00FB463E">
            <w:pPr>
              <w:rPr>
                <w:rFonts w:cs="Arial"/>
                <w:bCs/>
                <w:lang w:val="en-US"/>
              </w:rPr>
            </w:pPr>
            <w:r w:rsidRPr="00FB463E">
              <w:rPr>
                <w:rFonts w:cs="Arial"/>
                <w:bCs/>
                <w:lang w:val="en-U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9F54DD" w14:textId="77777777" w:rsidR="00EC2A96" w:rsidRPr="00FB463E" w:rsidRDefault="00EC2A96" w:rsidP="00FB463E">
            <w:pPr>
              <w:rPr>
                <w:rFonts w:cs="Arial"/>
                <w:bCs/>
                <w:lang w:val="en-US"/>
              </w:rPr>
            </w:pPr>
            <w:r w:rsidRPr="00FB463E">
              <w:rPr>
                <w:rFonts w:cs="Arial"/>
                <w:bCs/>
                <w:lang w:val="en-US"/>
              </w:rPr>
              <w:t>Repellent</w:t>
            </w:r>
          </w:p>
        </w:tc>
      </w:tr>
      <w:tr w:rsidR="00EC2A96" w:rsidRPr="00FB5291" w14:paraId="20746C2D"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61412F1" w14:textId="77777777" w:rsidR="00EC2A96" w:rsidRPr="00FB5291" w:rsidRDefault="00EC2A96" w:rsidP="00FB463E">
            <w:pPr>
              <w:rPr>
                <w:rFonts w:cs="Arial"/>
                <w:bCs/>
                <w:lang w:val="en-US"/>
              </w:rPr>
            </w:pPr>
            <w:r w:rsidRPr="00FB463E">
              <w:rPr>
                <w:rFonts w:cs="Arial"/>
                <w:bCs/>
                <w:lang w:val="en-U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27E86" w14:paraId="681136D4" w14:textId="77777777" w:rsidTr="00EC2A96">
              <w:tc>
                <w:tcPr>
                  <w:tcW w:w="2074" w:type="dxa"/>
                  <w:shd w:val="clear" w:color="auto" w:fill="auto"/>
                </w:tcPr>
                <w:p w14:paraId="3B277135" w14:textId="77777777" w:rsidR="00EC2A96" w:rsidRPr="00FB463E" w:rsidRDefault="00EC2A96" w:rsidP="00FB463E">
                  <w:pPr>
                    <w:rPr>
                      <w:rFonts w:cs="Arial"/>
                      <w:b/>
                      <w:bCs/>
                      <w:lang w:val="en-US"/>
                    </w:rPr>
                  </w:pPr>
                  <w:r w:rsidRPr="00FB463E">
                    <w:rPr>
                      <w:rFonts w:cs="Arial"/>
                      <w:b/>
                      <w:bCs/>
                      <w:lang w:val="en-US"/>
                    </w:rPr>
                    <w:t>Scientific name</w:t>
                  </w:r>
                </w:p>
              </w:tc>
              <w:tc>
                <w:tcPr>
                  <w:tcW w:w="2074" w:type="dxa"/>
                  <w:shd w:val="clear" w:color="auto" w:fill="auto"/>
                </w:tcPr>
                <w:p w14:paraId="732EC6EE" w14:textId="77777777" w:rsidR="00EC2A96" w:rsidRPr="00FB463E" w:rsidRDefault="00EC2A96" w:rsidP="00FB463E">
                  <w:pPr>
                    <w:rPr>
                      <w:rFonts w:cs="Arial"/>
                      <w:b/>
                      <w:bCs/>
                      <w:lang w:val="en-US"/>
                    </w:rPr>
                  </w:pPr>
                  <w:r w:rsidRPr="00FB463E">
                    <w:rPr>
                      <w:rFonts w:cs="Arial"/>
                      <w:b/>
                      <w:bCs/>
                      <w:lang w:val="en-US"/>
                    </w:rPr>
                    <w:t>Common name</w:t>
                  </w:r>
                </w:p>
              </w:tc>
              <w:tc>
                <w:tcPr>
                  <w:tcW w:w="2075" w:type="dxa"/>
                  <w:shd w:val="clear" w:color="auto" w:fill="auto"/>
                </w:tcPr>
                <w:p w14:paraId="6492A001" w14:textId="77777777" w:rsidR="00EC2A96" w:rsidRPr="00FB463E" w:rsidRDefault="00EC2A96" w:rsidP="00FB463E">
                  <w:pPr>
                    <w:rPr>
                      <w:rFonts w:cs="Arial"/>
                      <w:b/>
                      <w:bCs/>
                      <w:lang w:val="en-US"/>
                    </w:rPr>
                  </w:pPr>
                  <w:r w:rsidRPr="00FB463E">
                    <w:rPr>
                      <w:rFonts w:cs="Arial"/>
                      <w:b/>
                      <w:bCs/>
                      <w:lang w:val="en-US"/>
                    </w:rPr>
                    <w:t>Development stage</w:t>
                  </w:r>
                </w:p>
              </w:tc>
            </w:tr>
            <w:tr w:rsidR="00EC2A96" w:rsidRPr="00727E86" w14:paraId="4C857675" w14:textId="77777777" w:rsidTr="00EC2A96">
              <w:tc>
                <w:tcPr>
                  <w:tcW w:w="2074" w:type="dxa"/>
                  <w:shd w:val="clear" w:color="auto" w:fill="auto"/>
                </w:tcPr>
                <w:p w14:paraId="77715581" w14:textId="77777777" w:rsidR="00EC2A96" w:rsidRPr="00FB463E" w:rsidRDefault="00EC2A96" w:rsidP="00FB463E">
                  <w:pPr>
                    <w:rPr>
                      <w:rFonts w:cs="Arial"/>
                      <w:bCs/>
                      <w:lang w:val="en-US"/>
                    </w:rPr>
                  </w:pPr>
                  <w:r w:rsidRPr="00FB463E">
                    <w:rPr>
                      <w:rFonts w:cs="Arial"/>
                      <w:bCs/>
                      <w:lang w:val="en-US"/>
                    </w:rPr>
                    <w:t>Ixodes ricinus</w:t>
                  </w:r>
                </w:p>
              </w:tc>
              <w:tc>
                <w:tcPr>
                  <w:tcW w:w="2074" w:type="dxa"/>
                  <w:shd w:val="clear" w:color="auto" w:fill="auto"/>
                </w:tcPr>
                <w:p w14:paraId="51EA24AE" w14:textId="77777777" w:rsidR="00EC2A96" w:rsidRPr="00FB463E" w:rsidRDefault="00EC2A96" w:rsidP="00FB463E">
                  <w:pPr>
                    <w:rPr>
                      <w:rFonts w:cs="Arial"/>
                      <w:bCs/>
                      <w:lang w:val="en-US"/>
                    </w:rPr>
                  </w:pPr>
                  <w:r w:rsidRPr="00FB463E">
                    <w:rPr>
                      <w:rFonts w:cs="Arial"/>
                      <w:bCs/>
                      <w:lang w:val="en-US"/>
                    </w:rPr>
                    <w:t>Hard ticks</w:t>
                  </w:r>
                </w:p>
              </w:tc>
              <w:tc>
                <w:tcPr>
                  <w:tcW w:w="2075" w:type="dxa"/>
                  <w:shd w:val="clear" w:color="auto" w:fill="auto"/>
                </w:tcPr>
                <w:p w14:paraId="1E8E19EE" w14:textId="77777777" w:rsidR="00EC2A96" w:rsidRPr="00FB463E" w:rsidRDefault="00EC2A96" w:rsidP="00FB463E">
                  <w:pPr>
                    <w:rPr>
                      <w:rFonts w:cs="Arial"/>
                      <w:bCs/>
                      <w:lang w:val="en-US"/>
                    </w:rPr>
                  </w:pPr>
                  <w:r w:rsidRPr="00FB463E">
                    <w:rPr>
                      <w:rFonts w:cs="Arial"/>
                      <w:bCs/>
                      <w:lang w:val="en-US"/>
                    </w:rPr>
                    <w:t>Nymphs and Adults</w:t>
                  </w:r>
                </w:p>
              </w:tc>
            </w:tr>
          </w:tbl>
          <w:p w14:paraId="371E4CC8" w14:textId="77777777" w:rsidR="00EC2A96" w:rsidRPr="00FB463E" w:rsidRDefault="00EC2A96" w:rsidP="00FB463E">
            <w:pPr>
              <w:rPr>
                <w:rFonts w:cs="Arial"/>
                <w:bCs/>
                <w:lang w:val="en-US"/>
              </w:rPr>
            </w:pPr>
          </w:p>
        </w:tc>
      </w:tr>
      <w:tr w:rsidR="00EC2A96" w:rsidRPr="00FB5291" w14:paraId="0F35E5CC" w14:textId="77777777" w:rsidTr="00FB4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D66B3D2" w14:textId="77777777" w:rsidR="00EC2A96" w:rsidRPr="00FB463E" w:rsidRDefault="00EC2A96" w:rsidP="00FB463E">
            <w:pPr>
              <w:rPr>
                <w:rFonts w:cs="Arial"/>
                <w:bCs/>
                <w:lang w:val="en-US"/>
              </w:rPr>
            </w:pPr>
            <w:r w:rsidRPr="00FB463E">
              <w:rPr>
                <w:rFonts w:cs="Arial"/>
                <w:bCs/>
                <w:lang w:val="en-US"/>
              </w:rPr>
              <w:t>Field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80D3EFA" w14:textId="77777777" w:rsidR="00EC2A96" w:rsidRPr="00FB463E" w:rsidRDefault="00EC2A96" w:rsidP="00FB463E">
            <w:pPr>
              <w:rPr>
                <w:rFonts w:cs="Arial"/>
                <w:bCs/>
                <w:lang w:val="en-US"/>
              </w:rPr>
            </w:pPr>
            <w:r w:rsidRPr="00FB463E">
              <w:rPr>
                <w:rFonts w:cs="Arial"/>
                <w:bCs/>
                <w:lang w:val="en-US"/>
              </w:rPr>
              <w:t>Indoor use</w:t>
            </w:r>
          </w:p>
        </w:tc>
      </w:tr>
      <w:tr w:rsidR="00EC2A96" w:rsidRPr="00FB5291" w14:paraId="2570BDDD" w14:textId="77777777" w:rsidTr="00FB4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1BD88F2" w14:textId="77777777" w:rsidR="00EC2A96" w:rsidRPr="00FB463E" w:rsidRDefault="00EC2A96" w:rsidP="00FB463E">
            <w:pPr>
              <w:rPr>
                <w:rFonts w:cs="Arial"/>
                <w:bCs/>
                <w:lang w:val="en-US"/>
              </w:rPr>
            </w:pPr>
            <w:r w:rsidRPr="00FB463E">
              <w:rPr>
                <w:rFonts w:cs="Arial"/>
                <w:bCs/>
                <w:lang w:val="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F3B6A7A" w14:textId="77777777" w:rsidR="00EC2A96" w:rsidRPr="0030763C" w:rsidRDefault="00EC2A96" w:rsidP="00FB463E">
            <w:pPr>
              <w:rPr>
                <w:rFonts w:cs="Arial"/>
                <w:bCs/>
                <w:lang w:val="en-US"/>
              </w:rPr>
            </w:pPr>
            <w:r w:rsidRPr="0030763C">
              <w:rPr>
                <w:rFonts w:cs="Arial"/>
                <w:bCs/>
                <w:lang w:val="en-US"/>
              </w:rPr>
              <w:t>Spraying: The ready to use product is a pump spray which is sprayed</w:t>
            </w:r>
            <w:r>
              <w:rPr>
                <w:rFonts w:cs="Arial"/>
                <w:bCs/>
                <w:lang w:val="en-US"/>
              </w:rPr>
              <w:t xml:space="preserve"> </w:t>
            </w:r>
            <w:r w:rsidRPr="0030763C">
              <w:rPr>
                <w:rFonts w:cs="Arial"/>
                <w:bCs/>
                <w:lang w:val="en-US"/>
              </w:rPr>
              <w:t xml:space="preserve">directly onto the </w:t>
            </w:r>
            <w:r>
              <w:rPr>
                <w:rFonts w:cs="Arial"/>
                <w:bCs/>
                <w:lang w:val="en-US"/>
              </w:rPr>
              <w:t>fabric</w:t>
            </w:r>
            <w:r w:rsidRPr="0030763C">
              <w:rPr>
                <w:rFonts w:cs="Arial"/>
                <w:bCs/>
                <w:lang w:val="en-US"/>
              </w:rPr>
              <w:t>.</w:t>
            </w:r>
          </w:p>
        </w:tc>
      </w:tr>
      <w:tr w:rsidR="00EC2A96" w:rsidRPr="00FB5291" w14:paraId="1FE25AA6" w14:textId="77777777" w:rsidTr="00FB4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1307E5B" w14:textId="77777777" w:rsidR="00EC2A96" w:rsidRPr="00FB5291" w:rsidRDefault="00EC2A96" w:rsidP="00FB463E">
            <w:pPr>
              <w:rPr>
                <w:rFonts w:cs="Arial"/>
                <w:bCs/>
                <w:lang w:val="en-US"/>
              </w:rPr>
            </w:pPr>
            <w:r w:rsidRPr="00FB463E">
              <w:rPr>
                <w:rFonts w:cs="Arial"/>
                <w:bCs/>
                <w:lang w:val="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C6C564D" w14:textId="77777777" w:rsidR="00EC2A96" w:rsidRPr="00FB463E" w:rsidRDefault="00EC2A96" w:rsidP="00FB463E">
            <w:pPr>
              <w:rPr>
                <w:rFonts w:cs="Arial"/>
                <w:bCs/>
                <w:lang w:val="en-US"/>
              </w:rPr>
            </w:pPr>
            <w:r w:rsidRPr="00FB463E">
              <w:rPr>
                <w:rFonts w:cs="Arial"/>
                <w:bCs/>
                <w:lang w:val="en-US"/>
              </w:rPr>
              <w:t>RTU leave-on product.</w:t>
            </w:r>
          </w:p>
          <w:p w14:paraId="1337C1E2" w14:textId="77777777" w:rsidR="00EC2A96" w:rsidRPr="00FB463E" w:rsidRDefault="00EC2A96" w:rsidP="00FB463E">
            <w:pPr>
              <w:rPr>
                <w:rFonts w:cs="Arial"/>
                <w:bCs/>
                <w:lang w:val="en-US"/>
              </w:rPr>
            </w:pPr>
          </w:p>
          <w:p w14:paraId="5D15C2F5" w14:textId="77777777" w:rsidR="00EC2A96" w:rsidRPr="00FB463E" w:rsidRDefault="00EC2A96" w:rsidP="00FB463E">
            <w:pPr>
              <w:rPr>
                <w:rFonts w:cs="Arial"/>
                <w:bCs/>
                <w:lang w:val="en-US"/>
              </w:rPr>
            </w:pPr>
            <w:r w:rsidRPr="00FB463E">
              <w:rPr>
                <w:rFonts w:cs="Arial"/>
                <w:bCs/>
                <w:lang w:val="en-US"/>
              </w:rPr>
              <w:t>Timing:</w:t>
            </w:r>
          </w:p>
          <w:p w14:paraId="26E51243" w14:textId="77777777" w:rsidR="00EC2A96" w:rsidRPr="00FB463E" w:rsidRDefault="00EC2A96" w:rsidP="00FB463E">
            <w:pPr>
              <w:pStyle w:val="Paragraphedeliste"/>
              <w:numPr>
                <w:ilvl w:val="0"/>
                <w:numId w:val="28"/>
              </w:numPr>
              <w:spacing w:before="0" w:after="0"/>
              <w:contextualSpacing w:val="0"/>
              <w:rPr>
                <w:rFonts w:cs="Arial"/>
                <w:bCs/>
                <w:lang w:val="en-US"/>
              </w:rPr>
            </w:pPr>
            <w:r w:rsidRPr="00FB463E">
              <w:rPr>
                <w:rFonts w:cs="Arial"/>
                <w:bCs/>
                <w:lang w:val="en-US"/>
              </w:rPr>
              <w:t>Clothes should be treated every 7 days or after their washing</w:t>
            </w:r>
          </w:p>
          <w:p w14:paraId="3CFA6556" w14:textId="77777777" w:rsidR="00EC2A96" w:rsidRPr="00FB463E" w:rsidRDefault="00EC2A96" w:rsidP="00FB463E">
            <w:pPr>
              <w:rPr>
                <w:rFonts w:cs="Arial"/>
                <w:bCs/>
                <w:lang w:val="en-US"/>
              </w:rPr>
            </w:pPr>
          </w:p>
          <w:p w14:paraId="6D0E7BA4" w14:textId="77777777" w:rsidR="00EC2A96" w:rsidRPr="00FB463E" w:rsidRDefault="00EC2A96" w:rsidP="00FB463E">
            <w:pPr>
              <w:rPr>
                <w:rFonts w:cs="Arial"/>
                <w:bCs/>
                <w:lang w:val="en-US"/>
              </w:rPr>
            </w:pPr>
            <w:r w:rsidRPr="00FB463E">
              <w:rPr>
                <w:rFonts w:cs="Arial"/>
                <w:bCs/>
                <w:lang w:val="en-US"/>
              </w:rPr>
              <w:t>Dose per application:</w:t>
            </w:r>
          </w:p>
          <w:p w14:paraId="5FAA35E4" w14:textId="77777777" w:rsidR="00EC2A96" w:rsidRPr="00FB463E" w:rsidRDefault="00EC2A96" w:rsidP="00FB463E">
            <w:pPr>
              <w:pStyle w:val="Paragraphedeliste"/>
              <w:numPr>
                <w:ilvl w:val="0"/>
                <w:numId w:val="28"/>
              </w:numPr>
              <w:spacing w:before="0" w:after="0"/>
              <w:contextualSpacing w:val="0"/>
              <w:rPr>
                <w:rFonts w:cs="Arial"/>
                <w:bCs/>
                <w:lang w:val="en-US"/>
              </w:rPr>
            </w:pPr>
            <w:r w:rsidRPr="00FB463E">
              <w:rPr>
                <w:rFonts w:cs="Arial"/>
                <w:bCs/>
                <w:lang w:val="en-US"/>
              </w:rPr>
              <w:t>8.5 g/m² of fabric</w:t>
            </w:r>
          </w:p>
        </w:tc>
      </w:tr>
      <w:tr w:rsidR="00EC2A96" w:rsidRPr="00FB5291" w14:paraId="476EE8B7" w14:textId="77777777" w:rsidTr="00FB4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9BC5E95" w14:textId="77777777" w:rsidR="00EC2A96" w:rsidRPr="00FB463E" w:rsidRDefault="00EC2A96" w:rsidP="00FB463E">
            <w:pPr>
              <w:rPr>
                <w:rFonts w:cs="Arial"/>
                <w:bCs/>
                <w:lang w:val="en-US"/>
              </w:rPr>
            </w:pPr>
            <w:r w:rsidRPr="00FB463E">
              <w:rPr>
                <w:rFonts w:cs="Arial"/>
                <w:bCs/>
                <w:lang w:val="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A855085" w14:textId="77777777" w:rsidR="00EC2A96" w:rsidRPr="00FB463E" w:rsidRDefault="00EC2A96" w:rsidP="00FB463E">
            <w:pPr>
              <w:rPr>
                <w:rFonts w:cs="Arial"/>
                <w:bCs/>
                <w:lang w:val="en-US"/>
              </w:rPr>
            </w:pPr>
            <w:r w:rsidRPr="00FB463E">
              <w:rPr>
                <w:rFonts w:cs="Arial"/>
                <w:bCs/>
                <w:lang w:val="en-US"/>
              </w:rPr>
              <w:t>General public</w:t>
            </w:r>
          </w:p>
        </w:tc>
      </w:tr>
      <w:tr w:rsidR="00EC2A96" w:rsidRPr="00FB5291" w14:paraId="26A2430A"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4E28BA0" w14:textId="77777777" w:rsidR="00EC2A96" w:rsidRPr="00FB5291" w:rsidRDefault="00EC2A96" w:rsidP="00FB463E">
            <w:pPr>
              <w:rPr>
                <w:rFonts w:cs="Arial"/>
                <w:bCs/>
                <w:lang w:val="en-US"/>
              </w:rPr>
            </w:pPr>
            <w:r w:rsidRPr="00FB463E">
              <w:rPr>
                <w:rFonts w:cs="Arial"/>
                <w:bCs/>
                <w:lang w:val="en-US"/>
              </w:rPr>
              <w:lastRenderedPageBreak/>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27E86" w14:paraId="792F4B5C" w14:textId="77777777" w:rsidTr="00EC2A96">
              <w:tc>
                <w:tcPr>
                  <w:tcW w:w="2074" w:type="dxa"/>
                  <w:shd w:val="clear" w:color="auto" w:fill="auto"/>
                </w:tcPr>
                <w:p w14:paraId="0213361F" w14:textId="77777777" w:rsidR="00EC2A96" w:rsidRPr="00FB463E" w:rsidRDefault="00EC2A96" w:rsidP="00FB463E">
                  <w:pPr>
                    <w:rPr>
                      <w:rFonts w:cs="Arial"/>
                      <w:b/>
                      <w:bCs/>
                      <w:lang w:val="en-US"/>
                    </w:rPr>
                  </w:pPr>
                  <w:r w:rsidRPr="00FB463E">
                    <w:rPr>
                      <w:rFonts w:cs="Arial"/>
                      <w:b/>
                      <w:bCs/>
                      <w:lang w:val="en-US"/>
                    </w:rPr>
                    <w:t>Type</w:t>
                  </w:r>
                </w:p>
              </w:tc>
              <w:tc>
                <w:tcPr>
                  <w:tcW w:w="2074" w:type="dxa"/>
                  <w:shd w:val="clear" w:color="auto" w:fill="auto"/>
                </w:tcPr>
                <w:p w14:paraId="360FF132" w14:textId="77777777" w:rsidR="00EC2A96" w:rsidRPr="00FB463E" w:rsidRDefault="00EC2A96" w:rsidP="00FB463E">
                  <w:pPr>
                    <w:rPr>
                      <w:rFonts w:cs="Arial"/>
                      <w:b/>
                      <w:bCs/>
                      <w:lang w:val="en-US"/>
                    </w:rPr>
                  </w:pPr>
                  <w:r w:rsidRPr="00FB463E">
                    <w:rPr>
                      <w:rFonts w:cs="Arial"/>
                      <w:b/>
                      <w:bCs/>
                      <w:lang w:val="en-US"/>
                    </w:rPr>
                    <w:t>Material</w:t>
                  </w:r>
                </w:p>
              </w:tc>
              <w:tc>
                <w:tcPr>
                  <w:tcW w:w="2075" w:type="dxa"/>
                  <w:shd w:val="clear" w:color="auto" w:fill="auto"/>
                </w:tcPr>
                <w:p w14:paraId="1CA4CBE8" w14:textId="77777777" w:rsidR="00EC2A96" w:rsidRPr="00FB463E" w:rsidRDefault="00EC2A96" w:rsidP="00FB463E">
                  <w:pPr>
                    <w:rPr>
                      <w:rFonts w:cs="Arial"/>
                      <w:b/>
                      <w:bCs/>
                      <w:lang w:val="en-US"/>
                    </w:rPr>
                  </w:pPr>
                  <w:r w:rsidRPr="00FB463E">
                    <w:rPr>
                      <w:rFonts w:cs="Arial"/>
                      <w:b/>
                      <w:bCs/>
                      <w:lang w:val="en-US"/>
                    </w:rPr>
                    <w:t>Size</w:t>
                  </w:r>
                </w:p>
              </w:tc>
            </w:tr>
            <w:tr w:rsidR="00EC2A96" w:rsidRPr="00727E86" w14:paraId="0535D573" w14:textId="77777777" w:rsidTr="00EC2A96">
              <w:tc>
                <w:tcPr>
                  <w:tcW w:w="2074" w:type="dxa"/>
                  <w:shd w:val="clear" w:color="auto" w:fill="auto"/>
                </w:tcPr>
                <w:p w14:paraId="266AFE96" w14:textId="77777777" w:rsidR="00EC2A96" w:rsidRPr="00FB463E" w:rsidRDefault="00EC2A96" w:rsidP="00FB463E">
                  <w:pPr>
                    <w:rPr>
                      <w:rFonts w:cs="Arial"/>
                      <w:bCs/>
                      <w:lang w:val="en-US"/>
                    </w:rPr>
                  </w:pPr>
                  <w:r w:rsidRPr="00FB463E">
                    <w:rPr>
                      <w:rFonts w:cs="Arial"/>
                      <w:bCs/>
                      <w:lang w:val="en-US"/>
                    </w:rPr>
                    <w:t>Bottle with a pump spray head</w:t>
                  </w:r>
                </w:p>
              </w:tc>
              <w:tc>
                <w:tcPr>
                  <w:tcW w:w="2074" w:type="dxa"/>
                  <w:shd w:val="clear" w:color="auto" w:fill="auto"/>
                </w:tcPr>
                <w:p w14:paraId="71B58533" w14:textId="77777777" w:rsidR="00EC2A96" w:rsidRPr="00FB463E" w:rsidRDefault="00EC2A96" w:rsidP="00FB463E">
                  <w:pPr>
                    <w:rPr>
                      <w:rFonts w:cs="Arial"/>
                      <w:bCs/>
                      <w:lang w:val="en-US"/>
                    </w:rPr>
                  </w:pPr>
                  <w:r w:rsidRPr="00FB463E">
                    <w:rPr>
                      <w:rFonts w:cs="Arial"/>
                      <w:bCs/>
                      <w:lang w:val="en-US"/>
                    </w:rPr>
                    <w:t>Plastic: HDPE</w:t>
                  </w:r>
                </w:p>
              </w:tc>
              <w:tc>
                <w:tcPr>
                  <w:tcW w:w="2075" w:type="dxa"/>
                  <w:shd w:val="clear" w:color="auto" w:fill="auto"/>
                </w:tcPr>
                <w:p w14:paraId="5BC3E505" w14:textId="77777777" w:rsidR="00EC2A96" w:rsidRPr="00FB463E" w:rsidRDefault="00EC2A96" w:rsidP="00FB463E">
                  <w:pPr>
                    <w:rPr>
                      <w:rFonts w:cs="Arial"/>
                      <w:bCs/>
                      <w:lang w:val="en-US"/>
                    </w:rPr>
                  </w:pPr>
                  <w:r w:rsidRPr="00FB463E">
                    <w:rPr>
                      <w:rFonts w:cs="Arial"/>
                      <w:bCs/>
                      <w:lang w:val="en-US"/>
                    </w:rPr>
                    <w:t>100 to 250 mL</w:t>
                  </w:r>
                </w:p>
              </w:tc>
            </w:tr>
          </w:tbl>
          <w:p w14:paraId="7D4A4E14" w14:textId="77777777" w:rsidR="00EC2A96" w:rsidRPr="00FB463E" w:rsidRDefault="00EC2A96" w:rsidP="00FB463E">
            <w:pPr>
              <w:rPr>
                <w:rFonts w:cs="Arial"/>
                <w:bCs/>
                <w:lang w:val="en-US"/>
              </w:rPr>
            </w:pPr>
          </w:p>
        </w:tc>
      </w:tr>
    </w:tbl>
    <w:p w14:paraId="39F28E28" w14:textId="77777777" w:rsidR="00EC2A96" w:rsidRPr="00C0613A" w:rsidRDefault="00EC2A96" w:rsidP="00FB463E">
      <w:pPr>
        <w:pStyle w:val="Absatz"/>
      </w:pPr>
    </w:p>
    <w:p w14:paraId="29445EDD" w14:textId="0E6E2F56" w:rsidR="00EC2A96" w:rsidRPr="00671A6D" w:rsidRDefault="00EC2A96" w:rsidP="00FB463E">
      <w:pPr>
        <w:pStyle w:val="Lgende"/>
        <w:spacing w:after="120"/>
        <w:ind w:left="0" w:firstLine="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752A50">
        <w:rPr>
          <w:rFonts w:ascii="Verdana" w:hAnsi="Verdana"/>
          <w:noProof/>
        </w:rPr>
        <w:t>6</w:t>
      </w:r>
      <w:r w:rsidRPr="00671A6D">
        <w:rPr>
          <w:rFonts w:ascii="Verdana" w:hAnsi="Verdana"/>
        </w:rPr>
        <w:fldChar w:fldCharType="end"/>
      </w:r>
      <w:r w:rsidRPr="00671A6D">
        <w:rPr>
          <w:rFonts w:ascii="Verdana" w:hAnsi="Verdana"/>
        </w:rPr>
        <w:t xml:space="preserve">. </w:t>
      </w:r>
      <w:r>
        <w:rPr>
          <w:rFonts w:ascii="Verdana" w:hAnsi="Verdana"/>
        </w:rPr>
        <w:t>Intended u</w:t>
      </w:r>
      <w:r w:rsidRPr="00671A6D">
        <w:rPr>
          <w:rFonts w:ascii="Verdana" w:hAnsi="Verdana"/>
        </w:rPr>
        <w:t xml:space="preserve">se # </w:t>
      </w:r>
      <w:r>
        <w:rPr>
          <w:rFonts w:ascii="Verdana" w:hAnsi="Verdana"/>
        </w:rPr>
        <w:t>6</w:t>
      </w:r>
      <w:r w:rsidRPr="00671A6D">
        <w:rPr>
          <w:rFonts w:ascii="Verdana" w:hAnsi="Verdana"/>
        </w:rPr>
        <w:t xml:space="preserve"> – </w:t>
      </w:r>
      <w:r>
        <w:rPr>
          <w:rFonts w:ascii="Verdana" w:hAnsi="Verdana"/>
        </w:rPr>
        <w:t>Spray for skin application to repel ticks (general public)</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EC2A96" w:rsidRPr="00FB5291" w14:paraId="5C55C17B" w14:textId="77777777" w:rsidTr="00EC2A9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EF7FEF4" w14:textId="77777777" w:rsidR="00EC2A96" w:rsidRPr="00FB5291" w:rsidRDefault="00EC2A96" w:rsidP="00FB463E">
            <w:pPr>
              <w:rPr>
                <w:rFonts w:cs="Arial"/>
                <w:bCs/>
                <w:lang w:val="de-DE"/>
              </w:rPr>
            </w:pPr>
            <w:r w:rsidRPr="00FB5291">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4AFCB919" w14:textId="77777777" w:rsidR="00EC2A96" w:rsidRPr="00FB5291" w:rsidRDefault="00EC2A96" w:rsidP="00FB463E">
            <w:pPr>
              <w:rPr>
                <w:rFonts w:cs="Arial"/>
                <w:bCs/>
                <w:lang w:val="de-DE"/>
              </w:rPr>
            </w:pPr>
            <w:r w:rsidRPr="009B6579">
              <w:rPr>
                <w:rFonts w:cs="Arial"/>
                <w:bCs/>
                <w:lang w:val="de-DE"/>
              </w:rPr>
              <w:t>PT19 – Repellents and attractants (Pest control)</w:t>
            </w:r>
          </w:p>
        </w:tc>
      </w:tr>
      <w:tr w:rsidR="00EC2A96" w:rsidRPr="00FB5291" w14:paraId="52C29F8D"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EC7DDF" w14:textId="77777777" w:rsidR="00EC2A96" w:rsidRPr="00FB5291" w:rsidRDefault="00EC2A96" w:rsidP="00FB463E">
            <w:pPr>
              <w:rPr>
                <w:rFonts w:cs="Arial"/>
                <w:bCs/>
                <w:lang w:val="en-US"/>
              </w:rPr>
            </w:pPr>
            <w:r w:rsidRPr="00FB5291">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A5CD51" w14:textId="77777777" w:rsidR="00EC2A96" w:rsidRPr="00FB5291" w:rsidRDefault="00EC2A96" w:rsidP="00FB463E">
            <w:pPr>
              <w:rPr>
                <w:rFonts w:cs="Arial"/>
                <w:bCs/>
              </w:rPr>
            </w:pPr>
            <w:r w:rsidRPr="009B6579">
              <w:rPr>
                <w:rFonts w:cs="Arial"/>
                <w:bCs/>
              </w:rPr>
              <w:t>Repellent</w:t>
            </w:r>
          </w:p>
        </w:tc>
      </w:tr>
      <w:tr w:rsidR="00EC2A96" w:rsidRPr="00FB5291" w14:paraId="61908EB8"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F6FB945" w14:textId="77777777" w:rsidR="00EC2A96" w:rsidRPr="00FB463E" w:rsidRDefault="00EC2A96" w:rsidP="00FB463E">
            <w:pPr>
              <w:rPr>
                <w:rFonts w:cs="Arial"/>
                <w:bCs/>
              </w:rPr>
            </w:pPr>
            <w:r w:rsidRPr="00FB5291">
              <w:rPr>
                <w:rFonts w:cs="Arial"/>
                <w:bCs/>
              </w:rPr>
              <w:t>Target organism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27E86" w14:paraId="51D11225" w14:textId="77777777" w:rsidTr="00EC2A96">
              <w:tc>
                <w:tcPr>
                  <w:tcW w:w="2074" w:type="dxa"/>
                  <w:shd w:val="clear" w:color="auto" w:fill="auto"/>
                </w:tcPr>
                <w:p w14:paraId="4C2345C3" w14:textId="77777777" w:rsidR="00EC2A96" w:rsidRPr="00727E86" w:rsidRDefault="00EC2A96" w:rsidP="00FB463E">
                  <w:pPr>
                    <w:rPr>
                      <w:rFonts w:cs="Arial"/>
                      <w:b/>
                      <w:bCs/>
                    </w:rPr>
                  </w:pPr>
                  <w:r w:rsidRPr="00727E86">
                    <w:rPr>
                      <w:rFonts w:cs="Arial"/>
                      <w:b/>
                      <w:bCs/>
                    </w:rPr>
                    <w:t>Scientific name</w:t>
                  </w:r>
                </w:p>
              </w:tc>
              <w:tc>
                <w:tcPr>
                  <w:tcW w:w="2074" w:type="dxa"/>
                  <w:shd w:val="clear" w:color="auto" w:fill="auto"/>
                </w:tcPr>
                <w:p w14:paraId="00381E70" w14:textId="77777777" w:rsidR="00EC2A96" w:rsidRPr="00762A41" w:rsidRDefault="00EC2A96" w:rsidP="00FB463E">
                  <w:pPr>
                    <w:rPr>
                      <w:rFonts w:cs="Arial"/>
                      <w:b/>
                      <w:bCs/>
                    </w:rPr>
                  </w:pPr>
                  <w:r w:rsidRPr="00762A41">
                    <w:rPr>
                      <w:rFonts w:cs="Arial"/>
                      <w:b/>
                      <w:bCs/>
                    </w:rPr>
                    <w:t>Common name</w:t>
                  </w:r>
                </w:p>
              </w:tc>
              <w:tc>
                <w:tcPr>
                  <w:tcW w:w="2075" w:type="dxa"/>
                  <w:shd w:val="clear" w:color="auto" w:fill="auto"/>
                </w:tcPr>
                <w:p w14:paraId="03F464F1" w14:textId="77777777" w:rsidR="00EC2A96" w:rsidRPr="00762A41" w:rsidRDefault="00EC2A96" w:rsidP="00FB463E">
                  <w:pPr>
                    <w:rPr>
                      <w:rFonts w:cs="Arial"/>
                      <w:b/>
                      <w:bCs/>
                    </w:rPr>
                  </w:pPr>
                  <w:r w:rsidRPr="00762A41">
                    <w:rPr>
                      <w:rFonts w:cs="Arial"/>
                      <w:b/>
                      <w:bCs/>
                    </w:rPr>
                    <w:t>Development stage</w:t>
                  </w:r>
                </w:p>
              </w:tc>
            </w:tr>
            <w:tr w:rsidR="00EC2A96" w:rsidRPr="00727E86" w14:paraId="48E1FFA5" w14:textId="77777777" w:rsidTr="00EC2A96">
              <w:tc>
                <w:tcPr>
                  <w:tcW w:w="2074" w:type="dxa"/>
                  <w:shd w:val="clear" w:color="auto" w:fill="auto"/>
                </w:tcPr>
                <w:p w14:paraId="5CB1FE2D" w14:textId="77777777" w:rsidR="00EC2A96" w:rsidRPr="00FB463E" w:rsidRDefault="00EC2A96" w:rsidP="00FB463E">
                  <w:pPr>
                    <w:rPr>
                      <w:rFonts w:cs="Arial"/>
                      <w:bCs/>
                    </w:rPr>
                  </w:pPr>
                  <w:r w:rsidRPr="00FB463E">
                    <w:rPr>
                      <w:rFonts w:cs="Arial"/>
                      <w:bCs/>
                    </w:rPr>
                    <w:t>Ixodes ricinus</w:t>
                  </w:r>
                </w:p>
              </w:tc>
              <w:tc>
                <w:tcPr>
                  <w:tcW w:w="2074" w:type="dxa"/>
                  <w:shd w:val="clear" w:color="auto" w:fill="auto"/>
                </w:tcPr>
                <w:p w14:paraId="3370EB26" w14:textId="77777777" w:rsidR="00EC2A96" w:rsidRPr="0077257C" w:rsidRDefault="00EC2A96" w:rsidP="00FB463E">
                  <w:pPr>
                    <w:rPr>
                      <w:rFonts w:cs="Arial"/>
                      <w:bCs/>
                    </w:rPr>
                  </w:pPr>
                  <w:r w:rsidRPr="003F77BE">
                    <w:rPr>
                      <w:rFonts w:cs="Arial"/>
                      <w:bCs/>
                    </w:rPr>
                    <w:t>Hard ticks</w:t>
                  </w:r>
                </w:p>
              </w:tc>
              <w:tc>
                <w:tcPr>
                  <w:tcW w:w="2075" w:type="dxa"/>
                  <w:shd w:val="clear" w:color="auto" w:fill="auto"/>
                </w:tcPr>
                <w:p w14:paraId="0DF9F2BD" w14:textId="77777777" w:rsidR="00EC2A96" w:rsidRPr="0077257C" w:rsidRDefault="00EC2A96" w:rsidP="00FB463E">
                  <w:pPr>
                    <w:rPr>
                      <w:rFonts w:cs="Arial"/>
                      <w:bCs/>
                    </w:rPr>
                  </w:pPr>
                  <w:r w:rsidRPr="003F77BE">
                    <w:rPr>
                      <w:rFonts w:cs="Arial"/>
                      <w:bCs/>
                    </w:rPr>
                    <w:t>Nymphs and Adults</w:t>
                  </w:r>
                </w:p>
              </w:tc>
            </w:tr>
          </w:tbl>
          <w:p w14:paraId="2119459E" w14:textId="77777777" w:rsidR="00EC2A96" w:rsidRPr="00FB5291" w:rsidRDefault="00EC2A96" w:rsidP="00FB463E">
            <w:pPr>
              <w:rPr>
                <w:rFonts w:cs="Arial"/>
                <w:bCs/>
              </w:rPr>
            </w:pPr>
          </w:p>
        </w:tc>
      </w:tr>
      <w:tr w:rsidR="00EC2A96" w:rsidRPr="00FB5291" w14:paraId="08F662A5"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1C01E43" w14:textId="77777777" w:rsidR="00EC2A96" w:rsidRPr="00FB463E" w:rsidRDefault="00EC2A96" w:rsidP="00FB463E">
            <w:pPr>
              <w:rPr>
                <w:rFonts w:cs="Arial"/>
                <w:bCs/>
              </w:rPr>
            </w:pPr>
            <w:r w:rsidRPr="00FB5291">
              <w:rPr>
                <w:rFonts w:cs="Arial"/>
                <w:bCs/>
              </w:rPr>
              <w:t>Field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25595A8" w14:textId="77777777" w:rsidR="00EC2A96" w:rsidRPr="00CB79EB" w:rsidRDefault="00EC2A96" w:rsidP="00FB463E">
            <w:pPr>
              <w:rPr>
                <w:rFonts w:cs="Arial"/>
                <w:bCs/>
              </w:rPr>
            </w:pPr>
            <w:r w:rsidRPr="00CB79EB">
              <w:rPr>
                <w:rFonts w:cs="Arial"/>
                <w:bCs/>
              </w:rPr>
              <w:t>Indoor use</w:t>
            </w:r>
          </w:p>
          <w:p w14:paraId="685B130A" w14:textId="77777777" w:rsidR="00EC2A96" w:rsidRPr="00FB5291" w:rsidRDefault="00EC2A96" w:rsidP="00FB463E">
            <w:pPr>
              <w:rPr>
                <w:rFonts w:cs="Arial"/>
                <w:bCs/>
              </w:rPr>
            </w:pPr>
            <w:r>
              <w:rPr>
                <w:rFonts w:cs="Arial"/>
                <w:bCs/>
              </w:rPr>
              <w:t>Outdoor use</w:t>
            </w:r>
          </w:p>
        </w:tc>
      </w:tr>
      <w:tr w:rsidR="00EC2A96" w:rsidRPr="00FB5291" w14:paraId="1504E281"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F32F8A7" w14:textId="77777777" w:rsidR="00EC2A96" w:rsidRPr="00FB463E" w:rsidRDefault="00EC2A96" w:rsidP="00FB463E">
            <w:pPr>
              <w:rPr>
                <w:rFonts w:cs="Arial"/>
                <w:bCs/>
              </w:rPr>
            </w:pPr>
            <w:r w:rsidRPr="00FB5291">
              <w:rPr>
                <w:rFonts w:cs="Arial"/>
                <w:bC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17A1F06" w14:textId="77777777" w:rsidR="00EC2A96" w:rsidRPr="00FB463E" w:rsidRDefault="00EC2A96" w:rsidP="00FB463E">
            <w:pPr>
              <w:rPr>
                <w:rFonts w:cs="Arial"/>
                <w:bCs/>
              </w:rPr>
            </w:pPr>
            <w:r w:rsidRPr="00FB463E">
              <w:rPr>
                <w:rFonts w:cs="Arial"/>
                <w:bCs/>
              </w:rPr>
              <w:t>Spraying: The ready to use product is a pump spray which is sprayed directly on skin.</w:t>
            </w:r>
          </w:p>
        </w:tc>
      </w:tr>
      <w:tr w:rsidR="00EC2A96" w:rsidRPr="00FB5291" w14:paraId="79E07E09"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772209D" w14:textId="77777777" w:rsidR="00EC2A96" w:rsidRPr="00FB463E" w:rsidRDefault="00EC2A96" w:rsidP="00FB463E">
            <w:pPr>
              <w:rPr>
                <w:rFonts w:cs="Arial"/>
                <w:bCs/>
              </w:rPr>
            </w:pPr>
            <w:r w:rsidRPr="00F12376">
              <w:rPr>
                <w:rFonts w:cs="Arial"/>
                <w:bC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05A1840" w14:textId="77777777" w:rsidR="00EC2A96" w:rsidRDefault="00EC2A96" w:rsidP="00FB463E">
            <w:pPr>
              <w:rPr>
                <w:rFonts w:cs="Arial"/>
                <w:bCs/>
              </w:rPr>
            </w:pPr>
            <w:r w:rsidRPr="00FA575A">
              <w:rPr>
                <w:rFonts w:cs="Arial"/>
                <w:bCs/>
              </w:rPr>
              <w:t>RTU leave-on product</w:t>
            </w:r>
            <w:r>
              <w:rPr>
                <w:rFonts w:cs="Arial"/>
                <w:bCs/>
              </w:rPr>
              <w:t>.</w:t>
            </w:r>
          </w:p>
          <w:p w14:paraId="4B613AC6" w14:textId="77777777" w:rsidR="00EC2A96" w:rsidRPr="00FA575A" w:rsidRDefault="00EC2A96" w:rsidP="00FB463E">
            <w:pPr>
              <w:rPr>
                <w:rFonts w:cs="Arial"/>
                <w:bCs/>
              </w:rPr>
            </w:pPr>
          </w:p>
          <w:p w14:paraId="6C188A94" w14:textId="77777777" w:rsidR="00EC2A96" w:rsidRPr="00FA575A" w:rsidRDefault="00EC2A96" w:rsidP="00FB463E">
            <w:pPr>
              <w:rPr>
                <w:rFonts w:cs="Arial"/>
                <w:bCs/>
              </w:rPr>
            </w:pPr>
            <w:r w:rsidRPr="00FA575A">
              <w:rPr>
                <w:rFonts w:cs="Arial"/>
                <w:bCs/>
              </w:rPr>
              <w:t>Timing:</w:t>
            </w:r>
          </w:p>
          <w:p w14:paraId="04894901" w14:textId="77777777" w:rsidR="00EC2A96" w:rsidRPr="00B10E7D" w:rsidRDefault="00EC2A96" w:rsidP="00FB463E">
            <w:pPr>
              <w:pStyle w:val="Paragraphedeliste"/>
              <w:numPr>
                <w:ilvl w:val="0"/>
                <w:numId w:val="28"/>
              </w:numPr>
              <w:spacing w:before="0" w:after="0"/>
              <w:contextualSpacing w:val="0"/>
              <w:rPr>
                <w:rFonts w:cs="Arial"/>
                <w:bCs/>
              </w:rPr>
            </w:pPr>
            <w:r w:rsidRPr="00B10E7D">
              <w:rPr>
                <w:rFonts w:cs="Arial"/>
                <w:bCs/>
              </w:rPr>
              <w:t>Child &gt;6 years old and adult: 2 applications per day,</w:t>
            </w:r>
          </w:p>
          <w:p w14:paraId="21C25AF2" w14:textId="77777777" w:rsidR="00EC2A96" w:rsidRPr="00B10E7D" w:rsidRDefault="00EC2A96" w:rsidP="00FB463E">
            <w:pPr>
              <w:pStyle w:val="Paragraphedeliste"/>
              <w:numPr>
                <w:ilvl w:val="0"/>
                <w:numId w:val="28"/>
              </w:numPr>
              <w:spacing w:before="0" w:after="0"/>
              <w:contextualSpacing w:val="0"/>
              <w:rPr>
                <w:rFonts w:cs="Arial"/>
                <w:bCs/>
              </w:rPr>
            </w:pPr>
            <w:r w:rsidRPr="00B10E7D">
              <w:rPr>
                <w:rFonts w:cs="Arial"/>
                <w:bCs/>
              </w:rPr>
              <w:t>Child ≥ 6 months old-6 years: 1 application per day.</w:t>
            </w:r>
          </w:p>
          <w:p w14:paraId="3827B681" w14:textId="77777777" w:rsidR="00EC2A96" w:rsidRDefault="00EC2A96" w:rsidP="00FB463E">
            <w:pPr>
              <w:rPr>
                <w:rFonts w:cs="Arial"/>
                <w:bCs/>
              </w:rPr>
            </w:pPr>
          </w:p>
          <w:p w14:paraId="66913C5E" w14:textId="77777777" w:rsidR="00EC2A96" w:rsidRPr="00FA575A" w:rsidRDefault="00EC2A96" w:rsidP="00FB463E">
            <w:pPr>
              <w:rPr>
                <w:rFonts w:cs="Arial"/>
                <w:bCs/>
              </w:rPr>
            </w:pPr>
            <w:r w:rsidRPr="00FA575A">
              <w:rPr>
                <w:rFonts w:cs="Arial"/>
                <w:bCs/>
              </w:rPr>
              <w:t>Dose per application:</w:t>
            </w:r>
          </w:p>
          <w:p w14:paraId="6CC5C341" w14:textId="77777777" w:rsidR="00EC2A96" w:rsidRPr="00727E86" w:rsidRDefault="00EC2A96" w:rsidP="00FB463E">
            <w:pPr>
              <w:pStyle w:val="Paragraphedeliste"/>
              <w:numPr>
                <w:ilvl w:val="0"/>
                <w:numId w:val="28"/>
              </w:numPr>
              <w:spacing w:before="0" w:after="0"/>
              <w:contextualSpacing w:val="0"/>
              <w:rPr>
                <w:rFonts w:cs="Arial"/>
                <w:bCs/>
              </w:rPr>
            </w:pPr>
            <w:r w:rsidRPr="003F77BE">
              <w:rPr>
                <w:rFonts w:cs="Arial"/>
                <w:bCs/>
              </w:rPr>
              <w:t>6 g of product/m</w:t>
            </w:r>
            <w:r>
              <w:rPr>
                <w:rFonts w:cs="Arial"/>
                <w:bCs/>
              </w:rPr>
              <w:t>².</w:t>
            </w:r>
          </w:p>
        </w:tc>
      </w:tr>
      <w:tr w:rsidR="00EC2A96" w:rsidRPr="00FB5291" w14:paraId="23C077CE"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4500EFD" w14:textId="77777777" w:rsidR="00EC2A96" w:rsidRPr="00FB5291" w:rsidRDefault="00EC2A96" w:rsidP="00FB463E">
            <w:pPr>
              <w:rPr>
                <w:rFonts w:cs="Arial"/>
                <w:bCs/>
              </w:rPr>
            </w:pPr>
            <w:r w:rsidRPr="00FB5291">
              <w:rPr>
                <w:rFonts w:cs="Arial"/>
                <w:bC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E5BD327" w14:textId="77777777" w:rsidR="00EC2A96" w:rsidRPr="00FB5291" w:rsidRDefault="00EC2A96" w:rsidP="00FB463E">
            <w:pPr>
              <w:rPr>
                <w:rFonts w:cs="Arial"/>
                <w:bCs/>
              </w:rPr>
            </w:pPr>
            <w:r>
              <w:rPr>
                <w:rFonts w:cs="Arial"/>
                <w:bCs/>
              </w:rPr>
              <w:t>General public</w:t>
            </w:r>
          </w:p>
        </w:tc>
      </w:tr>
      <w:tr w:rsidR="00EC2A96" w:rsidRPr="00FB5291" w14:paraId="63A04E30"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9C0DE66" w14:textId="77777777" w:rsidR="00EC2A96" w:rsidRPr="00FB463E" w:rsidRDefault="00EC2A96" w:rsidP="00FB463E">
            <w:pPr>
              <w:rPr>
                <w:rFonts w:cs="Arial"/>
                <w:bCs/>
              </w:rPr>
            </w:pPr>
            <w:r w:rsidRPr="00FB5291">
              <w:rPr>
                <w:rFonts w:cs="Arial"/>
                <w:bC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27E86" w14:paraId="0296ED25" w14:textId="77777777" w:rsidTr="00EC2A96">
              <w:tc>
                <w:tcPr>
                  <w:tcW w:w="2074" w:type="dxa"/>
                  <w:shd w:val="clear" w:color="auto" w:fill="auto"/>
                </w:tcPr>
                <w:p w14:paraId="6720AA3F" w14:textId="77777777" w:rsidR="00EC2A96" w:rsidRPr="00727E86" w:rsidRDefault="00EC2A96" w:rsidP="00FB463E">
                  <w:pPr>
                    <w:rPr>
                      <w:rFonts w:cs="Arial"/>
                      <w:b/>
                      <w:bCs/>
                    </w:rPr>
                  </w:pPr>
                  <w:r w:rsidRPr="00727E86">
                    <w:rPr>
                      <w:rFonts w:cs="Arial"/>
                      <w:b/>
                      <w:bCs/>
                    </w:rPr>
                    <w:t>Type</w:t>
                  </w:r>
                </w:p>
              </w:tc>
              <w:tc>
                <w:tcPr>
                  <w:tcW w:w="2074" w:type="dxa"/>
                  <w:shd w:val="clear" w:color="auto" w:fill="auto"/>
                </w:tcPr>
                <w:p w14:paraId="6B301FC1" w14:textId="77777777" w:rsidR="00EC2A96" w:rsidRPr="00762A41" w:rsidRDefault="00EC2A96" w:rsidP="00FB463E">
                  <w:pPr>
                    <w:rPr>
                      <w:rFonts w:cs="Arial"/>
                      <w:b/>
                      <w:bCs/>
                    </w:rPr>
                  </w:pPr>
                  <w:r w:rsidRPr="00762A41">
                    <w:rPr>
                      <w:rFonts w:cs="Arial"/>
                      <w:b/>
                      <w:bCs/>
                    </w:rPr>
                    <w:t>Material</w:t>
                  </w:r>
                </w:p>
              </w:tc>
              <w:tc>
                <w:tcPr>
                  <w:tcW w:w="2075" w:type="dxa"/>
                  <w:shd w:val="clear" w:color="auto" w:fill="auto"/>
                </w:tcPr>
                <w:p w14:paraId="303F2C65" w14:textId="77777777" w:rsidR="00EC2A96" w:rsidRPr="00762A41" w:rsidRDefault="00EC2A96" w:rsidP="00FB463E">
                  <w:pPr>
                    <w:rPr>
                      <w:rFonts w:cs="Arial"/>
                      <w:b/>
                      <w:bCs/>
                    </w:rPr>
                  </w:pPr>
                  <w:r w:rsidRPr="00762A41">
                    <w:rPr>
                      <w:rFonts w:cs="Arial"/>
                      <w:b/>
                      <w:bCs/>
                    </w:rPr>
                    <w:t>Size</w:t>
                  </w:r>
                </w:p>
              </w:tc>
            </w:tr>
            <w:tr w:rsidR="00EC2A96" w:rsidRPr="00727E86" w14:paraId="24868604" w14:textId="77777777" w:rsidTr="00EC2A96">
              <w:tc>
                <w:tcPr>
                  <w:tcW w:w="2074" w:type="dxa"/>
                  <w:shd w:val="clear" w:color="auto" w:fill="auto"/>
                </w:tcPr>
                <w:p w14:paraId="73145EBC" w14:textId="77777777" w:rsidR="00EC2A96" w:rsidRPr="0077257C" w:rsidRDefault="00EC2A96" w:rsidP="00FB463E">
                  <w:pPr>
                    <w:rPr>
                      <w:rFonts w:cs="Arial"/>
                      <w:bCs/>
                    </w:rPr>
                  </w:pPr>
                  <w:r w:rsidRPr="0077257C">
                    <w:rPr>
                      <w:rFonts w:cs="Arial"/>
                      <w:bCs/>
                    </w:rPr>
                    <w:t>Bottle</w:t>
                  </w:r>
                  <w:r>
                    <w:rPr>
                      <w:rFonts w:cs="Arial"/>
                      <w:bCs/>
                    </w:rPr>
                    <w:t xml:space="preserve"> with a pump spray head</w:t>
                  </w:r>
                </w:p>
              </w:tc>
              <w:tc>
                <w:tcPr>
                  <w:tcW w:w="2074" w:type="dxa"/>
                  <w:shd w:val="clear" w:color="auto" w:fill="auto"/>
                </w:tcPr>
                <w:p w14:paraId="6F833846" w14:textId="77777777" w:rsidR="00EC2A96" w:rsidRPr="0077257C" w:rsidRDefault="00EC2A96" w:rsidP="00FB463E">
                  <w:pPr>
                    <w:rPr>
                      <w:rFonts w:cs="Arial"/>
                      <w:bCs/>
                    </w:rPr>
                  </w:pPr>
                  <w:r w:rsidRPr="0077257C">
                    <w:rPr>
                      <w:rFonts w:cs="Arial"/>
                      <w:bCs/>
                    </w:rPr>
                    <w:t>Plastic: HDPE</w:t>
                  </w:r>
                </w:p>
              </w:tc>
              <w:tc>
                <w:tcPr>
                  <w:tcW w:w="2075" w:type="dxa"/>
                  <w:shd w:val="clear" w:color="auto" w:fill="auto"/>
                </w:tcPr>
                <w:p w14:paraId="1812CE71" w14:textId="77777777" w:rsidR="00EC2A96" w:rsidRPr="0077257C" w:rsidRDefault="00EC2A96" w:rsidP="00FB463E">
                  <w:pPr>
                    <w:rPr>
                      <w:rFonts w:cs="Arial"/>
                      <w:bCs/>
                    </w:rPr>
                  </w:pPr>
                  <w:r>
                    <w:rPr>
                      <w:rFonts w:cs="Arial"/>
                      <w:bCs/>
                    </w:rPr>
                    <w:t>100 to 250</w:t>
                  </w:r>
                  <w:r w:rsidRPr="003F77BE">
                    <w:rPr>
                      <w:rFonts w:cs="Arial"/>
                      <w:bCs/>
                    </w:rPr>
                    <w:t xml:space="preserve"> mL</w:t>
                  </w:r>
                </w:p>
              </w:tc>
            </w:tr>
          </w:tbl>
          <w:p w14:paraId="57D00D6F" w14:textId="77777777" w:rsidR="00EC2A96" w:rsidRPr="00FB5291" w:rsidRDefault="00EC2A96" w:rsidP="00FB463E">
            <w:pPr>
              <w:rPr>
                <w:rFonts w:cs="Arial"/>
                <w:bCs/>
              </w:rPr>
            </w:pPr>
          </w:p>
        </w:tc>
      </w:tr>
    </w:tbl>
    <w:p w14:paraId="17E472BD" w14:textId="77777777" w:rsidR="00EC2A96" w:rsidRPr="00C0613A" w:rsidRDefault="00EC2A96" w:rsidP="00FB463E">
      <w:pPr>
        <w:pStyle w:val="Absatz"/>
      </w:pPr>
    </w:p>
    <w:p w14:paraId="32127455" w14:textId="09BE5202" w:rsidR="00EC2A96" w:rsidRPr="00671A6D" w:rsidRDefault="00EC2A96" w:rsidP="00FB463E">
      <w:pPr>
        <w:pStyle w:val="Lgende"/>
        <w:spacing w:after="120"/>
        <w:ind w:left="0" w:firstLine="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752A50">
        <w:rPr>
          <w:rFonts w:ascii="Verdana" w:hAnsi="Verdana"/>
          <w:noProof/>
        </w:rPr>
        <w:t>7</w:t>
      </w:r>
      <w:r w:rsidRPr="00671A6D">
        <w:rPr>
          <w:rFonts w:ascii="Verdana" w:hAnsi="Verdana"/>
        </w:rPr>
        <w:fldChar w:fldCharType="end"/>
      </w:r>
      <w:r w:rsidRPr="00671A6D">
        <w:rPr>
          <w:rFonts w:ascii="Verdana" w:hAnsi="Verdana"/>
        </w:rPr>
        <w:t xml:space="preserve">. </w:t>
      </w:r>
      <w:r>
        <w:rPr>
          <w:rFonts w:ascii="Verdana" w:hAnsi="Verdana"/>
        </w:rPr>
        <w:t>Intended u</w:t>
      </w:r>
      <w:r w:rsidRPr="00671A6D">
        <w:rPr>
          <w:rFonts w:ascii="Verdana" w:hAnsi="Verdana"/>
        </w:rPr>
        <w:t xml:space="preserve">se # </w:t>
      </w:r>
      <w:r>
        <w:rPr>
          <w:rFonts w:ascii="Verdana" w:hAnsi="Verdana"/>
        </w:rPr>
        <w:t>7</w:t>
      </w:r>
      <w:r w:rsidRPr="00671A6D">
        <w:rPr>
          <w:rFonts w:ascii="Verdana" w:hAnsi="Verdana"/>
        </w:rPr>
        <w:t xml:space="preserve"> – </w:t>
      </w:r>
      <w:r>
        <w:rPr>
          <w:rFonts w:ascii="Verdana" w:hAnsi="Verdana"/>
        </w:rPr>
        <w:t>Spray to treat fabric against dust mites (general public)</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EC2A96" w:rsidRPr="00FB5291" w14:paraId="01AF4FA5" w14:textId="77777777" w:rsidTr="00EC2A9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905B926" w14:textId="77777777" w:rsidR="00EC2A96" w:rsidRPr="00FB5291" w:rsidRDefault="00EC2A96" w:rsidP="00FB463E">
            <w:pPr>
              <w:rPr>
                <w:rFonts w:cs="Arial"/>
                <w:bCs/>
                <w:lang w:val="de-DE"/>
              </w:rPr>
            </w:pPr>
            <w:r w:rsidRPr="00FB5291">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3B9C993B" w14:textId="77777777" w:rsidR="00EC2A96" w:rsidRPr="00FB5291" w:rsidRDefault="00EC2A96" w:rsidP="00FB463E">
            <w:pPr>
              <w:rPr>
                <w:rFonts w:cs="Arial"/>
                <w:bCs/>
                <w:lang w:val="de-DE"/>
              </w:rPr>
            </w:pPr>
            <w:r w:rsidRPr="009B6579">
              <w:rPr>
                <w:rFonts w:cs="Arial"/>
                <w:bCs/>
                <w:lang w:val="de-DE"/>
              </w:rPr>
              <w:t>PT19 – Repellents and attractants (Pest control)</w:t>
            </w:r>
          </w:p>
        </w:tc>
      </w:tr>
      <w:tr w:rsidR="00EC2A96" w:rsidRPr="00FB5291" w14:paraId="1D758B52"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D8F0CF0" w14:textId="77777777" w:rsidR="00EC2A96" w:rsidRPr="00FB5291" w:rsidRDefault="00EC2A96" w:rsidP="00FB463E">
            <w:pPr>
              <w:rPr>
                <w:rFonts w:cs="Arial"/>
                <w:bCs/>
                <w:lang w:val="en-US"/>
              </w:rPr>
            </w:pPr>
            <w:r w:rsidRPr="00FB5291">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F01C2C" w14:textId="77777777" w:rsidR="00EC2A96" w:rsidRPr="00FB5291" w:rsidRDefault="00EC2A96" w:rsidP="00FB463E">
            <w:pPr>
              <w:rPr>
                <w:rFonts w:cs="Arial"/>
                <w:bCs/>
              </w:rPr>
            </w:pPr>
            <w:r w:rsidRPr="009B6579">
              <w:rPr>
                <w:rFonts w:cs="Arial"/>
                <w:bCs/>
              </w:rPr>
              <w:t>Repellent</w:t>
            </w:r>
          </w:p>
        </w:tc>
      </w:tr>
      <w:tr w:rsidR="00EC2A96" w:rsidRPr="00FB5291" w14:paraId="567775FC"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16E7945" w14:textId="77777777" w:rsidR="00EC2A96" w:rsidRPr="00FB463E" w:rsidRDefault="00EC2A96" w:rsidP="00FB463E">
            <w:pPr>
              <w:rPr>
                <w:rFonts w:cs="Arial"/>
                <w:bCs/>
              </w:rPr>
            </w:pPr>
            <w:r w:rsidRPr="00FB5291">
              <w:rPr>
                <w:rFonts w:cs="Arial"/>
                <w:bCs/>
              </w:rPr>
              <w:t>Target organism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1858"/>
              <w:gridCol w:w="2075"/>
            </w:tblGrid>
            <w:tr w:rsidR="00EC2A96" w:rsidRPr="00727E86" w14:paraId="00E57775" w14:textId="77777777" w:rsidTr="00EC2A96">
              <w:tc>
                <w:tcPr>
                  <w:tcW w:w="2290" w:type="dxa"/>
                  <w:shd w:val="clear" w:color="auto" w:fill="auto"/>
                </w:tcPr>
                <w:p w14:paraId="462F138C" w14:textId="77777777" w:rsidR="00EC2A96" w:rsidRPr="00727E86" w:rsidRDefault="00EC2A96" w:rsidP="00FB463E">
                  <w:pPr>
                    <w:rPr>
                      <w:rFonts w:cs="Arial"/>
                      <w:b/>
                      <w:bCs/>
                    </w:rPr>
                  </w:pPr>
                  <w:r w:rsidRPr="00727E86">
                    <w:rPr>
                      <w:rFonts w:cs="Arial"/>
                      <w:b/>
                      <w:bCs/>
                    </w:rPr>
                    <w:t>Scientific name</w:t>
                  </w:r>
                </w:p>
              </w:tc>
              <w:tc>
                <w:tcPr>
                  <w:tcW w:w="1858" w:type="dxa"/>
                  <w:shd w:val="clear" w:color="auto" w:fill="auto"/>
                </w:tcPr>
                <w:p w14:paraId="170DC6A4" w14:textId="77777777" w:rsidR="00EC2A96" w:rsidRPr="00762A41" w:rsidRDefault="00EC2A96" w:rsidP="00FB463E">
                  <w:pPr>
                    <w:rPr>
                      <w:rFonts w:cs="Arial"/>
                      <w:b/>
                      <w:bCs/>
                    </w:rPr>
                  </w:pPr>
                  <w:r w:rsidRPr="00762A41">
                    <w:rPr>
                      <w:rFonts w:cs="Arial"/>
                      <w:b/>
                      <w:bCs/>
                    </w:rPr>
                    <w:t>Common name</w:t>
                  </w:r>
                </w:p>
              </w:tc>
              <w:tc>
                <w:tcPr>
                  <w:tcW w:w="2075" w:type="dxa"/>
                  <w:shd w:val="clear" w:color="auto" w:fill="auto"/>
                </w:tcPr>
                <w:p w14:paraId="068A40D2" w14:textId="77777777" w:rsidR="00EC2A96" w:rsidRPr="00762A41" w:rsidRDefault="00EC2A96" w:rsidP="00FB463E">
                  <w:pPr>
                    <w:rPr>
                      <w:rFonts w:cs="Arial"/>
                      <w:b/>
                      <w:bCs/>
                    </w:rPr>
                  </w:pPr>
                  <w:r w:rsidRPr="00762A41">
                    <w:rPr>
                      <w:rFonts w:cs="Arial"/>
                      <w:b/>
                      <w:bCs/>
                    </w:rPr>
                    <w:t>Development stage</w:t>
                  </w:r>
                </w:p>
              </w:tc>
            </w:tr>
            <w:tr w:rsidR="00EC2A96" w:rsidRPr="00727E86" w14:paraId="703DEF3B" w14:textId="77777777" w:rsidTr="00EC2A96">
              <w:tc>
                <w:tcPr>
                  <w:tcW w:w="2290" w:type="dxa"/>
                  <w:shd w:val="clear" w:color="auto" w:fill="auto"/>
                </w:tcPr>
                <w:p w14:paraId="7E247BB2" w14:textId="77777777" w:rsidR="00EC2A96" w:rsidRPr="00FB463E" w:rsidRDefault="00EC2A96" w:rsidP="00FB463E">
                  <w:pPr>
                    <w:rPr>
                      <w:rFonts w:cs="Arial"/>
                      <w:bCs/>
                    </w:rPr>
                  </w:pPr>
                  <w:r w:rsidRPr="00FB463E">
                    <w:rPr>
                      <w:rFonts w:cs="Arial"/>
                      <w:bCs/>
                    </w:rPr>
                    <w:t>Dermatophagoides pteronyssinus</w:t>
                  </w:r>
                </w:p>
              </w:tc>
              <w:tc>
                <w:tcPr>
                  <w:tcW w:w="1858" w:type="dxa"/>
                  <w:shd w:val="clear" w:color="auto" w:fill="auto"/>
                </w:tcPr>
                <w:p w14:paraId="58AA64B5" w14:textId="77777777" w:rsidR="00EC2A96" w:rsidRPr="00F11246" w:rsidRDefault="00EC2A96" w:rsidP="00FB463E">
                  <w:pPr>
                    <w:rPr>
                      <w:rFonts w:cs="Arial"/>
                      <w:bCs/>
                    </w:rPr>
                  </w:pPr>
                  <w:r w:rsidRPr="00032DAB">
                    <w:rPr>
                      <w:rFonts w:cs="Arial"/>
                      <w:bCs/>
                    </w:rPr>
                    <w:t>Dust mite</w:t>
                  </w:r>
                </w:p>
              </w:tc>
              <w:tc>
                <w:tcPr>
                  <w:tcW w:w="2075" w:type="dxa"/>
                  <w:shd w:val="clear" w:color="auto" w:fill="auto"/>
                </w:tcPr>
                <w:p w14:paraId="1BE661AD" w14:textId="77777777" w:rsidR="00EC2A96" w:rsidRPr="00F11246" w:rsidRDefault="00EC2A96" w:rsidP="00FB463E">
                  <w:pPr>
                    <w:rPr>
                      <w:rFonts w:cs="Arial"/>
                      <w:bCs/>
                    </w:rPr>
                  </w:pPr>
                  <w:r w:rsidRPr="00CB79EB">
                    <w:rPr>
                      <w:rFonts w:cs="Arial"/>
                      <w:bCs/>
                    </w:rPr>
                    <w:t>Adults</w:t>
                  </w:r>
                </w:p>
              </w:tc>
            </w:tr>
          </w:tbl>
          <w:p w14:paraId="130F8BEB" w14:textId="77777777" w:rsidR="00EC2A96" w:rsidRPr="00FB5291" w:rsidRDefault="00EC2A96" w:rsidP="00FB463E">
            <w:pPr>
              <w:rPr>
                <w:rFonts w:cs="Arial"/>
                <w:bCs/>
              </w:rPr>
            </w:pPr>
          </w:p>
        </w:tc>
      </w:tr>
      <w:tr w:rsidR="00EC2A96" w:rsidRPr="00FB5291" w14:paraId="515995B0"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FF6268E" w14:textId="77777777" w:rsidR="00EC2A96" w:rsidRPr="00FB463E" w:rsidRDefault="00EC2A96" w:rsidP="00FB463E">
            <w:pPr>
              <w:rPr>
                <w:rFonts w:cs="Arial"/>
                <w:bCs/>
              </w:rPr>
            </w:pPr>
            <w:r w:rsidRPr="00FB5291">
              <w:rPr>
                <w:rFonts w:cs="Arial"/>
                <w:bCs/>
              </w:rPr>
              <w:t>Field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131DF8A" w14:textId="77777777" w:rsidR="00EC2A96" w:rsidRPr="00FB5291" w:rsidRDefault="00EC2A96" w:rsidP="00FB463E">
            <w:pPr>
              <w:rPr>
                <w:rFonts w:cs="Arial"/>
                <w:bCs/>
              </w:rPr>
            </w:pPr>
            <w:r w:rsidRPr="00CB79EB">
              <w:rPr>
                <w:rFonts w:cs="Arial"/>
                <w:bCs/>
              </w:rPr>
              <w:t>indoor use</w:t>
            </w:r>
          </w:p>
        </w:tc>
      </w:tr>
      <w:tr w:rsidR="00EC2A96" w:rsidRPr="00FB5291" w14:paraId="705B4775"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4D051A2" w14:textId="77777777" w:rsidR="00EC2A96" w:rsidRPr="00FB463E" w:rsidRDefault="00EC2A96" w:rsidP="00FB463E">
            <w:pPr>
              <w:rPr>
                <w:rFonts w:cs="Arial"/>
                <w:bCs/>
              </w:rPr>
            </w:pPr>
            <w:r w:rsidRPr="00FB5291">
              <w:rPr>
                <w:rFonts w:cs="Arial"/>
                <w:bC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6D8A5BD" w14:textId="77777777" w:rsidR="00EC2A96" w:rsidRPr="00FB463E" w:rsidRDefault="00EC2A96" w:rsidP="00FB463E">
            <w:pPr>
              <w:rPr>
                <w:rFonts w:cs="Arial"/>
                <w:bCs/>
              </w:rPr>
            </w:pPr>
            <w:r w:rsidRPr="00FB463E">
              <w:rPr>
                <w:rFonts w:cs="Arial"/>
                <w:bCs/>
              </w:rPr>
              <w:t>Spraying: The ready to use product is a pump spray which is sprayed directly onto the fabric (bed linen).</w:t>
            </w:r>
          </w:p>
        </w:tc>
      </w:tr>
      <w:tr w:rsidR="00EC2A96" w:rsidRPr="00FB5291" w14:paraId="57F0596E" w14:textId="77777777" w:rsidTr="00EC2A9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8D140D2" w14:textId="77777777" w:rsidR="00EC2A96" w:rsidRPr="00FB463E" w:rsidRDefault="00EC2A96" w:rsidP="00FB463E">
            <w:pPr>
              <w:rPr>
                <w:rFonts w:cs="Arial"/>
                <w:bCs/>
              </w:rPr>
            </w:pPr>
            <w:r w:rsidRPr="00FB5291">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B0B918" w14:textId="77777777" w:rsidR="00EC2A96" w:rsidRDefault="00EC2A96" w:rsidP="00FB463E">
            <w:pPr>
              <w:rPr>
                <w:rFonts w:cs="Arial"/>
                <w:bCs/>
              </w:rPr>
            </w:pPr>
            <w:r w:rsidRPr="00FA575A">
              <w:rPr>
                <w:rFonts w:cs="Arial"/>
                <w:bCs/>
              </w:rPr>
              <w:t>RTU leave-on product</w:t>
            </w:r>
            <w:r>
              <w:rPr>
                <w:rFonts w:cs="Arial"/>
                <w:bCs/>
              </w:rPr>
              <w:t>.</w:t>
            </w:r>
          </w:p>
          <w:p w14:paraId="2CB98A7D" w14:textId="77777777" w:rsidR="00EC2A96" w:rsidRPr="00FA575A" w:rsidRDefault="00EC2A96" w:rsidP="00FB463E">
            <w:pPr>
              <w:rPr>
                <w:rFonts w:cs="Arial"/>
                <w:bCs/>
              </w:rPr>
            </w:pPr>
          </w:p>
          <w:p w14:paraId="65029CCC" w14:textId="77777777" w:rsidR="00EC2A96" w:rsidRPr="00FA575A" w:rsidRDefault="00EC2A96" w:rsidP="00FB463E">
            <w:pPr>
              <w:rPr>
                <w:rFonts w:cs="Arial"/>
                <w:bCs/>
              </w:rPr>
            </w:pPr>
            <w:r w:rsidRPr="00FA575A">
              <w:rPr>
                <w:rFonts w:cs="Arial"/>
                <w:bCs/>
              </w:rPr>
              <w:t>Timing:</w:t>
            </w:r>
          </w:p>
          <w:p w14:paraId="30463193" w14:textId="77777777" w:rsidR="00EC2A96" w:rsidRPr="003F77BE" w:rsidRDefault="00EC2A96" w:rsidP="00FB463E">
            <w:pPr>
              <w:pStyle w:val="Paragraphedeliste"/>
              <w:numPr>
                <w:ilvl w:val="0"/>
                <w:numId w:val="28"/>
              </w:numPr>
              <w:spacing w:before="0" w:after="0"/>
              <w:contextualSpacing w:val="0"/>
              <w:rPr>
                <w:rFonts w:cs="Arial"/>
                <w:bCs/>
              </w:rPr>
            </w:pPr>
            <w:r>
              <w:rPr>
                <w:rFonts w:cs="Arial"/>
                <w:bCs/>
              </w:rPr>
              <w:t>The bed linen should be treated everyday or after their washing</w:t>
            </w:r>
          </w:p>
          <w:p w14:paraId="0FE8AAB9" w14:textId="77777777" w:rsidR="00EC2A96" w:rsidRDefault="00EC2A96" w:rsidP="00FB463E">
            <w:pPr>
              <w:rPr>
                <w:rFonts w:cs="Arial"/>
                <w:bCs/>
              </w:rPr>
            </w:pPr>
          </w:p>
          <w:p w14:paraId="6BEA3845" w14:textId="77777777" w:rsidR="00EC2A96" w:rsidRPr="00FA575A" w:rsidRDefault="00EC2A96" w:rsidP="00FB463E">
            <w:pPr>
              <w:rPr>
                <w:rFonts w:cs="Arial"/>
                <w:bCs/>
              </w:rPr>
            </w:pPr>
            <w:r w:rsidRPr="00FA575A">
              <w:rPr>
                <w:rFonts w:cs="Arial"/>
                <w:bCs/>
              </w:rPr>
              <w:t>Dose per application:</w:t>
            </w:r>
          </w:p>
          <w:p w14:paraId="137DB0B2" w14:textId="77777777" w:rsidR="00EC2A96" w:rsidRPr="00727E86" w:rsidRDefault="00EC2A96" w:rsidP="00FB463E">
            <w:pPr>
              <w:pStyle w:val="Paragraphedeliste"/>
              <w:numPr>
                <w:ilvl w:val="0"/>
                <w:numId w:val="28"/>
              </w:numPr>
              <w:spacing w:before="0" w:after="0"/>
              <w:contextualSpacing w:val="0"/>
              <w:rPr>
                <w:rFonts w:cs="Arial"/>
                <w:bCs/>
              </w:rPr>
            </w:pPr>
            <w:r w:rsidRPr="00716069">
              <w:rPr>
                <w:rFonts w:cs="Arial"/>
                <w:bCs/>
              </w:rPr>
              <w:t>8.5 g/m² of fabric</w:t>
            </w:r>
          </w:p>
        </w:tc>
      </w:tr>
      <w:tr w:rsidR="00EC2A96" w:rsidRPr="00FB5291" w14:paraId="231DC573"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AA3B6B7" w14:textId="77777777" w:rsidR="00EC2A96" w:rsidRPr="00FB5291" w:rsidRDefault="00EC2A96" w:rsidP="00FB463E">
            <w:pPr>
              <w:rPr>
                <w:rFonts w:cs="Arial"/>
                <w:bCs/>
              </w:rPr>
            </w:pPr>
            <w:r w:rsidRPr="00FB5291">
              <w:rPr>
                <w:rFonts w:cs="Arial"/>
                <w:bC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5A55795" w14:textId="77777777" w:rsidR="00EC2A96" w:rsidRPr="00FB5291" w:rsidRDefault="00EC2A96" w:rsidP="00FB463E">
            <w:pPr>
              <w:rPr>
                <w:rFonts w:cs="Arial"/>
                <w:bCs/>
              </w:rPr>
            </w:pPr>
            <w:r>
              <w:rPr>
                <w:rFonts w:cs="Arial"/>
                <w:bCs/>
              </w:rPr>
              <w:t>General public</w:t>
            </w:r>
          </w:p>
        </w:tc>
      </w:tr>
      <w:tr w:rsidR="00EC2A96" w:rsidRPr="00FB5291" w14:paraId="7A70C943" w14:textId="77777777" w:rsidTr="00FB463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82C89D8" w14:textId="77777777" w:rsidR="00EC2A96" w:rsidRPr="00FB463E" w:rsidRDefault="00EC2A96" w:rsidP="00FB463E">
            <w:pPr>
              <w:rPr>
                <w:rFonts w:cs="Arial"/>
                <w:bCs/>
              </w:rPr>
            </w:pPr>
            <w:r w:rsidRPr="00FB5291">
              <w:rPr>
                <w:rFonts w:cs="Arial"/>
                <w:bC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5"/>
            </w:tblGrid>
            <w:tr w:rsidR="00EC2A96" w:rsidRPr="00727E86" w14:paraId="0551B9F2" w14:textId="77777777" w:rsidTr="00EC2A96">
              <w:tc>
                <w:tcPr>
                  <w:tcW w:w="2074" w:type="dxa"/>
                  <w:shd w:val="clear" w:color="auto" w:fill="auto"/>
                </w:tcPr>
                <w:p w14:paraId="6FB0FEBB" w14:textId="77777777" w:rsidR="00EC2A96" w:rsidRPr="00727E86" w:rsidRDefault="00EC2A96" w:rsidP="00FB463E">
                  <w:pPr>
                    <w:rPr>
                      <w:rFonts w:cs="Arial"/>
                      <w:b/>
                      <w:bCs/>
                    </w:rPr>
                  </w:pPr>
                  <w:r w:rsidRPr="00727E86">
                    <w:rPr>
                      <w:rFonts w:cs="Arial"/>
                      <w:b/>
                      <w:bCs/>
                    </w:rPr>
                    <w:t>Type</w:t>
                  </w:r>
                </w:p>
              </w:tc>
              <w:tc>
                <w:tcPr>
                  <w:tcW w:w="2074" w:type="dxa"/>
                  <w:shd w:val="clear" w:color="auto" w:fill="auto"/>
                </w:tcPr>
                <w:p w14:paraId="74292EE9" w14:textId="77777777" w:rsidR="00EC2A96" w:rsidRPr="00762A41" w:rsidRDefault="00EC2A96" w:rsidP="00FB463E">
                  <w:pPr>
                    <w:rPr>
                      <w:rFonts w:cs="Arial"/>
                      <w:b/>
                      <w:bCs/>
                    </w:rPr>
                  </w:pPr>
                  <w:r w:rsidRPr="00762A41">
                    <w:rPr>
                      <w:rFonts w:cs="Arial"/>
                      <w:b/>
                      <w:bCs/>
                    </w:rPr>
                    <w:t>Material</w:t>
                  </w:r>
                </w:p>
              </w:tc>
              <w:tc>
                <w:tcPr>
                  <w:tcW w:w="2075" w:type="dxa"/>
                  <w:shd w:val="clear" w:color="auto" w:fill="auto"/>
                </w:tcPr>
                <w:p w14:paraId="6AF99EE5" w14:textId="77777777" w:rsidR="00EC2A96" w:rsidRPr="00762A41" w:rsidRDefault="00EC2A96" w:rsidP="00FB463E">
                  <w:pPr>
                    <w:rPr>
                      <w:rFonts w:cs="Arial"/>
                      <w:b/>
                      <w:bCs/>
                    </w:rPr>
                  </w:pPr>
                  <w:r w:rsidRPr="00762A41">
                    <w:rPr>
                      <w:rFonts w:cs="Arial"/>
                      <w:b/>
                      <w:bCs/>
                    </w:rPr>
                    <w:t>Size</w:t>
                  </w:r>
                </w:p>
              </w:tc>
            </w:tr>
            <w:tr w:rsidR="00EC2A96" w:rsidRPr="00727E86" w14:paraId="549D95E7" w14:textId="77777777" w:rsidTr="00EC2A96">
              <w:tc>
                <w:tcPr>
                  <w:tcW w:w="2074" w:type="dxa"/>
                  <w:shd w:val="clear" w:color="auto" w:fill="auto"/>
                </w:tcPr>
                <w:p w14:paraId="2B572B0B" w14:textId="77777777" w:rsidR="00EC2A96" w:rsidRPr="0077257C" w:rsidRDefault="00EC2A96" w:rsidP="00FB463E">
                  <w:pPr>
                    <w:rPr>
                      <w:rFonts w:cs="Arial"/>
                      <w:bCs/>
                    </w:rPr>
                  </w:pPr>
                  <w:r w:rsidRPr="0077257C">
                    <w:rPr>
                      <w:rFonts w:cs="Arial"/>
                      <w:bCs/>
                    </w:rPr>
                    <w:t>Bottle</w:t>
                  </w:r>
                  <w:r>
                    <w:rPr>
                      <w:rFonts w:cs="Arial"/>
                      <w:bCs/>
                    </w:rPr>
                    <w:t xml:space="preserve"> with a pump spray head</w:t>
                  </w:r>
                </w:p>
              </w:tc>
              <w:tc>
                <w:tcPr>
                  <w:tcW w:w="2074" w:type="dxa"/>
                  <w:shd w:val="clear" w:color="auto" w:fill="auto"/>
                </w:tcPr>
                <w:p w14:paraId="4A1B0C54" w14:textId="77777777" w:rsidR="00EC2A96" w:rsidRPr="0077257C" w:rsidRDefault="00EC2A96" w:rsidP="00FB463E">
                  <w:pPr>
                    <w:rPr>
                      <w:rFonts w:cs="Arial"/>
                      <w:bCs/>
                    </w:rPr>
                  </w:pPr>
                  <w:r w:rsidRPr="0077257C">
                    <w:rPr>
                      <w:rFonts w:cs="Arial"/>
                      <w:bCs/>
                    </w:rPr>
                    <w:t>Plastic: HDPE</w:t>
                  </w:r>
                </w:p>
              </w:tc>
              <w:tc>
                <w:tcPr>
                  <w:tcW w:w="2075" w:type="dxa"/>
                  <w:shd w:val="clear" w:color="auto" w:fill="auto"/>
                </w:tcPr>
                <w:p w14:paraId="0AB4C95C" w14:textId="77777777" w:rsidR="00EC2A96" w:rsidRPr="0077257C" w:rsidRDefault="00EC2A96" w:rsidP="00FB463E">
                  <w:pPr>
                    <w:rPr>
                      <w:rFonts w:cs="Arial"/>
                      <w:bCs/>
                    </w:rPr>
                  </w:pPr>
                  <w:r>
                    <w:rPr>
                      <w:rFonts w:cs="Arial"/>
                      <w:bCs/>
                    </w:rPr>
                    <w:t>100 to 250</w:t>
                  </w:r>
                  <w:r w:rsidRPr="003F77BE">
                    <w:rPr>
                      <w:rFonts w:cs="Arial"/>
                      <w:bCs/>
                    </w:rPr>
                    <w:t xml:space="preserve"> mL</w:t>
                  </w:r>
                </w:p>
              </w:tc>
            </w:tr>
          </w:tbl>
          <w:p w14:paraId="3C8CA3B2" w14:textId="77777777" w:rsidR="00EC2A96" w:rsidRPr="00FB5291" w:rsidRDefault="00EC2A96" w:rsidP="00FB463E">
            <w:pPr>
              <w:rPr>
                <w:rFonts w:cs="Arial"/>
                <w:bCs/>
              </w:rPr>
            </w:pPr>
          </w:p>
        </w:tc>
      </w:tr>
    </w:tbl>
    <w:p w14:paraId="13FD1DAC" w14:textId="77777777" w:rsidR="00727E86" w:rsidRDefault="00727E86">
      <w:pPr>
        <w:spacing w:before="0" w:after="160" w:line="259" w:lineRule="auto"/>
        <w:rPr>
          <w:lang w:eastAsia="en-US"/>
        </w:rPr>
      </w:pPr>
    </w:p>
    <w:p w14:paraId="7CF19A90" w14:textId="1B732E00" w:rsidR="00727E86" w:rsidRPr="00727E86" w:rsidRDefault="00727E86" w:rsidP="00727E86">
      <w:pPr>
        <w:pStyle w:val="Paragraphedeliste"/>
        <w:numPr>
          <w:ilvl w:val="0"/>
          <w:numId w:val="68"/>
        </w:numPr>
        <w:rPr>
          <w:rFonts w:eastAsia="Calibri"/>
          <w:b/>
          <w:lang w:eastAsia="en-US"/>
        </w:rPr>
      </w:pPr>
      <w:r>
        <w:rPr>
          <w:rFonts w:eastAsia="Calibri"/>
          <w:b/>
          <w:lang w:eastAsia="en-US"/>
        </w:rPr>
        <w:t>MINOR</w:t>
      </w:r>
      <w:r w:rsidRPr="009B70B6">
        <w:rPr>
          <w:rFonts w:eastAsia="Calibri"/>
          <w:b/>
          <w:lang w:eastAsia="en-US"/>
        </w:rPr>
        <w:t xml:space="preserve"> CHANGE</w:t>
      </w:r>
      <w:r>
        <w:rPr>
          <w:rFonts w:eastAsia="Calibri"/>
          <w:b/>
          <w:lang w:eastAsia="en-US"/>
        </w:rPr>
        <w:t xml:space="preserve"> FOR SPRAY REPULSIF IR200 – 2021</w:t>
      </w:r>
      <w:r w:rsidRPr="009B70B6">
        <w:rPr>
          <w:rFonts w:eastAsia="Calibri"/>
          <w:b/>
          <w:lang w:eastAsia="en-US"/>
        </w:rPr>
        <w:t xml:space="preserve"> (FR CA)</w:t>
      </w:r>
    </w:p>
    <w:p w14:paraId="53F885CD" w14:textId="77777777" w:rsidR="00727E86" w:rsidRDefault="00727E86">
      <w:pPr>
        <w:spacing w:before="0" w:after="160" w:line="259" w:lineRule="auto"/>
        <w:rPr>
          <w:lang w:eastAsia="en-US"/>
        </w:rPr>
      </w:pPr>
    </w:p>
    <w:p w14:paraId="32A115E6" w14:textId="77777777" w:rsidR="00727E86" w:rsidRDefault="00727E86" w:rsidP="00727E86">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Use # 1 – Spray to repel human head lice (general public)</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27E86" w14:paraId="4DD997EF" w14:textId="77777777" w:rsidTr="00727E86">
        <w:tc>
          <w:tcPr>
            <w:tcW w:w="2707" w:type="dxa"/>
            <w:tcBorders>
              <w:top w:val="single" w:sz="4" w:space="0" w:color="000000"/>
              <w:left w:val="single" w:sz="4" w:space="0" w:color="000000"/>
              <w:bottom w:val="single" w:sz="4" w:space="0" w:color="000000"/>
              <w:right w:val="nil"/>
            </w:tcBorders>
            <w:hideMark/>
          </w:tcPr>
          <w:p w14:paraId="68D1E847" w14:textId="77777777" w:rsidR="00727E86" w:rsidRDefault="00727E86" w:rsidP="00727E86">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7C8CFD2" w14:textId="77777777" w:rsidR="00727E86" w:rsidRDefault="00727E86" w:rsidP="00727E86">
            <w:pPr>
              <w:snapToGrid w:val="0"/>
              <w:spacing w:line="254" w:lineRule="auto"/>
              <w:rPr>
                <w:b/>
              </w:rPr>
            </w:pPr>
            <w:r w:rsidRPr="00D601DB">
              <w:t>PT19 - Repellents and attractants (Pest control)</w:t>
            </w:r>
          </w:p>
        </w:tc>
      </w:tr>
      <w:tr w:rsidR="00727E86" w:rsidRPr="008766C7" w14:paraId="4D744023" w14:textId="77777777" w:rsidTr="00727E86">
        <w:tc>
          <w:tcPr>
            <w:tcW w:w="2707" w:type="dxa"/>
            <w:tcBorders>
              <w:top w:val="nil"/>
              <w:left w:val="single" w:sz="4" w:space="0" w:color="000000"/>
              <w:bottom w:val="single" w:sz="4" w:space="0" w:color="000000"/>
              <w:right w:val="nil"/>
            </w:tcBorders>
            <w:hideMark/>
          </w:tcPr>
          <w:p w14:paraId="2FA69433" w14:textId="77777777" w:rsidR="00727E86" w:rsidRDefault="00727E86" w:rsidP="00727E86">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24904358" w14:textId="77777777" w:rsidR="00727E86" w:rsidRDefault="00727E86" w:rsidP="00727E86">
            <w:pPr>
              <w:snapToGrid w:val="0"/>
              <w:spacing w:line="254" w:lineRule="auto"/>
              <w:rPr>
                <w:b/>
              </w:rPr>
            </w:pPr>
          </w:p>
        </w:tc>
      </w:tr>
      <w:tr w:rsidR="00727E86" w:rsidRPr="008766C7" w14:paraId="05000F54" w14:textId="77777777" w:rsidTr="00727E86">
        <w:tc>
          <w:tcPr>
            <w:tcW w:w="2707" w:type="dxa"/>
            <w:tcBorders>
              <w:top w:val="nil"/>
              <w:left w:val="single" w:sz="4" w:space="0" w:color="000000"/>
              <w:bottom w:val="single" w:sz="4" w:space="0" w:color="000000"/>
              <w:right w:val="nil"/>
            </w:tcBorders>
            <w:hideMark/>
          </w:tcPr>
          <w:p w14:paraId="7FCD6F41" w14:textId="77777777" w:rsidR="00727E86" w:rsidRDefault="00727E86" w:rsidP="00727E86">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07320A13" w14:textId="77777777" w:rsidR="00727E86" w:rsidRPr="00A7056E" w:rsidRDefault="00727E86" w:rsidP="00727E86">
            <w:pPr>
              <w:snapToGrid w:val="0"/>
              <w:spacing w:line="254" w:lineRule="auto"/>
            </w:pPr>
            <w:r w:rsidRPr="00A7056E">
              <w:t>Pediculidae</w:t>
            </w:r>
          </w:p>
          <w:p w14:paraId="25B93F50" w14:textId="77777777" w:rsidR="00727E86" w:rsidRPr="00A7056E" w:rsidRDefault="00727E86" w:rsidP="00727E86">
            <w:pPr>
              <w:snapToGrid w:val="0"/>
              <w:spacing w:line="254" w:lineRule="auto"/>
            </w:pPr>
            <w:r w:rsidRPr="00A7056E">
              <w:t>Human Head louse</w:t>
            </w:r>
            <w:r>
              <w:t xml:space="preserve"> (</w:t>
            </w:r>
            <w:r w:rsidRPr="00407084">
              <w:rPr>
                <w:rFonts w:cs="Verdana"/>
                <w:i/>
                <w:lang w:eastAsia="zh-CN"/>
              </w:rPr>
              <w:t>Pedicul</w:t>
            </w:r>
            <w:r>
              <w:rPr>
                <w:rFonts w:cs="Verdana"/>
                <w:i/>
                <w:lang w:eastAsia="zh-CN"/>
              </w:rPr>
              <w:t>us</w:t>
            </w:r>
            <w:r w:rsidRPr="00407084">
              <w:rPr>
                <w:rFonts w:cs="Verdana"/>
                <w:i/>
                <w:lang w:eastAsia="zh-CN"/>
              </w:rPr>
              <w:t xml:space="preserve"> humanus capitis</w:t>
            </w:r>
            <w:r>
              <w:rPr>
                <w:rFonts w:cs="Verdana"/>
                <w:lang w:eastAsia="zh-CN"/>
              </w:rPr>
              <w:t>)</w:t>
            </w:r>
          </w:p>
          <w:p w14:paraId="4EBEB3AF" w14:textId="77777777" w:rsidR="00727E86" w:rsidRPr="00A7056E" w:rsidRDefault="00727E86" w:rsidP="00727E86">
            <w:pPr>
              <w:snapToGrid w:val="0"/>
              <w:spacing w:line="254" w:lineRule="auto"/>
            </w:pPr>
            <w:r w:rsidRPr="00A7056E">
              <w:t>Adults</w:t>
            </w:r>
          </w:p>
        </w:tc>
      </w:tr>
      <w:tr w:rsidR="00727E86" w14:paraId="591031BC" w14:textId="77777777" w:rsidTr="00727E86">
        <w:tc>
          <w:tcPr>
            <w:tcW w:w="2707" w:type="dxa"/>
            <w:tcBorders>
              <w:top w:val="nil"/>
              <w:left w:val="single" w:sz="4" w:space="0" w:color="000000"/>
              <w:bottom w:val="single" w:sz="4" w:space="0" w:color="000000"/>
              <w:right w:val="nil"/>
            </w:tcBorders>
            <w:hideMark/>
          </w:tcPr>
          <w:p w14:paraId="6E58B951" w14:textId="77777777" w:rsidR="00727E86" w:rsidRDefault="00727E86" w:rsidP="00727E86">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CCA5448" w14:textId="77777777" w:rsidR="00727E86" w:rsidRPr="00814EB9" w:rsidRDefault="00727E86" w:rsidP="00727E86">
            <w:pPr>
              <w:snapToGrid w:val="0"/>
              <w:spacing w:line="254" w:lineRule="auto"/>
            </w:pPr>
            <w:r w:rsidRPr="00814EB9">
              <w:t xml:space="preserve">Indoor </w:t>
            </w:r>
          </w:p>
        </w:tc>
      </w:tr>
      <w:tr w:rsidR="00727E86" w14:paraId="4AAAF5F1" w14:textId="77777777" w:rsidTr="00727E86">
        <w:tc>
          <w:tcPr>
            <w:tcW w:w="2707" w:type="dxa"/>
            <w:tcBorders>
              <w:top w:val="nil"/>
              <w:left w:val="single" w:sz="4" w:space="0" w:color="000000"/>
              <w:bottom w:val="single" w:sz="4" w:space="0" w:color="000000"/>
              <w:right w:val="nil"/>
            </w:tcBorders>
            <w:hideMark/>
          </w:tcPr>
          <w:p w14:paraId="5D50E27F" w14:textId="77777777" w:rsidR="00727E86" w:rsidRDefault="00727E86" w:rsidP="00727E86">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030DFCE1" w14:textId="77777777" w:rsidR="00727E86" w:rsidRPr="00A7056E" w:rsidRDefault="00727E86" w:rsidP="00727E86">
            <w:pPr>
              <w:snapToGrid w:val="0"/>
              <w:spacing w:line="260" w:lineRule="atLeast"/>
            </w:pPr>
            <w:r>
              <w:t xml:space="preserve">Spraying </w:t>
            </w:r>
          </w:p>
        </w:tc>
      </w:tr>
      <w:tr w:rsidR="00727E86" w:rsidRPr="008766C7" w14:paraId="71394B5A" w14:textId="77777777" w:rsidTr="00727E86">
        <w:tc>
          <w:tcPr>
            <w:tcW w:w="2707" w:type="dxa"/>
            <w:tcBorders>
              <w:top w:val="nil"/>
              <w:left w:val="single" w:sz="4" w:space="0" w:color="000000"/>
              <w:bottom w:val="single" w:sz="4" w:space="0" w:color="000000"/>
              <w:right w:val="nil"/>
            </w:tcBorders>
            <w:hideMark/>
          </w:tcPr>
          <w:p w14:paraId="1BA9ECDB" w14:textId="77777777" w:rsidR="00727E86" w:rsidRDefault="00727E86" w:rsidP="00727E86">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60F050EB" w14:textId="77777777" w:rsidR="00727E86" w:rsidRDefault="00727E86" w:rsidP="00727E86">
            <w:pPr>
              <w:snapToGrid w:val="0"/>
              <w:spacing w:line="260" w:lineRule="atLeast"/>
            </w:pPr>
            <w:r>
              <w:t>Adults: up to 1.05 g product per application; Children from 0 to 11 years old: 0.5g per application - Ready-to-use (no dilution</w:t>
            </w:r>
          </w:p>
          <w:p w14:paraId="7E5D2C85" w14:textId="77777777" w:rsidR="00727E86" w:rsidRDefault="00727E86" w:rsidP="00727E86">
            <w:pPr>
              <w:snapToGrid w:val="0"/>
              <w:spacing w:line="260" w:lineRule="atLeast"/>
            </w:pPr>
            <w:r>
              <w:t>needed) -</w:t>
            </w:r>
          </w:p>
          <w:p w14:paraId="5781F2C2" w14:textId="77777777" w:rsidR="00727E86" w:rsidRDefault="00727E86" w:rsidP="00727E86">
            <w:pPr>
              <w:snapToGrid w:val="0"/>
              <w:spacing w:line="260" w:lineRule="atLeast"/>
            </w:pPr>
          </w:p>
          <w:p w14:paraId="2F4AF3D7" w14:textId="77777777" w:rsidR="00727E86" w:rsidRDefault="00727E86" w:rsidP="00727E86">
            <w:pPr>
              <w:snapToGrid w:val="0"/>
              <w:spacing w:line="260" w:lineRule="atLeast"/>
            </w:pPr>
            <w:r>
              <w:t>RTU leave-on product</w:t>
            </w:r>
          </w:p>
          <w:p w14:paraId="69794024" w14:textId="77777777" w:rsidR="00727E86" w:rsidRDefault="00727E86" w:rsidP="00727E86">
            <w:pPr>
              <w:snapToGrid w:val="0"/>
              <w:spacing w:line="260" w:lineRule="atLeast"/>
            </w:pPr>
            <w:r>
              <w:t>Timing: Insect Repellent Pump Spray Lice IR3535® 20 % is intended to be used to prevent reinfestation with human head lice (Pediculus humanus capitis) only after a pediculicidal treatment. Reapply after washing the hair and at the latest after 2 days.</w:t>
            </w:r>
          </w:p>
          <w:p w14:paraId="6B9E9864" w14:textId="77777777" w:rsidR="00727E86" w:rsidRDefault="00727E86" w:rsidP="00727E86">
            <w:pPr>
              <w:snapToGrid w:val="0"/>
              <w:spacing w:line="260" w:lineRule="atLeast"/>
            </w:pPr>
          </w:p>
          <w:p w14:paraId="3E492313" w14:textId="77777777" w:rsidR="00727E86" w:rsidRDefault="00727E86" w:rsidP="00727E86">
            <w:pPr>
              <w:snapToGrid w:val="0"/>
              <w:spacing w:line="260" w:lineRule="atLeast"/>
            </w:pPr>
            <w:r>
              <w:t>Dose per application:</w:t>
            </w:r>
          </w:p>
          <w:p w14:paraId="16D3555D" w14:textId="77777777" w:rsidR="00727E86" w:rsidRDefault="00727E86" w:rsidP="00727E86">
            <w:pPr>
              <w:snapToGrid w:val="0"/>
              <w:spacing w:line="260" w:lineRule="atLeast"/>
            </w:pPr>
            <w:r>
              <w:t>• Adults: up to 1.05 g product per application.</w:t>
            </w:r>
          </w:p>
          <w:p w14:paraId="447E92DF" w14:textId="77777777" w:rsidR="00727E86" w:rsidRDefault="00727E86" w:rsidP="00727E86">
            <w:pPr>
              <w:snapToGrid w:val="0"/>
              <w:spacing w:line="260" w:lineRule="atLeast"/>
            </w:pPr>
            <w:r>
              <w:t>• Children from 0 to 11 years old: 0.5g hubs per application</w:t>
            </w:r>
          </w:p>
          <w:p w14:paraId="46D556CB" w14:textId="77777777" w:rsidR="00727E86" w:rsidRDefault="00727E86" w:rsidP="00727E86">
            <w:pPr>
              <w:snapToGrid w:val="0"/>
              <w:spacing w:line="260" w:lineRule="atLeast"/>
              <w:ind w:left="1080"/>
            </w:pPr>
          </w:p>
          <w:p w14:paraId="016F852A" w14:textId="77777777" w:rsidR="00727E86" w:rsidRDefault="00727E86" w:rsidP="00727E86">
            <w:pPr>
              <w:snapToGrid w:val="0"/>
              <w:spacing w:line="260" w:lineRule="atLeast"/>
            </w:pPr>
            <w:r>
              <w:t>When the biocidal product is applied to children under 11 years old, the product should be applied by an adult.</w:t>
            </w:r>
          </w:p>
          <w:p w14:paraId="2E544073" w14:textId="77777777" w:rsidR="00727E86" w:rsidRPr="00A7056E" w:rsidRDefault="00727E86" w:rsidP="00727E86">
            <w:pPr>
              <w:snapToGrid w:val="0"/>
              <w:spacing w:line="260" w:lineRule="atLeast"/>
            </w:pPr>
          </w:p>
        </w:tc>
      </w:tr>
      <w:tr w:rsidR="00727E86" w14:paraId="2BCF39EE" w14:textId="77777777" w:rsidTr="00727E86">
        <w:tc>
          <w:tcPr>
            <w:tcW w:w="2707" w:type="dxa"/>
            <w:tcBorders>
              <w:top w:val="nil"/>
              <w:left w:val="single" w:sz="4" w:space="0" w:color="000000"/>
              <w:bottom w:val="single" w:sz="4" w:space="0" w:color="000000"/>
              <w:right w:val="nil"/>
            </w:tcBorders>
            <w:hideMark/>
          </w:tcPr>
          <w:p w14:paraId="3E0C9D4A" w14:textId="77777777" w:rsidR="00727E86" w:rsidRDefault="00727E86" w:rsidP="00727E86">
            <w:pPr>
              <w:spacing w:line="254" w:lineRule="auto"/>
              <w:rPr>
                <w:b/>
              </w:rPr>
            </w:pPr>
            <w:r>
              <w:rPr>
                <w:b/>
                <w:bCs/>
                <w:szCs w:val="24"/>
                <w:lang w:eastAsia="en-GB"/>
              </w:rPr>
              <w:lastRenderedPageBreak/>
              <w:t>Category(ies) of users</w:t>
            </w:r>
          </w:p>
        </w:tc>
        <w:tc>
          <w:tcPr>
            <w:tcW w:w="6328" w:type="dxa"/>
            <w:tcBorders>
              <w:top w:val="nil"/>
              <w:left w:val="single" w:sz="4" w:space="0" w:color="000000"/>
              <w:bottom w:val="single" w:sz="4" w:space="0" w:color="000000"/>
              <w:right w:val="single" w:sz="4" w:space="0" w:color="000000"/>
            </w:tcBorders>
          </w:tcPr>
          <w:p w14:paraId="04FAFD2C" w14:textId="77777777" w:rsidR="00727E86" w:rsidRPr="00576E4E" w:rsidRDefault="00727E86" w:rsidP="00727E86">
            <w:pPr>
              <w:snapToGrid w:val="0"/>
              <w:spacing w:line="254" w:lineRule="auto"/>
            </w:pPr>
            <w:r>
              <w:t>General public (non-professional)</w:t>
            </w:r>
          </w:p>
        </w:tc>
      </w:tr>
      <w:tr w:rsidR="00727E86" w:rsidRPr="008766C7" w14:paraId="483A50B5" w14:textId="77777777" w:rsidTr="00727E86">
        <w:tc>
          <w:tcPr>
            <w:tcW w:w="2707" w:type="dxa"/>
            <w:tcBorders>
              <w:top w:val="nil"/>
              <w:left w:val="single" w:sz="4" w:space="0" w:color="000000"/>
              <w:bottom w:val="single" w:sz="4" w:space="0" w:color="000000"/>
              <w:right w:val="nil"/>
            </w:tcBorders>
            <w:hideMark/>
          </w:tcPr>
          <w:p w14:paraId="47EE3B19" w14:textId="77777777" w:rsidR="00727E86" w:rsidRDefault="00727E86" w:rsidP="00727E86">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95E0D8B" w14:textId="77777777" w:rsidR="00727E86" w:rsidRDefault="00727E86" w:rsidP="00727E86">
            <w:pPr>
              <w:spacing w:line="254" w:lineRule="auto"/>
            </w:pPr>
            <w:r>
              <w:t>100-250mL HDPE bottle (with sprayer)</w:t>
            </w:r>
          </w:p>
        </w:tc>
      </w:tr>
    </w:tbl>
    <w:p w14:paraId="6E1FA73E" w14:textId="77777777" w:rsidR="00727E86" w:rsidRDefault="00727E86">
      <w:pPr>
        <w:spacing w:before="0" w:after="160" w:line="259" w:lineRule="auto"/>
        <w:rPr>
          <w:lang w:eastAsia="en-US"/>
        </w:rPr>
      </w:pPr>
    </w:p>
    <w:p w14:paraId="51AE7002" w14:textId="77777777" w:rsidR="00727E86" w:rsidRDefault="00727E86" w:rsidP="00727E86">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2</w:t>
      </w:r>
      <w:r>
        <w:rPr>
          <w:rFonts w:ascii="Verdana" w:hAnsi="Verdana" w:cs="Verdana"/>
        </w:rPr>
        <w:fldChar w:fldCharType="end"/>
      </w:r>
      <w:r>
        <w:rPr>
          <w:rFonts w:ascii="Verdana" w:hAnsi="Verdana"/>
        </w:rPr>
        <w:t xml:space="preserve">. Use # 2 – </w:t>
      </w:r>
      <w:r w:rsidRPr="005946A1">
        <w:rPr>
          <w:rFonts w:ascii="Verdana" w:hAnsi="Verdana"/>
          <w:color w:val="000000"/>
        </w:rPr>
        <w:t>Spray to be applied on clothes to repel mosquitoes</w:t>
      </w:r>
      <w:r>
        <w:rPr>
          <w:rFonts w:ascii="Verdana" w:hAnsi="Verdana"/>
          <w:color w:val="000000"/>
        </w:rPr>
        <w:t xml:space="preserve"> (temperate conditions)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27E86" w14:paraId="0E036589" w14:textId="77777777" w:rsidTr="00727E86">
        <w:tc>
          <w:tcPr>
            <w:tcW w:w="2707" w:type="dxa"/>
            <w:tcBorders>
              <w:top w:val="single" w:sz="4" w:space="0" w:color="000000"/>
              <w:left w:val="single" w:sz="4" w:space="0" w:color="000000"/>
              <w:bottom w:val="single" w:sz="4" w:space="0" w:color="000000"/>
              <w:right w:val="nil"/>
            </w:tcBorders>
            <w:hideMark/>
          </w:tcPr>
          <w:p w14:paraId="2C0BCE7A" w14:textId="77777777" w:rsidR="00727E86" w:rsidRDefault="00727E86" w:rsidP="00727E86">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BFCD850" w14:textId="77777777" w:rsidR="00727E86" w:rsidRDefault="00727E86" w:rsidP="00727E86">
            <w:pPr>
              <w:snapToGrid w:val="0"/>
              <w:spacing w:line="254" w:lineRule="auto"/>
              <w:rPr>
                <w:b/>
              </w:rPr>
            </w:pPr>
            <w:r w:rsidRPr="00D601DB">
              <w:t>PT19 - Repellents and attractants (Pest control)</w:t>
            </w:r>
          </w:p>
        </w:tc>
      </w:tr>
      <w:tr w:rsidR="00727E86" w:rsidRPr="008766C7" w14:paraId="724DDB58" w14:textId="77777777" w:rsidTr="00727E86">
        <w:tc>
          <w:tcPr>
            <w:tcW w:w="2707" w:type="dxa"/>
            <w:tcBorders>
              <w:top w:val="nil"/>
              <w:left w:val="single" w:sz="4" w:space="0" w:color="000000"/>
              <w:bottom w:val="single" w:sz="4" w:space="0" w:color="000000"/>
              <w:right w:val="nil"/>
            </w:tcBorders>
            <w:hideMark/>
          </w:tcPr>
          <w:p w14:paraId="335ADE89" w14:textId="77777777" w:rsidR="00727E86" w:rsidRDefault="00727E86" w:rsidP="00727E86">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4017F63A" w14:textId="77777777" w:rsidR="00727E86" w:rsidRDefault="00727E86" w:rsidP="00727E86">
            <w:pPr>
              <w:snapToGrid w:val="0"/>
              <w:spacing w:line="254" w:lineRule="auto"/>
              <w:rPr>
                <w:b/>
              </w:rPr>
            </w:pPr>
            <w:r w:rsidRPr="00D601DB">
              <w:rPr>
                <w:color w:val="000000"/>
              </w:rPr>
              <w:t>Ready to use repellent product to treat clothes</w:t>
            </w:r>
            <w:r>
              <w:rPr>
                <w:color w:val="000000"/>
              </w:rPr>
              <w:t xml:space="preserve"> (cotton and polyester)</w:t>
            </w:r>
            <w:r w:rsidRPr="00D601DB">
              <w:rPr>
                <w:color w:val="000000"/>
              </w:rPr>
              <w:t xml:space="preserve"> </w:t>
            </w:r>
            <w:r>
              <w:rPr>
                <w:color w:val="000000"/>
              </w:rPr>
              <w:t xml:space="preserve">in order to protect the user </w:t>
            </w:r>
            <w:r w:rsidRPr="00D601DB">
              <w:rPr>
                <w:color w:val="000000"/>
              </w:rPr>
              <w:t>against mosquito</w:t>
            </w:r>
            <w:r w:rsidRPr="00D601DB" w:rsidDel="0087276A">
              <w:t xml:space="preserve"> </w:t>
            </w:r>
            <w:r>
              <w:t>bites.</w:t>
            </w:r>
          </w:p>
        </w:tc>
      </w:tr>
      <w:tr w:rsidR="00727E86" w:rsidRPr="008766C7" w14:paraId="50B0F25B" w14:textId="77777777" w:rsidTr="00727E86">
        <w:tc>
          <w:tcPr>
            <w:tcW w:w="2707" w:type="dxa"/>
            <w:tcBorders>
              <w:top w:val="nil"/>
              <w:left w:val="single" w:sz="4" w:space="0" w:color="000000"/>
              <w:bottom w:val="single" w:sz="4" w:space="0" w:color="000000"/>
              <w:right w:val="nil"/>
            </w:tcBorders>
            <w:hideMark/>
          </w:tcPr>
          <w:p w14:paraId="2FE4BBBA" w14:textId="77777777" w:rsidR="00727E86" w:rsidRDefault="00727E86" w:rsidP="00727E86">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750292AD" w14:textId="77777777" w:rsidR="00727E86" w:rsidRPr="000F3633" w:rsidRDefault="00727E86" w:rsidP="00727E86">
            <w:pPr>
              <w:contextualSpacing/>
              <w:rPr>
                <w:i/>
              </w:rPr>
            </w:pPr>
            <w:r w:rsidRPr="000F3633">
              <w:rPr>
                <w:i/>
              </w:rPr>
              <w:t>Aedes spp.</w:t>
            </w:r>
          </w:p>
          <w:p w14:paraId="7EC1FB51" w14:textId="77777777" w:rsidR="00727E86" w:rsidRPr="000F3633" w:rsidRDefault="00727E86" w:rsidP="00727E86">
            <w:pPr>
              <w:contextualSpacing/>
              <w:rPr>
                <w:i/>
              </w:rPr>
            </w:pPr>
            <w:r w:rsidRPr="000F3633">
              <w:rPr>
                <w:i/>
              </w:rPr>
              <w:t>Culex spp.</w:t>
            </w:r>
          </w:p>
          <w:p w14:paraId="72D35805" w14:textId="77777777" w:rsidR="00727E86" w:rsidRPr="00875771" w:rsidRDefault="00727E86" w:rsidP="00727E86">
            <w:pPr>
              <w:contextualSpacing/>
            </w:pPr>
          </w:p>
          <w:p w14:paraId="30E4B2ED" w14:textId="77777777" w:rsidR="00727E86" w:rsidRDefault="00727E86" w:rsidP="00727E86">
            <w:pPr>
              <w:snapToGrid w:val="0"/>
              <w:spacing w:line="254" w:lineRule="auto"/>
            </w:pPr>
            <w:r w:rsidRPr="00875771">
              <w:rPr>
                <w:color w:val="000000"/>
              </w:rPr>
              <w:t>Development stage: adults</w:t>
            </w:r>
          </w:p>
        </w:tc>
      </w:tr>
      <w:tr w:rsidR="00727E86" w14:paraId="4CCBA8E4" w14:textId="77777777" w:rsidTr="00727E86">
        <w:tc>
          <w:tcPr>
            <w:tcW w:w="2707" w:type="dxa"/>
            <w:tcBorders>
              <w:top w:val="nil"/>
              <w:left w:val="single" w:sz="4" w:space="0" w:color="000000"/>
              <w:bottom w:val="single" w:sz="4" w:space="0" w:color="000000"/>
              <w:right w:val="nil"/>
            </w:tcBorders>
            <w:hideMark/>
          </w:tcPr>
          <w:p w14:paraId="2F4E791B" w14:textId="77777777" w:rsidR="00727E86" w:rsidRDefault="00727E86" w:rsidP="00727E86">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7088D7CC" w14:textId="77777777" w:rsidR="00727E86" w:rsidRDefault="00727E86" w:rsidP="00727E86">
            <w:pPr>
              <w:snapToGrid w:val="0"/>
              <w:spacing w:line="260" w:lineRule="atLeast"/>
              <w:jc w:val="both"/>
            </w:pPr>
            <w:r>
              <w:t>Application on clothes</w:t>
            </w:r>
          </w:p>
        </w:tc>
      </w:tr>
      <w:tr w:rsidR="00727E86" w14:paraId="10465A51" w14:textId="77777777" w:rsidTr="00727E86">
        <w:tc>
          <w:tcPr>
            <w:tcW w:w="2707" w:type="dxa"/>
            <w:tcBorders>
              <w:top w:val="nil"/>
              <w:left w:val="single" w:sz="4" w:space="0" w:color="000000"/>
              <w:bottom w:val="single" w:sz="4" w:space="0" w:color="000000"/>
              <w:right w:val="nil"/>
            </w:tcBorders>
            <w:hideMark/>
          </w:tcPr>
          <w:p w14:paraId="3C1B0F5D" w14:textId="77777777" w:rsidR="00727E86" w:rsidRDefault="00727E86" w:rsidP="00727E86">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75294922" w14:textId="77777777" w:rsidR="00727E86" w:rsidRPr="00D601DB" w:rsidRDefault="00727E86" w:rsidP="00727E86">
            <w:r w:rsidRPr="00D601DB">
              <w:t>Spraying</w:t>
            </w:r>
          </w:p>
          <w:p w14:paraId="4BE7A233" w14:textId="77777777" w:rsidR="00727E86" w:rsidRDefault="00727E86" w:rsidP="00727E86">
            <w:pPr>
              <w:snapToGrid w:val="0"/>
              <w:spacing w:line="260" w:lineRule="atLeast"/>
            </w:pPr>
            <w:r w:rsidRPr="00D601DB">
              <w:rPr>
                <w:color w:val="000000"/>
              </w:rPr>
              <w:t>Spray directly onto the textiles</w:t>
            </w:r>
          </w:p>
        </w:tc>
      </w:tr>
      <w:tr w:rsidR="00727E86" w:rsidRPr="008766C7" w14:paraId="4DEE017C" w14:textId="77777777" w:rsidTr="00727E86">
        <w:tc>
          <w:tcPr>
            <w:tcW w:w="2707" w:type="dxa"/>
            <w:tcBorders>
              <w:top w:val="nil"/>
              <w:left w:val="single" w:sz="4" w:space="0" w:color="000000"/>
              <w:bottom w:val="single" w:sz="4" w:space="0" w:color="000000"/>
              <w:right w:val="nil"/>
            </w:tcBorders>
            <w:hideMark/>
          </w:tcPr>
          <w:p w14:paraId="76039C74" w14:textId="77777777" w:rsidR="00727E86" w:rsidRDefault="00727E86" w:rsidP="00727E86">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039615D7" w14:textId="77777777" w:rsidR="00727E86" w:rsidRPr="00AF20E5" w:rsidRDefault="00727E86" w:rsidP="00727E86">
            <w:r w:rsidRPr="00AF20E5">
              <w:t>0</w:t>
            </w:r>
            <w:r>
              <w:t>.6</w:t>
            </w:r>
            <w:r w:rsidRPr="00AF20E5">
              <w:t xml:space="preserve"> </w:t>
            </w:r>
            <w:r>
              <w:t>m</w:t>
            </w:r>
            <w:r w:rsidRPr="00AF20E5">
              <w:t xml:space="preserve">g of product per </w:t>
            </w:r>
            <w:r>
              <w:t>c</w:t>
            </w:r>
            <w:r w:rsidRPr="00AF20E5">
              <w:t xml:space="preserve">m² of fabric </w:t>
            </w:r>
          </w:p>
          <w:p w14:paraId="2FD08AC9" w14:textId="77777777" w:rsidR="00727E86" w:rsidRDefault="00727E86" w:rsidP="00727E86">
            <w:r>
              <w:t>Protection time:</w:t>
            </w:r>
            <w:r w:rsidRPr="00AF20E5">
              <w:t xml:space="preserve"> 8 hours</w:t>
            </w:r>
            <w:r>
              <w:t xml:space="preserve"> (</w:t>
            </w:r>
            <w:r w:rsidRPr="001D2CEA">
              <w:t>in temperate condition</w:t>
            </w:r>
            <w:r>
              <w:t>s and tropicale conditions)</w:t>
            </w:r>
            <w:r w:rsidRPr="00AF20E5">
              <w:t>, even after up to 30 days of storage</w:t>
            </w:r>
            <w:r>
              <w:t xml:space="preserve"> of the treated cloth (</w:t>
            </w:r>
            <w:r w:rsidRPr="001A385C">
              <w:t>before being worn</w:t>
            </w:r>
            <w:r>
              <w:t xml:space="preserve">) </w:t>
            </w:r>
            <w:r w:rsidRPr="001D60E9">
              <w:t>in a closed packaging (such as a plastic bag)</w:t>
            </w:r>
            <w:r>
              <w:t xml:space="preserve">.   </w:t>
            </w:r>
          </w:p>
          <w:p w14:paraId="6E6904E7" w14:textId="77777777" w:rsidR="00727E86" w:rsidRDefault="00727E86" w:rsidP="00727E86">
            <w:r>
              <w:t>Reapply after each washing or use of the treated cloth.</w:t>
            </w:r>
          </w:p>
        </w:tc>
      </w:tr>
      <w:tr w:rsidR="00727E86" w14:paraId="4FA1AB15" w14:textId="77777777" w:rsidTr="00727E86">
        <w:tc>
          <w:tcPr>
            <w:tcW w:w="2707" w:type="dxa"/>
            <w:tcBorders>
              <w:top w:val="nil"/>
              <w:left w:val="single" w:sz="4" w:space="0" w:color="000000"/>
              <w:bottom w:val="single" w:sz="4" w:space="0" w:color="000000"/>
              <w:right w:val="nil"/>
            </w:tcBorders>
            <w:hideMark/>
          </w:tcPr>
          <w:p w14:paraId="3EBBDDB8" w14:textId="77777777" w:rsidR="00727E86" w:rsidRDefault="00727E86" w:rsidP="00727E86">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4835B65B" w14:textId="77777777" w:rsidR="00727E86" w:rsidRDefault="00727E86" w:rsidP="00727E86">
            <w:pPr>
              <w:snapToGrid w:val="0"/>
              <w:spacing w:line="254" w:lineRule="auto"/>
              <w:rPr>
                <w:b/>
              </w:rPr>
            </w:pPr>
            <w:r w:rsidRPr="00D601DB">
              <w:t>General public (non-professional)</w:t>
            </w:r>
          </w:p>
        </w:tc>
      </w:tr>
      <w:tr w:rsidR="00727E86" w:rsidRPr="008766C7" w14:paraId="614E9DE3" w14:textId="77777777" w:rsidTr="00727E86">
        <w:tc>
          <w:tcPr>
            <w:tcW w:w="2707" w:type="dxa"/>
            <w:tcBorders>
              <w:top w:val="nil"/>
              <w:left w:val="single" w:sz="4" w:space="0" w:color="000000"/>
              <w:bottom w:val="single" w:sz="4" w:space="0" w:color="000000"/>
              <w:right w:val="nil"/>
            </w:tcBorders>
            <w:hideMark/>
          </w:tcPr>
          <w:p w14:paraId="082D1F4C" w14:textId="77777777" w:rsidR="00727E86" w:rsidRDefault="00727E86" w:rsidP="00727E86">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461651D8" w14:textId="77777777" w:rsidR="00727E86" w:rsidRDefault="00727E86" w:rsidP="00727E86">
            <w:pPr>
              <w:spacing w:line="254" w:lineRule="auto"/>
            </w:pPr>
            <w:r w:rsidRPr="009A0438">
              <w:rPr>
                <w:highlight w:val="green"/>
              </w:rPr>
              <w:t>100-250mL HDPE bottle (with sprayer)</w:t>
            </w:r>
          </w:p>
        </w:tc>
      </w:tr>
    </w:tbl>
    <w:p w14:paraId="70B4E3DB" w14:textId="77777777" w:rsidR="00727E86" w:rsidRDefault="00727E86">
      <w:pPr>
        <w:spacing w:before="0" w:after="160" w:line="259" w:lineRule="auto"/>
        <w:rPr>
          <w:lang w:eastAsia="en-US"/>
        </w:rPr>
      </w:pPr>
    </w:p>
    <w:p w14:paraId="5E00F54D" w14:textId="77777777" w:rsidR="00727E86" w:rsidRDefault="00727E86" w:rsidP="00727E86">
      <w:pPr>
        <w:pStyle w:val="Lgende"/>
        <w:spacing w:after="120"/>
        <w:rPr>
          <w:rFonts w:ascii="Verdana" w:hAnsi="Verdana"/>
          <w:b/>
          <w:bCs/>
          <w:szCs w:val="24"/>
          <w:lang w:eastAsia="en-GB"/>
        </w:rPr>
      </w:pPr>
      <w:r>
        <w:rPr>
          <w:rFonts w:ascii="Verdana" w:hAnsi="Verdana" w:cs="Verdana"/>
        </w:rPr>
        <w:t>Table 3</w:t>
      </w:r>
      <w:r>
        <w:rPr>
          <w:rFonts w:ascii="Verdana" w:hAnsi="Verdana"/>
        </w:rPr>
        <w:t xml:space="preserve">. Use # 3 – </w:t>
      </w:r>
      <w:r w:rsidRPr="005946A1">
        <w:rPr>
          <w:rFonts w:ascii="Verdana" w:hAnsi="Verdana"/>
          <w:color w:val="000000"/>
        </w:rPr>
        <w:t>Spray to be applied on clothes to repel mosquitoes</w:t>
      </w:r>
      <w:r>
        <w:rPr>
          <w:rFonts w:ascii="Verdana" w:hAnsi="Verdana"/>
          <w:color w:val="000000"/>
        </w:rPr>
        <w:t xml:space="preserve"> (tropical conditions)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27E86" w14:paraId="37796387" w14:textId="77777777" w:rsidTr="00727E86">
        <w:tc>
          <w:tcPr>
            <w:tcW w:w="2707" w:type="dxa"/>
            <w:tcBorders>
              <w:top w:val="single" w:sz="4" w:space="0" w:color="000000"/>
              <w:left w:val="single" w:sz="4" w:space="0" w:color="000000"/>
              <w:bottom w:val="single" w:sz="4" w:space="0" w:color="000000"/>
              <w:right w:val="nil"/>
            </w:tcBorders>
            <w:hideMark/>
          </w:tcPr>
          <w:p w14:paraId="65CF7C90" w14:textId="77777777" w:rsidR="00727E86" w:rsidRDefault="00727E86" w:rsidP="00727E86">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63EA883C" w14:textId="77777777" w:rsidR="00727E86" w:rsidRDefault="00727E86" w:rsidP="00727E86">
            <w:pPr>
              <w:snapToGrid w:val="0"/>
              <w:spacing w:line="254" w:lineRule="auto"/>
              <w:rPr>
                <w:b/>
              </w:rPr>
            </w:pPr>
            <w:r w:rsidRPr="00D601DB">
              <w:t>PT19 - Repellents and attractants (Pest control)</w:t>
            </w:r>
          </w:p>
        </w:tc>
      </w:tr>
      <w:tr w:rsidR="00727E86" w:rsidRPr="008766C7" w14:paraId="6865E2E8" w14:textId="77777777" w:rsidTr="00727E86">
        <w:tc>
          <w:tcPr>
            <w:tcW w:w="2707" w:type="dxa"/>
            <w:tcBorders>
              <w:top w:val="nil"/>
              <w:left w:val="single" w:sz="4" w:space="0" w:color="000000"/>
              <w:bottom w:val="single" w:sz="4" w:space="0" w:color="000000"/>
              <w:right w:val="nil"/>
            </w:tcBorders>
            <w:hideMark/>
          </w:tcPr>
          <w:p w14:paraId="46EC03F1" w14:textId="77777777" w:rsidR="00727E86" w:rsidRDefault="00727E86" w:rsidP="00727E86">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75FFC7B" w14:textId="77777777" w:rsidR="00727E86" w:rsidRDefault="00727E86" w:rsidP="00727E86">
            <w:pPr>
              <w:snapToGrid w:val="0"/>
              <w:spacing w:line="254" w:lineRule="auto"/>
              <w:rPr>
                <w:b/>
              </w:rPr>
            </w:pPr>
            <w:r w:rsidRPr="00D601DB">
              <w:rPr>
                <w:color w:val="000000"/>
              </w:rPr>
              <w:t>Ready to use repellent product to treat clothes</w:t>
            </w:r>
            <w:r>
              <w:rPr>
                <w:color w:val="000000"/>
              </w:rPr>
              <w:t xml:space="preserve"> (cotton and polyester)</w:t>
            </w:r>
            <w:r w:rsidRPr="00D601DB">
              <w:rPr>
                <w:color w:val="000000"/>
              </w:rPr>
              <w:t xml:space="preserve"> </w:t>
            </w:r>
            <w:r>
              <w:rPr>
                <w:color w:val="000000"/>
              </w:rPr>
              <w:t xml:space="preserve">in order to protect the user </w:t>
            </w:r>
            <w:r w:rsidRPr="00D601DB">
              <w:rPr>
                <w:color w:val="000000"/>
              </w:rPr>
              <w:t>against mosquito</w:t>
            </w:r>
            <w:r w:rsidRPr="00D601DB" w:rsidDel="0087276A">
              <w:t xml:space="preserve"> </w:t>
            </w:r>
            <w:r>
              <w:t>bites.</w:t>
            </w:r>
          </w:p>
        </w:tc>
      </w:tr>
      <w:tr w:rsidR="00727E86" w:rsidRPr="008766C7" w14:paraId="1B9FC6FD" w14:textId="77777777" w:rsidTr="00727E86">
        <w:tc>
          <w:tcPr>
            <w:tcW w:w="2707" w:type="dxa"/>
            <w:tcBorders>
              <w:top w:val="nil"/>
              <w:left w:val="single" w:sz="4" w:space="0" w:color="000000"/>
              <w:bottom w:val="single" w:sz="4" w:space="0" w:color="000000"/>
              <w:right w:val="nil"/>
            </w:tcBorders>
            <w:hideMark/>
          </w:tcPr>
          <w:p w14:paraId="27BED186" w14:textId="77777777" w:rsidR="00727E86" w:rsidRDefault="00727E86" w:rsidP="00727E86">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5E78C317" w14:textId="77777777" w:rsidR="00727E86" w:rsidRPr="000F3633" w:rsidRDefault="00727E86" w:rsidP="00727E86">
            <w:pPr>
              <w:contextualSpacing/>
              <w:rPr>
                <w:i/>
              </w:rPr>
            </w:pPr>
            <w:r w:rsidRPr="000F3633">
              <w:rPr>
                <w:i/>
              </w:rPr>
              <w:t>Aedes spp.</w:t>
            </w:r>
          </w:p>
          <w:p w14:paraId="59E13926" w14:textId="77777777" w:rsidR="00727E86" w:rsidRPr="000F3633" w:rsidRDefault="00727E86" w:rsidP="00727E86">
            <w:pPr>
              <w:contextualSpacing/>
              <w:rPr>
                <w:i/>
              </w:rPr>
            </w:pPr>
            <w:r w:rsidRPr="000F3633">
              <w:rPr>
                <w:i/>
              </w:rPr>
              <w:t>Anopheles spp.</w:t>
            </w:r>
          </w:p>
          <w:p w14:paraId="305A40F2" w14:textId="77777777" w:rsidR="00727E86" w:rsidRPr="00875771" w:rsidRDefault="00727E86" w:rsidP="00727E86">
            <w:pPr>
              <w:contextualSpacing/>
            </w:pPr>
          </w:p>
          <w:p w14:paraId="117A4B19" w14:textId="77777777" w:rsidR="00727E86" w:rsidRDefault="00727E86" w:rsidP="00727E86">
            <w:pPr>
              <w:snapToGrid w:val="0"/>
              <w:spacing w:line="254" w:lineRule="auto"/>
            </w:pPr>
            <w:r w:rsidRPr="00875771">
              <w:rPr>
                <w:color w:val="000000"/>
              </w:rPr>
              <w:t>Development stage: adults</w:t>
            </w:r>
          </w:p>
        </w:tc>
      </w:tr>
      <w:tr w:rsidR="00727E86" w14:paraId="5F220562" w14:textId="77777777" w:rsidTr="00727E86">
        <w:tc>
          <w:tcPr>
            <w:tcW w:w="2707" w:type="dxa"/>
            <w:tcBorders>
              <w:top w:val="nil"/>
              <w:left w:val="single" w:sz="4" w:space="0" w:color="000000"/>
              <w:bottom w:val="single" w:sz="4" w:space="0" w:color="000000"/>
              <w:right w:val="nil"/>
            </w:tcBorders>
            <w:hideMark/>
          </w:tcPr>
          <w:p w14:paraId="5BA1A7A2" w14:textId="77777777" w:rsidR="00727E86" w:rsidRDefault="00727E86" w:rsidP="00727E86">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63A8D5E1" w14:textId="77777777" w:rsidR="00727E86" w:rsidRDefault="00727E86" w:rsidP="00727E86">
            <w:pPr>
              <w:snapToGrid w:val="0"/>
              <w:spacing w:line="260" w:lineRule="atLeast"/>
              <w:jc w:val="both"/>
            </w:pPr>
            <w:r>
              <w:t>Application on clothes</w:t>
            </w:r>
          </w:p>
        </w:tc>
      </w:tr>
      <w:tr w:rsidR="00727E86" w14:paraId="6FD80F24" w14:textId="77777777" w:rsidTr="00727E86">
        <w:tc>
          <w:tcPr>
            <w:tcW w:w="2707" w:type="dxa"/>
            <w:tcBorders>
              <w:top w:val="nil"/>
              <w:left w:val="single" w:sz="4" w:space="0" w:color="000000"/>
              <w:bottom w:val="single" w:sz="4" w:space="0" w:color="000000"/>
              <w:right w:val="nil"/>
            </w:tcBorders>
            <w:hideMark/>
          </w:tcPr>
          <w:p w14:paraId="373568FA" w14:textId="77777777" w:rsidR="00727E86" w:rsidRDefault="00727E86" w:rsidP="00727E86">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170919A3" w14:textId="77777777" w:rsidR="00727E86" w:rsidRPr="00D601DB" w:rsidRDefault="00727E86" w:rsidP="00727E86">
            <w:r w:rsidRPr="00D601DB">
              <w:t>Spraying</w:t>
            </w:r>
          </w:p>
          <w:p w14:paraId="53293B62" w14:textId="77777777" w:rsidR="00727E86" w:rsidRDefault="00727E86" w:rsidP="00727E86">
            <w:pPr>
              <w:snapToGrid w:val="0"/>
              <w:spacing w:line="260" w:lineRule="atLeast"/>
            </w:pPr>
            <w:r w:rsidRPr="00D601DB">
              <w:rPr>
                <w:color w:val="000000"/>
              </w:rPr>
              <w:t>Spray directly onto the textiles</w:t>
            </w:r>
          </w:p>
        </w:tc>
      </w:tr>
      <w:tr w:rsidR="00727E86" w:rsidRPr="008766C7" w14:paraId="44E37279" w14:textId="77777777" w:rsidTr="00727E86">
        <w:tc>
          <w:tcPr>
            <w:tcW w:w="2707" w:type="dxa"/>
            <w:tcBorders>
              <w:top w:val="nil"/>
              <w:left w:val="single" w:sz="4" w:space="0" w:color="000000"/>
              <w:bottom w:val="single" w:sz="4" w:space="0" w:color="000000"/>
              <w:right w:val="nil"/>
            </w:tcBorders>
            <w:hideMark/>
          </w:tcPr>
          <w:p w14:paraId="4EC9D189" w14:textId="77777777" w:rsidR="00727E86" w:rsidRDefault="00727E86" w:rsidP="00727E86">
            <w:pPr>
              <w:spacing w:line="254" w:lineRule="auto"/>
              <w:rPr>
                <w:b/>
              </w:rPr>
            </w:pPr>
            <w:r>
              <w:rPr>
                <w:b/>
                <w:bCs/>
                <w:szCs w:val="24"/>
                <w:lang w:eastAsia="en-GB"/>
              </w:rPr>
              <w:lastRenderedPageBreak/>
              <w:t>Application rate(s) and frequency</w:t>
            </w:r>
          </w:p>
        </w:tc>
        <w:tc>
          <w:tcPr>
            <w:tcW w:w="6328" w:type="dxa"/>
            <w:tcBorders>
              <w:top w:val="nil"/>
              <w:left w:val="single" w:sz="4" w:space="0" w:color="000000"/>
              <w:bottom w:val="single" w:sz="4" w:space="0" w:color="000000"/>
              <w:right w:val="single" w:sz="4" w:space="0" w:color="000000"/>
            </w:tcBorders>
          </w:tcPr>
          <w:p w14:paraId="2F785F8B" w14:textId="77777777" w:rsidR="00727E86" w:rsidRPr="00AF20E5" w:rsidRDefault="00727E86" w:rsidP="00727E86">
            <w:r>
              <w:t>0.6</w:t>
            </w:r>
            <w:r w:rsidRPr="00AF20E5">
              <w:t xml:space="preserve"> </w:t>
            </w:r>
            <w:r>
              <w:t>m</w:t>
            </w:r>
            <w:r w:rsidRPr="00AF20E5">
              <w:t xml:space="preserve">g of product per </w:t>
            </w:r>
            <w:r>
              <w:t>c</w:t>
            </w:r>
            <w:r w:rsidRPr="00AF20E5">
              <w:t xml:space="preserve">m² of fabric </w:t>
            </w:r>
          </w:p>
          <w:p w14:paraId="37F62B1E" w14:textId="77777777" w:rsidR="00727E86" w:rsidRDefault="00727E86" w:rsidP="00727E86">
            <w:r>
              <w:t>Protection time:</w:t>
            </w:r>
            <w:r w:rsidRPr="00AF20E5">
              <w:t xml:space="preserve"> 8 hours</w:t>
            </w:r>
            <w:r>
              <w:t xml:space="preserve"> (tropical conditions)</w:t>
            </w:r>
            <w:r w:rsidRPr="00AF20E5">
              <w:t>, even after up to 30 days of storage</w:t>
            </w:r>
            <w:r>
              <w:t xml:space="preserve"> of the treated cloth (</w:t>
            </w:r>
            <w:r w:rsidRPr="001A385C">
              <w:t>before being worn</w:t>
            </w:r>
            <w:r>
              <w:t xml:space="preserve">).   </w:t>
            </w:r>
          </w:p>
          <w:p w14:paraId="79E0ECA5" w14:textId="77777777" w:rsidR="00727E86" w:rsidRDefault="00727E86" w:rsidP="00727E86">
            <w:r>
              <w:t xml:space="preserve">Reapply after each washing or use of the treated cloth </w:t>
            </w:r>
            <w:r w:rsidRPr="001D60E9">
              <w:t>in a closed packaging (such as a plastic bag)</w:t>
            </w:r>
            <w:r>
              <w:t>.</w:t>
            </w:r>
          </w:p>
        </w:tc>
      </w:tr>
      <w:tr w:rsidR="00727E86" w14:paraId="3A5BEC2B" w14:textId="77777777" w:rsidTr="00727E86">
        <w:tc>
          <w:tcPr>
            <w:tcW w:w="2707" w:type="dxa"/>
            <w:tcBorders>
              <w:top w:val="nil"/>
              <w:left w:val="single" w:sz="4" w:space="0" w:color="000000"/>
              <w:bottom w:val="single" w:sz="4" w:space="0" w:color="000000"/>
              <w:right w:val="nil"/>
            </w:tcBorders>
            <w:hideMark/>
          </w:tcPr>
          <w:p w14:paraId="64AB6199" w14:textId="77777777" w:rsidR="00727E86" w:rsidRDefault="00727E86" w:rsidP="00727E86">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1DCC1C07" w14:textId="77777777" w:rsidR="00727E86" w:rsidRDefault="00727E86" w:rsidP="00727E86">
            <w:pPr>
              <w:snapToGrid w:val="0"/>
              <w:spacing w:line="254" w:lineRule="auto"/>
              <w:rPr>
                <w:b/>
              </w:rPr>
            </w:pPr>
            <w:r w:rsidRPr="00D601DB">
              <w:t>General public (non-professional)</w:t>
            </w:r>
          </w:p>
        </w:tc>
      </w:tr>
      <w:tr w:rsidR="00727E86" w:rsidRPr="008766C7" w14:paraId="1514602E" w14:textId="77777777" w:rsidTr="00727E86">
        <w:tc>
          <w:tcPr>
            <w:tcW w:w="2707" w:type="dxa"/>
            <w:tcBorders>
              <w:top w:val="nil"/>
              <w:left w:val="single" w:sz="4" w:space="0" w:color="000000"/>
              <w:bottom w:val="single" w:sz="4" w:space="0" w:color="000000"/>
              <w:right w:val="nil"/>
            </w:tcBorders>
            <w:hideMark/>
          </w:tcPr>
          <w:p w14:paraId="73800D3A" w14:textId="77777777" w:rsidR="00727E86" w:rsidRDefault="00727E86" w:rsidP="00727E86">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2886196" w14:textId="77777777" w:rsidR="00727E86" w:rsidRDefault="00727E86" w:rsidP="00727E86">
            <w:pPr>
              <w:spacing w:line="254" w:lineRule="auto"/>
            </w:pPr>
            <w:r w:rsidRPr="009A0438">
              <w:rPr>
                <w:highlight w:val="green"/>
              </w:rPr>
              <w:t>100-250mL HDPE bottle (with sprayer)</w:t>
            </w:r>
          </w:p>
        </w:tc>
      </w:tr>
    </w:tbl>
    <w:p w14:paraId="1AB6C21B" w14:textId="77777777" w:rsidR="00727E86" w:rsidRDefault="00727E86">
      <w:pPr>
        <w:spacing w:before="0" w:after="160" w:line="259" w:lineRule="auto"/>
        <w:rPr>
          <w:lang w:eastAsia="en-US"/>
        </w:rPr>
      </w:pPr>
    </w:p>
    <w:p w14:paraId="4F362D23" w14:textId="77777777" w:rsidR="00727E86" w:rsidRDefault="00727E86" w:rsidP="00727E86">
      <w:pPr>
        <w:pStyle w:val="Lgende"/>
        <w:spacing w:after="120"/>
        <w:rPr>
          <w:rFonts w:ascii="Verdana" w:hAnsi="Verdana"/>
          <w:b/>
          <w:bCs/>
          <w:szCs w:val="24"/>
          <w:lang w:eastAsia="en-GB"/>
        </w:rPr>
      </w:pPr>
      <w:r>
        <w:rPr>
          <w:rFonts w:ascii="Verdana" w:hAnsi="Verdana" w:cs="Verdana"/>
        </w:rPr>
        <w:t>Table 4</w:t>
      </w:r>
      <w:r>
        <w:rPr>
          <w:rFonts w:ascii="Verdana" w:hAnsi="Verdana"/>
        </w:rPr>
        <w:t xml:space="preserve">. Use # 4 – </w:t>
      </w:r>
      <w:r w:rsidRPr="00165258">
        <w:rPr>
          <w:rFonts w:ascii="Verdana" w:hAnsi="Verdana"/>
        </w:rPr>
        <w:t xml:space="preserve">Spray for skin application to repel </w:t>
      </w:r>
      <w:r w:rsidRPr="002400FE">
        <w:rPr>
          <w:rFonts w:ascii="Verdana" w:hAnsi="Verdana"/>
        </w:rPr>
        <w:t>mosquitoes</w:t>
      </w:r>
      <w:r w:rsidRPr="00920B43" w:rsidDel="00023136">
        <w:rPr>
          <w:rStyle w:val="Marquedecommentaire"/>
          <w:rFonts w:ascii="Verdana" w:hAnsi="Verdana"/>
          <w:sz w:val="20"/>
        </w:rPr>
        <w:t xml:space="preserve"> </w:t>
      </w:r>
      <w:r w:rsidRPr="00920B43">
        <w:rPr>
          <w:rStyle w:val="Marquedecommentaire"/>
          <w:rFonts w:ascii="Verdana" w:hAnsi="Verdana"/>
          <w:sz w:val="20"/>
        </w:rPr>
        <w:t>(temperate conditions)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27E86" w14:paraId="53A33C56" w14:textId="77777777" w:rsidTr="00727E86">
        <w:tc>
          <w:tcPr>
            <w:tcW w:w="2707" w:type="dxa"/>
            <w:tcBorders>
              <w:top w:val="single" w:sz="4" w:space="0" w:color="000000"/>
              <w:left w:val="single" w:sz="4" w:space="0" w:color="000000"/>
              <w:bottom w:val="single" w:sz="4" w:space="0" w:color="000000"/>
              <w:right w:val="nil"/>
            </w:tcBorders>
            <w:hideMark/>
          </w:tcPr>
          <w:p w14:paraId="6C6E8170" w14:textId="77777777" w:rsidR="00727E86" w:rsidRDefault="00727E86" w:rsidP="00727E86">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66688AD7" w14:textId="77777777" w:rsidR="00727E86" w:rsidRDefault="00727E86" w:rsidP="00727E86">
            <w:pPr>
              <w:snapToGrid w:val="0"/>
              <w:spacing w:line="254" w:lineRule="auto"/>
              <w:rPr>
                <w:b/>
              </w:rPr>
            </w:pPr>
            <w:r w:rsidRPr="00AF20E5">
              <w:t>PT19 - Repellents and attractants (Pest control)</w:t>
            </w:r>
          </w:p>
        </w:tc>
      </w:tr>
      <w:tr w:rsidR="00727E86" w:rsidRPr="008766C7" w14:paraId="12CB660A" w14:textId="77777777" w:rsidTr="00727E86">
        <w:tc>
          <w:tcPr>
            <w:tcW w:w="2707" w:type="dxa"/>
            <w:tcBorders>
              <w:top w:val="nil"/>
              <w:left w:val="single" w:sz="4" w:space="0" w:color="000000"/>
              <w:bottom w:val="single" w:sz="4" w:space="0" w:color="000000"/>
              <w:right w:val="nil"/>
            </w:tcBorders>
            <w:hideMark/>
          </w:tcPr>
          <w:p w14:paraId="384E8E1A" w14:textId="77777777" w:rsidR="00727E86" w:rsidRDefault="00727E86" w:rsidP="00727E86">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38AE53A3" w14:textId="77777777" w:rsidR="00727E86" w:rsidRDefault="00727E86" w:rsidP="00727E86">
            <w:pPr>
              <w:snapToGrid w:val="0"/>
              <w:spacing w:line="254" w:lineRule="auto"/>
              <w:rPr>
                <w:b/>
              </w:rPr>
            </w:pPr>
          </w:p>
        </w:tc>
      </w:tr>
      <w:tr w:rsidR="00727E86" w:rsidRPr="008766C7" w14:paraId="2EB5D716" w14:textId="77777777" w:rsidTr="00727E86">
        <w:tc>
          <w:tcPr>
            <w:tcW w:w="2707" w:type="dxa"/>
            <w:tcBorders>
              <w:top w:val="nil"/>
              <w:left w:val="single" w:sz="4" w:space="0" w:color="000000"/>
              <w:bottom w:val="single" w:sz="4" w:space="0" w:color="000000"/>
              <w:right w:val="nil"/>
            </w:tcBorders>
            <w:hideMark/>
          </w:tcPr>
          <w:p w14:paraId="20164E99" w14:textId="77777777" w:rsidR="00727E86" w:rsidRDefault="00727E86" w:rsidP="00727E86">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12D20991" w14:textId="77777777" w:rsidR="00727E86" w:rsidRPr="000F3633" w:rsidRDefault="00727E86" w:rsidP="00727E86">
            <w:pPr>
              <w:contextualSpacing/>
              <w:rPr>
                <w:i/>
              </w:rPr>
            </w:pPr>
            <w:r w:rsidRPr="000F3633">
              <w:rPr>
                <w:i/>
              </w:rPr>
              <w:t>Aedes spp.</w:t>
            </w:r>
          </w:p>
          <w:p w14:paraId="1EC5CC2E" w14:textId="77777777" w:rsidR="00727E86" w:rsidRPr="000F3633" w:rsidRDefault="00727E86" w:rsidP="00727E86">
            <w:pPr>
              <w:contextualSpacing/>
              <w:rPr>
                <w:i/>
              </w:rPr>
            </w:pPr>
            <w:r w:rsidRPr="000F3633">
              <w:rPr>
                <w:i/>
              </w:rPr>
              <w:t>Culex spp.</w:t>
            </w:r>
          </w:p>
          <w:p w14:paraId="2536C5A6" w14:textId="77777777" w:rsidR="00727E86" w:rsidRPr="00875771" w:rsidRDefault="00727E86" w:rsidP="00727E86">
            <w:pPr>
              <w:contextualSpacing/>
            </w:pPr>
          </w:p>
          <w:p w14:paraId="414928FA" w14:textId="77777777" w:rsidR="00727E86" w:rsidRDefault="00727E86" w:rsidP="00727E86">
            <w:pPr>
              <w:snapToGrid w:val="0"/>
              <w:spacing w:line="254" w:lineRule="auto"/>
            </w:pPr>
            <w:r w:rsidRPr="00875771">
              <w:rPr>
                <w:color w:val="000000"/>
              </w:rPr>
              <w:t>Development stage: adults</w:t>
            </w:r>
          </w:p>
        </w:tc>
      </w:tr>
      <w:tr w:rsidR="00727E86" w14:paraId="0B06EAA5" w14:textId="77777777" w:rsidTr="00727E86">
        <w:tc>
          <w:tcPr>
            <w:tcW w:w="2707" w:type="dxa"/>
            <w:tcBorders>
              <w:top w:val="nil"/>
              <w:left w:val="single" w:sz="4" w:space="0" w:color="000000"/>
              <w:bottom w:val="single" w:sz="4" w:space="0" w:color="000000"/>
              <w:right w:val="nil"/>
            </w:tcBorders>
            <w:hideMark/>
          </w:tcPr>
          <w:p w14:paraId="11093FC9" w14:textId="77777777" w:rsidR="00727E86" w:rsidRDefault="00727E86" w:rsidP="00727E86">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2AE0BEDD" w14:textId="77777777" w:rsidR="00727E86" w:rsidRDefault="00727E86" w:rsidP="00727E86">
            <w:pPr>
              <w:snapToGrid w:val="0"/>
              <w:spacing w:line="260" w:lineRule="atLeast"/>
              <w:jc w:val="both"/>
            </w:pPr>
            <w:r>
              <w:t>Skin application</w:t>
            </w:r>
          </w:p>
        </w:tc>
      </w:tr>
      <w:tr w:rsidR="00727E86" w14:paraId="09EDEAE3" w14:textId="77777777" w:rsidTr="00727E86">
        <w:tc>
          <w:tcPr>
            <w:tcW w:w="2707" w:type="dxa"/>
            <w:tcBorders>
              <w:top w:val="nil"/>
              <w:left w:val="single" w:sz="4" w:space="0" w:color="000000"/>
              <w:bottom w:val="single" w:sz="4" w:space="0" w:color="000000"/>
              <w:right w:val="nil"/>
            </w:tcBorders>
            <w:hideMark/>
          </w:tcPr>
          <w:p w14:paraId="236484EC" w14:textId="77777777" w:rsidR="00727E86" w:rsidRDefault="00727E86" w:rsidP="00727E86">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624C286D" w14:textId="77777777" w:rsidR="00727E86" w:rsidRPr="00AF20E5" w:rsidRDefault="00727E86" w:rsidP="00727E86">
            <w:r w:rsidRPr="00AF20E5">
              <w:t>Spraying</w:t>
            </w:r>
          </w:p>
          <w:p w14:paraId="1EB7BD82" w14:textId="77777777" w:rsidR="00727E86" w:rsidRDefault="00727E86" w:rsidP="00727E86">
            <w:pPr>
              <w:tabs>
                <w:tab w:val="left" w:pos="1200"/>
              </w:tabs>
              <w:snapToGrid w:val="0"/>
              <w:spacing w:line="260" w:lineRule="atLeast"/>
            </w:pPr>
            <w:r w:rsidRPr="00AF20E5">
              <w:rPr>
                <w:color w:val="000000"/>
              </w:rPr>
              <w:t>Spray directly on skin</w:t>
            </w:r>
          </w:p>
        </w:tc>
      </w:tr>
      <w:tr w:rsidR="00727E86" w:rsidRPr="008766C7" w14:paraId="3EA2331D" w14:textId="77777777" w:rsidTr="00727E86">
        <w:tc>
          <w:tcPr>
            <w:tcW w:w="2707" w:type="dxa"/>
            <w:tcBorders>
              <w:top w:val="nil"/>
              <w:left w:val="single" w:sz="4" w:space="0" w:color="000000"/>
              <w:bottom w:val="single" w:sz="4" w:space="0" w:color="000000"/>
              <w:right w:val="nil"/>
            </w:tcBorders>
            <w:hideMark/>
          </w:tcPr>
          <w:p w14:paraId="0758C4F5" w14:textId="77777777" w:rsidR="00727E86" w:rsidRDefault="00727E86" w:rsidP="00727E86">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388B135" w14:textId="77777777" w:rsidR="00727E86" w:rsidRDefault="00727E86" w:rsidP="00727E86">
            <w:r>
              <w:t>Application rate i</w:t>
            </w:r>
            <w:r w:rsidRPr="00AF20E5">
              <w:t xml:space="preserve">n temperate conditions: </w:t>
            </w:r>
            <w:r>
              <w:t>0,</w:t>
            </w:r>
            <w:r w:rsidRPr="00AF20E5">
              <w:t xml:space="preserve">6 </w:t>
            </w:r>
            <w:r>
              <w:t>m</w:t>
            </w:r>
            <w:r w:rsidRPr="00AF20E5">
              <w:t xml:space="preserve">g of product per </w:t>
            </w:r>
            <w:r>
              <w:t>c</w:t>
            </w:r>
            <w:r w:rsidRPr="00AF20E5">
              <w:t xml:space="preserve">m² </w:t>
            </w:r>
            <w:r>
              <w:t>of skin</w:t>
            </w:r>
            <w:r w:rsidRPr="00AF20E5">
              <w:t xml:space="preserve"> </w:t>
            </w:r>
          </w:p>
          <w:p w14:paraId="5E034606" w14:textId="77777777" w:rsidR="00727E86" w:rsidRPr="00762133" w:rsidRDefault="00727E86" w:rsidP="00727E86">
            <w:pPr>
              <w:rPr>
                <w:color w:val="000000"/>
                <w:lang w:val="en-US"/>
              </w:rPr>
            </w:pPr>
            <w:r>
              <w:t>Protection time: 4</w:t>
            </w:r>
            <w:r w:rsidRPr="001D2CEA">
              <w:t xml:space="preserve"> hours in temperate condition</w:t>
            </w:r>
            <w:r>
              <w:t>s</w:t>
            </w:r>
          </w:p>
        </w:tc>
      </w:tr>
      <w:tr w:rsidR="00727E86" w14:paraId="4DB0578F" w14:textId="77777777" w:rsidTr="00727E86">
        <w:tc>
          <w:tcPr>
            <w:tcW w:w="2707" w:type="dxa"/>
            <w:tcBorders>
              <w:top w:val="nil"/>
              <w:left w:val="single" w:sz="4" w:space="0" w:color="000000"/>
              <w:bottom w:val="single" w:sz="4" w:space="0" w:color="000000"/>
              <w:right w:val="nil"/>
            </w:tcBorders>
            <w:hideMark/>
          </w:tcPr>
          <w:p w14:paraId="6F8FBEB1" w14:textId="77777777" w:rsidR="00727E86" w:rsidRDefault="00727E86" w:rsidP="00727E86">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7893805D" w14:textId="77777777" w:rsidR="00727E86" w:rsidRPr="000E4EF0" w:rsidRDefault="00727E86" w:rsidP="00727E86">
            <w:pPr>
              <w:snapToGrid w:val="0"/>
              <w:spacing w:line="254" w:lineRule="auto"/>
            </w:pPr>
            <w:r w:rsidRPr="00D601DB">
              <w:t>General public (non-professional)</w:t>
            </w:r>
          </w:p>
        </w:tc>
      </w:tr>
      <w:tr w:rsidR="00727E86" w:rsidRPr="008766C7" w14:paraId="16BC5B56" w14:textId="77777777" w:rsidTr="00727E86">
        <w:tc>
          <w:tcPr>
            <w:tcW w:w="2707" w:type="dxa"/>
            <w:tcBorders>
              <w:top w:val="nil"/>
              <w:left w:val="single" w:sz="4" w:space="0" w:color="000000"/>
              <w:bottom w:val="single" w:sz="4" w:space="0" w:color="000000"/>
              <w:right w:val="nil"/>
            </w:tcBorders>
            <w:hideMark/>
          </w:tcPr>
          <w:p w14:paraId="011BF8D2" w14:textId="77777777" w:rsidR="00727E86" w:rsidRDefault="00727E86" w:rsidP="00727E86">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29254B09" w14:textId="77777777" w:rsidR="00727E86" w:rsidRDefault="00727E86" w:rsidP="00727E86">
            <w:pPr>
              <w:spacing w:line="254" w:lineRule="auto"/>
            </w:pPr>
            <w:r>
              <w:t>100-250mL HDPE bottle (with sprayer)</w:t>
            </w:r>
          </w:p>
        </w:tc>
      </w:tr>
    </w:tbl>
    <w:p w14:paraId="408537EB" w14:textId="31A4D087" w:rsidR="00727E86" w:rsidRDefault="00727E86">
      <w:pPr>
        <w:spacing w:before="0" w:after="160" w:line="259" w:lineRule="auto"/>
        <w:rPr>
          <w:lang w:eastAsia="en-US"/>
        </w:rPr>
      </w:pPr>
    </w:p>
    <w:p w14:paraId="681E300D" w14:textId="77777777" w:rsidR="00727E86" w:rsidRDefault="00727E86" w:rsidP="00727E86">
      <w:pPr>
        <w:pStyle w:val="Lgende"/>
        <w:spacing w:after="120"/>
        <w:rPr>
          <w:rFonts w:ascii="Verdana" w:hAnsi="Verdana"/>
          <w:b/>
          <w:bCs/>
          <w:szCs w:val="24"/>
          <w:lang w:eastAsia="en-GB"/>
        </w:rPr>
      </w:pPr>
      <w:r>
        <w:rPr>
          <w:rFonts w:ascii="Verdana" w:hAnsi="Verdana" w:cs="Verdana"/>
        </w:rPr>
        <w:t>Table 5</w:t>
      </w:r>
      <w:r>
        <w:rPr>
          <w:rFonts w:ascii="Verdana" w:hAnsi="Verdana"/>
        </w:rPr>
        <w:t xml:space="preserve">. Use # 5 – </w:t>
      </w:r>
      <w:r w:rsidRPr="0079118F">
        <w:rPr>
          <w:rFonts w:ascii="Verdana" w:hAnsi="Verdana"/>
        </w:rPr>
        <w:t xml:space="preserve">Spray for skin application to repel </w:t>
      </w:r>
      <w:r w:rsidRPr="002400FE">
        <w:rPr>
          <w:rFonts w:ascii="Verdana" w:hAnsi="Verdana"/>
        </w:rPr>
        <w:t>mosquitoes</w:t>
      </w:r>
      <w:r w:rsidRPr="0053704B">
        <w:rPr>
          <w:rStyle w:val="Marquedecommentaire"/>
          <w:rFonts w:ascii="Verdana" w:hAnsi="Verdana"/>
          <w:sz w:val="20"/>
        </w:rPr>
        <w:t xml:space="preserve"> (tropical conditions)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27E86" w14:paraId="0A6706E9" w14:textId="77777777" w:rsidTr="00727E86">
        <w:tc>
          <w:tcPr>
            <w:tcW w:w="2707" w:type="dxa"/>
            <w:tcBorders>
              <w:top w:val="single" w:sz="4" w:space="0" w:color="000000"/>
              <w:left w:val="single" w:sz="4" w:space="0" w:color="000000"/>
              <w:bottom w:val="single" w:sz="4" w:space="0" w:color="000000"/>
              <w:right w:val="nil"/>
            </w:tcBorders>
            <w:hideMark/>
          </w:tcPr>
          <w:p w14:paraId="692660E6" w14:textId="77777777" w:rsidR="00727E86" w:rsidRDefault="00727E86" w:rsidP="00727E86">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00605344" w14:textId="77777777" w:rsidR="00727E86" w:rsidRDefault="00727E86" w:rsidP="00727E86">
            <w:pPr>
              <w:snapToGrid w:val="0"/>
              <w:spacing w:line="254" w:lineRule="auto"/>
              <w:rPr>
                <w:b/>
              </w:rPr>
            </w:pPr>
            <w:r w:rsidRPr="00AF20E5">
              <w:t>PT19 - Repellents and attractants (Pest control)</w:t>
            </w:r>
          </w:p>
        </w:tc>
      </w:tr>
      <w:tr w:rsidR="00727E86" w:rsidRPr="008766C7" w14:paraId="30001323" w14:textId="77777777" w:rsidTr="00727E86">
        <w:tc>
          <w:tcPr>
            <w:tcW w:w="2707" w:type="dxa"/>
            <w:tcBorders>
              <w:top w:val="nil"/>
              <w:left w:val="single" w:sz="4" w:space="0" w:color="000000"/>
              <w:bottom w:val="single" w:sz="4" w:space="0" w:color="000000"/>
              <w:right w:val="nil"/>
            </w:tcBorders>
            <w:hideMark/>
          </w:tcPr>
          <w:p w14:paraId="2D80DCC2" w14:textId="77777777" w:rsidR="00727E86" w:rsidRDefault="00727E86" w:rsidP="00727E86">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43A1C49A" w14:textId="77777777" w:rsidR="00727E86" w:rsidRDefault="00727E86" w:rsidP="00727E86">
            <w:pPr>
              <w:snapToGrid w:val="0"/>
              <w:spacing w:line="254" w:lineRule="auto"/>
              <w:rPr>
                <w:b/>
              </w:rPr>
            </w:pPr>
          </w:p>
        </w:tc>
      </w:tr>
      <w:tr w:rsidR="00727E86" w:rsidRPr="008766C7" w14:paraId="0E2AC53B" w14:textId="77777777" w:rsidTr="00727E86">
        <w:tc>
          <w:tcPr>
            <w:tcW w:w="2707" w:type="dxa"/>
            <w:tcBorders>
              <w:top w:val="nil"/>
              <w:left w:val="single" w:sz="4" w:space="0" w:color="000000"/>
              <w:bottom w:val="single" w:sz="4" w:space="0" w:color="000000"/>
              <w:right w:val="nil"/>
            </w:tcBorders>
            <w:hideMark/>
          </w:tcPr>
          <w:p w14:paraId="0DEAF6F1" w14:textId="77777777" w:rsidR="00727E86" w:rsidRDefault="00727E86" w:rsidP="00727E86">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0A102B22" w14:textId="77777777" w:rsidR="00727E86" w:rsidRPr="000F3633" w:rsidRDefault="00727E86" w:rsidP="00727E86">
            <w:pPr>
              <w:contextualSpacing/>
              <w:rPr>
                <w:i/>
              </w:rPr>
            </w:pPr>
            <w:r w:rsidRPr="000F3633">
              <w:rPr>
                <w:i/>
              </w:rPr>
              <w:t>Aedes spp.</w:t>
            </w:r>
          </w:p>
          <w:p w14:paraId="295377F1" w14:textId="77777777" w:rsidR="00727E86" w:rsidRPr="000F3633" w:rsidRDefault="00727E86" w:rsidP="00727E86">
            <w:pPr>
              <w:contextualSpacing/>
              <w:rPr>
                <w:i/>
              </w:rPr>
            </w:pPr>
            <w:r w:rsidRPr="000F3633">
              <w:rPr>
                <w:i/>
              </w:rPr>
              <w:t>Anopheles spp.</w:t>
            </w:r>
          </w:p>
          <w:p w14:paraId="022D220F" w14:textId="77777777" w:rsidR="00727E86" w:rsidRPr="00875771" w:rsidRDefault="00727E86" w:rsidP="00727E86">
            <w:pPr>
              <w:contextualSpacing/>
            </w:pPr>
          </w:p>
          <w:p w14:paraId="18805432" w14:textId="77777777" w:rsidR="00727E86" w:rsidRDefault="00727E86" w:rsidP="00727E86">
            <w:pPr>
              <w:snapToGrid w:val="0"/>
              <w:spacing w:line="254" w:lineRule="auto"/>
            </w:pPr>
            <w:r w:rsidRPr="00875771">
              <w:rPr>
                <w:color w:val="000000"/>
              </w:rPr>
              <w:t>Development stage: adults</w:t>
            </w:r>
          </w:p>
        </w:tc>
      </w:tr>
      <w:tr w:rsidR="00727E86" w14:paraId="4D890E69" w14:textId="77777777" w:rsidTr="00727E86">
        <w:tc>
          <w:tcPr>
            <w:tcW w:w="2707" w:type="dxa"/>
            <w:tcBorders>
              <w:top w:val="nil"/>
              <w:left w:val="single" w:sz="4" w:space="0" w:color="000000"/>
              <w:bottom w:val="single" w:sz="4" w:space="0" w:color="000000"/>
              <w:right w:val="nil"/>
            </w:tcBorders>
            <w:hideMark/>
          </w:tcPr>
          <w:p w14:paraId="19DD225B" w14:textId="77777777" w:rsidR="00727E86" w:rsidRDefault="00727E86" w:rsidP="00727E86">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37BC032" w14:textId="77777777" w:rsidR="00727E86" w:rsidRDefault="00727E86" w:rsidP="00727E86">
            <w:pPr>
              <w:snapToGrid w:val="0"/>
              <w:spacing w:line="260" w:lineRule="atLeast"/>
              <w:jc w:val="both"/>
            </w:pPr>
            <w:r>
              <w:t>Skin application</w:t>
            </w:r>
          </w:p>
        </w:tc>
      </w:tr>
      <w:tr w:rsidR="00727E86" w14:paraId="5E1D9F48" w14:textId="77777777" w:rsidTr="00727E86">
        <w:tc>
          <w:tcPr>
            <w:tcW w:w="2707" w:type="dxa"/>
            <w:tcBorders>
              <w:top w:val="nil"/>
              <w:left w:val="single" w:sz="4" w:space="0" w:color="000000"/>
              <w:bottom w:val="single" w:sz="4" w:space="0" w:color="000000"/>
              <w:right w:val="nil"/>
            </w:tcBorders>
            <w:hideMark/>
          </w:tcPr>
          <w:p w14:paraId="1DFAC097" w14:textId="77777777" w:rsidR="00727E86" w:rsidRDefault="00727E86" w:rsidP="00727E86">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37BB30A8" w14:textId="77777777" w:rsidR="00727E86" w:rsidRPr="00AF20E5" w:rsidRDefault="00727E86" w:rsidP="00727E86">
            <w:r w:rsidRPr="00AF20E5">
              <w:t>Spraying</w:t>
            </w:r>
          </w:p>
          <w:p w14:paraId="234661AB" w14:textId="77777777" w:rsidR="00727E86" w:rsidRDefault="00727E86" w:rsidP="00727E86">
            <w:pPr>
              <w:tabs>
                <w:tab w:val="left" w:pos="1200"/>
              </w:tabs>
              <w:snapToGrid w:val="0"/>
              <w:spacing w:line="260" w:lineRule="atLeast"/>
            </w:pPr>
            <w:r w:rsidRPr="00AF20E5">
              <w:rPr>
                <w:color w:val="000000"/>
              </w:rPr>
              <w:t>Spray directly on skin</w:t>
            </w:r>
          </w:p>
        </w:tc>
      </w:tr>
      <w:tr w:rsidR="00727E86" w:rsidRPr="008766C7" w14:paraId="2669CEEF" w14:textId="77777777" w:rsidTr="00727E86">
        <w:tc>
          <w:tcPr>
            <w:tcW w:w="2707" w:type="dxa"/>
            <w:tcBorders>
              <w:top w:val="nil"/>
              <w:left w:val="single" w:sz="4" w:space="0" w:color="000000"/>
              <w:bottom w:val="single" w:sz="4" w:space="0" w:color="000000"/>
              <w:right w:val="nil"/>
            </w:tcBorders>
            <w:hideMark/>
          </w:tcPr>
          <w:p w14:paraId="317475E8" w14:textId="77777777" w:rsidR="00727E86" w:rsidRDefault="00727E86" w:rsidP="00727E86">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5BDC1C92" w14:textId="77777777" w:rsidR="00727E86" w:rsidRPr="00AF20E5" w:rsidRDefault="00727E86" w:rsidP="00727E86">
            <w:r>
              <w:t>Application rate i</w:t>
            </w:r>
            <w:r w:rsidRPr="00AF20E5">
              <w:t xml:space="preserve">n tropical conditions: </w:t>
            </w:r>
            <w:r>
              <w:t>0,</w:t>
            </w:r>
            <w:r w:rsidRPr="00AF20E5">
              <w:t xml:space="preserve">8 </w:t>
            </w:r>
            <w:r>
              <w:t>m</w:t>
            </w:r>
            <w:r w:rsidRPr="00AF20E5">
              <w:t xml:space="preserve">g of product per </w:t>
            </w:r>
            <w:r>
              <w:t>c</w:t>
            </w:r>
            <w:r w:rsidRPr="00AF20E5">
              <w:t xml:space="preserve">m² </w:t>
            </w:r>
            <w:r>
              <w:t>of skin</w:t>
            </w:r>
          </w:p>
          <w:p w14:paraId="2640FE55" w14:textId="77777777" w:rsidR="00727E86" w:rsidRPr="00762133" w:rsidRDefault="00727E86" w:rsidP="00727E86">
            <w:pPr>
              <w:rPr>
                <w:color w:val="000000"/>
                <w:lang w:val="en-US"/>
              </w:rPr>
            </w:pPr>
            <w:r w:rsidRPr="001D2CEA">
              <w:rPr>
                <w:color w:val="000000"/>
                <w:lang w:val="en-US"/>
              </w:rPr>
              <w:t>Protection time: 3 hours in t</w:t>
            </w:r>
            <w:r>
              <w:rPr>
                <w:color w:val="000000"/>
                <w:lang w:val="en-US"/>
              </w:rPr>
              <w:t>ropical</w:t>
            </w:r>
            <w:r w:rsidRPr="001D2CEA">
              <w:rPr>
                <w:color w:val="000000"/>
                <w:lang w:val="en-US"/>
              </w:rPr>
              <w:t xml:space="preserve"> condition</w:t>
            </w:r>
            <w:r>
              <w:rPr>
                <w:color w:val="000000"/>
                <w:lang w:val="en-US"/>
              </w:rPr>
              <w:t>s</w:t>
            </w:r>
          </w:p>
        </w:tc>
      </w:tr>
      <w:tr w:rsidR="00727E86" w14:paraId="777CA5E2" w14:textId="77777777" w:rsidTr="00727E86">
        <w:tc>
          <w:tcPr>
            <w:tcW w:w="2707" w:type="dxa"/>
            <w:tcBorders>
              <w:top w:val="nil"/>
              <w:left w:val="single" w:sz="4" w:space="0" w:color="000000"/>
              <w:bottom w:val="single" w:sz="4" w:space="0" w:color="000000"/>
              <w:right w:val="nil"/>
            </w:tcBorders>
            <w:hideMark/>
          </w:tcPr>
          <w:p w14:paraId="44346850" w14:textId="77777777" w:rsidR="00727E86" w:rsidRDefault="00727E86" w:rsidP="00727E86">
            <w:pPr>
              <w:spacing w:line="254" w:lineRule="auto"/>
              <w:rPr>
                <w:b/>
              </w:rPr>
            </w:pPr>
            <w:r>
              <w:rPr>
                <w:b/>
                <w:bCs/>
                <w:szCs w:val="24"/>
                <w:lang w:eastAsia="en-GB"/>
              </w:rPr>
              <w:lastRenderedPageBreak/>
              <w:t>Category(ies) of users</w:t>
            </w:r>
          </w:p>
        </w:tc>
        <w:tc>
          <w:tcPr>
            <w:tcW w:w="6328" w:type="dxa"/>
            <w:tcBorders>
              <w:top w:val="nil"/>
              <w:left w:val="single" w:sz="4" w:space="0" w:color="000000"/>
              <w:bottom w:val="single" w:sz="4" w:space="0" w:color="000000"/>
              <w:right w:val="single" w:sz="4" w:space="0" w:color="000000"/>
            </w:tcBorders>
          </w:tcPr>
          <w:p w14:paraId="29929576" w14:textId="77777777" w:rsidR="00727E86" w:rsidRPr="000E4EF0" w:rsidRDefault="00727E86" w:rsidP="00727E86">
            <w:pPr>
              <w:snapToGrid w:val="0"/>
              <w:spacing w:line="254" w:lineRule="auto"/>
            </w:pPr>
            <w:r w:rsidRPr="00D601DB">
              <w:t>General public (non-professional)</w:t>
            </w:r>
          </w:p>
        </w:tc>
      </w:tr>
      <w:tr w:rsidR="00727E86" w:rsidRPr="008766C7" w14:paraId="442FD9AA" w14:textId="77777777" w:rsidTr="00727E86">
        <w:tc>
          <w:tcPr>
            <w:tcW w:w="2707" w:type="dxa"/>
            <w:tcBorders>
              <w:top w:val="nil"/>
              <w:left w:val="single" w:sz="4" w:space="0" w:color="000000"/>
              <w:bottom w:val="single" w:sz="4" w:space="0" w:color="000000"/>
              <w:right w:val="nil"/>
            </w:tcBorders>
            <w:hideMark/>
          </w:tcPr>
          <w:p w14:paraId="03F4BD06" w14:textId="77777777" w:rsidR="00727E86" w:rsidRDefault="00727E86" w:rsidP="00727E86">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F0454A3" w14:textId="77777777" w:rsidR="00727E86" w:rsidRDefault="00727E86" w:rsidP="00727E86">
            <w:pPr>
              <w:spacing w:line="254" w:lineRule="auto"/>
            </w:pPr>
            <w:r>
              <w:t>100-250mL HDPE bottle (with sprayer)</w:t>
            </w:r>
          </w:p>
        </w:tc>
      </w:tr>
    </w:tbl>
    <w:p w14:paraId="1AE08856" w14:textId="078B40C4" w:rsidR="00727E86" w:rsidRDefault="00727E86">
      <w:pPr>
        <w:spacing w:before="0" w:after="160" w:line="259" w:lineRule="auto"/>
        <w:rPr>
          <w:lang w:eastAsia="en-US"/>
        </w:rPr>
      </w:pPr>
    </w:p>
    <w:p w14:paraId="04404B1D" w14:textId="6C794123" w:rsidR="00727E86" w:rsidRDefault="00727E86">
      <w:pPr>
        <w:spacing w:before="0" w:after="160" w:line="259" w:lineRule="auto"/>
        <w:rPr>
          <w:lang w:eastAsia="en-US"/>
        </w:rPr>
      </w:pPr>
    </w:p>
    <w:p w14:paraId="47D98955" w14:textId="77777777" w:rsidR="00727E86" w:rsidRDefault="00727E86" w:rsidP="00727E86">
      <w:pPr>
        <w:pStyle w:val="Lgende"/>
        <w:spacing w:after="120"/>
        <w:rPr>
          <w:rFonts w:ascii="Verdana" w:hAnsi="Verdana"/>
          <w:b/>
          <w:bCs/>
          <w:szCs w:val="24"/>
          <w:lang w:eastAsia="en-GB"/>
        </w:rPr>
      </w:pPr>
      <w:r>
        <w:rPr>
          <w:rFonts w:ascii="Verdana" w:hAnsi="Verdana" w:cs="Verdana"/>
        </w:rPr>
        <w:t>Table 6</w:t>
      </w:r>
      <w:r>
        <w:rPr>
          <w:rFonts w:ascii="Verdana" w:hAnsi="Verdana"/>
        </w:rPr>
        <w:t xml:space="preserve">. Use # 6 – </w:t>
      </w:r>
      <w:r w:rsidRPr="00D8630D">
        <w:rPr>
          <w:rFonts w:ascii="Verdana" w:hAnsi="Verdana"/>
        </w:rPr>
        <w:t>Spray to be applied on clothes to repel ticks</w:t>
      </w:r>
      <w:r w:rsidRPr="00762133">
        <w:t xml:space="preserve">  </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27E86" w14:paraId="3DC39700" w14:textId="77777777" w:rsidTr="00727E86">
        <w:tc>
          <w:tcPr>
            <w:tcW w:w="2707" w:type="dxa"/>
            <w:tcBorders>
              <w:top w:val="single" w:sz="4" w:space="0" w:color="000000"/>
              <w:left w:val="single" w:sz="4" w:space="0" w:color="000000"/>
              <w:bottom w:val="single" w:sz="4" w:space="0" w:color="000000"/>
              <w:right w:val="nil"/>
            </w:tcBorders>
            <w:hideMark/>
          </w:tcPr>
          <w:p w14:paraId="7F7667B4" w14:textId="77777777" w:rsidR="00727E86" w:rsidRDefault="00727E86" w:rsidP="00727E86">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7C755ED2" w14:textId="77777777" w:rsidR="00727E86" w:rsidRDefault="00727E86" w:rsidP="00727E86">
            <w:pPr>
              <w:snapToGrid w:val="0"/>
              <w:spacing w:line="254" w:lineRule="auto"/>
              <w:rPr>
                <w:b/>
              </w:rPr>
            </w:pPr>
            <w:r w:rsidRPr="009B0DE3">
              <w:t>PT19 - Repellents and attractants (Pest control)</w:t>
            </w:r>
          </w:p>
        </w:tc>
      </w:tr>
      <w:tr w:rsidR="00727E86" w:rsidRPr="008766C7" w14:paraId="0D22D9AE" w14:textId="77777777" w:rsidTr="00727E86">
        <w:tc>
          <w:tcPr>
            <w:tcW w:w="2707" w:type="dxa"/>
            <w:tcBorders>
              <w:top w:val="nil"/>
              <w:left w:val="single" w:sz="4" w:space="0" w:color="000000"/>
              <w:bottom w:val="single" w:sz="4" w:space="0" w:color="000000"/>
              <w:right w:val="nil"/>
            </w:tcBorders>
            <w:hideMark/>
          </w:tcPr>
          <w:p w14:paraId="1384A675" w14:textId="77777777" w:rsidR="00727E86" w:rsidRDefault="00727E86" w:rsidP="00727E86">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2F2869B" w14:textId="77777777" w:rsidR="00727E86" w:rsidRDefault="00727E86" w:rsidP="00727E86">
            <w:pPr>
              <w:snapToGrid w:val="0"/>
              <w:spacing w:line="254" w:lineRule="auto"/>
              <w:rPr>
                <w:b/>
              </w:rPr>
            </w:pPr>
            <w:r w:rsidRPr="009B0DE3">
              <w:rPr>
                <w:color w:val="000000"/>
              </w:rPr>
              <w:t>Ready to use repellent product to treat clothes</w:t>
            </w:r>
            <w:r>
              <w:rPr>
                <w:color w:val="000000"/>
              </w:rPr>
              <w:t xml:space="preserve"> (cotton and polyester) in order to protect the user</w:t>
            </w:r>
            <w:r w:rsidRPr="009B0DE3">
              <w:rPr>
                <w:color w:val="000000"/>
              </w:rPr>
              <w:t xml:space="preserve"> against ticks</w:t>
            </w:r>
            <w:r>
              <w:rPr>
                <w:color w:val="000000"/>
              </w:rPr>
              <w:t>.</w:t>
            </w:r>
          </w:p>
        </w:tc>
      </w:tr>
      <w:tr w:rsidR="00727E86" w:rsidRPr="008766C7" w14:paraId="765FAACE" w14:textId="77777777" w:rsidTr="00727E86">
        <w:tc>
          <w:tcPr>
            <w:tcW w:w="2707" w:type="dxa"/>
            <w:tcBorders>
              <w:top w:val="nil"/>
              <w:left w:val="single" w:sz="4" w:space="0" w:color="000000"/>
              <w:bottom w:val="single" w:sz="4" w:space="0" w:color="000000"/>
              <w:right w:val="nil"/>
            </w:tcBorders>
            <w:hideMark/>
          </w:tcPr>
          <w:p w14:paraId="0D0594DF" w14:textId="77777777" w:rsidR="00727E86" w:rsidRDefault="00727E86" w:rsidP="00727E86">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2A2CEC61" w14:textId="77777777" w:rsidR="00727E86" w:rsidRDefault="00727E86" w:rsidP="00727E86">
            <w:pPr>
              <w:snapToGrid w:val="0"/>
              <w:spacing w:line="254" w:lineRule="auto"/>
            </w:pPr>
            <w:r>
              <w:t xml:space="preserve">Hard ticks </w:t>
            </w:r>
          </w:p>
          <w:p w14:paraId="18751604" w14:textId="77777777" w:rsidR="00727E86" w:rsidRPr="00D67729" w:rsidRDefault="00727E86" w:rsidP="00727E86">
            <w:pPr>
              <w:snapToGrid w:val="0"/>
              <w:spacing w:line="254" w:lineRule="auto"/>
              <w:rPr>
                <w:i/>
              </w:rPr>
            </w:pPr>
            <w:r>
              <w:rPr>
                <w:i/>
              </w:rPr>
              <w:t>Ixodes ricinus</w:t>
            </w:r>
          </w:p>
          <w:p w14:paraId="5EDA4396" w14:textId="77777777" w:rsidR="00727E86" w:rsidRDefault="00727E86" w:rsidP="00727E86">
            <w:pPr>
              <w:snapToGrid w:val="0"/>
              <w:spacing w:line="254" w:lineRule="auto"/>
            </w:pPr>
            <w:r>
              <w:t>Development stage: adults and nymphs</w:t>
            </w:r>
          </w:p>
        </w:tc>
      </w:tr>
      <w:tr w:rsidR="00727E86" w14:paraId="7FE1AAB5" w14:textId="77777777" w:rsidTr="00727E86">
        <w:tc>
          <w:tcPr>
            <w:tcW w:w="2707" w:type="dxa"/>
            <w:tcBorders>
              <w:top w:val="nil"/>
              <w:left w:val="single" w:sz="4" w:space="0" w:color="000000"/>
              <w:bottom w:val="single" w:sz="4" w:space="0" w:color="000000"/>
              <w:right w:val="nil"/>
            </w:tcBorders>
            <w:hideMark/>
          </w:tcPr>
          <w:p w14:paraId="4F288E75" w14:textId="77777777" w:rsidR="00727E86" w:rsidRDefault="00727E86" w:rsidP="00727E86">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61EDEE73" w14:textId="77777777" w:rsidR="00727E86" w:rsidRDefault="00727E86" w:rsidP="00727E86">
            <w:pPr>
              <w:snapToGrid w:val="0"/>
              <w:spacing w:line="260" w:lineRule="atLeast"/>
              <w:jc w:val="both"/>
            </w:pPr>
            <w:r>
              <w:t>Application on clothes</w:t>
            </w:r>
          </w:p>
        </w:tc>
      </w:tr>
      <w:tr w:rsidR="00727E86" w14:paraId="066768B8" w14:textId="77777777" w:rsidTr="00727E86">
        <w:tc>
          <w:tcPr>
            <w:tcW w:w="2707" w:type="dxa"/>
            <w:tcBorders>
              <w:top w:val="nil"/>
              <w:left w:val="single" w:sz="4" w:space="0" w:color="000000"/>
              <w:bottom w:val="single" w:sz="4" w:space="0" w:color="000000"/>
              <w:right w:val="nil"/>
            </w:tcBorders>
            <w:hideMark/>
          </w:tcPr>
          <w:p w14:paraId="0F5EE867" w14:textId="77777777" w:rsidR="00727E86" w:rsidRDefault="00727E86" w:rsidP="00727E86">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47067AA1" w14:textId="77777777" w:rsidR="00727E86" w:rsidRPr="009B0DE3" w:rsidRDefault="00727E86" w:rsidP="00727E86">
            <w:r w:rsidRPr="009B0DE3">
              <w:t>Spraying</w:t>
            </w:r>
          </w:p>
          <w:p w14:paraId="5E9B49B4" w14:textId="77777777" w:rsidR="00727E86" w:rsidRDefault="00727E86" w:rsidP="00727E86">
            <w:pPr>
              <w:snapToGrid w:val="0"/>
              <w:spacing w:line="260" w:lineRule="atLeast"/>
            </w:pPr>
            <w:r w:rsidRPr="009B0DE3">
              <w:rPr>
                <w:color w:val="000000"/>
              </w:rPr>
              <w:t>Spray directly onto the textiles</w:t>
            </w:r>
          </w:p>
        </w:tc>
      </w:tr>
      <w:tr w:rsidR="00727E86" w:rsidRPr="008766C7" w14:paraId="5ACF770B" w14:textId="77777777" w:rsidTr="00727E86">
        <w:tc>
          <w:tcPr>
            <w:tcW w:w="2707" w:type="dxa"/>
            <w:tcBorders>
              <w:top w:val="nil"/>
              <w:left w:val="single" w:sz="4" w:space="0" w:color="000000"/>
              <w:bottom w:val="single" w:sz="4" w:space="0" w:color="000000"/>
              <w:right w:val="nil"/>
            </w:tcBorders>
            <w:hideMark/>
          </w:tcPr>
          <w:p w14:paraId="482904A7" w14:textId="77777777" w:rsidR="00727E86" w:rsidRDefault="00727E86" w:rsidP="00727E86">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68A46224" w14:textId="77777777" w:rsidR="00727E86" w:rsidRDefault="00727E86" w:rsidP="00727E86">
            <w:r>
              <w:t>0.</w:t>
            </w:r>
            <w:r w:rsidRPr="009B0DE3">
              <w:t>8</w:t>
            </w:r>
            <w:r>
              <w:t>5 mg of product per cm² of fabric</w:t>
            </w:r>
          </w:p>
          <w:p w14:paraId="0555F95D" w14:textId="77777777" w:rsidR="00727E86" w:rsidRDefault="00727E86" w:rsidP="00727E86">
            <w:r>
              <w:t>Protection time</w:t>
            </w:r>
            <w:r w:rsidRPr="009B0DE3">
              <w:t xml:space="preserve"> </w:t>
            </w:r>
            <w:r>
              <w:t>(</w:t>
            </w:r>
            <w:r w:rsidRPr="001D2CEA">
              <w:t>in temperate condition</w:t>
            </w:r>
            <w:r>
              <w:t>s)</w:t>
            </w:r>
            <w:r w:rsidRPr="009B0DE3">
              <w:t xml:space="preserve"> during 6</w:t>
            </w:r>
            <w:r>
              <w:t xml:space="preserve"> </w:t>
            </w:r>
            <w:r w:rsidRPr="009B0DE3">
              <w:t>h</w:t>
            </w:r>
            <w:r>
              <w:t>ours</w:t>
            </w:r>
            <w:r w:rsidRPr="009B0DE3">
              <w:t xml:space="preserve"> even after </w:t>
            </w:r>
            <w:r>
              <w:t>7</w:t>
            </w:r>
            <w:r w:rsidRPr="009B0DE3">
              <w:t xml:space="preserve"> days of storage</w:t>
            </w:r>
            <w:r>
              <w:t xml:space="preserve"> of the treated cloth (</w:t>
            </w:r>
            <w:r w:rsidRPr="001A385C">
              <w:t>before being worn</w:t>
            </w:r>
            <w:r>
              <w:t xml:space="preserve">) </w:t>
            </w:r>
            <w:r w:rsidRPr="000B7454">
              <w:t>in a closed packaging (such as a plastic bag)</w:t>
            </w:r>
            <w:r>
              <w:t xml:space="preserve">. </w:t>
            </w:r>
          </w:p>
          <w:p w14:paraId="4E4C290B" w14:textId="77777777" w:rsidR="00727E86" w:rsidRDefault="00727E86" w:rsidP="00727E86">
            <w:r>
              <w:t>Reapply after each washing or use of the treated cloth.</w:t>
            </w:r>
          </w:p>
        </w:tc>
      </w:tr>
      <w:tr w:rsidR="00727E86" w14:paraId="68D3850D" w14:textId="77777777" w:rsidTr="00727E86">
        <w:tc>
          <w:tcPr>
            <w:tcW w:w="2707" w:type="dxa"/>
            <w:tcBorders>
              <w:top w:val="nil"/>
              <w:left w:val="single" w:sz="4" w:space="0" w:color="000000"/>
              <w:bottom w:val="single" w:sz="4" w:space="0" w:color="000000"/>
              <w:right w:val="nil"/>
            </w:tcBorders>
            <w:hideMark/>
          </w:tcPr>
          <w:p w14:paraId="6416B7FC" w14:textId="77777777" w:rsidR="00727E86" w:rsidRDefault="00727E86" w:rsidP="00727E86">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569D3A54" w14:textId="77777777" w:rsidR="00727E86" w:rsidRDefault="00727E86" w:rsidP="00727E86">
            <w:pPr>
              <w:snapToGrid w:val="0"/>
              <w:spacing w:line="254" w:lineRule="auto"/>
              <w:rPr>
                <w:b/>
              </w:rPr>
            </w:pPr>
            <w:r w:rsidRPr="00D601DB">
              <w:t>General public (non-professional)</w:t>
            </w:r>
          </w:p>
        </w:tc>
      </w:tr>
      <w:tr w:rsidR="00727E86" w:rsidRPr="008766C7" w14:paraId="4BE226AD" w14:textId="77777777" w:rsidTr="00727E86">
        <w:tc>
          <w:tcPr>
            <w:tcW w:w="2707" w:type="dxa"/>
            <w:tcBorders>
              <w:top w:val="nil"/>
              <w:left w:val="single" w:sz="4" w:space="0" w:color="000000"/>
              <w:bottom w:val="single" w:sz="4" w:space="0" w:color="000000"/>
              <w:right w:val="nil"/>
            </w:tcBorders>
            <w:hideMark/>
          </w:tcPr>
          <w:p w14:paraId="15A42A14" w14:textId="77777777" w:rsidR="00727E86" w:rsidRDefault="00727E86" w:rsidP="00727E86">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5EEF963" w14:textId="77777777" w:rsidR="00727E86" w:rsidRDefault="00727E86" w:rsidP="00727E86">
            <w:pPr>
              <w:spacing w:line="254" w:lineRule="auto"/>
            </w:pPr>
            <w:r w:rsidRPr="009A0438">
              <w:rPr>
                <w:highlight w:val="green"/>
              </w:rPr>
              <w:t>100-250mL HDPE bottle (with sprayer)</w:t>
            </w:r>
          </w:p>
        </w:tc>
      </w:tr>
    </w:tbl>
    <w:p w14:paraId="02C4BACE" w14:textId="417715EC" w:rsidR="00727E86" w:rsidRDefault="00727E86">
      <w:pPr>
        <w:spacing w:before="0" w:after="160" w:line="259" w:lineRule="auto"/>
        <w:rPr>
          <w:lang w:eastAsia="en-US"/>
        </w:rPr>
      </w:pPr>
    </w:p>
    <w:p w14:paraId="41FDC520" w14:textId="77777777" w:rsidR="00727E86" w:rsidRDefault="00727E86" w:rsidP="00727E86">
      <w:pPr>
        <w:pStyle w:val="Lgende"/>
        <w:spacing w:after="120"/>
        <w:rPr>
          <w:rFonts w:ascii="Verdana" w:hAnsi="Verdana"/>
          <w:b/>
          <w:bCs/>
          <w:szCs w:val="24"/>
          <w:lang w:eastAsia="en-GB"/>
        </w:rPr>
      </w:pPr>
      <w:r>
        <w:rPr>
          <w:rFonts w:ascii="Verdana" w:hAnsi="Verdana" w:cs="Verdana"/>
        </w:rPr>
        <w:t>Table 7</w:t>
      </w:r>
      <w:r>
        <w:rPr>
          <w:rFonts w:ascii="Verdana" w:hAnsi="Verdana"/>
        </w:rPr>
        <w:t xml:space="preserve">. Use # 7 – </w:t>
      </w:r>
      <w:r w:rsidRPr="00043748">
        <w:rPr>
          <w:rFonts w:ascii="Verdana" w:hAnsi="Verdana"/>
        </w:rPr>
        <w:t>Spray for skin application to repel ticks</w:t>
      </w:r>
      <w:r w:rsidDel="008722FD">
        <w:rPr>
          <w:rFonts w:ascii="Verdana" w:hAnsi="Verdana"/>
        </w:rPr>
        <w:t xml:space="preserve"> </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27E86" w14:paraId="51650F5F" w14:textId="77777777" w:rsidTr="00727E86">
        <w:tc>
          <w:tcPr>
            <w:tcW w:w="2707" w:type="dxa"/>
            <w:tcBorders>
              <w:top w:val="single" w:sz="4" w:space="0" w:color="000000"/>
              <w:left w:val="single" w:sz="4" w:space="0" w:color="000000"/>
              <w:bottom w:val="single" w:sz="4" w:space="0" w:color="000000"/>
              <w:right w:val="nil"/>
            </w:tcBorders>
            <w:hideMark/>
          </w:tcPr>
          <w:p w14:paraId="3F803929" w14:textId="77777777" w:rsidR="00727E86" w:rsidRDefault="00727E86" w:rsidP="00727E86">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351DC03F" w14:textId="77777777" w:rsidR="00727E86" w:rsidRDefault="00727E86" w:rsidP="00727E86">
            <w:pPr>
              <w:snapToGrid w:val="0"/>
              <w:spacing w:line="254" w:lineRule="auto"/>
              <w:rPr>
                <w:b/>
              </w:rPr>
            </w:pPr>
            <w:r w:rsidRPr="00EE5D77">
              <w:t>PT19 - Repellents and attractants (Pest control)</w:t>
            </w:r>
          </w:p>
        </w:tc>
      </w:tr>
      <w:tr w:rsidR="00727E86" w:rsidRPr="008766C7" w14:paraId="39512DCE" w14:textId="77777777" w:rsidTr="00727E86">
        <w:tc>
          <w:tcPr>
            <w:tcW w:w="2707" w:type="dxa"/>
            <w:tcBorders>
              <w:top w:val="nil"/>
              <w:left w:val="single" w:sz="4" w:space="0" w:color="000000"/>
              <w:bottom w:val="single" w:sz="4" w:space="0" w:color="000000"/>
              <w:right w:val="nil"/>
            </w:tcBorders>
            <w:hideMark/>
          </w:tcPr>
          <w:p w14:paraId="2D0B8B3A" w14:textId="77777777" w:rsidR="00727E86" w:rsidRDefault="00727E86" w:rsidP="00727E86">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2EE8F023" w14:textId="77777777" w:rsidR="00727E86" w:rsidRDefault="00727E86" w:rsidP="00727E86">
            <w:pPr>
              <w:snapToGrid w:val="0"/>
              <w:spacing w:line="254" w:lineRule="auto"/>
              <w:rPr>
                <w:b/>
              </w:rPr>
            </w:pPr>
          </w:p>
        </w:tc>
      </w:tr>
      <w:tr w:rsidR="00727E86" w:rsidRPr="008766C7" w14:paraId="06CFFABE" w14:textId="77777777" w:rsidTr="00727E86">
        <w:tc>
          <w:tcPr>
            <w:tcW w:w="2707" w:type="dxa"/>
            <w:tcBorders>
              <w:top w:val="nil"/>
              <w:left w:val="single" w:sz="4" w:space="0" w:color="000000"/>
              <w:bottom w:val="single" w:sz="4" w:space="0" w:color="000000"/>
              <w:right w:val="nil"/>
            </w:tcBorders>
            <w:hideMark/>
          </w:tcPr>
          <w:p w14:paraId="7A570F6D" w14:textId="77777777" w:rsidR="00727E86" w:rsidRDefault="00727E86" w:rsidP="00727E86">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78F7AF65" w14:textId="77777777" w:rsidR="00727E86" w:rsidRDefault="00727E86" w:rsidP="00727E86">
            <w:pPr>
              <w:snapToGrid w:val="0"/>
              <w:spacing w:line="254" w:lineRule="auto"/>
            </w:pPr>
            <w:r>
              <w:t xml:space="preserve">Hard ticks </w:t>
            </w:r>
          </w:p>
          <w:p w14:paraId="5110BDFC" w14:textId="77777777" w:rsidR="00727E86" w:rsidRPr="00D67729" w:rsidRDefault="00727E86" w:rsidP="00727E86">
            <w:pPr>
              <w:snapToGrid w:val="0"/>
              <w:spacing w:line="254" w:lineRule="auto"/>
              <w:rPr>
                <w:i/>
              </w:rPr>
            </w:pPr>
            <w:r>
              <w:rPr>
                <w:i/>
              </w:rPr>
              <w:t>Ixodes ricinus</w:t>
            </w:r>
          </w:p>
          <w:p w14:paraId="0A5555F9" w14:textId="77777777" w:rsidR="00727E86" w:rsidRDefault="00727E86" w:rsidP="00727E86">
            <w:pPr>
              <w:snapToGrid w:val="0"/>
              <w:spacing w:line="254" w:lineRule="auto"/>
            </w:pPr>
            <w:r>
              <w:t>Development stage: adults and nymphs</w:t>
            </w:r>
          </w:p>
        </w:tc>
      </w:tr>
      <w:tr w:rsidR="00727E86" w14:paraId="07D39747" w14:textId="77777777" w:rsidTr="00727E86">
        <w:tc>
          <w:tcPr>
            <w:tcW w:w="2707" w:type="dxa"/>
            <w:tcBorders>
              <w:top w:val="nil"/>
              <w:left w:val="single" w:sz="4" w:space="0" w:color="000000"/>
              <w:bottom w:val="single" w:sz="4" w:space="0" w:color="000000"/>
              <w:right w:val="nil"/>
            </w:tcBorders>
            <w:hideMark/>
          </w:tcPr>
          <w:p w14:paraId="73D2F0DC" w14:textId="77777777" w:rsidR="00727E86" w:rsidRDefault="00727E86" w:rsidP="00727E86">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7E6F1DB5" w14:textId="77777777" w:rsidR="00727E86" w:rsidRDefault="00727E86" w:rsidP="00727E86">
            <w:pPr>
              <w:snapToGrid w:val="0"/>
              <w:spacing w:line="260" w:lineRule="atLeast"/>
              <w:jc w:val="both"/>
            </w:pPr>
            <w:r>
              <w:t>Skin application</w:t>
            </w:r>
          </w:p>
        </w:tc>
      </w:tr>
      <w:tr w:rsidR="00727E86" w14:paraId="254196EA" w14:textId="77777777" w:rsidTr="00727E86">
        <w:tc>
          <w:tcPr>
            <w:tcW w:w="2707" w:type="dxa"/>
            <w:tcBorders>
              <w:top w:val="nil"/>
              <w:left w:val="single" w:sz="4" w:space="0" w:color="000000"/>
              <w:bottom w:val="single" w:sz="4" w:space="0" w:color="000000"/>
              <w:right w:val="nil"/>
            </w:tcBorders>
            <w:hideMark/>
          </w:tcPr>
          <w:p w14:paraId="5B5F2F45" w14:textId="77777777" w:rsidR="00727E86" w:rsidRDefault="00727E86" w:rsidP="00727E86">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6DA557E9" w14:textId="77777777" w:rsidR="00727E86" w:rsidRPr="00EE5D77" w:rsidRDefault="00727E86" w:rsidP="00727E86">
            <w:r w:rsidRPr="00EE5D77">
              <w:t>Spraying</w:t>
            </w:r>
          </w:p>
          <w:p w14:paraId="7B2A6A6B" w14:textId="77777777" w:rsidR="00727E86" w:rsidRDefault="00727E86" w:rsidP="00727E86">
            <w:pPr>
              <w:snapToGrid w:val="0"/>
              <w:spacing w:line="260" w:lineRule="atLeast"/>
            </w:pPr>
            <w:r w:rsidRPr="00EE5D77">
              <w:rPr>
                <w:color w:val="000000"/>
              </w:rPr>
              <w:t>Spray for skin application to repel ticks</w:t>
            </w:r>
          </w:p>
        </w:tc>
      </w:tr>
      <w:tr w:rsidR="00727E86" w:rsidRPr="008766C7" w14:paraId="383CBAB7" w14:textId="77777777" w:rsidTr="00727E86">
        <w:tc>
          <w:tcPr>
            <w:tcW w:w="2707" w:type="dxa"/>
            <w:tcBorders>
              <w:top w:val="nil"/>
              <w:left w:val="single" w:sz="4" w:space="0" w:color="000000"/>
              <w:bottom w:val="single" w:sz="4" w:space="0" w:color="000000"/>
              <w:right w:val="nil"/>
            </w:tcBorders>
            <w:hideMark/>
          </w:tcPr>
          <w:p w14:paraId="60475537" w14:textId="77777777" w:rsidR="00727E86" w:rsidRDefault="00727E86" w:rsidP="00727E86">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2B9D0064" w14:textId="77777777" w:rsidR="00727E86" w:rsidRDefault="00727E86" w:rsidP="00727E86">
            <w:pPr>
              <w:rPr>
                <w:color w:val="000000"/>
              </w:rPr>
            </w:pPr>
            <w:r>
              <w:t>0,</w:t>
            </w:r>
            <w:r w:rsidRPr="00EE5D77">
              <w:t xml:space="preserve">6 </w:t>
            </w:r>
            <w:r>
              <w:t>m</w:t>
            </w:r>
            <w:r w:rsidRPr="00EE5D77">
              <w:t xml:space="preserve">g of product per </w:t>
            </w:r>
            <w:r>
              <w:t>c</w:t>
            </w:r>
            <w:r w:rsidRPr="00EE5D77">
              <w:t xml:space="preserve">m² </w:t>
            </w:r>
            <w:r>
              <w:t xml:space="preserve">of skin </w:t>
            </w:r>
          </w:p>
          <w:p w14:paraId="4124B4E6" w14:textId="77777777" w:rsidR="00727E86" w:rsidRPr="003A0654" w:rsidRDefault="00727E86" w:rsidP="00727E86">
            <w:pPr>
              <w:rPr>
                <w:color w:val="000000"/>
              </w:rPr>
            </w:pPr>
            <w:r>
              <w:rPr>
                <w:color w:val="000000"/>
              </w:rPr>
              <w:t>Protection time: 4 hours in temperate conditions</w:t>
            </w:r>
          </w:p>
        </w:tc>
      </w:tr>
      <w:tr w:rsidR="00727E86" w14:paraId="057CECF9" w14:textId="77777777" w:rsidTr="00727E86">
        <w:tc>
          <w:tcPr>
            <w:tcW w:w="2707" w:type="dxa"/>
            <w:tcBorders>
              <w:top w:val="nil"/>
              <w:left w:val="single" w:sz="4" w:space="0" w:color="000000"/>
              <w:bottom w:val="single" w:sz="4" w:space="0" w:color="000000"/>
              <w:right w:val="nil"/>
            </w:tcBorders>
            <w:hideMark/>
          </w:tcPr>
          <w:p w14:paraId="0CD3CC2F" w14:textId="77777777" w:rsidR="00727E86" w:rsidRDefault="00727E86" w:rsidP="00727E86">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344CE86A" w14:textId="77777777" w:rsidR="00727E86" w:rsidRDefault="00727E86" w:rsidP="00727E86">
            <w:pPr>
              <w:snapToGrid w:val="0"/>
              <w:spacing w:line="254" w:lineRule="auto"/>
              <w:rPr>
                <w:b/>
              </w:rPr>
            </w:pPr>
            <w:r w:rsidRPr="00EE5D77">
              <w:t>General public (non-professional)</w:t>
            </w:r>
          </w:p>
        </w:tc>
      </w:tr>
      <w:tr w:rsidR="00727E86" w:rsidRPr="008766C7" w14:paraId="595D1A13" w14:textId="77777777" w:rsidTr="00727E86">
        <w:tc>
          <w:tcPr>
            <w:tcW w:w="2707" w:type="dxa"/>
            <w:tcBorders>
              <w:top w:val="nil"/>
              <w:left w:val="single" w:sz="4" w:space="0" w:color="000000"/>
              <w:bottom w:val="single" w:sz="4" w:space="0" w:color="000000"/>
              <w:right w:val="nil"/>
            </w:tcBorders>
            <w:hideMark/>
          </w:tcPr>
          <w:p w14:paraId="249BC45B" w14:textId="77777777" w:rsidR="00727E86" w:rsidRDefault="00727E86" w:rsidP="00727E86">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06C89DDF" w14:textId="77777777" w:rsidR="00727E86" w:rsidRDefault="00727E86" w:rsidP="00727E86">
            <w:pPr>
              <w:spacing w:line="254" w:lineRule="auto"/>
            </w:pPr>
            <w:r>
              <w:t>100-250mL HDPE bottle (with sprayer)</w:t>
            </w:r>
          </w:p>
        </w:tc>
      </w:tr>
    </w:tbl>
    <w:p w14:paraId="1090D80D" w14:textId="77777777" w:rsidR="00727E86" w:rsidRDefault="00727E86">
      <w:pPr>
        <w:spacing w:before="0" w:after="160" w:line="259" w:lineRule="auto"/>
        <w:rPr>
          <w:lang w:eastAsia="en-US"/>
        </w:rPr>
      </w:pPr>
    </w:p>
    <w:p w14:paraId="555F85BB" w14:textId="77777777" w:rsidR="00727E86" w:rsidRDefault="00727E86">
      <w:pPr>
        <w:spacing w:before="0" w:after="160" w:line="259" w:lineRule="auto"/>
        <w:rPr>
          <w:lang w:eastAsia="en-US"/>
        </w:rPr>
      </w:pPr>
    </w:p>
    <w:p w14:paraId="06D89E31" w14:textId="65EC4F11" w:rsidR="00D7388D" w:rsidRDefault="00D7388D">
      <w:pPr>
        <w:spacing w:before="0" w:after="160" w:line="259" w:lineRule="auto"/>
        <w:rPr>
          <w:lang w:eastAsia="en-US"/>
        </w:rPr>
      </w:pPr>
    </w:p>
    <w:p w14:paraId="3F396A29" w14:textId="77777777" w:rsidR="00190DC8" w:rsidRDefault="00190DC8" w:rsidP="00190DC8">
      <w:pPr>
        <w:pStyle w:val="Titre3"/>
        <w:rPr>
          <w:lang w:eastAsia="en-US"/>
        </w:rPr>
      </w:pPr>
      <w:bookmarkStart w:id="122" w:name="_Toc93326532"/>
      <w:r>
        <w:rPr>
          <w:lang w:eastAsia="en-US"/>
        </w:rPr>
        <w:t>Clarification on product composition and compositions tested</w:t>
      </w:r>
      <w:bookmarkEnd w:id="122"/>
    </w:p>
    <w:p w14:paraId="18AA6EC1" w14:textId="77777777" w:rsidR="005E5F5C" w:rsidRPr="005E5F5C" w:rsidRDefault="005E5F5C" w:rsidP="005E5F5C">
      <w:pPr>
        <w:spacing w:before="0" w:after="0"/>
        <w:rPr>
          <w:rFonts w:eastAsia="Calibri"/>
          <w:bCs/>
          <w:sz w:val="18"/>
          <w:szCs w:val="24"/>
          <w:lang w:eastAsia="en-GB"/>
        </w:rPr>
      </w:pPr>
      <w:r w:rsidRPr="005E5F5C">
        <w:rPr>
          <w:rFonts w:eastAsia="Calibri"/>
          <w:bCs/>
          <w:sz w:val="18"/>
          <w:szCs w:val="24"/>
          <w:lang w:eastAsia="en-GB"/>
        </w:rPr>
        <w:t xml:space="preserve">In the studies submitted several test materials were used. Below, the differences to the product Insect Repellent Pump Spray </w:t>
      </w:r>
      <w:r>
        <w:rPr>
          <w:rFonts w:eastAsia="Calibri"/>
          <w:bCs/>
          <w:sz w:val="18"/>
          <w:szCs w:val="24"/>
          <w:lang w:eastAsia="en-GB"/>
        </w:rPr>
        <w:t xml:space="preserve">Lice </w:t>
      </w:r>
      <w:r w:rsidRPr="005E5F5C">
        <w:rPr>
          <w:rFonts w:eastAsia="Calibri"/>
          <w:bCs/>
          <w:sz w:val="18"/>
          <w:szCs w:val="24"/>
          <w:lang w:eastAsia="en-GB"/>
        </w:rPr>
        <w:t>IR3535</w:t>
      </w:r>
      <w:r w:rsidRPr="005E5F5C">
        <w:rPr>
          <w:rFonts w:eastAsia="Calibri"/>
          <w:bCs/>
          <w:sz w:val="18"/>
          <w:szCs w:val="24"/>
          <w:vertAlign w:val="superscript"/>
          <w:lang w:eastAsia="en-GB"/>
        </w:rPr>
        <w:t>®</w:t>
      </w:r>
      <w:r w:rsidRPr="005E5F5C">
        <w:rPr>
          <w:rFonts w:eastAsia="Calibri"/>
          <w:bCs/>
          <w:sz w:val="18"/>
          <w:szCs w:val="24"/>
          <w:lang w:eastAsia="en-GB"/>
        </w:rPr>
        <w:t xml:space="preserve"> 20% are described, whereas the full composition of the test materials is provided in the confidential part of the PAR.</w:t>
      </w:r>
    </w:p>
    <w:p w14:paraId="5D679D01" w14:textId="77777777" w:rsidR="005E5F5C" w:rsidRPr="005E5F5C" w:rsidRDefault="005E5F5C" w:rsidP="005E5F5C">
      <w:pPr>
        <w:pStyle w:val="Paragraphedeliste"/>
        <w:numPr>
          <w:ilvl w:val="0"/>
          <w:numId w:val="19"/>
        </w:numPr>
        <w:spacing w:before="0" w:after="0"/>
        <w:rPr>
          <w:rFonts w:eastAsia="Calibri"/>
          <w:b/>
          <w:bCs/>
          <w:sz w:val="18"/>
          <w:szCs w:val="24"/>
          <w:lang w:eastAsia="en-GB"/>
        </w:rPr>
      </w:pPr>
      <w:r w:rsidRPr="005E5F5C">
        <w:rPr>
          <w:rFonts w:eastAsia="Calibri"/>
          <w:b/>
          <w:bCs/>
          <w:sz w:val="18"/>
          <w:szCs w:val="24"/>
          <w:lang w:eastAsia="en-GB"/>
        </w:rPr>
        <w:t>Insect Repellent Pump Spray Lice IR3535</w:t>
      </w:r>
      <w:r w:rsidRPr="005E5F5C">
        <w:rPr>
          <w:rFonts w:eastAsia="Calibri"/>
          <w:b/>
          <w:bCs/>
          <w:sz w:val="18"/>
          <w:szCs w:val="24"/>
          <w:vertAlign w:val="superscript"/>
          <w:lang w:eastAsia="en-GB"/>
        </w:rPr>
        <w:t>®</w:t>
      </w:r>
      <w:r w:rsidRPr="005E5F5C">
        <w:rPr>
          <w:rFonts w:eastAsia="Calibri"/>
          <w:b/>
          <w:bCs/>
          <w:sz w:val="18"/>
          <w:szCs w:val="24"/>
          <w:lang w:eastAsia="en-GB"/>
        </w:rPr>
        <w:t xml:space="preserve"> 20%</w:t>
      </w:r>
    </w:p>
    <w:p w14:paraId="6AFF26B9" w14:textId="77777777" w:rsidR="005E5F5C" w:rsidRPr="005E5F5C" w:rsidRDefault="005E5F5C" w:rsidP="005E5F5C">
      <w:pPr>
        <w:pStyle w:val="Paragraphedeliste"/>
        <w:numPr>
          <w:ilvl w:val="0"/>
          <w:numId w:val="19"/>
        </w:numPr>
        <w:spacing w:before="0" w:after="0"/>
        <w:contextualSpacing w:val="0"/>
        <w:rPr>
          <w:rFonts w:eastAsia="Calibri"/>
          <w:b/>
          <w:bCs/>
          <w:sz w:val="18"/>
          <w:szCs w:val="24"/>
          <w:lang w:eastAsia="en-GB"/>
        </w:rPr>
      </w:pPr>
      <w:r w:rsidRPr="005E5F5C">
        <w:rPr>
          <w:rFonts w:eastAsia="Calibri"/>
          <w:b/>
          <w:bCs/>
          <w:sz w:val="18"/>
          <w:szCs w:val="24"/>
          <w:lang w:eastAsia="en-GB"/>
        </w:rPr>
        <w:t>Insect Repellent Pump Spray Lice IR3535</w:t>
      </w:r>
      <w:r w:rsidRPr="005E5F5C">
        <w:rPr>
          <w:rFonts w:eastAsia="Calibri"/>
          <w:b/>
          <w:bCs/>
          <w:sz w:val="18"/>
          <w:szCs w:val="24"/>
          <w:vertAlign w:val="superscript"/>
          <w:lang w:eastAsia="en-GB"/>
        </w:rPr>
        <w:t>®</w:t>
      </w:r>
      <w:r w:rsidRPr="005E5F5C">
        <w:rPr>
          <w:rFonts w:eastAsia="Calibri"/>
          <w:b/>
          <w:bCs/>
          <w:sz w:val="18"/>
          <w:szCs w:val="24"/>
          <w:lang w:eastAsia="en-GB"/>
        </w:rPr>
        <w:t xml:space="preserve"> 20% without Bitrex</w:t>
      </w:r>
    </w:p>
    <w:p w14:paraId="597D6E9B" w14:textId="3B3737B6" w:rsidR="005E5F5C" w:rsidRPr="005E5F5C" w:rsidRDefault="005E5F5C" w:rsidP="005E5F5C">
      <w:pPr>
        <w:pStyle w:val="Paragraphedeliste"/>
        <w:numPr>
          <w:ilvl w:val="0"/>
          <w:numId w:val="19"/>
        </w:numPr>
        <w:spacing w:before="0" w:after="0"/>
        <w:contextualSpacing w:val="0"/>
        <w:rPr>
          <w:rFonts w:eastAsia="Calibri"/>
          <w:bCs/>
          <w:sz w:val="18"/>
          <w:szCs w:val="24"/>
          <w:lang w:eastAsia="en-GB"/>
        </w:rPr>
      </w:pPr>
      <w:r w:rsidRPr="005E5F5C">
        <w:rPr>
          <w:rFonts w:eastAsia="Calibri"/>
          <w:b/>
          <w:bCs/>
          <w:sz w:val="18"/>
          <w:szCs w:val="24"/>
          <w:lang w:eastAsia="en-GB"/>
        </w:rPr>
        <w:t>Insect Repellent Pump Spray IR3535</w:t>
      </w:r>
      <w:r w:rsidRPr="005E5F5C">
        <w:rPr>
          <w:rFonts w:eastAsia="Calibri"/>
          <w:b/>
          <w:bCs/>
          <w:sz w:val="18"/>
          <w:szCs w:val="24"/>
          <w:vertAlign w:val="superscript"/>
          <w:lang w:eastAsia="en-GB"/>
        </w:rPr>
        <w:t>®</w:t>
      </w:r>
      <w:r w:rsidRPr="005E5F5C">
        <w:rPr>
          <w:rFonts w:eastAsia="Calibri"/>
          <w:b/>
          <w:bCs/>
          <w:sz w:val="18"/>
          <w:szCs w:val="24"/>
          <w:lang w:eastAsia="en-GB"/>
        </w:rPr>
        <w:t xml:space="preserve"> 20% without Bitrex:</w:t>
      </w:r>
      <w:r w:rsidRPr="005E5F5C">
        <w:rPr>
          <w:rFonts w:eastAsia="Calibri"/>
          <w:bCs/>
          <w:sz w:val="18"/>
          <w:szCs w:val="24"/>
          <w:lang w:eastAsia="en-GB"/>
        </w:rPr>
        <w:t xml:space="preserve"> Slightly </w:t>
      </w:r>
      <w:r w:rsidR="00330772">
        <w:rPr>
          <w:rFonts w:eastAsia="Calibri"/>
          <w:bCs/>
          <w:sz w:val="18"/>
          <w:szCs w:val="24"/>
          <w:lang w:eastAsia="en-GB"/>
        </w:rPr>
        <w:t>lower</w:t>
      </w:r>
      <w:r w:rsidRPr="005E5F5C">
        <w:rPr>
          <w:rFonts w:eastAsia="Calibri"/>
          <w:bCs/>
          <w:sz w:val="18"/>
          <w:szCs w:val="24"/>
          <w:lang w:eastAsia="en-GB"/>
        </w:rPr>
        <w:t xml:space="preserve"> concentration emollient, film forming substance present, and no Bitrex present</w:t>
      </w:r>
    </w:p>
    <w:p w14:paraId="3C0923A0" w14:textId="77777777" w:rsidR="005E5F5C" w:rsidRPr="005E5F5C" w:rsidRDefault="005E5F5C" w:rsidP="005E5F5C">
      <w:pPr>
        <w:pStyle w:val="Paragraphedeliste"/>
        <w:numPr>
          <w:ilvl w:val="0"/>
          <w:numId w:val="19"/>
        </w:numPr>
        <w:spacing w:before="0" w:after="0"/>
        <w:contextualSpacing w:val="0"/>
        <w:rPr>
          <w:rFonts w:eastAsia="Calibri"/>
          <w:bCs/>
          <w:sz w:val="18"/>
          <w:szCs w:val="24"/>
          <w:lang w:eastAsia="en-GB"/>
        </w:rPr>
      </w:pPr>
      <w:r w:rsidRPr="005E5F5C">
        <w:rPr>
          <w:rFonts w:eastAsia="Calibri"/>
          <w:b/>
          <w:bCs/>
          <w:sz w:val="18"/>
          <w:szCs w:val="24"/>
          <w:lang w:eastAsia="en-GB"/>
        </w:rPr>
        <w:t>US Pump Spray Formulation</w:t>
      </w:r>
      <w:r w:rsidRPr="005E5F5C">
        <w:rPr>
          <w:rFonts w:eastAsia="Calibri"/>
          <w:bCs/>
          <w:sz w:val="18"/>
          <w:szCs w:val="24"/>
          <w:lang w:eastAsia="en-GB"/>
        </w:rPr>
        <w:t>: In the US EPA formulation, ethanol denatured with Bitrex and tertbutanol (final concentrations 0.0002% and 0.042 %, respectively) is used, whereas in the EU Lice formulation (Insect Repellent Pump Spray Lice IR3535</w:t>
      </w:r>
      <w:r w:rsidRPr="005E5F5C">
        <w:rPr>
          <w:rFonts w:eastAsia="Calibri"/>
          <w:bCs/>
          <w:sz w:val="18"/>
          <w:szCs w:val="24"/>
          <w:vertAlign w:val="superscript"/>
          <w:lang w:eastAsia="en-GB"/>
        </w:rPr>
        <w:t>®</w:t>
      </w:r>
      <w:r w:rsidRPr="005E5F5C">
        <w:rPr>
          <w:rFonts w:eastAsia="Calibri"/>
          <w:bCs/>
          <w:sz w:val="18"/>
          <w:szCs w:val="24"/>
          <w:lang w:eastAsia="en-GB"/>
        </w:rPr>
        <w:t xml:space="preserve"> 20%) a final concentration of 0.0011% Bitrex is present. Other components are similar in both formulations. The pump spray formulation contains a slightly </w:t>
      </w:r>
      <w:r w:rsidR="00931E5A">
        <w:rPr>
          <w:rFonts w:eastAsia="Calibri"/>
          <w:bCs/>
          <w:sz w:val="18"/>
          <w:szCs w:val="24"/>
          <w:lang w:eastAsia="en-GB"/>
        </w:rPr>
        <w:t>low</w:t>
      </w:r>
      <w:r w:rsidRPr="005E5F5C">
        <w:rPr>
          <w:rFonts w:eastAsia="Calibri"/>
          <w:bCs/>
          <w:sz w:val="18"/>
          <w:szCs w:val="24"/>
          <w:lang w:eastAsia="en-GB"/>
        </w:rPr>
        <w:t xml:space="preserve">er concentration emollient and </w:t>
      </w:r>
      <w:r w:rsidR="00931E5A">
        <w:rPr>
          <w:rFonts w:eastAsia="Calibri"/>
          <w:bCs/>
          <w:sz w:val="18"/>
          <w:szCs w:val="24"/>
          <w:lang w:eastAsia="en-GB"/>
        </w:rPr>
        <w:t>a</w:t>
      </w:r>
      <w:r w:rsidRPr="005E5F5C">
        <w:rPr>
          <w:rFonts w:eastAsia="Calibri"/>
          <w:bCs/>
          <w:sz w:val="18"/>
          <w:szCs w:val="24"/>
          <w:lang w:eastAsia="en-GB"/>
        </w:rPr>
        <w:t xml:space="preserve"> film forming substance. The water content was adjusted to compensate for the slight differences in composition.</w:t>
      </w:r>
    </w:p>
    <w:p w14:paraId="45A87981" w14:textId="553476A9" w:rsidR="005E5F5C" w:rsidRPr="005E5F5C" w:rsidRDefault="005E5F5C" w:rsidP="005E5F5C">
      <w:pPr>
        <w:pStyle w:val="Paragraphedeliste"/>
        <w:numPr>
          <w:ilvl w:val="0"/>
          <w:numId w:val="19"/>
        </w:numPr>
        <w:autoSpaceDE w:val="0"/>
        <w:autoSpaceDN w:val="0"/>
        <w:spacing w:before="0" w:after="0"/>
        <w:contextualSpacing w:val="0"/>
        <w:rPr>
          <w:rFonts w:eastAsia="Calibri"/>
          <w:bCs/>
          <w:sz w:val="18"/>
          <w:szCs w:val="24"/>
          <w:lang w:eastAsia="en-GB"/>
        </w:rPr>
      </w:pPr>
      <w:r w:rsidRPr="005E5F5C">
        <w:rPr>
          <w:rFonts w:eastAsia="Calibri"/>
          <w:b/>
          <w:bCs/>
          <w:sz w:val="18"/>
          <w:szCs w:val="24"/>
          <w:lang w:eastAsia="en-GB"/>
        </w:rPr>
        <w:t>Pump Spray IR3535</w:t>
      </w:r>
      <w:r w:rsidRPr="005E5F5C">
        <w:rPr>
          <w:rFonts w:eastAsia="Calibri"/>
          <w:b/>
          <w:bCs/>
          <w:sz w:val="18"/>
          <w:szCs w:val="24"/>
          <w:vertAlign w:val="superscript"/>
          <w:lang w:eastAsia="en-GB"/>
        </w:rPr>
        <w:t>®</w:t>
      </w:r>
      <w:r w:rsidRPr="005E5F5C">
        <w:rPr>
          <w:rFonts w:eastAsia="Calibri"/>
          <w:b/>
          <w:bCs/>
          <w:sz w:val="18"/>
          <w:szCs w:val="24"/>
          <w:lang w:eastAsia="en-GB"/>
        </w:rPr>
        <w:t xml:space="preserve"> 19.5%</w:t>
      </w:r>
      <w:r w:rsidRPr="005E5F5C">
        <w:rPr>
          <w:rFonts w:eastAsia="Calibri"/>
          <w:bCs/>
          <w:sz w:val="18"/>
          <w:szCs w:val="24"/>
          <w:lang w:eastAsia="en-GB"/>
        </w:rPr>
        <w:t xml:space="preserve"> (2005 particle size test): The test material contained slightly less IR3535</w:t>
      </w:r>
      <w:r w:rsidR="0023317C" w:rsidRPr="0023317C">
        <w:rPr>
          <w:rFonts w:eastAsia="Calibri"/>
          <w:bCs/>
          <w:sz w:val="18"/>
          <w:szCs w:val="24"/>
          <w:vertAlign w:val="superscript"/>
          <w:lang w:eastAsia="en-GB"/>
        </w:rPr>
        <w:t>®</w:t>
      </w:r>
      <w:r w:rsidRPr="005E5F5C">
        <w:rPr>
          <w:rFonts w:eastAsia="Calibri"/>
          <w:bCs/>
          <w:sz w:val="18"/>
          <w:szCs w:val="24"/>
          <w:lang w:eastAsia="en-GB"/>
        </w:rPr>
        <w:t>. It also did not contain Bitrex. Only the water content was adjusted to compensate for the slight differences in composition.</w:t>
      </w:r>
    </w:p>
    <w:p w14:paraId="6B4A3588" w14:textId="77777777" w:rsidR="00190DC8" w:rsidRPr="005E5F5C" w:rsidRDefault="00190DC8" w:rsidP="00190DC8">
      <w:pPr>
        <w:rPr>
          <w:rFonts w:eastAsia="Calibri"/>
          <w:bCs/>
          <w:sz w:val="18"/>
          <w:szCs w:val="24"/>
          <w:lang w:eastAsia="en-GB"/>
        </w:rPr>
      </w:pPr>
    </w:p>
    <w:p w14:paraId="03A92223" w14:textId="77777777" w:rsidR="009B4856" w:rsidRDefault="009B4856" w:rsidP="00F07537">
      <w:pPr>
        <w:pStyle w:val="Titre3"/>
        <w:numPr>
          <w:ilvl w:val="0"/>
          <w:numId w:val="0"/>
        </w:numPr>
        <w:ind w:left="720"/>
        <w:rPr>
          <w:lang w:eastAsia="en-US"/>
        </w:rPr>
        <w:sectPr w:rsidR="009B4856" w:rsidSect="00752A50">
          <w:pgSz w:w="11906" w:h="16838"/>
          <w:pgMar w:top="1247" w:right="1247" w:bottom="1247" w:left="1247" w:header="709" w:footer="709" w:gutter="0"/>
          <w:cols w:space="708"/>
          <w:docGrid w:linePitch="360"/>
        </w:sectPr>
      </w:pPr>
    </w:p>
    <w:p w14:paraId="29CBAB73" w14:textId="7D5E6C1C" w:rsidR="00093760" w:rsidRDefault="0028480A" w:rsidP="005946A1">
      <w:pPr>
        <w:pStyle w:val="Titre3"/>
        <w:rPr>
          <w:lang w:eastAsia="en-US"/>
        </w:rPr>
      </w:pPr>
      <w:bookmarkStart w:id="123" w:name="_Toc93326533"/>
      <w:r w:rsidRPr="00BD2EF1">
        <w:rPr>
          <w:lang w:eastAsia="en-US"/>
        </w:rPr>
        <w:lastRenderedPageBreak/>
        <w:t>Physical, chemical and technical properties</w:t>
      </w:r>
      <w:bookmarkEnd w:id="123"/>
    </w:p>
    <w:p w14:paraId="6A2885B8" w14:textId="77777777" w:rsidR="009461FB" w:rsidRPr="009461FB" w:rsidRDefault="009461FB" w:rsidP="009461FB">
      <w:pPr>
        <w:pStyle w:val="Paragraphedeliste"/>
        <w:numPr>
          <w:ilvl w:val="0"/>
          <w:numId w:val="68"/>
        </w:numPr>
        <w:rPr>
          <w:b/>
        </w:rPr>
      </w:pPr>
      <w:r w:rsidRPr="009461FB">
        <w:rPr>
          <w:b/>
        </w:rPr>
        <w:t>FIRST AUTHORISATION – 2017 (BE CA)</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1414"/>
        <w:gridCol w:w="1417"/>
        <w:gridCol w:w="6799"/>
        <w:gridCol w:w="2267"/>
        <w:gridCol w:w="2274"/>
      </w:tblGrid>
      <w:tr w:rsidR="009823CF" w:rsidRPr="00854FF9" w14:paraId="05350B48" w14:textId="0E4C92CF" w:rsidTr="00F07537">
        <w:trPr>
          <w:trHeight w:val="644"/>
          <w:tblHeader/>
        </w:trPr>
        <w:tc>
          <w:tcPr>
            <w:tcW w:w="1705" w:type="dxa"/>
            <w:shd w:val="clear" w:color="auto" w:fill="BFBFBF" w:themeFill="background1" w:themeFillShade="BF"/>
            <w:vAlign w:val="center"/>
          </w:tcPr>
          <w:p w14:paraId="7C28EB2D" w14:textId="77777777" w:rsidR="0028480A" w:rsidRPr="00854FF9" w:rsidRDefault="0028480A" w:rsidP="00854FF9">
            <w:pPr>
              <w:pStyle w:val="Standaard-Tabellen"/>
              <w:rPr>
                <w:rFonts w:eastAsia="Calibri"/>
                <w:b/>
              </w:rPr>
            </w:pPr>
            <w:r w:rsidRPr="00854FF9">
              <w:rPr>
                <w:rFonts w:eastAsia="Calibri"/>
                <w:b/>
              </w:rPr>
              <w:t>Property</w:t>
            </w:r>
          </w:p>
        </w:tc>
        <w:tc>
          <w:tcPr>
            <w:tcW w:w="1414" w:type="dxa"/>
            <w:shd w:val="clear" w:color="auto" w:fill="BFBFBF" w:themeFill="background1" w:themeFillShade="BF"/>
            <w:vAlign w:val="center"/>
          </w:tcPr>
          <w:p w14:paraId="48D31E60" w14:textId="77777777" w:rsidR="0028480A" w:rsidRPr="00854FF9" w:rsidRDefault="0028480A" w:rsidP="00854FF9">
            <w:pPr>
              <w:pStyle w:val="Standaard-Tabellen"/>
              <w:rPr>
                <w:rFonts w:eastAsia="Calibri"/>
                <w:b/>
              </w:rPr>
            </w:pPr>
            <w:r w:rsidRPr="00854FF9">
              <w:rPr>
                <w:rFonts w:eastAsia="Calibri"/>
                <w:b/>
              </w:rPr>
              <w:t>Guideline  and Method</w:t>
            </w:r>
          </w:p>
        </w:tc>
        <w:tc>
          <w:tcPr>
            <w:tcW w:w="1417" w:type="dxa"/>
            <w:shd w:val="clear" w:color="auto" w:fill="BFBFBF" w:themeFill="background1" w:themeFillShade="BF"/>
            <w:vAlign w:val="center"/>
          </w:tcPr>
          <w:p w14:paraId="66411A9F" w14:textId="77777777" w:rsidR="0028480A" w:rsidRPr="00854FF9" w:rsidRDefault="0028480A" w:rsidP="00854FF9">
            <w:pPr>
              <w:pStyle w:val="Standaard-Tabellen"/>
              <w:rPr>
                <w:rFonts w:eastAsia="Calibri"/>
                <w:b/>
              </w:rPr>
            </w:pPr>
            <w:r w:rsidRPr="00854FF9">
              <w:rPr>
                <w:rFonts w:eastAsia="Calibri"/>
                <w:b/>
              </w:rPr>
              <w:t>Purity of the test substance (% (w/w)</w:t>
            </w:r>
          </w:p>
        </w:tc>
        <w:tc>
          <w:tcPr>
            <w:tcW w:w="6799" w:type="dxa"/>
            <w:shd w:val="clear" w:color="auto" w:fill="BFBFBF" w:themeFill="background1" w:themeFillShade="BF"/>
            <w:vAlign w:val="center"/>
          </w:tcPr>
          <w:p w14:paraId="6AA7261E" w14:textId="77777777" w:rsidR="0028480A" w:rsidRPr="00854FF9" w:rsidRDefault="0028480A" w:rsidP="00854FF9">
            <w:pPr>
              <w:pStyle w:val="Standaard-Tabellen"/>
              <w:rPr>
                <w:rFonts w:eastAsia="Calibri"/>
                <w:b/>
              </w:rPr>
            </w:pPr>
            <w:r w:rsidRPr="00854FF9">
              <w:rPr>
                <w:rFonts w:eastAsia="Calibri"/>
                <w:b/>
              </w:rPr>
              <w:t>Results</w:t>
            </w:r>
          </w:p>
        </w:tc>
        <w:tc>
          <w:tcPr>
            <w:tcW w:w="2267" w:type="dxa"/>
            <w:shd w:val="clear" w:color="auto" w:fill="BFBFBF" w:themeFill="background1" w:themeFillShade="BF"/>
            <w:vAlign w:val="center"/>
          </w:tcPr>
          <w:p w14:paraId="296E3D5E" w14:textId="77777777" w:rsidR="0028480A" w:rsidRPr="00854FF9" w:rsidRDefault="0028480A" w:rsidP="00854FF9">
            <w:pPr>
              <w:pStyle w:val="Standaard-Tabellen"/>
              <w:rPr>
                <w:rFonts w:eastAsia="Calibri"/>
                <w:b/>
              </w:rPr>
            </w:pPr>
            <w:r w:rsidRPr="00854FF9">
              <w:rPr>
                <w:rFonts w:eastAsia="Calibri"/>
                <w:b/>
              </w:rPr>
              <w:t>Reference</w:t>
            </w:r>
          </w:p>
        </w:tc>
        <w:tc>
          <w:tcPr>
            <w:tcW w:w="2274" w:type="dxa"/>
            <w:shd w:val="clear" w:color="auto" w:fill="BFBFBF" w:themeFill="background1" w:themeFillShade="BF"/>
            <w:vAlign w:val="center"/>
          </w:tcPr>
          <w:p w14:paraId="2D2C1C88" w14:textId="233258B1" w:rsidR="009B4856" w:rsidRPr="00093760" w:rsidRDefault="009B4856" w:rsidP="00854FF9">
            <w:pPr>
              <w:pStyle w:val="Standaard-Tabellen"/>
              <w:rPr>
                <w:rFonts w:eastAsia="Calibri"/>
                <w:b/>
              </w:rPr>
            </w:pPr>
          </w:p>
        </w:tc>
      </w:tr>
      <w:tr w:rsidR="00854FF9" w:rsidRPr="0089119C" w14:paraId="054CB03C" w14:textId="57891D83" w:rsidTr="00F07537">
        <w:trPr>
          <w:trHeight w:val="1155"/>
        </w:trPr>
        <w:tc>
          <w:tcPr>
            <w:tcW w:w="1705" w:type="dxa"/>
          </w:tcPr>
          <w:p w14:paraId="5EFE6B3F" w14:textId="77777777" w:rsidR="00854FF9" w:rsidRPr="00BD2EF1" w:rsidRDefault="00854FF9" w:rsidP="00854FF9">
            <w:pPr>
              <w:pStyle w:val="Standaard-Tabellen"/>
              <w:rPr>
                <w:rFonts w:eastAsia="Calibri"/>
              </w:rPr>
            </w:pPr>
            <w:r w:rsidRPr="00BD2EF1">
              <w:rPr>
                <w:rFonts w:eastAsia="Calibri"/>
              </w:rPr>
              <w:t>Physical state at 20 °C and 101.3 kPa</w:t>
            </w:r>
          </w:p>
        </w:tc>
        <w:tc>
          <w:tcPr>
            <w:tcW w:w="1414" w:type="dxa"/>
          </w:tcPr>
          <w:p w14:paraId="61654286" w14:textId="77777777" w:rsidR="00854FF9" w:rsidRPr="00BD2EF1" w:rsidRDefault="00854FF9" w:rsidP="00854FF9">
            <w:pPr>
              <w:pStyle w:val="Standaard-Tabellen"/>
              <w:rPr>
                <w:rFonts w:eastAsia="Calibri"/>
              </w:rPr>
            </w:pPr>
            <w:r w:rsidRPr="00C8784F">
              <w:rPr>
                <w:rFonts w:eastAsia="Calibri"/>
              </w:rPr>
              <w:t>Organoleptic</w:t>
            </w:r>
          </w:p>
        </w:tc>
        <w:tc>
          <w:tcPr>
            <w:tcW w:w="1417" w:type="dxa"/>
          </w:tcPr>
          <w:p w14:paraId="04B60B70" w14:textId="77777777" w:rsidR="00E34B9F" w:rsidRPr="001524E0" w:rsidRDefault="00DE5D51" w:rsidP="001524E0">
            <w:pPr>
              <w:tabs>
                <w:tab w:val="left" w:pos="64"/>
              </w:tabs>
              <w:spacing w:before="0" w:after="0"/>
              <w:rPr>
                <w:rFonts w:eastAsia="Calibri"/>
                <w:bCs/>
                <w:sz w:val="18"/>
                <w:szCs w:val="24"/>
                <w:lang w:eastAsia="en-GB"/>
              </w:rPr>
            </w:pPr>
            <w:r w:rsidRPr="001524E0">
              <w:rPr>
                <w:rFonts w:eastAsia="Calibri"/>
                <w:bCs/>
                <w:sz w:val="18"/>
                <w:szCs w:val="24"/>
                <w:lang w:eastAsia="en-GB"/>
              </w:rPr>
              <w:t>Insect Repellent Pump Spray Lice IR3535</w:t>
            </w:r>
            <w:r w:rsidRPr="001524E0">
              <w:rPr>
                <w:rFonts w:eastAsia="Calibri"/>
                <w:bCs/>
                <w:sz w:val="18"/>
                <w:szCs w:val="24"/>
                <w:vertAlign w:val="superscript"/>
                <w:lang w:eastAsia="en-GB"/>
              </w:rPr>
              <w:t>®</w:t>
            </w:r>
            <w:r w:rsidRPr="001524E0">
              <w:rPr>
                <w:rFonts w:eastAsia="Calibri"/>
                <w:bCs/>
                <w:sz w:val="18"/>
                <w:szCs w:val="24"/>
                <w:lang w:eastAsia="en-GB"/>
              </w:rPr>
              <w:t xml:space="preserve"> 20% without Bitrex</w:t>
            </w:r>
          </w:p>
          <w:p w14:paraId="56E18BB9" w14:textId="13ED2CEC" w:rsidR="00854FF9" w:rsidRPr="00BD2EF1" w:rsidRDefault="00854FF9" w:rsidP="00F07537">
            <w:pPr>
              <w:tabs>
                <w:tab w:val="left" w:pos="64"/>
              </w:tabs>
              <w:spacing w:before="0" w:after="0"/>
              <w:rPr>
                <w:rFonts w:eastAsia="Calibri"/>
              </w:rPr>
            </w:pPr>
          </w:p>
        </w:tc>
        <w:tc>
          <w:tcPr>
            <w:tcW w:w="6799" w:type="dxa"/>
          </w:tcPr>
          <w:p w14:paraId="25BA0F5A" w14:textId="77777777" w:rsidR="00854FF9" w:rsidRPr="00BD2EF1" w:rsidRDefault="00854FF9" w:rsidP="00854FF9">
            <w:pPr>
              <w:pStyle w:val="Standaard-Tabellen"/>
              <w:rPr>
                <w:rFonts w:eastAsia="Calibri"/>
              </w:rPr>
            </w:pPr>
            <w:r>
              <w:rPr>
                <w:rFonts w:eastAsia="Calibri"/>
              </w:rPr>
              <w:t xml:space="preserve">Homogeneous </w:t>
            </w:r>
            <w:r w:rsidRPr="00582AB1">
              <w:rPr>
                <w:rFonts w:eastAsia="Calibri"/>
              </w:rPr>
              <w:t>liquid</w:t>
            </w:r>
          </w:p>
        </w:tc>
        <w:tc>
          <w:tcPr>
            <w:tcW w:w="2267" w:type="dxa"/>
          </w:tcPr>
          <w:p w14:paraId="6DEBACAF" w14:textId="77777777" w:rsidR="00854FF9" w:rsidRPr="00F07537" w:rsidRDefault="00854FF9" w:rsidP="00854FF9">
            <w:pPr>
              <w:pStyle w:val="Standaard-Tabellen"/>
              <w:rPr>
                <w:rFonts w:eastAsia="Calibri"/>
              </w:rPr>
            </w:pPr>
            <w:r w:rsidRPr="00F07537">
              <w:rPr>
                <w:rFonts w:eastAsia="Calibri"/>
              </w:rPr>
              <w:t>63172204, Meinerling, M. and Herrmann, S., 2011. Institut für Biologische Analytik und Consulting IBACON GmbH</w:t>
            </w:r>
          </w:p>
        </w:tc>
        <w:tc>
          <w:tcPr>
            <w:tcW w:w="2274" w:type="dxa"/>
          </w:tcPr>
          <w:p w14:paraId="443F8990" w14:textId="292ACF5C" w:rsidR="009B4856" w:rsidRPr="00594307" w:rsidRDefault="009B4856" w:rsidP="00854FF9">
            <w:pPr>
              <w:pStyle w:val="Standaard-Tabellen"/>
              <w:rPr>
                <w:rFonts w:eastAsia="Calibri"/>
              </w:rPr>
            </w:pPr>
          </w:p>
        </w:tc>
      </w:tr>
      <w:tr w:rsidR="00854FF9" w:rsidRPr="0089119C" w14:paraId="5CED175B" w14:textId="537AAFFA" w:rsidTr="00F07537">
        <w:trPr>
          <w:trHeight w:val="1304"/>
        </w:trPr>
        <w:tc>
          <w:tcPr>
            <w:tcW w:w="1705" w:type="dxa"/>
          </w:tcPr>
          <w:p w14:paraId="6A11AE9C" w14:textId="01DC8196" w:rsidR="00854FF9" w:rsidRPr="00BD2EF1" w:rsidRDefault="00854FF9" w:rsidP="00854FF9">
            <w:pPr>
              <w:pStyle w:val="Standaard-Tabellen"/>
              <w:rPr>
                <w:rFonts w:eastAsia="Calibri"/>
              </w:rPr>
            </w:pPr>
            <w:r w:rsidRPr="00BD2EF1">
              <w:rPr>
                <w:rFonts w:eastAsia="Calibri"/>
              </w:rPr>
              <w:t>Colour at 20 °C and 101.3 kPa</w:t>
            </w:r>
          </w:p>
        </w:tc>
        <w:tc>
          <w:tcPr>
            <w:tcW w:w="1414" w:type="dxa"/>
          </w:tcPr>
          <w:p w14:paraId="43647515" w14:textId="77777777" w:rsidR="00854FF9" w:rsidRPr="00BD2EF1" w:rsidRDefault="00854FF9" w:rsidP="00854FF9">
            <w:pPr>
              <w:pStyle w:val="Standaard-Tabellen"/>
              <w:rPr>
                <w:rFonts w:eastAsia="Calibri"/>
              </w:rPr>
            </w:pPr>
            <w:r w:rsidRPr="00C8784F">
              <w:rPr>
                <w:rFonts w:eastAsia="Calibri"/>
              </w:rPr>
              <w:t>Organoleptic</w:t>
            </w:r>
          </w:p>
        </w:tc>
        <w:tc>
          <w:tcPr>
            <w:tcW w:w="1417" w:type="dxa"/>
          </w:tcPr>
          <w:p w14:paraId="7FEC7B5F" w14:textId="77777777" w:rsidR="005E5F5C" w:rsidRPr="005E5F5C" w:rsidRDefault="005E5F5C" w:rsidP="005E5F5C">
            <w:pPr>
              <w:tabs>
                <w:tab w:val="left" w:pos="64"/>
              </w:tabs>
              <w:spacing w:before="0" w:after="0"/>
              <w:rPr>
                <w:rFonts w:eastAsia="Calibri"/>
                <w:bCs/>
                <w:sz w:val="18"/>
                <w:szCs w:val="24"/>
                <w:lang w:eastAsia="en-GB"/>
              </w:rPr>
            </w:pPr>
            <w:r w:rsidRPr="005E5F5C">
              <w:rPr>
                <w:rFonts w:eastAsia="Calibri"/>
                <w:bCs/>
                <w:sz w:val="18"/>
                <w:szCs w:val="24"/>
                <w:lang w:eastAsia="en-GB"/>
              </w:rPr>
              <w:t>Insect Repellent Pump Spray Lice IR3535</w:t>
            </w:r>
            <w:r w:rsidRPr="005E5F5C">
              <w:rPr>
                <w:rFonts w:eastAsia="Calibri"/>
                <w:bCs/>
                <w:sz w:val="18"/>
                <w:szCs w:val="24"/>
                <w:vertAlign w:val="superscript"/>
                <w:lang w:eastAsia="en-GB"/>
              </w:rPr>
              <w:t>®</w:t>
            </w:r>
            <w:r w:rsidRPr="005E5F5C">
              <w:rPr>
                <w:rFonts w:eastAsia="Calibri"/>
                <w:bCs/>
                <w:sz w:val="18"/>
                <w:szCs w:val="24"/>
                <w:lang w:eastAsia="en-GB"/>
              </w:rPr>
              <w:t xml:space="preserve"> 20% without Bitrex</w:t>
            </w:r>
          </w:p>
          <w:p w14:paraId="2E45D610" w14:textId="0CE1144B" w:rsidR="00854FF9" w:rsidRPr="00BD2EF1" w:rsidRDefault="00854FF9" w:rsidP="00F07537">
            <w:pPr>
              <w:tabs>
                <w:tab w:val="left" w:pos="64"/>
              </w:tabs>
              <w:spacing w:before="0" w:after="0"/>
              <w:rPr>
                <w:rFonts w:eastAsia="Calibri"/>
              </w:rPr>
            </w:pPr>
          </w:p>
        </w:tc>
        <w:tc>
          <w:tcPr>
            <w:tcW w:w="6799" w:type="dxa"/>
          </w:tcPr>
          <w:p w14:paraId="4831E2AD" w14:textId="77777777" w:rsidR="00854FF9" w:rsidRPr="00BD2EF1" w:rsidRDefault="00854FF9" w:rsidP="00854FF9">
            <w:pPr>
              <w:pStyle w:val="Standaard-Tabellen"/>
              <w:rPr>
                <w:rFonts w:eastAsia="Calibri"/>
              </w:rPr>
            </w:pPr>
            <w:r>
              <w:rPr>
                <w:rFonts w:eastAsia="Calibri"/>
              </w:rPr>
              <w:t>C</w:t>
            </w:r>
            <w:r w:rsidRPr="00585FA2">
              <w:rPr>
                <w:rFonts w:eastAsia="Calibri"/>
              </w:rPr>
              <w:t>lear</w:t>
            </w:r>
            <w:r>
              <w:rPr>
                <w:rFonts w:eastAsia="Calibri"/>
              </w:rPr>
              <w:t>, colourless to slightly yellowish</w:t>
            </w:r>
          </w:p>
        </w:tc>
        <w:tc>
          <w:tcPr>
            <w:tcW w:w="2267" w:type="dxa"/>
          </w:tcPr>
          <w:p w14:paraId="3CD1EFE6" w14:textId="77777777" w:rsidR="00854FF9" w:rsidRPr="00F07537" w:rsidRDefault="00854FF9" w:rsidP="00854FF9">
            <w:pPr>
              <w:pStyle w:val="Standaard-Tabellen"/>
              <w:rPr>
                <w:rFonts w:eastAsia="Calibri"/>
              </w:rPr>
            </w:pPr>
            <w:r w:rsidRPr="00F07537">
              <w:rPr>
                <w:rFonts w:eastAsia="Calibri"/>
              </w:rPr>
              <w:t>63172204, Meinerling, M. and Herrmann, S., 2011. Institut für Biologische Analytik und Consulting IBACON GmbH</w:t>
            </w:r>
          </w:p>
        </w:tc>
        <w:tc>
          <w:tcPr>
            <w:tcW w:w="2274" w:type="dxa"/>
          </w:tcPr>
          <w:p w14:paraId="3A2D5A42" w14:textId="4F6908FE" w:rsidR="009B4856" w:rsidRPr="00594307" w:rsidRDefault="009B4856" w:rsidP="009B4856">
            <w:pPr>
              <w:pStyle w:val="Standaard-Tabellen"/>
              <w:rPr>
                <w:rFonts w:eastAsia="Calibri"/>
              </w:rPr>
            </w:pPr>
          </w:p>
        </w:tc>
      </w:tr>
      <w:tr w:rsidR="00854FF9" w:rsidRPr="0089119C" w14:paraId="0277CC13" w14:textId="1B5A7EE6" w:rsidTr="00F07537">
        <w:trPr>
          <w:trHeight w:val="1171"/>
        </w:trPr>
        <w:tc>
          <w:tcPr>
            <w:tcW w:w="1705" w:type="dxa"/>
          </w:tcPr>
          <w:p w14:paraId="0EA5DEDF" w14:textId="2E386F6B" w:rsidR="00854FF9" w:rsidRPr="00BD2EF1" w:rsidRDefault="00854FF9" w:rsidP="00854FF9">
            <w:pPr>
              <w:pStyle w:val="Standaard-Tabellen"/>
              <w:rPr>
                <w:rFonts w:eastAsia="Calibri"/>
              </w:rPr>
            </w:pPr>
            <w:r w:rsidRPr="00BD2EF1">
              <w:rPr>
                <w:rFonts w:eastAsia="Calibri"/>
              </w:rPr>
              <w:t>Odour at 20 °C and 101.3 kPa</w:t>
            </w:r>
          </w:p>
        </w:tc>
        <w:tc>
          <w:tcPr>
            <w:tcW w:w="1414" w:type="dxa"/>
          </w:tcPr>
          <w:p w14:paraId="0C63B834" w14:textId="77777777" w:rsidR="00854FF9" w:rsidRPr="00BD2EF1" w:rsidRDefault="00854FF9" w:rsidP="00854FF9">
            <w:pPr>
              <w:pStyle w:val="Standaard-Tabellen"/>
              <w:rPr>
                <w:rFonts w:eastAsia="Calibri"/>
              </w:rPr>
            </w:pPr>
            <w:r w:rsidRPr="00C8784F">
              <w:rPr>
                <w:rFonts w:eastAsia="Calibri"/>
              </w:rPr>
              <w:t>Organoleptic</w:t>
            </w:r>
          </w:p>
        </w:tc>
        <w:tc>
          <w:tcPr>
            <w:tcW w:w="1417" w:type="dxa"/>
          </w:tcPr>
          <w:p w14:paraId="1D6145F4" w14:textId="18207D1F" w:rsidR="00854FF9" w:rsidRPr="00BD2EF1" w:rsidRDefault="005E5F5C" w:rsidP="00F07537">
            <w:pPr>
              <w:tabs>
                <w:tab w:val="left" w:pos="64"/>
              </w:tabs>
              <w:spacing w:before="0" w:after="0"/>
              <w:rPr>
                <w:rFonts w:eastAsia="Calibri"/>
              </w:rPr>
            </w:pPr>
            <w:r w:rsidRPr="005E5F5C">
              <w:rPr>
                <w:rFonts w:eastAsia="Calibri"/>
                <w:bCs/>
                <w:sz w:val="18"/>
                <w:szCs w:val="24"/>
                <w:lang w:eastAsia="en-GB"/>
              </w:rPr>
              <w:t>Insect Repellent Pump Spray Lice IR3535</w:t>
            </w:r>
            <w:r w:rsidRPr="005E5F5C">
              <w:rPr>
                <w:rFonts w:eastAsia="Calibri"/>
                <w:bCs/>
                <w:sz w:val="18"/>
                <w:szCs w:val="24"/>
                <w:vertAlign w:val="superscript"/>
                <w:lang w:eastAsia="en-GB"/>
              </w:rPr>
              <w:t>®</w:t>
            </w:r>
            <w:r w:rsidRPr="005E5F5C">
              <w:rPr>
                <w:rFonts w:eastAsia="Calibri"/>
                <w:bCs/>
                <w:sz w:val="18"/>
                <w:szCs w:val="24"/>
                <w:lang w:eastAsia="en-GB"/>
              </w:rPr>
              <w:t xml:space="preserve"> 20% without Bitrex</w:t>
            </w:r>
          </w:p>
        </w:tc>
        <w:tc>
          <w:tcPr>
            <w:tcW w:w="6799" w:type="dxa"/>
          </w:tcPr>
          <w:p w14:paraId="37C558CA" w14:textId="77777777" w:rsidR="00854FF9" w:rsidRPr="00BD2EF1" w:rsidRDefault="00854FF9" w:rsidP="00854FF9">
            <w:pPr>
              <w:pStyle w:val="Standaard-Tabellen"/>
              <w:rPr>
                <w:rFonts w:eastAsia="Calibri"/>
              </w:rPr>
            </w:pPr>
            <w:r w:rsidRPr="00585FA2">
              <w:rPr>
                <w:rFonts w:eastAsia="Calibri"/>
              </w:rPr>
              <w:t>Mild characteristic, slight alcoholic</w:t>
            </w:r>
          </w:p>
        </w:tc>
        <w:tc>
          <w:tcPr>
            <w:tcW w:w="2267" w:type="dxa"/>
          </w:tcPr>
          <w:p w14:paraId="28EC0B3C" w14:textId="77777777" w:rsidR="00854FF9" w:rsidRPr="00F07537" w:rsidRDefault="00854FF9" w:rsidP="00854FF9">
            <w:pPr>
              <w:pStyle w:val="Standaard-Tabellen"/>
              <w:rPr>
                <w:rFonts w:eastAsia="Calibri"/>
              </w:rPr>
            </w:pPr>
            <w:r w:rsidRPr="00F07537">
              <w:rPr>
                <w:rFonts w:eastAsia="Calibri"/>
              </w:rPr>
              <w:t>63172204, Meinerling, M. and Herrmann, S., 2011. Institut für Biologische Analytik und Consulting IBACON GmbH</w:t>
            </w:r>
          </w:p>
        </w:tc>
        <w:tc>
          <w:tcPr>
            <w:tcW w:w="2274" w:type="dxa"/>
          </w:tcPr>
          <w:p w14:paraId="26E35FFE" w14:textId="4C8D7B15" w:rsidR="009B4856" w:rsidRPr="00594307" w:rsidRDefault="009B4856" w:rsidP="009B4856">
            <w:pPr>
              <w:pStyle w:val="Standaard-Tabellen"/>
              <w:rPr>
                <w:rFonts w:eastAsia="Calibri"/>
              </w:rPr>
            </w:pPr>
          </w:p>
        </w:tc>
      </w:tr>
      <w:tr w:rsidR="00854FF9" w:rsidRPr="0089119C" w14:paraId="7206BDE2" w14:textId="6A55ED53" w:rsidTr="00F07537">
        <w:trPr>
          <w:trHeight w:val="1761"/>
        </w:trPr>
        <w:tc>
          <w:tcPr>
            <w:tcW w:w="1705" w:type="dxa"/>
          </w:tcPr>
          <w:p w14:paraId="48DCAF1F" w14:textId="77777777" w:rsidR="00854FF9" w:rsidRPr="00BD2EF1" w:rsidRDefault="00854FF9" w:rsidP="00854FF9">
            <w:pPr>
              <w:pStyle w:val="Standaard-Tabellen"/>
              <w:rPr>
                <w:rFonts w:eastAsia="Calibri"/>
              </w:rPr>
            </w:pPr>
            <w:r w:rsidRPr="00BD2EF1">
              <w:rPr>
                <w:rFonts w:eastAsia="Calibri"/>
              </w:rPr>
              <w:t>Acidity / alkalinity</w:t>
            </w:r>
          </w:p>
        </w:tc>
        <w:tc>
          <w:tcPr>
            <w:tcW w:w="1414" w:type="dxa"/>
          </w:tcPr>
          <w:p w14:paraId="55371746" w14:textId="77777777" w:rsidR="00854FF9" w:rsidRPr="00BD2EF1" w:rsidRDefault="00854FF9" w:rsidP="00854FF9">
            <w:pPr>
              <w:pStyle w:val="Standaard-Tabellen"/>
              <w:rPr>
                <w:rFonts w:eastAsia="Calibri"/>
              </w:rPr>
            </w:pPr>
            <w:r>
              <w:rPr>
                <w:rFonts w:eastAsia="Calibri"/>
              </w:rPr>
              <w:t xml:space="preserve">CIPAC MT 75.3, </w:t>
            </w:r>
            <w:r w:rsidRPr="00582AB1">
              <w:rPr>
                <w:rFonts w:eastAsia="Calibri"/>
              </w:rPr>
              <w:t>under GLP regulation</w:t>
            </w:r>
          </w:p>
        </w:tc>
        <w:tc>
          <w:tcPr>
            <w:tcW w:w="1417" w:type="dxa"/>
          </w:tcPr>
          <w:p w14:paraId="2641F80B" w14:textId="6166C521" w:rsidR="00854FF9" w:rsidRPr="00BD2EF1" w:rsidRDefault="005E5F5C" w:rsidP="0036183A">
            <w:pPr>
              <w:tabs>
                <w:tab w:val="left" w:pos="64"/>
              </w:tabs>
              <w:spacing w:before="0" w:after="0"/>
              <w:rPr>
                <w:rFonts w:eastAsia="Calibri"/>
              </w:rPr>
            </w:pPr>
            <w:r w:rsidRPr="005E5F5C">
              <w:rPr>
                <w:rFonts w:eastAsia="Calibri"/>
                <w:bCs/>
                <w:sz w:val="18"/>
                <w:szCs w:val="24"/>
                <w:lang w:eastAsia="en-GB"/>
              </w:rPr>
              <w:t>Insect Repellent Pump Spray Lice IR3535</w:t>
            </w:r>
            <w:r w:rsidRPr="005E5F5C">
              <w:rPr>
                <w:rFonts w:eastAsia="Calibri"/>
                <w:bCs/>
                <w:sz w:val="18"/>
                <w:szCs w:val="24"/>
                <w:vertAlign w:val="superscript"/>
                <w:lang w:eastAsia="en-GB"/>
              </w:rPr>
              <w:t>®</w:t>
            </w:r>
            <w:r w:rsidRPr="005E5F5C">
              <w:rPr>
                <w:rFonts w:eastAsia="Calibri"/>
                <w:bCs/>
                <w:sz w:val="18"/>
                <w:szCs w:val="24"/>
                <w:lang w:eastAsia="en-GB"/>
              </w:rPr>
              <w:t xml:space="preserve"> 20% without Bitrex</w:t>
            </w:r>
          </w:p>
        </w:tc>
        <w:tc>
          <w:tcPr>
            <w:tcW w:w="6799" w:type="dxa"/>
          </w:tcPr>
          <w:p w14:paraId="4BD58088" w14:textId="77777777" w:rsidR="00854FF9" w:rsidRDefault="00854FF9" w:rsidP="00854FF9">
            <w:pPr>
              <w:pStyle w:val="Standaard-Tabellen"/>
              <w:rPr>
                <w:rFonts w:eastAsia="Calibri"/>
              </w:rPr>
            </w:pPr>
            <w:r>
              <w:rPr>
                <w:rFonts w:eastAsia="Calibri"/>
              </w:rPr>
              <w:t>100 % v/v:</w:t>
            </w:r>
          </w:p>
          <w:p w14:paraId="58B0C6A2" w14:textId="77777777" w:rsidR="00854FF9" w:rsidRDefault="00854FF9" w:rsidP="00854FF9">
            <w:pPr>
              <w:pStyle w:val="Standaard-Tabellen"/>
              <w:rPr>
                <w:rFonts w:eastAsia="Calibri"/>
              </w:rPr>
            </w:pPr>
            <w:r>
              <w:rPr>
                <w:rFonts w:eastAsia="Calibri"/>
              </w:rPr>
              <w:t>5.7-5.8</w:t>
            </w:r>
          </w:p>
          <w:p w14:paraId="10C11DE7" w14:textId="77777777" w:rsidR="00854FF9" w:rsidRDefault="00854FF9" w:rsidP="00854FF9">
            <w:pPr>
              <w:pStyle w:val="Standaard-Tabellen"/>
              <w:rPr>
                <w:rFonts w:eastAsia="Calibri"/>
              </w:rPr>
            </w:pPr>
          </w:p>
          <w:p w14:paraId="5BA4F3B8" w14:textId="77777777" w:rsidR="00854FF9" w:rsidRDefault="00854FF9" w:rsidP="00854FF9">
            <w:pPr>
              <w:pStyle w:val="Standaard-Tabellen"/>
              <w:rPr>
                <w:rFonts w:eastAsia="Calibri"/>
              </w:rPr>
            </w:pPr>
            <w:r>
              <w:rPr>
                <w:rFonts w:eastAsia="Calibri"/>
              </w:rPr>
              <w:t>1 % v/v:</w:t>
            </w:r>
          </w:p>
          <w:p w14:paraId="6226BAA6" w14:textId="77777777" w:rsidR="00854FF9" w:rsidRDefault="00854FF9" w:rsidP="00854FF9">
            <w:pPr>
              <w:pStyle w:val="Standaard-Tabellen"/>
              <w:rPr>
                <w:rFonts w:eastAsia="Calibri"/>
              </w:rPr>
            </w:pPr>
            <w:r>
              <w:rPr>
                <w:rFonts w:eastAsia="Calibri"/>
              </w:rPr>
              <w:t>5.8-6.7</w:t>
            </w:r>
          </w:p>
          <w:p w14:paraId="02D36639" w14:textId="77777777" w:rsidR="00854FF9" w:rsidRDefault="00854FF9" w:rsidP="00854FF9">
            <w:pPr>
              <w:pStyle w:val="Standaard-Tabellen"/>
              <w:rPr>
                <w:rFonts w:eastAsia="Calibri"/>
              </w:rPr>
            </w:pPr>
          </w:p>
          <w:p w14:paraId="03054C1D" w14:textId="77777777" w:rsidR="00854FF9" w:rsidRPr="00BD2EF1" w:rsidRDefault="00854FF9" w:rsidP="00854FF9">
            <w:pPr>
              <w:pStyle w:val="Standaard-Tabellen"/>
              <w:rPr>
                <w:rFonts w:eastAsia="Calibri"/>
              </w:rPr>
            </w:pPr>
            <w:r>
              <w:rPr>
                <w:rFonts w:eastAsia="Calibri"/>
              </w:rPr>
              <w:t>[At 20°C±1.6°C, using combined glass electrode]</w:t>
            </w:r>
          </w:p>
        </w:tc>
        <w:tc>
          <w:tcPr>
            <w:tcW w:w="2267" w:type="dxa"/>
          </w:tcPr>
          <w:p w14:paraId="7D4598E0" w14:textId="77777777" w:rsidR="00854FF9" w:rsidRPr="00F07537" w:rsidRDefault="00854FF9" w:rsidP="00854FF9">
            <w:pPr>
              <w:pStyle w:val="Standaard-Tabellen"/>
              <w:rPr>
                <w:rFonts w:eastAsia="Calibri"/>
              </w:rPr>
            </w:pPr>
            <w:r w:rsidRPr="00F07537">
              <w:rPr>
                <w:rFonts w:eastAsia="Calibri"/>
              </w:rPr>
              <w:t>63172204, Meinerling, M. and Herrmann, S., 2011. Institut für Biologische Analytik und Consulting IBACON GmbH</w:t>
            </w:r>
          </w:p>
        </w:tc>
        <w:tc>
          <w:tcPr>
            <w:tcW w:w="2274" w:type="dxa"/>
          </w:tcPr>
          <w:p w14:paraId="5007F9C6" w14:textId="0F3B6D66" w:rsidR="009B4856" w:rsidRPr="00594307" w:rsidRDefault="009B4856" w:rsidP="009B4856">
            <w:pPr>
              <w:pStyle w:val="Standaard-Tabellen"/>
              <w:rPr>
                <w:rFonts w:eastAsia="Calibri"/>
              </w:rPr>
            </w:pPr>
          </w:p>
        </w:tc>
      </w:tr>
      <w:tr w:rsidR="00854FF9" w:rsidRPr="0089119C" w14:paraId="5E9DCFF5" w14:textId="527A95E1" w:rsidTr="00F07537">
        <w:trPr>
          <w:trHeight w:val="1739"/>
        </w:trPr>
        <w:tc>
          <w:tcPr>
            <w:tcW w:w="1705" w:type="dxa"/>
            <w:tcBorders>
              <w:top w:val="single" w:sz="4" w:space="0" w:color="auto"/>
              <w:left w:val="single" w:sz="4" w:space="0" w:color="auto"/>
              <w:bottom w:val="single" w:sz="4" w:space="0" w:color="auto"/>
              <w:right w:val="single" w:sz="4" w:space="0" w:color="auto"/>
            </w:tcBorders>
          </w:tcPr>
          <w:p w14:paraId="07AF6AAF" w14:textId="77777777" w:rsidR="00854FF9" w:rsidRPr="00BD2EF1" w:rsidRDefault="00854FF9" w:rsidP="00854FF9">
            <w:pPr>
              <w:pStyle w:val="Standaard-Tabellen"/>
              <w:rPr>
                <w:rFonts w:eastAsia="Calibri"/>
              </w:rPr>
            </w:pPr>
            <w:bookmarkStart w:id="124" w:name="_Toc244336298"/>
            <w:r w:rsidRPr="00BD2EF1">
              <w:rPr>
                <w:rFonts w:eastAsia="Calibri"/>
              </w:rPr>
              <w:lastRenderedPageBreak/>
              <w:t>Relative density / bulk density</w:t>
            </w:r>
            <w:bookmarkEnd w:id="124"/>
          </w:p>
        </w:tc>
        <w:tc>
          <w:tcPr>
            <w:tcW w:w="1414" w:type="dxa"/>
            <w:tcBorders>
              <w:top w:val="single" w:sz="4" w:space="0" w:color="auto"/>
              <w:left w:val="single" w:sz="4" w:space="0" w:color="auto"/>
              <w:bottom w:val="single" w:sz="4" w:space="0" w:color="auto"/>
              <w:right w:val="single" w:sz="4" w:space="0" w:color="auto"/>
            </w:tcBorders>
          </w:tcPr>
          <w:p w14:paraId="6F9C7E7C" w14:textId="77777777" w:rsidR="00854FF9" w:rsidRDefault="00854FF9" w:rsidP="00854FF9">
            <w:pPr>
              <w:pStyle w:val="Standaard-Tabellen"/>
              <w:rPr>
                <w:rFonts w:eastAsia="Calibri"/>
              </w:rPr>
            </w:pPr>
            <w:r w:rsidRPr="002032B8">
              <w:rPr>
                <w:rFonts w:eastAsia="Calibri"/>
              </w:rPr>
              <w:t>OECD 109</w:t>
            </w:r>
            <w:r>
              <w:rPr>
                <w:rFonts w:eastAsia="Calibri"/>
              </w:rPr>
              <w:t>, under GLP regulation.</w:t>
            </w:r>
          </w:p>
          <w:p w14:paraId="61AD3CC0" w14:textId="77777777" w:rsidR="00854FF9" w:rsidRDefault="00854FF9" w:rsidP="00854FF9">
            <w:pPr>
              <w:pStyle w:val="Standaard-Tabellen"/>
              <w:rPr>
                <w:rFonts w:eastAsia="Calibri"/>
              </w:rPr>
            </w:pPr>
          </w:p>
          <w:p w14:paraId="4E008C8F" w14:textId="77777777" w:rsidR="00854FF9" w:rsidRPr="00BD2EF1" w:rsidRDefault="00854FF9" w:rsidP="00854FF9">
            <w:pPr>
              <w:pStyle w:val="Standaard-Tabellen"/>
              <w:rPr>
                <w:rFonts w:eastAsia="Calibri"/>
              </w:rPr>
            </w:pPr>
            <w:r>
              <w:rPr>
                <w:rFonts w:eastAsia="Calibri"/>
              </w:rPr>
              <w:t>EPA OPPTS 830.7300, under GLP regulation.</w:t>
            </w:r>
          </w:p>
        </w:tc>
        <w:tc>
          <w:tcPr>
            <w:tcW w:w="1417" w:type="dxa"/>
            <w:tcBorders>
              <w:top w:val="single" w:sz="4" w:space="0" w:color="auto"/>
              <w:left w:val="single" w:sz="4" w:space="0" w:color="auto"/>
              <w:bottom w:val="single" w:sz="4" w:space="0" w:color="auto"/>
              <w:right w:val="single" w:sz="4" w:space="0" w:color="auto"/>
            </w:tcBorders>
          </w:tcPr>
          <w:p w14:paraId="061D18A1" w14:textId="77777777" w:rsidR="005E5F5C" w:rsidRPr="005E5F5C" w:rsidRDefault="005E5F5C" w:rsidP="005E5F5C">
            <w:pPr>
              <w:tabs>
                <w:tab w:val="left" w:pos="64"/>
              </w:tabs>
              <w:spacing w:before="0" w:after="0"/>
              <w:rPr>
                <w:rFonts w:eastAsia="Calibri"/>
                <w:bCs/>
                <w:sz w:val="18"/>
                <w:szCs w:val="24"/>
                <w:lang w:eastAsia="en-GB"/>
              </w:rPr>
            </w:pPr>
            <w:r w:rsidRPr="005E5F5C">
              <w:rPr>
                <w:rFonts w:eastAsia="Calibri"/>
                <w:bCs/>
                <w:sz w:val="18"/>
                <w:szCs w:val="24"/>
                <w:lang w:eastAsia="en-GB"/>
              </w:rPr>
              <w:t>Insect Repellent Pump Spray Lice IR3535</w:t>
            </w:r>
            <w:r w:rsidRPr="005E5F5C">
              <w:rPr>
                <w:rFonts w:eastAsia="Calibri"/>
                <w:bCs/>
                <w:sz w:val="18"/>
                <w:szCs w:val="24"/>
                <w:vertAlign w:val="superscript"/>
                <w:lang w:eastAsia="en-GB"/>
              </w:rPr>
              <w:t>®</w:t>
            </w:r>
            <w:r w:rsidRPr="005E5F5C">
              <w:rPr>
                <w:rFonts w:eastAsia="Calibri"/>
                <w:bCs/>
                <w:sz w:val="18"/>
                <w:szCs w:val="24"/>
                <w:lang w:eastAsia="en-GB"/>
              </w:rPr>
              <w:t xml:space="preserve"> 20% without Bitrex</w:t>
            </w:r>
          </w:p>
          <w:p w14:paraId="25468153" w14:textId="4C1248D1" w:rsidR="00854FF9" w:rsidRPr="00BD2EF1" w:rsidRDefault="00854FF9" w:rsidP="00F07537">
            <w:pPr>
              <w:tabs>
                <w:tab w:val="left" w:pos="64"/>
              </w:tabs>
              <w:spacing w:before="0" w:after="0"/>
              <w:rPr>
                <w:rFonts w:eastAsia="Calibri"/>
              </w:rPr>
            </w:pPr>
          </w:p>
        </w:tc>
        <w:tc>
          <w:tcPr>
            <w:tcW w:w="6799" w:type="dxa"/>
            <w:tcBorders>
              <w:top w:val="single" w:sz="4" w:space="0" w:color="auto"/>
              <w:left w:val="single" w:sz="4" w:space="0" w:color="auto"/>
              <w:bottom w:val="single" w:sz="4" w:space="0" w:color="auto"/>
              <w:right w:val="single" w:sz="4" w:space="0" w:color="auto"/>
            </w:tcBorders>
          </w:tcPr>
          <w:p w14:paraId="1CDC26C5" w14:textId="77777777" w:rsidR="00854FF9" w:rsidRDefault="00854FF9" w:rsidP="00854FF9">
            <w:pPr>
              <w:pStyle w:val="Standaard-Tabellen"/>
              <w:rPr>
                <w:rFonts w:eastAsia="Calibri"/>
              </w:rPr>
            </w:pPr>
            <w:r>
              <w:rPr>
                <w:rFonts w:eastAsia="Calibri"/>
              </w:rPr>
              <w:t>0.951 g/mL</w:t>
            </w:r>
          </w:p>
          <w:p w14:paraId="44C81055" w14:textId="77777777" w:rsidR="00854FF9" w:rsidRDefault="00854FF9" w:rsidP="00854FF9">
            <w:pPr>
              <w:pStyle w:val="Standaard-Tabellen"/>
              <w:rPr>
                <w:rFonts w:eastAsia="Calibri"/>
              </w:rPr>
            </w:pPr>
          </w:p>
          <w:p w14:paraId="4A2772A2" w14:textId="77777777" w:rsidR="00854FF9" w:rsidRPr="00BD2EF1" w:rsidRDefault="00854FF9" w:rsidP="00854FF9">
            <w:pPr>
              <w:pStyle w:val="Standaard-Tabellen"/>
              <w:rPr>
                <w:rFonts w:eastAsia="Calibri"/>
              </w:rPr>
            </w:pPr>
            <w:r>
              <w:rPr>
                <w:rFonts w:eastAsia="Calibri"/>
              </w:rPr>
              <w:t>[At 20°C±0.1°C, using pycnometer]</w:t>
            </w:r>
          </w:p>
        </w:tc>
        <w:tc>
          <w:tcPr>
            <w:tcW w:w="2267" w:type="dxa"/>
            <w:tcBorders>
              <w:top w:val="single" w:sz="4" w:space="0" w:color="auto"/>
              <w:left w:val="single" w:sz="4" w:space="0" w:color="auto"/>
              <w:bottom w:val="single" w:sz="4" w:space="0" w:color="auto"/>
              <w:right w:val="single" w:sz="4" w:space="0" w:color="auto"/>
            </w:tcBorders>
          </w:tcPr>
          <w:p w14:paraId="66657DF3" w14:textId="77777777" w:rsidR="00854FF9" w:rsidRPr="00F07537" w:rsidRDefault="00854FF9" w:rsidP="00854FF9">
            <w:pPr>
              <w:pStyle w:val="Standaard-Tabellen"/>
              <w:rPr>
                <w:rFonts w:eastAsia="Calibri"/>
              </w:rPr>
            </w:pPr>
            <w:r w:rsidRPr="00F07537">
              <w:rPr>
                <w:rFonts w:eastAsia="Calibri"/>
              </w:rPr>
              <w:t>63171182, Fieseler, A., 2011. Institut für Biologische Analytik und Consulting IBACON GmbH</w:t>
            </w:r>
          </w:p>
        </w:tc>
        <w:tc>
          <w:tcPr>
            <w:tcW w:w="2274" w:type="dxa"/>
            <w:tcBorders>
              <w:top w:val="single" w:sz="4" w:space="0" w:color="auto"/>
              <w:left w:val="single" w:sz="4" w:space="0" w:color="auto"/>
              <w:bottom w:val="single" w:sz="4" w:space="0" w:color="auto"/>
              <w:right w:val="single" w:sz="4" w:space="0" w:color="auto"/>
            </w:tcBorders>
          </w:tcPr>
          <w:p w14:paraId="13E8863E" w14:textId="4385367E" w:rsidR="009B4856" w:rsidRPr="00594307" w:rsidRDefault="009B4856" w:rsidP="009B4856">
            <w:pPr>
              <w:pStyle w:val="Standaard-Tabellen"/>
              <w:rPr>
                <w:rFonts w:eastAsia="Calibri"/>
              </w:rPr>
            </w:pPr>
          </w:p>
        </w:tc>
      </w:tr>
      <w:tr w:rsidR="00854FF9" w:rsidRPr="0089119C" w14:paraId="254FBE26" w14:textId="4B097D02" w:rsidTr="00F07537">
        <w:trPr>
          <w:trHeight w:val="6117"/>
        </w:trPr>
        <w:tc>
          <w:tcPr>
            <w:tcW w:w="1705" w:type="dxa"/>
          </w:tcPr>
          <w:p w14:paraId="673FCD6F" w14:textId="77777777" w:rsidR="00854FF9" w:rsidRPr="00BD2EF1" w:rsidRDefault="00854FF9" w:rsidP="00854FF9">
            <w:pPr>
              <w:pStyle w:val="Standaard-Tabellen"/>
              <w:rPr>
                <w:rFonts w:eastAsia="Calibri"/>
              </w:rPr>
            </w:pPr>
            <w:r w:rsidRPr="00BD2EF1">
              <w:rPr>
                <w:rFonts w:eastAsia="Calibri"/>
              </w:rPr>
              <w:t>Storage stability test – accelerated storage</w:t>
            </w:r>
          </w:p>
        </w:tc>
        <w:tc>
          <w:tcPr>
            <w:tcW w:w="1414" w:type="dxa"/>
          </w:tcPr>
          <w:p w14:paraId="15B8F697" w14:textId="76E128F4" w:rsidR="00854FF9" w:rsidRPr="00BD2EF1" w:rsidRDefault="00854FF9" w:rsidP="00854FF9">
            <w:pPr>
              <w:pStyle w:val="Standaard-Tabellen"/>
              <w:rPr>
                <w:rFonts w:eastAsia="Calibri"/>
              </w:rPr>
            </w:pPr>
            <w:r>
              <w:rPr>
                <w:rFonts w:eastAsia="Calibri"/>
              </w:rPr>
              <w:t xml:space="preserve">CIPAC MT 46.3, </w:t>
            </w:r>
            <w:r w:rsidRPr="00582AB1">
              <w:rPr>
                <w:rFonts w:eastAsia="Calibri"/>
              </w:rPr>
              <w:t>under GLP regulation</w:t>
            </w:r>
            <w:r>
              <w:rPr>
                <w:rFonts w:eastAsia="Calibri"/>
              </w:rPr>
              <w:t xml:space="preserve"> – HPLC method </w:t>
            </w:r>
            <w:r w:rsidR="00DD724B">
              <w:rPr>
                <w:rFonts w:eastAsia="Calibri"/>
              </w:rPr>
              <w:t xml:space="preserve">(see 2.2.5) </w:t>
            </w:r>
            <w:r>
              <w:rPr>
                <w:rFonts w:eastAsia="Calibri"/>
              </w:rPr>
              <w:t xml:space="preserve">and </w:t>
            </w:r>
            <w:r w:rsidRPr="004A6E0F">
              <w:rPr>
                <w:rFonts w:eastAsia="Calibri"/>
              </w:rPr>
              <w:t>Organoleptic</w:t>
            </w:r>
          </w:p>
        </w:tc>
        <w:tc>
          <w:tcPr>
            <w:tcW w:w="1417" w:type="dxa"/>
          </w:tcPr>
          <w:p w14:paraId="73D8BB78" w14:textId="77777777" w:rsidR="005E5F5C" w:rsidRPr="005E5F5C" w:rsidRDefault="005E5F5C" w:rsidP="005E5F5C">
            <w:pPr>
              <w:tabs>
                <w:tab w:val="left" w:pos="64"/>
              </w:tabs>
              <w:spacing w:before="0" w:after="0"/>
              <w:rPr>
                <w:rFonts w:eastAsia="Calibri"/>
                <w:bCs/>
                <w:sz w:val="18"/>
                <w:szCs w:val="24"/>
                <w:lang w:eastAsia="en-GB"/>
              </w:rPr>
            </w:pPr>
            <w:r w:rsidRPr="005E5F5C">
              <w:rPr>
                <w:rFonts w:eastAsia="Calibri"/>
                <w:bCs/>
                <w:sz w:val="18"/>
                <w:szCs w:val="24"/>
                <w:lang w:eastAsia="en-GB"/>
              </w:rPr>
              <w:t>Insect Repellent Pump Spray Lice IR3535</w:t>
            </w:r>
            <w:r w:rsidRPr="005E5F5C">
              <w:rPr>
                <w:rFonts w:eastAsia="Calibri"/>
                <w:bCs/>
                <w:sz w:val="18"/>
                <w:szCs w:val="24"/>
                <w:vertAlign w:val="superscript"/>
                <w:lang w:eastAsia="en-GB"/>
              </w:rPr>
              <w:t>®</w:t>
            </w:r>
            <w:r w:rsidRPr="005E5F5C">
              <w:rPr>
                <w:rFonts w:eastAsia="Calibri"/>
                <w:bCs/>
                <w:sz w:val="18"/>
                <w:szCs w:val="24"/>
                <w:lang w:eastAsia="en-GB"/>
              </w:rPr>
              <w:t xml:space="preserve"> 20% without Bitrex</w:t>
            </w:r>
          </w:p>
          <w:p w14:paraId="5C9CE8C6" w14:textId="74805230" w:rsidR="00854FF9" w:rsidRPr="00BD2EF1" w:rsidRDefault="00854FF9" w:rsidP="00F07537">
            <w:pPr>
              <w:tabs>
                <w:tab w:val="left" w:pos="64"/>
              </w:tabs>
              <w:spacing w:before="0" w:after="0"/>
              <w:rPr>
                <w:rFonts w:eastAsia="Calibri"/>
              </w:rPr>
            </w:pPr>
          </w:p>
        </w:tc>
        <w:tc>
          <w:tcPr>
            <w:tcW w:w="6799" w:type="dxa"/>
          </w:tcPr>
          <w:p w14:paraId="0A9AC947" w14:textId="77777777" w:rsidR="00854FF9" w:rsidRDefault="00854FF9" w:rsidP="00854FF9">
            <w:pPr>
              <w:pStyle w:val="Standaard-Tabellen"/>
              <w:rPr>
                <w:rFonts w:eastAsia="Calibri"/>
              </w:rPr>
            </w:pPr>
            <w:r>
              <w:rPr>
                <w:rFonts w:eastAsia="Calibri"/>
              </w:rPr>
              <w:t>- No change in colour, odour, or clarity.</w:t>
            </w:r>
          </w:p>
          <w:p w14:paraId="6F2857FF" w14:textId="77777777" w:rsidR="00854FF9" w:rsidRDefault="00854FF9" w:rsidP="00854FF9">
            <w:pPr>
              <w:pStyle w:val="Standaard-Tabellen"/>
              <w:rPr>
                <w:rFonts w:eastAsia="Calibri"/>
              </w:rPr>
            </w:pPr>
          </w:p>
          <w:p w14:paraId="79C4BC1B" w14:textId="77777777" w:rsidR="00854FF9" w:rsidRDefault="00854FF9" w:rsidP="00854FF9">
            <w:pPr>
              <w:pStyle w:val="Standaard-Tabellen"/>
              <w:rPr>
                <w:rFonts w:eastAsia="Calibri"/>
              </w:rPr>
            </w:pPr>
            <w:r>
              <w:rPr>
                <w:rFonts w:eastAsia="Calibri"/>
              </w:rPr>
              <w:t>- No change in packaging appearance.</w:t>
            </w:r>
          </w:p>
          <w:p w14:paraId="0B715C5C" w14:textId="77777777" w:rsidR="00854FF9" w:rsidRDefault="00854FF9" w:rsidP="00854FF9">
            <w:pPr>
              <w:pStyle w:val="Standaard-Tabellen"/>
              <w:rPr>
                <w:rFonts w:eastAsia="Calibri"/>
              </w:rPr>
            </w:pPr>
          </w:p>
          <w:p w14:paraId="16F0F557" w14:textId="77777777" w:rsidR="00854FF9" w:rsidRDefault="00854FF9" w:rsidP="00854FF9">
            <w:pPr>
              <w:pStyle w:val="Standaard-Tabellen"/>
              <w:rPr>
                <w:rFonts w:eastAsia="Calibri"/>
              </w:rPr>
            </w:pPr>
            <w:r>
              <w:rPr>
                <w:rFonts w:eastAsia="Calibri"/>
              </w:rPr>
              <w:t>- Mass changes: 154.6g - 162.2g</w:t>
            </w:r>
          </w:p>
          <w:p w14:paraId="3500BBC2" w14:textId="77777777" w:rsidR="00854FF9" w:rsidRDefault="00854FF9" w:rsidP="00854FF9">
            <w:pPr>
              <w:pStyle w:val="Standaard-Tabellen"/>
              <w:rPr>
                <w:rFonts w:eastAsia="Calibri"/>
              </w:rPr>
            </w:pPr>
            <w:r>
              <w:rPr>
                <w:rFonts w:eastAsia="Calibri"/>
              </w:rPr>
              <w:t>-&gt;</w:t>
            </w:r>
          </w:p>
          <w:p w14:paraId="782FE14F" w14:textId="77777777" w:rsidR="00854FF9" w:rsidRDefault="00854FF9" w:rsidP="00854FF9">
            <w:pPr>
              <w:pStyle w:val="Standaard-Tabellen"/>
              <w:rPr>
                <w:rFonts w:eastAsia="Calibri"/>
              </w:rPr>
            </w:pPr>
            <w:r>
              <w:rPr>
                <w:rFonts w:eastAsia="Calibri"/>
              </w:rPr>
              <w:t>158.4g - 161.9g</w:t>
            </w:r>
          </w:p>
          <w:p w14:paraId="5FE379C0" w14:textId="77777777" w:rsidR="00854FF9" w:rsidRDefault="00854FF9" w:rsidP="00854FF9">
            <w:pPr>
              <w:pStyle w:val="Standaard-Tabellen"/>
              <w:rPr>
                <w:rFonts w:eastAsia="Calibri"/>
              </w:rPr>
            </w:pPr>
          </w:p>
          <w:p w14:paraId="34C2A3E0" w14:textId="77777777" w:rsidR="00854FF9" w:rsidRDefault="00854FF9" w:rsidP="00854FF9">
            <w:pPr>
              <w:pStyle w:val="Standaard-Tabellen"/>
              <w:rPr>
                <w:rFonts w:eastAsia="Calibri"/>
              </w:rPr>
            </w:pPr>
            <w:r>
              <w:rPr>
                <w:rFonts w:eastAsia="Calibri"/>
              </w:rPr>
              <w:t xml:space="preserve">- Change in A.S.: 19.3% w/w -&gt; 18.8% </w:t>
            </w:r>
          </w:p>
          <w:p w14:paraId="2A159C26" w14:textId="77777777" w:rsidR="00854FF9" w:rsidRDefault="00854FF9" w:rsidP="00854FF9">
            <w:pPr>
              <w:pStyle w:val="Standaard-Tabellen"/>
              <w:rPr>
                <w:rFonts w:eastAsia="Calibri"/>
              </w:rPr>
            </w:pPr>
            <w:r w:rsidRPr="001F227E">
              <w:rPr>
                <w:rFonts w:eastAsia="Calibri"/>
              </w:rPr>
              <w:t>(= 2.59% change)</w:t>
            </w:r>
          </w:p>
          <w:p w14:paraId="1A141421" w14:textId="77777777" w:rsidR="00854FF9" w:rsidRDefault="00854FF9" w:rsidP="00854FF9">
            <w:pPr>
              <w:pStyle w:val="Standaard-Tabellen"/>
              <w:rPr>
                <w:rFonts w:eastAsia="Calibri"/>
              </w:rPr>
            </w:pPr>
          </w:p>
          <w:p w14:paraId="17BB2793" w14:textId="77777777" w:rsidR="00DD724B" w:rsidRDefault="00854FF9" w:rsidP="00DD724B">
            <w:pPr>
              <w:pStyle w:val="Standaard-Tabellen"/>
              <w:rPr>
                <w:rFonts w:eastAsia="Calibri"/>
              </w:rPr>
            </w:pPr>
            <w:r>
              <w:rPr>
                <w:rFonts w:eastAsia="Calibri"/>
              </w:rPr>
              <w:t>- Free acid content: &lt;0.5 % w/w before and after storage</w:t>
            </w:r>
          </w:p>
          <w:p w14:paraId="01E9FB89" w14:textId="77777777" w:rsidR="00DD724B" w:rsidRDefault="00DD724B" w:rsidP="00DD724B">
            <w:pPr>
              <w:pStyle w:val="Standaard-Tabellen"/>
              <w:rPr>
                <w:rFonts w:eastAsia="Calibri"/>
              </w:rPr>
            </w:pPr>
          </w:p>
          <w:p w14:paraId="0863750A" w14:textId="77777777" w:rsidR="00DD724B" w:rsidRDefault="00DD724B" w:rsidP="00DD724B">
            <w:pPr>
              <w:pStyle w:val="Standaard-Tabellen"/>
              <w:rPr>
                <w:rFonts w:eastAsia="Calibri"/>
              </w:rPr>
            </w:pPr>
            <w:r>
              <w:rPr>
                <w:rFonts w:eastAsia="Calibri"/>
              </w:rPr>
              <w:t>- pH change: 5.8 -&gt; 5.3</w:t>
            </w:r>
          </w:p>
          <w:p w14:paraId="0F5503EB" w14:textId="77777777" w:rsidR="00854FF9" w:rsidRDefault="00854FF9" w:rsidP="00854FF9">
            <w:pPr>
              <w:pStyle w:val="Standaard-Tabellen"/>
              <w:rPr>
                <w:rFonts w:eastAsia="Calibri"/>
              </w:rPr>
            </w:pPr>
          </w:p>
          <w:p w14:paraId="4B83FE40" w14:textId="77777777" w:rsidR="00854FF9" w:rsidRDefault="00854FF9" w:rsidP="00854FF9">
            <w:pPr>
              <w:pStyle w:val="Standaard-Tabellen"/>
              <w:rPr>
                <w:rFonts w:eastAsia="Calibri"/>
              </w:rPr>
            </w:pPr>
          </w:p>
          <w:p w14:paraId="21BDB9B7" w14:textId="77777777" w:rsidR="00854FF9" w:rsidRDefault="00854FF9" w:rsidP="00854FF9">
            <w:pPr>
              <w:pStyle w:val="Standaard-Tabellen"/>
              <w:rPr>
                <w:rFonts w:eastAsia="Calibri"/>
              </w:rPr>
            </w:pPr>
            <w:r>
              <w:rPr>
                <w:rFonts w:eastAsia="Calibri"/>
              </w:rPr>
              <w:t>[8 weeks at 40±2°C. Humidity 30-65%.</w:t>
            </w:r>
          </w:p>
          <w:p w14:paraId="068A5A81" w14:textId="77777777" w:rsidR="00854FF9" w:rsidRPr="00BD2EF1" w:rsidRDefault="00854FF9" w:rsidP="00854FF9">
            <w:pPr>
              <w:pStyle w:val="Standaard-Tabellen"/>
              <w:rPr>
                <w:rFonts w:eastAsia="Calibri"/>
              </w:rPr>
            </w:pPr>
            <w:r>
              <w:rPr>
                <w:rFonts w:eastAsia="Calibri"/>
              </w:rPr>
              <w:t>Packaging: HDPE pump spray bottle – 150 mL]</w:t>
            </w:r>
          </w:p>
        </w:tc>
        <w:tc>
          <w:tcPr>
            <w:tcW w:w="2267" w:type="dxa"/>
          </w:tcPr>
          <w:p w14:paraId="04BEC31C" w14:textId="77777777" w:rsidR="00854FF9" w:rsidRPr="00F07537" w:rsidRDefault="00854FF9" w:rsidP="00854FF9">
            <w:pPr>
              <w:pStyle w:val="Standaard-Tabellen"/>
              <w:rPr>
                <w:rFonts w:eastAsia="Calibri"/>
              </w:rPr>
            </w:pPr>
            <w:r w:rsidRPr="00F07537">
              <w:rPr>
                <w:rFonts w:eastAsia="Calibri"/>
              </w:rPr>
              <w:t>63172204, Meinerling, M. and Herrmann, S., 2011. Institut für Biologische Analytik und Consulting IBACON GmbH</w:t>
            </w:r>
          </w:p>
        </w:tc>
        <w:tc>
          <w:tcPr>
            <w:tcW w:w="2274" w:type="dxa"/>
          </w:tcPr>
          <w:p w14:paraId="660275B8" w14:textId="6F1BFE90" w:rsidR="009B4856" w:rsidRPr="00594307" w:rsidRDefault="009B4856" w:rsidP="009B4856">
            <w:pPr>
              <w:pStyle w:val="Standaard-Tabellen"/>
              <w:rPr>
                <w:rFonts w:eastAsia="Calibri"/>
              </w:rPr>
            </w:pPr>
          </w:p>
        </w:tc>
      </w:tr>
      <w:tr w:rsidR="00854FF9" w:rsidRPr="0089119C" w14:paraId="314F6797" w14:textId="7C5A72A0" w:rsidTr="00F07537">
        <w:trPr>
          <w:trHeight w:val="434"/>
        </w:trPr>
        <w:tc>
          <w:tcPr>
            <w:tcW w:w="1705" w:type="dxa"/>
          </w:tcPr>
          <w:p w14:paraId="7F3E7B63" w14:textId="77777777" w:rsidR="00854FF9" w:rsidRPr="00BD2EF1" w:rsidRDefault="00854FF9" w:rsidP="00854FF9">
            <w:pPr>
              <w:pStyle w:val="Standaard-Tabellen"/>
              <w:rPr>
                <w:rFonts w:eastAsia="Calibri"/>
              </w:rPr>
            </w:pPr>
            <w:r w:rsidRPr="00BD2EF1">
              <w:rPr>
                <w:rFonts w:eastAsia="Calibri"/>
              </w:rPr>
              <w:lastRenderedPageBreak/>
              <w:t>Storage stability test – long term storage at ambient temperature</w:t>
            </w:r>
          </w:p>
        </w:tc>
        <w:tc>
          <w:tcPr>
            <w:tcW w:w="1414" w:type="dxa"/>
          </w:tcPr>
          <w:p w14:paraId="1B107F07" w14:textId="58F02296" w:rsidR="00854FF9" w:rsidRPr="00BD2EF1" w:rsidRDefault="00854FF9" w:rsidP="00854FF9">
            <w:pPr>
              <w:pStyle w:val="Standaard-Tabellen"/>
              <w:rPr>
                <w:rFonts w:eastAsia="Calibri"/>
              </w:rPr>
            </w:pPr>
            <w:r>
              <w:rPr>
                <w:rFonts w:eastAsia="Calibri"/>
              </w:rPr>
              <w:t xml:space="preserve">OPPTS 830.6319, </w:t>
            </w:r>
            <w:r w:rsidRPr="00582AB1">
              <w:rPr>
                <w:rFonts w:eastAsia="Calibri"/>
              </w:rPr>
              <w:t>under GLP regulation</w:t>
            </w:r>
            <w:r>
              <w:rPr>
                <w:rFonts w:eastAsia="Calibri"/>
              </w:rPr>
              <w:t xml:space="preserve"> – HPLC method </w:t>
            </w:r>
            <w:r w:rsidR="00DD724B">
              <w:rPr>
                <w:rFonts w:eastAsia="Calibri"/>
              </w:rPr>
              <w:t xml:space="preserve">(see 2.2.5) </w:t>
            </w:r>
            <w:r>
              <w:rPr>
                <w:rFonts w:eastAsia="Calibri"/>
              </w:rPr>
              <w:t xml:space="preserve">and </w:t>
            </w:r>
            <w:r w:rsidRPr="00C8784F">
              <w:rPr>
                <w:rFonts w:eastAsia="Calibri"/>
              </w:rPr>
              <w:t>Organoleptic</w:t>
            </w:r>
          </w:p>
        </w:tc>
        <w:tc>
          <w:tcPr>
            <w:tcW w:w="1417" w:type="dxa"/>
          </w:tcPr>
          <w:p w14:paraId="62E5DEF9" w14:textId="77777777" w:rsidR="00854FF9" w:rsidRDefault="00854FF9" w:rsidP="00854FF9">
            <w:pPr>
              <w:pStyle w:val="Standaard-Tabellen"/>
              <w:rPr>
                <w:rFonts w:eastAsia="Calibri"/>
              </w:rPr>
            </w:pPr>
            <w:r w:rsidRPr="00F07537">
              <w:rPr>
                <w:rFonts w:eastAsia="Calibri"/>
              </w:rPr>
              <w:t>READ-ACROSS</w:t>
            </w:r>
          </w:p>
          <w:p w14:paraId="27A7CF79" w14:textId="77777777" w:rsidR="00854FF9" w:rsidRDefault="00854FF9" w:rsidP="00854FF9">
            <w:pPr>
              <w:pStyle w:val="Standaard-Tabellen"/>
              <w:rPr>
                <w:rFonts w:eastAsia="Calibri"/>
              </w:rPr>
            </w:pPr>
          </w:p>
          <w:p w14:paraId="6BCF26B4" w14:textId="53E35622" w:rsidR="00854FF9" w:rsidRPr="00BD2EF1" w:rsidRDefault="00931E5A" w:rsidP="00854FF9">
            <w:pPr>
              <w:pStyle w:val="Standaard-Tabellen"/>
              <w:rPr>
                <w:rFonts w:eastAsia="Calibri"/>
              </w:rPr>
            </w:pPr>
            <w:r>
              <w:rPr>
                <w:rFonts w:eastAsia="Calibri"/>
                <w:bCs w:val="0"/>
              </w:rPr>
              <w:t xml:space="preserve">US Pump Spray Formulation </w:t>
            </w:r>
          </w:p>
        </w:tc>
        <w:tc>
          <w:tcPr>
            <w:tcW w:w="6799" w:type="dxa"/>
          </w:tcPr>
          <w:p w14:paraId="050CA7C1" w14:textId="77777777" w:rsidR="00854FF9" w:rsidRDefault="00854FF9" w:rsidP="00854FF9">
            <w:pPr>
              <w:pStyle w:val="Standaard-Tabellen"/>
              <w:rPr>
                <w:rFonts w:eastAsia="Calibri"/>
              </w:rPr>
            </w:pPr>
            <w:r>
              <w:rPr>
                <w:rFonts w:eastAsia="Calibri"/>
              </w:rPr>
              <w:t>- No change in colour, odour, or clarity.</w:t>
            </w:r>
          </w:p>
          <w:p w14:paraId="518C3B01" w14:textId="77777777" w:rsidR="00854FF9" w:rsidRDefault="00854FF9" w:rsidP="00854FF9">
            <w:pPr>
              <w:pStyle w:val="Standaard-Tabellen"/>
              <w:rPr>
                <w:rFonts w:eastAsia="Calibri"/>
              </w:rPr>
            </w:pPr>
          </w:p>
          <w:p w14:paraId="0BC06F6E" w14:textId="77777777" w:rsidR="00854FF9" w:rsidRDefault="00854FF9" w:rsidP="00854FF9">
            <w:pPr>
              <w:pStyle w:val="Standaard-Tabellen"/>
              <w:rPr>
                <w:rFonts w:eastAsia="Calibri"/>
              </w:rPr>
            </w:pPr>
            <w:r>
              <w:rPr>
                <w:rFonts w:eastAsia="Calibri"/>
              </w:rPr>
              <w:t>- No change in packaging appearance.</w:t>
            </w:r>
          </w:p>
          <w:p w14:paraId="707F8F2C" w14:textId="77777777" w:rsidR="00854FF9" w:rsidRDefault="00854FF9" w:rsidP="00854FF9">
            <w:pPr>
              <w:pStyle w:val="Standaard-Tabellen"/>
              <w:rPr>
                <w:rFonts w:eastAsia="Calibri"/>
              </w:rPr>
            </w:pPr>
          </w:p>
          <w:p w14:paraId="68A47E5F" w14:textId="77777777" w:rsidR="00854FF9" w:rsidRDefault="00854FF9" w:rsidP="00854FF9">
            <w:pPr>
              <w:pStyle w:val="Standaard-Tabellen"/>
              <w:rPr>
                <w:rFonts w:eastAsia="Calibri"/>
              </w:rPr>
            </w:pPr>
            <w:r>
              <w:rPr>
                <w:rFonts w:eastAsia="Calibri"/>
              </w:rPr>
              <w:t>- Mass changes: 135.6g - 136.2g</w:t>
            </w:r>
          </w:p>
          <w:p w14:paraId="0990F83A" w14:textId="77777777" w:rsidR="00854FF9" w:rsidRDefault="00854FF9" w:rsidP="00854FF9">
            <w:pPr>
              <w:pStyle w:val="Standaard-Tabellen"/>
              <w:rPr>
                <w:rFonts w:eastAsia="Calibri"/>
              </w:rPr>
            </w:pPr>
            <w:r>
              <w:rPr>
                <w:rFonts w:eastAsia="Calibri"/>
              </w:rPr>
              <w:t>-&gt;</w:t>
            </w:r>
          </w:p>
          <w:p w14:paraId="198F8A43" w14:textId="77777777" w:rsidR="00854FF9" w:rsidRDefault="00854FF9" w:rsidP="00854FF9">
            <w:pPr>
              <w:pStyle w:val="Standaard-Tabellen"/>
              <w:rPr>
                <w:rFonts w:eastAsia="Calibri"/>
              </w:rPr>
            </w:pPr>
            <w:r>
              <w:rPr>
                <w:rFonts w:eastAsia="Calibri"/>
              </w:rPr>
              <w:t>134.9g - 135.7g</w:t>
            </w:r>
          </w:p>
          <w:p w14:paraId="32B7E0DE" w14:textId="77777777" w:rsidR="00854FF9" w:rsidRDefault="00854FF9" w:rsidP="00854FF9">
            <w:pPr>
              <w:pStyle w:val="Standaard-Tabellen"/>
              <w:rPr>
                <w:rFonts w:eastAsia="Calibri"/>
              </w:rPr>
            </w:pPr>
            <w:r>
              <w:rPr>
                <w:rFonts w:eastAsia="Calibri"/>
              </w:rPr>
              <w:t>(= 0.37±0.04% change)</w:t>
            </w:r>
          </w:p>
          <w:p w14:paraId="533A64C9" w14:textId="77777777" w:rsidR="00854FF9" w:rsidRDefault="00854FF9" w:rsidP="00854FF9">
            <w:pPr>
              <w:pStyle w:val="Standaard-Tabellen"/>
              <w:rPr>
                <w:rFonts w:eastAsia="Calibri"/>
              </w:rPr>
            </w:pPr>
          </w:p>
          <w:p w14:paraId="02395F72" w14:textId="77777777" w:rsidR="00854FF9" w:rsidRDefault="00854FF9" w:rsidP="00854FF9">
            <w:pPr>
              <w:pStyle w:val="Standaard-Tabellen"/>
              <w:rPr>
                <w:rFonts w:eastAsia="Calibri"/>
              </w:rPr>
            </w:pPr>
            <w:r>
              <w:rPr>
                <w:rFonts w:eastAsia="Calibri"/>
              </w:rPr>
              <w:t xml:space="preserve">- Change in A.S.: 20.1% w/w -&gt; 17.9% </w:t>
            </w:r>
          </w:p>
          <w:p w14:paraId="6E0F4585" w14:textId="77777777" w:rsidR="00854FF9" w:rsidRPr="0038389E" w:rsidRDefault="00854FF9" w:rsidP="00854FF9">
            <w:pPr>
              <w:pStyle w:val="Standaard-Tabellen"/>
              <w:rPr>
                <w:rFonts w:eastAsia="Calibri"/>
                <w:u w:val="single"/>
              </w:rPr>
            </w:pPr>
            <w:r w:rsidRPr="0038389E">
              <w:rPr>
                <w:rFonts w:eastAsia="Calibri"/>
              </w:rPr>
              <w:t xml:space="preserve">(= 10.94% change </w:t>
            </w:r>
            <w:r w:rsidRPr="0038389E">
              <w:rPr>
                <w:rFonts w:eastAsia="Calibri"/>
                <w:u w:val="single"/>
              </w:rPr>
              <w:t>after 24 months)</w:t>
            </w:r>
          </w:p>
          <w:p w14:paraId="5AEAE67E" w14:textId="77777777" w:rsidR="00854FF9" w:rsidRPr="0038389E" w:rsidRDefault="00854FF9" w:rsidP="00854FF9">
            <w:pPr>
              <w:pStyle w:val="Standaard-Tabellen"/>
              <w:rPr>
                <w:rFonts w:eastAsia="Calibri"/>
              </w:rPr>
            </w:pPr>
          </w:p>
          <w:p w14:paraId="00996531" w14:textId="77777777" w:rsidR="00854FF9" w:rsidRPr="0038389E" w:rsidRDefault="00854FF9" w:rsidP="00854FF9">
            <w:pPr>
              <w:pStyle w:val="Standaard-Tabellen"/>
              <w:rPr>
                <w:rFonts w:eastAsia="Calibri"/>
              </w:rPr>
            </w:pPr>
            <w:r w:rsidRPr="0038389E">
              <w:rPr>
                <w:rFonts w:eastAsia="Calibri"/>
              </w:rPr>
              <w:t>20.1% w/w -&gt; 19.1%</w:t>
            </w:r>
          </w:p>
          <w:p w14:paraId="17CBAE1E" w14:textId="77777777" w:rsidR="00854FF9" w:rsidRDefault="00854FF9" w:rsidP="00854FF9">
            <w:pPr>
              <w:pStyle w:val="Standaard-Tabellen"/>
              <w:rPr>
                <w:rFonts w:eastAsia="Calibri"/>
              </w:rPr>
            </w:pPr>
            <w:r w:rsidRPr="0038389E">
              <w:rPr>
                <w:rFonts w:eastAsia="Calibri"/>
              </w:rPr>
              <w:t xml:space="preserve">(= 4.98% change </w:t>
            </w:r>
            <w:r w:rsidRPr="0038389E">
              <w:rPr>
                <w:rFonts w:eastAsia="Calibri"/>
                <w:u w:val="single"/>
              </w:rPr>
              <w:t>after 18 months)</w:t>
            </w:r>
          </w:p>
          <w:p w14:paraId="7BE379E8" w14:textId="77777777" w:rsidR="00854FF9" w:rsidRDefault="00854FF9" w:rsidP="00854FF9">
            <w:pPr>
              <w:pStyle w:val="Standaard-Tabellen"/>
              <w:rPr>
                <w:rFonts w:eastAsia="Calibri"/>
              </w:rPr>
            </w:pPr>
          </w:p>
          <w:p w14:paraId="2E4BBDA7" w14:textId="77777777" w:rsidR="00DD724B" w:rsidRDefault="00854FF9" w:rsidP="00DD724B">
            <w:pPr>
              <w:pStyle w:val="Standaard-Tabellen"/>
              <w:rPr>
                <w:rFonts w:eastAsia="Calibri"/>
              </w:rPr>
            </w:pPr>
            <w:r>
              <w:rPr>
                <w:rFonts w:eastAsia="Calibri"/>
              </w:rPr>
              <w:t>- Free acid content: 0.1% w/w -&gt; 2.1 % w/w</w:t>
            </w:r>
          </w:p>
          <w:p w14:paraId="2AB77F3E" w14:textId="77777777" w:rsidR="00DD724B" w:rsidRDefault="00DD724B" w:rsidP="00DD724B">
            <w:pPr>
              <w:pStyle w:val="Standaard-Tabellen"/>
              <w:rPr>
                <w:rFonts w:eastAsia="Calibri"/>
              </w:rPr>
            </w:pPr>
          </w:p>
          <w:p w14:paraId="5C99439D" w14:textId="77777777" w:rsidR="00DD724B" w:rsidRDefault="00DD724B" w:rsidP="00DD724B">
            <w:pPr>
              <w:pStyle w:val="Standaard-Tabellen"/>
              <w:rPr>
                <w:rFonts w:eastAsia="Calibri"/>
              </w:rPr>
            </w:pPr>
            <w:r>
              <w:rPr>
                <w:rFonts w:eastAsia="Calibri"/>
              </w:rPr>
              <w:t>- pH change: 5.0 -&gt; 4.4</w:t>
            </w:r>
          </w:p>
          <w:p w14:paraId="60C8A9C9" w14:textId="77777777" w:rsidR="00854FF9" w:rsidRDefault="00854FF9" w:rsidP="00854FF9">
            <w:pPr>
              <w:pStyle w:val="Standaard-Tabellen"/>
              <w:rPr>
                <w:rFonts w:eastAsia="Calibri"/>
              </w:rPr>
            </w:pPr>
          </w:p>
          <w:p w14:paraId="0D2666DA" w14:textId="77777777" w:rsidR="00854FF9" w:rsidRDefault="00854FF9" w:rsidP="00854FF9">
            <w:pPr>
              <w:pStyle w:val="Standaard-Tabellen"/>
              <w:rPr>
                <w:rFonts w:eastAsia="Calibri"/>
              </w:rPr>
            </w:pPr>
          </w:p>
          <w:p w14:paraId="15448314" w14:textId="77777777" w:rsidR="00854FF9" w:rsidRDefault="00854FF9" w:rsidP="00854FF9">
            <w:pPr>
              <w:pStyle w:val="Standaard-Tabellen"/>
              <w:rPr>
                <w:rFonts w:eastAsia="Calibri"/>
              </w:rPr>
            </w:pPr>
            <w:r>
              <w:rPr>
                <w:rFonts w:eastAsia="Calibri"/>
              </w:rPr>
              <w:t>[2 years at 25±2°C. Humidity 40-68%.</w:t>
            </w:r>
          </w:p>
          <w:p w14:paraId="00654D7E" w14:textId="77777777" w:rsidR="00854FF9" w:rsidRPr="00BD2EF1" w:rsidRDefault="00854FF9" w:rsidP="00854FF9">
            <w:pPr>
              <w:pStyle w:val="Standaard-Tabellen"/>
              <w:rPr>
                <w:rFonts w:eastAsia="Calibri"/>
              </w:rPr>
            </w:pPr>
            <w:r>
              <w:rPr>
                <w:rFonts w:eastAsia="Calibri"/>
              </w:rPr>
              <w:t>Packaging: HDPE pump spray bottle – 100 mL]</w:t>
            </w:r>
          </w:p>
        </w:tc>
        <w:tc>
          <w:tcPr>
            <w:tcW w:w="2267" w:type="dxa"/>
          </w:tcPr>
          <w:p w14:paraId="495A893B" w14:textId="77777777" w:rsidR="00854FF9" w:rsidRPr="00F07537" w:rsidRDefault="00854FF9" w:rsidP="00854FF9">
            <w:pPr>
              <w:pStyle w:val="Standaard-Tabellen"/>
              <w:rPr>
                <w:rFonts w:eastAsia="Calibri"/>
              </w:rPr>
            </w:pPr>
            <w:r w:rsidRPr="00F07537">
              <w:rPr>
                <w:rFonts w:eastAsia="Calibri"/>
              </w:rPr>
              <w:t>31232204, Meinerling, M., 2009. Institut für Biologische Analytik und Consulting IBACON GmbH</w:t>
            </w:r>
          </w:p>
        </w:tc>
        <w:tc>
          <w:tcPr>
            <w:tcW w:w="2274" w:type="dxa"/>
          </w:tcPr>
          <w:p w14:paraId="67C9D33E" w14:textId="1DB0F3F9" w:rsidR="00313B8B" w:rsidRPr="00594307" w:rsidRDefault="00313B8B" w:rsidP="00F07537">
            <w:pPr>
              <w:rPr>
                <w:rFonts w:eastAsia="Calibri"/>
              </w:rPr>
            </w:pPr>
          </w:p>
        </w:tc>
      </w:tr>
      <w:tr w:rsidR="00854FF9" w:rsidRPr="0089119C" w14:paraId="7BE53C76" w14:textId="3EEF37D8" w:rsidTr="00F07537">
        <w:trPr>
          <w:trHeight w:val="1079"/>
        </w:trPr>
        <w:tc>
          <w:tcPr>
            <w:tcW w:w="1705" w:type="dxa"/>
          </w:tcPr>
          <w:p w14:paraId="4E45D4D6" w14:textId="77777777" w:rsidR="00854FF9" w:rsidRPr="00BD2EF1" w:rsidRDefault="00854FF9" w:rsidP="00854FF9">
            <w:pPr>
              <w:pStyle w:val="Standaard-Tabellen"/>
              <w:rPr>
                <w:rFonts w:eastAsia="Calibri"/>
              </w:rPr>
            </w:pPr>
            <w:r w:rsidRPr="00BD2EF1">
              <w:rPr>
                <w:rFonts w:eastAsia="Calibri"/>
              </w:rPr>
              <w:t>Storage stability test – low temperature stability test for liquids</w:t>
            </w:r>
          </w:p>
        </w:tc>
        <w:tc>
          <w:tcPr>
            <w:tcW w:w="1414" w:type="dxa"/>
          </w:tcPr>
          <w:p w14:paraId="6802EC6F" w14:textId="77777777" w:rsidR="00854FF9" w:rsidRPr="00BD2EF1" w:rsidRDefault="00854FF9" w:rsidP="00854FF9">
            <w:pPr>
              <w:pStyle w:val="Standaard-Tabellen"/>
              <w:rPr>
                <w:rFonts w:eastAsia="Calibri"/>
              </w:rPr>
            </w:pPr>
            <w:r>
              <w:rPr>
                <w:rFonts w:eastAsia="Calibri"/>
              </w:rPr>
              <w:t xml:space="preserve">CIPAC MT 39.3, </w:t>
            </w:r>
            <w:r w:rsidRPr="00582AB1">
              <w:rPr>
                <w:rFonts w:eastAsia="Calibri"/>
              </w:rPr>
              <w:t>under GLP regulation</w:t>
            </w:r>
            <w:r>
              <w:rPr>
                <w:rFonts w:eastAsia="Calibri"/>
              </w:rPr>
              <w:t xml:space="preserve"> – </w:t>
            </w:r>
            <w:r w:rsidRPr="00C8784F">
              <w:rPr>
                <w:rFonts w:eastAsia="Calibri"/>
              </w:rPr>
              <w:t>Organoleptic</w:t>
            </w:r>
          </w:p>
        </w:tc>
        <w:tc>
          <w:tcPr>
            <w:tcW w:w="1417" w:type="dxa"/>
          </w:tcPr>
          <w:p w14:paraId="53353E3B" w14:textId="77777777" w:rsidR="005E5F5C" w:rsidRPr="005E5F5C" w:rsidRDefault="005E5F5C" w:rsidP="005E5F5C">
            <w:pPr>
              <w:tabs>
                <w:tab w:val="left" w:pos="64"/>
              </w:tabs>
              <w:spacing w:before="0" w:after="0"/>
              <w:rPr>
                <w:rFonts w:eastAsia="Calibri"/>
                <w:bCs/>
                <w:sz w:val="18"/>
                <w:szCs w:val="24"/>
                <w:lang w:eastAsia="en-GB"/>
              </w:rPr>
            </w:pPr>
            <w:r w:rsidRPr="005E5F5C">
              <w:rPr>
                <w:rFonts w:eastAsia="Calibri"/>
                <w:bCs/>
                <w:sz w:val="18"/>
                <w:szCs w:val="24"/>
                <w:lang w:eastAsia="en-GB"/>
              </w:rPr>
              <w:t>Insect Repellent Pump Spray Lice IR3535</w:t>
            </w:r>
            <w:r w:rsidRPr="005E5F5C">
              <w:rPr>
                <w:rFonts w:eastAsia="Calibri"/>
                <w:bCs/>
                <w:sz w:val="18"/>
                <w:szCs w:val="24"/>
                <w:vertAlign w:val="superscript"/>
                <w:lang w:eastAsia="en-GB"/>
              </w:rPr>
              <w:t>®</w:t>
            </w:r>
            <w:r w:rsidRPr="005E5F5C">
              <w:rPr>
                <w:rFonts w:eastAsia="Calibri"/>
                <w:bCs/>
                <w:sz w:val="18"/>
                <w:szCs w:val="24"/>
                <w:lang w:eastAsia="en-GB"/>
              </w:rPr>
              <w:t xml:space="preserve"> 20% without Bitrex</w:t>
            </w:r>
          </w:p>
          <w:p w14:paraId="3CA14A74" w14:textId="536C4A1D" w:rsidR="00854FF9" w:rsidRPr="00BD2EF1" w:rsidRDefault="00854FF9" w:rsidP="00854FF9">
            <w:pPr>
              <w:pStyle w:val="Standaard-Tabellen"/>
              <w:rPr>
                <w:rFonts w:eastAsia="Calibri"/>
              </w:rPr>
            </w:pPr>
          </w:p>
        </w:tc>
        <w:tc>
          <w:tcPr>
            <w:tcW w:w="6799" w:type="dxa"/>
          </w:tcPr>
          <w:p w14:paraId="12B228FF" w14:textId="77777777" w:rsidR="00854FF9" w:rsidRDefault="00854FF9" w:rsidP="00854FF9">
            <w:pPr>
              <w:pStyle w:val="Standaard-Tabellen"/>
              <w:rPr>
                <w:rFonts w:eastAsia="Calibri"/>
              </w:rPr>
            </w:pPr>
            <w:r>
              <w:rPr>
                <w:rFonts w:eastAsia="Calibri"/>
              </w:rPr>
              <w:t>- No change in colour, odour, or clarity.</w:t>
            </w:r>
          </w:p>
          <w:p w14:paraId="57DB84D8" w14:textId="77777777" w:rsidR="00854FF9" w:rsidRDefault="00854FF9" w:rsidP="00854FF9">
            <w:pPr>
              <w:pStyle w:val="Standaard-Tabellen"/>
              <w:rPr>
                <w:rFonts w:eastAsia="Calibri"/>
              </w:rPr>
            </w:pPr>
          </w:p>
          <w:p w14:paraId="1B8433E1" w14:textId="77777777" w:rsidR="00854FF9" w:rsidRDefault="00854FF9" w:rsidP="00854FF9">
            <w:pPr>
              <w:pStyle w:val="Standaard-Tabellen"/>
              <w:rPr>
                <w:rFonts w:eastAsia="Calibri"/>
              </w:rPr>
            </w:pPr>
            <w:r>
              <w:rPr>
                <w:rFonts w:eastAsia="Calibri"/>
              </w:rPr>
              <w:t xml:space="preserve">- </w:t>
            </w:r>
            <w:r w:rsidRPr="00271EE5">
              <w:rPr>
                <w:rFonts w:eastAsia="Calibri"/>
              </w:rPr>
              <w:t xml:space="preserve">No </w:t>
            </w:r>
            <w:r>
              <w:rPr>
                <w:rFonts w:eastAsia="Calibri"/>
              </w:rPr>
              <w:t>p</w:t>
            </w:r>
            <w:r w:rsidRPr="00271EE5">
              <w:rPr>
                <w:rFonts w:eastAsia="Calibri"/>
              </w:rPr>
              <w:t>recipitation or separated material was observed.</w:t>
            </w:r>
          </w:p>
          <w:p w14:paraId="39C6F74F" w14:textId="77777777" w:rsidR="00854FF9" w:rsidRDefault="00854FF9" w:rsidP="00854FF9">
            <w:pPr>
              <w:pStyle w:val="Standaard-Tabellen"/>
              <w:rPr>
                <w:rFonts w:eastAsia="Calibri"/>
              </w:rPr>
            </w:pPr>
          </w:p>
          <w:p w14:paraId="210A70DC" w14:textId="77777777" w:rsidR="00854FF9" w:rsidRPr="00BD2EF1" w:rsidRDefault="00854FF9" w:rsidP="00854FF9">
            <w:pPr>
              <w:pStyle w:val="Standaard-Tabellen"/>
              <w:rPr>
                <w:rFonts w:eastAsia="Calibri"/>
              </w:rPr>
            </w:pPr>
            <w:r>
              <w:rPr>
                <w:rFonts w:eastAsia="Calibri"/>
              </w:rPr>
              <w:t>[7 days at 0±2°C. Packaging: Centrifuge tube – 100 mL]</w:t>
            </w:r>
          </w:p>
        </w:tc>
        <w:tc>
          <w:tcPr>
            <w:tcW w:w="2267" w:type="dxa"/>
          </w:tcPr>
          <w:p w14:paraId="289875A0" w14:textId="77777777" w:rsidR="00854FF9" w:rsidRPr="00F07537" w:rsidRDefault="00854FF9" w:rsidP="00854FF9">
            <w:pPr>
              <w:pStyle w:val="Standaard-Tabellen"/>
              <w:rPr>
                <w:rFonts w:eastAsia="Calibri"/>
              </w:rPr>
            </w:pPr>
            <w:r w:rsidRPr="00F07537">
              <w:rPr>
                <w:rFonts w:eastAsia="Calibri"/>
              </w:rPr>
              <w:t>63173204, Meinerling, M. and Herrmann, S., 2011. Institut für Biologische Analytik und Consulting IBACON GmbH</w:t>
            </w:r>
          </w:p>
        </w:tc>
        <w:tc>
          <w:tcPr>
            <w:tcW w:w="2274" w:type="dxa"/>
          </w:tcPr>
          <w:p w14:paraId="1B46483C" w14:textId="0D26D427" w:rsidR="009B4856" w:rsidRPr="00594307" w:rsidRDefault="009B4856" w:rsidP="009B4856">
            <w:pPr>
              <w:pStyle w:val="Standaard-Tabellen"/>
              <w:rPr>
                <w:rFonts w:eastAsia="Calibri"/>
              </w:rPr>
            </w:pPr>
          </w:p>
        </w:tc>
      </w:tr>
      <w:tr w:rsidR="00854FF9" w:rsidRPr="00BD2EF1" w14:paraId="61B3693A" w14:textId="6930E510" w:rsidTr="00F07537">
        <w:trPr>
          <w:trHeight w:val="730"/>
        </w:trPr>
        <w:tc>
          <w:tcPr>
            <w:tcW w:w="1705" w:type="dxa"/>
          </w:tcPr>
          <w:p w14:paraId="244D63B2" w14:textId="77777777" w:rsidR="00854FF9" w:rsidRPr="00BD2EF1" w:rsidRDefault="00854FF9" w:rsidP="00854FF9">
            <w:pPr>
              <w:pStyle w:val="Standaard-Tabellen"/>
              <w:rPr>
                <w:rFonts w:eastAsia="Calibri"/>
              </w:rPr>
            </w:pPr>
            <w:r w:rsidRPr="00BD2EF1">
              <w:rPr>
                <w:rFonts w:eastAsia="Calibri"/>
              </w:rPr>
              <w:t>Effects on content of the active substance and technical characteristics of the biocidal product - light</w:t>
            </w:r>
          </w:p>
        </w:tc>
        <w:tc>
          <w:tcPr>
            <w:tcW w:w="1414" w:type="dxa"/>
          </w:tcPr>
          <w:p w14:paraId="47F65BA3" w14:textId="77777777" w:rsidR="00854FF9" w:rsidRPr="00BD2EF1" w:rsidRDefault="00854FF9" w:rsidP="00854FF9">
            <w:pPr>
              <w:pStyle w:val="Standaard-Tabellen"/>
              <w:rPr>
                <w:rFonts w:eastAsia="Calibri"/>
              </w:rPr>
            </w:pPr>
            <w:r w:rsidRPr="00F07537">
              <w:rPr>
                <w:rFonts w:eastAsia="Calibri"/>
                <w:lang w:eastAsia="en-US"/>
              </w:rPr>
              <w:t>Waived</w:t>
            </w:r>
          </w:p>
        </w:tc>
        <w:tc>
          <w:tcPr>
            <w:tcW w:w="1417" w:type="dxa"/>
          </w:tcPr>
          <w:p w14:paraId="512649FD" w14:textId="77777777" w:rsidR="00854FF9" w:rsidRPr="00BD2EF1" w:rsidRDefault="00854FF9" w:rsidP="00854FF9">
            <w:pPr>
              <w:pStyle w:val="Standaard-Tabellen"/>
              <w:rPr>
                <w:rFonts w:eastAsia="Calibri"/>
              </w:rPr>
            </w:pPr>
            <w:r>
              <w:rPr>
                <w:rFonts w:eastAsia="Calibri"/>
                <w:lang w:eastAsia="en-US"/>
              </w:rPr>
              <w:t>-</w:t>
            </w:r>
          </w:p>
        </w:tc>
        <w:tc>
          <w:tcPr>
            <w:tcW w:w="6799" w:type="dxa"/>
          </w:tcPr>
          <w:p w14:paraId="44F15D94" w14:textId="77777777" w:rsidR="00854FF9" w:rsidRPr="00BD2EF1" w:rsidRDefault="00854FF9" w:rsidP="00854FF9">
            <w:pPr>
              <w:pStyle w:val="Standaard-Tabellen"/>
              <w:rPr>
                <w:rFonts w:eastAsia="Calibri"/>
              </w:rPr>
            </w:pPr>
            <w:r w:rsidRPr="00DC2C5E">
              <w:rPr>
                <w:rFonts w:eastAsia="Calibri"/>
                <w:lang w:eastAsia="en-US"/>
              </w:rPr>
              <w:t>The product is intended to be placed on the market in lightproof plastic flasks with pump stopper and cap, so that effects of light can be excluded.</w:t>
            </w:r>
          </w:p>
        </w:tc>
        <w:tc>
          <w:tcPr>
            <w:tcW w:w="2267" w:type="dxa"/>
          </w:tcPr>
          <w:p w14:paraId="7A9FDB77" w14:textId="77777777" w:rsidR="00854FF9" w:rsidRPr="00BD2EF1" w:rsidRDefault="00854FF9" w:rsidP="00854FF9">
            <w:pPr>
              <w:pStyle w:val="Standaard-Tabellen"/>
              <w:rPr>
                <w:rFonts w:eastAsia="Calibri"/>
              </w:rPr>
            </w:pPr>
            <w:r>
              <w:rPr>
                <w:rFonts w:eastAsia="Calibri"/>
                <w:lang w:eastAsia="en-US"/>
              </w:rPr>
              <w:t>-</w:t>
            </w:r>
          </w:p>
        </w:tc>
        <w:tc>
          <w:tcPr>
            <w:tcW w:w="2274" w:type="dxa"/>
          </w:tcPr>
          <w:p w14:paraId="6582B338" w14:textId="5C131473" w:rsidR="009B4856" w:rsidRPr="00093760" w:rsidRDefault="009B4856" w:rsidP="009B4856">
            <w:pPr>
              <w:pStyle w:val="Standaard-Tabellen"/>
              <w:rPr>
                <w:rFonts w:eastAsia="Calibri"/>
                <w:lang w:eastAsia="en-US"/>
              </w:rPr>
            </w:pPr>
          </w:p>
        </w:tc>
      </w:tr>
      <w:tr w:rsidR="00854FF9" w:rsidRPr="00BD2EF1" w14:paraId="7A7AB637" w14:textId="74C12141" w:rsidTr="00F07537">
        <w:trPr>
          <w:trHeight w:val="751"/>
        </w:trPr>
        <w:tc>
          <w:tcPr>
            <w:tcW w:w="1705" w:type="dxa"/>
          </w:tcPr>
          <w:p w14:paraId="3AD8BFCB" w14:textId="77777777" w:rsidR="00854FF9" w:rsidRPr="00BD2EF1" w:rsidRDefault="00854FF9" w:rsidP="00854FF9">
            <w:pPr>
              <w:pStyle w:val="Standaard-Tabellen"/>
              <w:rPr>
                <w:rFonts w:eastAsia="Calibri"/>
              </w:rPr>
            </w:pPr>
            <w:r w:rsidRPr="00BD2EF1">
              <w:rPr>
                <w:rFonts w:eastAsia="Calibri"/>
              </w:rPr>
              <w:lastRenderedPageBreak/>
              <w:t>Effects on content of the active substance and technical characteristics of the biocidal product – temperature and humidity</w:t>
            </w:r>
          </w:p>
        </w:tc>
        <w:tc>
          <w:tcPr>
            <w:tcW w:w="1414" w:type="dxa"/>
          </w:tcPr>
          <w:p w14:paraId="2842B3E7" w14:textId="77777777" w:rsidR="00854FF9" w:rsidRPr="00BD2EF1" w:rsidRDefault="00854FF9" w:rsidP="00854FF9">
            <w:pPr>
              <w:pStyle w:val="Standaard-Tabellen"/>
              <w:rPr>
                <w:rFonts w:eastAsia="Calibri"/>
              </w:rPr>
            </w:pPr>
            <w:r w:rsidRPr="00F07537">
              <w:rPr>
                <w:rFonts w:eastAsia="Calibri"/>
                <w:lang w:eastAsia="en-US"/>
              </w:rPr>
              <w:t>Waived</w:t>
            </w:r>
          </w:p>
        </w:tc>
        <w:tc>
          <w:tcPr>
            <w:tcW w:w="1417" w:type="dxa"/>
          </w:tcPr>
          <w:p w14:paraId="21FC60A3" w14:textId="77777777" w:rsidR="00854FF9" w:rsidRPr="00BD2EF1" w:rsidRDefault="00854FF9" w:rsidP="00854FF9">
            <w:pPr>
              <w:pStyle w:val="Standaard-Tabellen"/>
              <w:rPr>
                <w:rFonts w:eastAsia="Calibri"/>
              </w:rPr>
            </w:pPr>
            <w:r>
              <w:rPr>
                <w:rFonts w:eastAsia="Calibri"/>
              </w:rPr>
              <w:t>-</w:t>
            </w:r>
          </w:p>
        </w:tc>
        <w:tc>
          <w:tcPr>
            <w:tcW w:w="6799" w:type="dxa"/>
          </w:tcPr>
          <w:p w14:paraId="6A141E23" w14:textId="77777777" w:rsidR="00854FF9" w:rsidRDefault="00854FF9" w:rsidP="00854FF9">
            <w:pPr>
              <w:pStyle w:val="Standaard-Tabellen"/>
              <w:rPr>
                <w:rFonts w:eastAsia="Calibri"/>
                <w:lang w:eastAsia="en-US"/>
              </w:rPr>
            </w:pPr>
            <w:r>
              <w:rPr>
                <w:rFonts w:eastAsia="Calibri"/>
                <w:lang w:eastAsia="en-US"/>
              </w:rPr>
              <w:t xml:space="preserve">- </w:t>
            </w:r>
            <w:r w:rsidRPr="00DC2C5E">
              <w:rPr>
                <w:rFonts w:eastAsia="Calibri"/>
                <w:lang w:eastAsia="en-US"/>
              </w:rPr>
              <w:t xml:space="preserve">Since the product is tightly closed there </w:t>
            </w:r>
            <w:r>
              <w:rPr>
                <w:rFonts w:eastAsia="Calibri"/>
                <w:lang w:eastAsia="en-US"/>
              </w:rPr>
              <w:t>are no effects due to humidity.</w:t>
            </w:r>
          </w:p>
          <w:p w14:paraId="20D50526" w14:textId="77777777" w:rsidR="00854FF9" w:rsidRDefault="00854FF9" w:rsidP="00854FF9">
            <w:pPr>
              <w:pStyle w:val="Standaard-Tabellen"/>
              <w:rPr>
                <w:rFonts w:eastAsia="Calibri"/>
                <w:lang w:eastAsia="en-US"/>
              </w:rPr>
            </w:pPr>
          </w:p>
          <w:p w14:paraId="273353E1" w14:textId="77777777" w:rsidR="00854FF9" w:rsidRPr="00BD2EF1" w:rsidRDefault="00854FF9" w:rsidP="00854FF9">
            <w:pPr>
              <w:pStyle w:val="Standaard-Tabellen"/>
              <w:rPr>
                <w:rFonts w:eastAsia="Calibri"/>
              </w:rPr>
            </w:pPr>
            <w:r>
              <w:rPr>
                <w:rFonts w:eastAsia="Calibri"/>
                <w:lang w:eastAsia="en-US"/>
              </w:rPr>
              <w:t xml:space="preserve">- </w:t>
            </w:r>
            <w:r w:rsidRPr="00DC2C5E">
              <w:rPr>
                <w:rFonts w:eastAsia="Calibri"/>
                <w:lang w:eastAsia="en-US"/>
              </w:rPr>
              <w:t>Effects of temperature have been studied</w:t>
            </w:r>
            <w:r>
              <w:rPr>
                <w:rFonts w:eastAsia="Calibri"/>
                <w:lang w:eastAsia="en-US"/>
              </w:rPr>
              <w:t xml:space="preserve"> </w:t>
            </w:r>
            <w:r w:rsidRPr="00F714BC">
              <w:rPr>
                <w:rFonts w:eastAsia="Calibri"/>
              </w:rPr>
              <w:t xml:space="preserve">during the </w:t>
            </w:r>
            <w:r>
              <w:rPr>
                <w:rFonts w:eastAsia="Calibri"/>
              </w:rPr>
              <w:t>s</w:t>
            </w:r>
            <w:r w:rsidRPr="00F714BC">
              <w:rPr>
                <w:rFonts w:eastAsia="Calibri"/>
              </w:rPr>
              <w:t>torage stability test</w:t>
            </w:r>
            <w:r>
              <w:rPr>
                <w:rFonts w:eastAsia="Calibri"/>
              </w:rPr>
              <w:t xml:space="preserve">s </w:t>
            </w:r>
            <w:r>
              <w:rPr>
                <w:rFonts w:eastAsia="Calibri"/>
                <w:lang w:eastAsia="en-US"/>
              </w:rPr>
              <w:t>(see above)</w:t>
            </w:r>
            <w:r w:rsidRPr="00DC2C5E">
              <w:rPr>
                <w:rFonts w:eastAsia="Calibri"/>
                <w:lang w:eastAsia="en-US"/>
              </w:rPr>
              <w:t>. The product should not be stored for prolonged times at temperatures &gt;40°C.</w:t>
            </w:r>
          </w:p>
        </w:tc>
        <w:tc>
          <w:tcPr>
            <w:tcW w:w="2267" w:type="dxa"/>
          </w:tcPr>
          <w:p w14:paraId="7725A6BE" w14:textId="77777777" w:rsidR="00854FF9" w:rsidRPr="00BD2EF1" w:rsidRDefault="00854FF9" w:rsidP="00854FF9">
            <w:pPr>
              <w:pStyle w:val="Standaard-Tabellen"/>
              <w:rPr>
                <w:rFonts w:eastAsia="Calibri"/>
              </w:rPr>
            </w:pPr>
            <w:r>
              <w:rPr>
                <w:rFonts w:eastAsia="Calibri"/>
              </w:rPr>
              <w:t>-</w:t>
            </w:r>
          </w:p>
        </w:tc>
        <w:tc>
          <w:tcPr>
            <w:tcW w:w="2274" w:type="dxa"/>
          </w:tcPr>
          <w:p w14:paraId="5C1A064B" w14:textId="2AC63780" w:rsidR="009B4856" w:rsidRPr="00093760" w:rsidRDefault="009B4856" w:rsidP="009B4856">
            <w:pPr>
              <w:pStyle w:val="Standaard-Tabellen"/>
              <w:rPr>
                <w:rFonts w:eastAsia="Calibri"/>
              </w:rPr>
            </w:pPr>
          </w:p>
        </w:tc>
      </w:tr>
      <w:tr w:rsidR="00854FF9" w:rsidRPr="0089119C" w14:paraId="3C6B317E" w14:textId="3F35E7DA" w:rsidTr="00F07537">
        <w:trPr>
          <w:trHeight w:val="142"/>
        </w:trPr>
        <w:tc>
          <w:tcPr>
            <w:tcW w:w="1705" w:type="dxa"/>
          </w:tcPr>
          <w:p w14:paraId="50AD4B19" w14:textId="77777777" w:rsidR="00854FF9" w:rsidRPr="00BD2EF1" w:rsidRDefault="00854FF9" w:rsidP="00854FF9">
            <w:pPr>
              <w:pStyle w:val="Standaard-Tabellen"/>
              <w:rPr>
                <w:rFonts w:eastAsia="Calibri"/>
              </w:rPr>
            </w:pPr>
            <w:r w:rsidRPr="00BD2EF1">
              <w:rPr>
                <w:rFonts w:eastAsia="Calibri"/>
              </w:rPr>
              <w:t>Effects on content of the active substance and technical characteristics of the biocidal product - reactivity towards container material</w:t>
            </w:r>
          </w:p>
        </w:tc>
        <w:tc>
          <w:tcPr>
            <w:tcW w:w="1414" w:type="dxa"/>
          </w:tcPr>
          <w:p w14:paraId="2326E64F" w14:textId="77777777" w:rsidR="00854FF9" w:rsidRDefault="00854FF9" w:rsidP="00854FF9">
            <w:pPr>
              <w:pStyle w:val="Standaard-Tabellen"/>
              <w:rPr>
                <w:rFonts w:eastAsia="Calibri"/>
                <w:lang w:eastAsia="en-US"/>
              </w:rPr>
            </w:pPr>
            <w:r w:rsidRPr="00F714BC">
              <w:rPr>
                <w:rFonts w:eastAsia="Calibri"/>
                <w:lang w:eastAsia="en-US"/>
              </w:rPr>
              <w:t xml:space="preserve">OPPTS 830.6319, under GLP regulation </w:t>
            </w:r>
          </w:p>
          <w:p w14:paraId="265E3194" w14:textId="77777777" w:rsidR="00854FF9" w:rsidRPr="00F714BC" w:rsidRDefault="00854FF9" w:rsidP="00854FF9">
            <w:pPr>
              <w:pStyle w:val="Standaard-Tabellen"/>
              <w:rPr>
                <w:rFonts w:eastAsia="Calibri"/>
                <w:lang w:eastAsia="en-US"/>
              </w:rPr>
            </w:pPr>
          </w:p>
          <w:p w14:paraId="06A0BC2F" w14:textId="77777777" w:rsidR="00854FF9" w:rsidRPr="00BD2EF1" w:rsidRDefault="00854FF9" w:rsidP="00854FF9">
            <w:pPr>
              <w:pStyle w:val="Standaard-Tabellen"/>
              <w:rPr>
                <w:rFonts w:eastAsia="Calibri"/>
              </w:rPr>
            </w:pPr>
            <w:r w:rsidRPr="00F714BC">
              <w:rPr>
                <w:rFonts w:eastAsia="Calibri"/>
                <w:lang w:eastAsia="en-US"/>
              </w:rPr>
              <w:t>CIPAC MT 46.3, under GLP regulation</w:t>
            </w:r>
          </w:p>
        </w:tc>
        <w:tc>
          <w:tcPr>
            <w:tcW w:w="1417" w:type="dxa"/>
          </w:tcPr>
          <w:p w14:paraId="5F5FFA24" w14:textId="77777777" w:rsidR="00854FF9" w:rsidRPr="00BD2EF1" w:rsidRDefault="00854FF9" w:rsidP="00854FF9">
            <w:pPr>
              <w:pStyle w:val="Standaard-Tabellen"/>
              <w:rPr>
                <w:rFonts w:eastAsia="Calibri"/>
              </w:rPr>
            </w:pPr>
            <w:r>
              <w:rPr>
                <w:rFonts w:eastAsia="Calibri"/>
              </w:rPr>
              <w:t xml:space="preserve">(Refer to the sections on </w:t>
            </w:r>
            <w:r w:rsidRPr="00F714BC">
              <w:rPr>
                <w:rFonts w:eastAsia="Calibri"/>
              </w:rPr>
              <w:t xml:space="preserve">the </w:t>
            </w:r>
            <w:r>
              <w:rPr>
                <w:rFonts w:eastAsia="Calibri"/>
              </w:rPr>
              <w:t>s</w:t>
            </w:r>
            <w:r w:rsidRPr="00F714BC">
              <w:rPr>
                <w:rFonts w:eastAsia="Calibri"/>
              </w:rPr>
              <w:t>torage stability test</w:t>
            </w:r>
            <w:r>
              <w:rPr>
                <w:rFonts w:eastAsia="Calibri"/>
              </w:rPr>
              <w:t>s)</w:t>
            </w:r>
          </w:p>
        </w:tc>
        <w:tc>
          <w:tcPr>
            <w:tcW w:w="6799" w:type="dxa"/>
          </w:tcPr>
          <w:p w14:paraId="000C1139" w14:textId="77777777" w:rsidR="00854FF9" w:rsidRPr="00BD2EF1" w:rsidRDefault="00854FF9" w:rsidP="00854FF9">
            <w:pPr>
              <w:pStyle w:val="Standaard-Tabellen"/>
              <w:rPr>
                <w:rFonts w:eastAsia="Calibri"/>
              </w:rPr>
            </w:pPr>
            <w:r w:rsidRPr="00F714BC">
              <w:rPr>
                <w:rFonts w:eastAsia="Calibri"/>
              </w:rPr>
              <w:t xml:space="preserve">Interaction with primary packaging is monitored during the </w:t>
            </w:r>
            <w:r>
              <w:rPr>
                <w:rFonts w:eastAsia="Calibri"/>
              </w:rPr>
              <w:t>s</w:t>
            </w:r>
            <w:r w:rsidRPr="00F714BC">
              <w:rPr>
                <w:rFonts w:eastAsia="Calibri"/>
              </w:rPr>
              <w:t>torage stability test</w:t>
            </w:r>
            <w:r>
              <w:rPr>
                <w:rFonts w:eastAsia="Calibri"/>
              </w:rPr>
              <w:t>s (see above)</w:t>
            </w:r>
          </w:p>
        </w:tc>
        <w:tc>
          <w:tcPr>
            <w:tcW w:w="2267" w:type="dxa"/>
          </w:tcPr>
          <w:p w14:paraId="69FD5886" w14:textId="77777777" w:rsidR="00854FF9" w:rsidRPr="00F07537" w:rsidRDefault="00854FF9" w:rsidP="00854FF9">
            <w:pPr>
              <w:pStyle w:val="Standaard-Tabellen"/>
              <w:rPr>
                <w:rFonts w:eastAsia="Calibri"/>
              </w:rPr>
            </w:pPr>
            <w:r w:rsidRPr="00F07537">
              <w:rPr>
                <w:rFonts w:eastAsia="Calibri"/>
              </w:rPr>
              <w:t>31232204, Meinerling, M., 2009. Institut für Biologische Analytik und Consulting IBACON GmbH</w:t>
            </w:r>
          </w:p>
          <w:p w14:paraId="3739FBF3" w14:textId="77777777" w:rsidR="00854FF9" w:rsidRPr="00F07537" w:rsidRDefault="00854FF9" w:rsidP="00854FF9">
            <w:pPr>
              <w:pStyle w:val="Standaard-Tabellen"/>
              <w:rPr>
                <w:rFonts w:eastAsia="Calibri"/>
              </w:rPr>
            </w:pPr>
          </w:p>
          <w:p w14:paraId="468376A3" w14:textId="77777777" w:rsidR="00854FF9" w:rsidRPr="00F07537" w:rsidRDefault="00854FF9" w:rsidP="00854FF9">
            <w:pPr>
              <w:pStyle w:val="Standaard-Tabellen"/>
              <w:rPr>
                <w:rFonts w:eastAsia="Calibri"/>
              </w:rPr>
            </w:pPr>
            <w:r w:rsidRPr="00F07537">
              <w:rPr>
                <w:rFonts w:eastAsia="Calibri"/>
              </w:rPr>
              <w:t>63172204, Meinerling, M. and Herrmann, S., 2011. Institut für Biologische Analytik und Consulting IBACON GmbH</w:t>
            </w:r>
          </w:p>
        </w:tc>
        <w:tc>
          <w:tcPr>
            <w:tcW w:w="2274" w:type="dxa"/>
          </w:tcPr>
          <w:p w14:paraId="31C43D79" w14:textId="4357C198" w:rsidR="009B4856" w:rsidRPr="00594307" w:rsidRDefault="009B4856" w:rsidP="009B4856">
            <w:pPr>
              <w:pStyle w:val="Standaard-Tabellen"/>
              <w:rPr>
                <w:rFonts w:eastAsia="Calibri"/>
              </w:rPr>
            </w:pPr>
          </w:p>
        </w:tc>
      </w:tr>
      <w:tr w:rsidR="00854FF9" w:rsidRPr="00BD2EF1" w14:paraId="5B6BF074" w14:textId="20634C2B" w:rsidTr="00F07537">
        <w:trPr>
          <w:trHeight w:val="201"/>
        </w:trPr>
        <w:tc>
          <w:tcPr>
            <w:tcW w:w="1705" w:type="dxa"/>
          </w:tcPr>
          <w:p w14:paraId="77568649" w14:textId="77777777" w:rsidR="00854FF9" w:rsidRPr="00BD2EF1" w:rsidRDefault="00854FF9" w:rsidP="00854FF9">
            <w:pPr>
              <w:pStyle w:val="Standaard-Tabellen"/>
              <w:rPr>
                <w:rFonts w:eastAsia="Calibri"/>
              </w:rPr>
            </w:pPr>
            <w:r w:rsidRPr="00BD2EF1">
              <w:rPr>
                <w:rFonts w:eastAsia="Calibri"/>
              </w:rPr>
              <w:t>Wettability</w:t>
            </w:r>
          </w:p>
        </w:tc>
        <w:tc>
          <w:tcPr>
            <w:tcW w:w="1414" w:type="dxa"/>
          </w:tcPr>
          <w:p w14:paraId="4D6AA4B7" w14:textId="77777777" w:rsidR="00854FF9" w:rsidRPr="00BD2EF1" w:rsidRDefault="00854FF9" w:rsidP="00854FF9">
            <w:pPr>
              <w:pStyle w:val="Standaard-Tabellen"/>
              <w:rPr>
                <w:rFonts w:eastAsia="Calibri"/>
              </w:rPr>
            </w:pPr>
            <w:r w:rsidRPr="00F07537">
              <w:rPr>
                <w:rFonts w:eastAsia="Calibri"/>
                <w:lang w:eastAsia="en-US"/>
              </w:rPr>
              <w:t>Waived</w:t>
            </w:r>
          </w:p>
        </w:tc>
        <w:tc>
          <w:tcPr>
            <w:tcW w:w="1417" w:type="dxa"/>
          </w:tcPr>
          <w:p w14:paraId="0F3DE69C" w14:textId="77777777" w:rsidR="00854FF9" w:rsidRPr="00BD2EF1" w:rsidRDefault="00854FF9" w:rsidP="00854FF9">
            <w:pPr>
              <w:pStyle w:val="Standaard-Tabellen"/>
              <w:rPr>
                <w:rFonts w:eastAsia="Calibri"/>
              </w:rPr>
            </w:pPr>
            <w:r>
              <w:rPr>
                <w:rFonts w:eastAsia="Calibri"/>
              </w:rPr>
              <w:t>-</w:t>
            </w:r>
          </w:p>
        </w:tc>
        <w:tc>
          <w:tcPr>
            <w:tcW w:w="6799" w:type="dxa"/>
          </w:tcPr>
          <w:p w14:paraId="54C4B840" w14:textId="77777777" w:rsidR="00854FF9" w:rsidRPr="00BD2EF1" w:rsidRDefault="00854FF9" w:rsidP="00854FF9">
            <w:pPr>
              <w:pStyle w:val="Standaard-Tabellen"/>
              <w:rPr>
                <w:rFonts w:eastAsia="Calibri"/>
              </w:rPr>
            </w:pPr>
            <w:r w:rsidRPr="00733D03">
              <w:rPr>
                <w:rFonts w:eastAsia="Calibri"/>
              </w:rPr>
              <w:t xml:space="preserve">Not applicable since biocidal product is not </w:t>
            </w:r>
            <w:r>
              <w:rPr>
                <w:rFonts w:eastAsia="Calibri"/>
              </w:rPr>
              <w:t xml:space="preserve">a </w:t>
            </w:r>
            <w:r w:rsidRPr="008C338A">
              <w:rPr>
                <w:rFonts w:eastAsia="Calibri"/>
              </w:rPr>
              <w:t>solid preparations to be dispersed in water</w:t>
            </w:r>
            <w:r w:rsidRPr="00733D03">
              <w:rPr>
                <w:rFonts w:eastAsia="Calibri"/>
              </w:rPr>
              <w:t>.</w:t>
            </w:r>
          </w:p>
        </w:tc>
        <w:tc>
          <w:tcPr>
            <w:tcW w:w="2267" w:type="dxa"/>
          </w:tcPr>
          <w:p w14:paraId="19DD5754" w14:textId="77777777" w:rsidR="00854FF9" w:rsidRPr="00BD2EF1" w:rsidRDefault="00854FF9" w:rsidP="00854FF9">
            <w:pPr>
              <w:pStyle w:val="Standaard-Tabellen"/>
              <w:rPr>
                <w:rFonts w:eastAsia="Calibri"/>
              </w:rPr>
            </w:pPr>
            <w:r>
              <w:rPr>
                <w:rFonts w:eastAsia="Calibri"/>
              </w:rPr>
              <w:t>-</w:t>
            </w:r>
          </w:p>
        </w:tc>
        <w:tc>
          <w:tcPr>
            <w:tcW w:w="2274" w:type="dxa"/>
          </w:tcPr>
          <w:p w14:paraId="0D0FD6CC" w14:textId="5158CCC0" w:rsidR="009B4856" w:rsidRPr="00093760" w:rsidRDefault="009B4856" w:rsidP="009B4856">
            <w:pPr>
              <w:pStyle w:val="Standaard-Tabellen"/>
              <w:rPr>
                <w:rFonts w:eastAsia="Calibri"/>
              </w:rPr>
            </w:pPr>
          </w:p>
        </w:tc>
      </w:tr>
      <w:tr w:rsidR="00854FF9" w:rsidRPr="00BD2EF1" w14:paraId="210E0693" w14:textId="0FBF623C" w:rsidTr="00F07537">
        <w:trPr>
          <w:trHeight w:val="70"/>
        </w:trPr>
        <w:tc>
          <w:tcPr>
            <w:tcW w:w="1705" w:type="dxa"/>
          </w:tcPr>
          <w:p w14:paraId="56F48228" w14:textId="77777777" w:rsidR="00854FF9" w:rsidRPr="00BD2EF1" w:rsidRDefault="00854FF9" w:rsidP="00854FF9">
            <w:pPr>
              <w:pStyle w:val="Standaard-Tabellen"/>
              <w:rPr>
                <w:rFonts w:eastAsia="Calibri"/>
              </w:rPr>
            </w:pPr>
            <w:r w:rsidRPr="00BD2EF1">
              <w:rPr>
                <w:rFonts w:eastAsia="Calibri"/>
              </w:rPr>
              <w:t>Suspensibility, spontaneity and dispersion stability</w:t>
            </w:r>
          </w:p>
        </w:tc>
        <w:tc>
          <w:tcPr>
            <w:tcW w:w="1414" w:type="dxa"/>
          </w:tcPr>
          <w:p w14:paraId="7D322792" w14:textId="77777777" w:rsidR="00854FF9" w:rsidRPr="00BD2EF1" w:rsidRDefault="00854FF9" w:rsidP="00854FF9">
            <w:pPr>
              <w:pStyle w:val="Standaard-Tabellen"/>
              <w:rPr>
                <w:rFonts w:eastAsia="Calibri"/>
              </w:rPr>
            </w:pPr>
            <w:r w:rsidRPr="00F07537">
              <w:rPr>
                <w:rFonts w:eastAsia="Calibri"/>
                <w:lang w:eastAsia="en-US"/>
              </w:rPr>
              <w:t>Waived</w:t>
            </w:r>
          </w:p>
        </w:tc>
        <w:tc>
          <w:tcPr>
            <w:tcW w:w="1417" w:type="dxa"/>
          </w:tcPr>
          <w:p w14:paraId="08251397" w14:textId="77777777" w:rsidR="00854FF9" w:rsidRPr="00BD2EF1" w:rsidRDefault="00854FF9" w:rsidP="00854FF9">
            <w:pPr>
              <w:pStyle w:val="Standaard-Tabellen"/>
              <w:rPr>
                <w:rFonts w:eastAsia="Calibri"/>
              </w:rPr>
            </w:pPr>
            <w:r>
              <w:rPr>
                <w:rFonts w:eastAsia="Calibri"/>
              </w:rPr>
              <w:t>-</w:t>
            </w:r>
          </w:p>
        </w:tc>
        <w:tc>
          <w:tcPr>
            <w:tcW w:w="6799" w:type="dxa"/>
          </w:tcPr>
          <w:p w14:paraId="116D2B99" w14:textId="77777777" w:rsidR="00854FF9" w:rsidRPr="00BD2EF1" w:rsidRDefault="00854FF9" w:rsidP="00854FF9">
            <w:pPr>
              <w:pStyle w:val="Standaard-Tabellen"/>
              <w:rPr>
                <w:rFonts w:eastAsia="Calibri"/>
              </w:rPr>
            </w:pPr>
            <w:r w:rsidRPr="00C34EB6">
              <w:rPr>
                <w:rFonts w:eastAsia="Calibri"/>
              </w:rPr>
              <w:t xml:space="preserve">Not applicable since biocidal product does not need to be </w:t>
            </w:r>
            <w:r>
              <w:rPr>
                <w:rFonts w:eastAsia="Calibri"/>
              </w:rPr>
              <w:t>diluted.</w:t>
            </w:r>
          </w:p>
        </w:tc>
        <w:tc>
          <w:tcPr>
            <w:tcW w:w="2267" w:type="dxa"/>
          </w:tcPr>
          <w:p w14:paraId="242E58B6" w14:textId="77777777" w:rsidR="00854FF9" w:rsidRPr="00BD2EF1" w:rsidRDefault="00854FF9" w:rsidP="00854FF9">
            <w:pPr>
              <w:pStyle w:val="Standaard-Tabellen"/>
              <w:rPr>
                <w:rFonts w:eastAsia="Calibri"/>
              </w:rPr>
            </w:pPr>
            <w:r>
              <w:rPr>
                <w:rFonts w:eastAsia="Calibri"/>
              </w:rPr>
              <w:t>-</w:t>
            </w:r>
          </w:p>
        </w:tc>
        <w:tc>
          <w:tcPr>
            <w:tcW w:w="2274" w:type="dxa"/>
          </w:tcPr>
          <w:p w14:paraId="275F3B10" w14:textId="58289AFB" w:rsidR="009B4856" w:rsidRPr="00093760" w:rsidRDefault="009B4856" w:rsidP="009B4856">
            <w:pPr>
              <w:pStyle w:val="Standaard-Tabellen"/>
              <w:rPr>
                <w:rFonts w:eastAsia="Calibri"/>
              </w:rPr>
            </w:pPr>
          </w:p>
        </w:tc>
      </w:tr>
      <w:tr w:rsidR="00854FF9" w:rsidRPr="00BD2EF1" w14:paraId="7D254B55" w14:textId="769F7DFE" w:rsidTr="00F07537">
        <w:trPr>
          <w:trHeight w:val="222"/>
        </w:trPr>
        <w:tc>
          <w:tcPr>
            <w:tcW w:w="1705" w:type="dxa"/>
          </w:tcPr>
          <w:p w14:paraId="321F01AE" w14:textId="77777777" w:rsidR="00854FF9" w:rsidRPr="00BD2EF1" w:rsidRDefault="00854FF9" w:rsidP="00854FF9">
            <w:pPr>
              <w:pStyle w:val="Standaard-Tabellen"/>
              <w:rPr>
                <w:rFonts w:eastAsia="Calibri"/>
              </w:rPr>
            </w:pPr>
            <w:r w:rsidRPr="00BD2EF1">
              <w:rPr>
                <w:rFonts w:eastAsia="Calibri"/>
              </w:rPr>
              <w:t>Wet sieve analysis and dry sieve test</w:t>
            </w:r>
          </w:p>
        </w:tc>
        <w:tc>
          <w:tcPr>
            <w:tcW w:w="1414" w:type="dxa"/>
          </w:tcPr>
          <w:p w14:paraId="6A90469A" w14:textId="77777777" w:rsidR="00854FF9" w:rsidRPr="00BD2EF1" w:rsidRDefault="00854FF9" w:rsidP="00854FF9">
            <w:pPr>
              <w:pStyle w:val="Standaard-Tabellen"/>
              <w:rPr>
                <w:rFonts w:eastAsia="Calibri"/>
              </w:rPr>
            </w:pPr>
            <w:r w:rsidRPr="00F07537">
              <w:rPr>
                <w:rFonts w:eastAsia="Calibri"/>
                <w:lang w:eastAsia="en-US"/>
              </w:rPr>
              <w:t>Waived</w:t>
            </w:r>
          </w:p>
        </w:tc>
        <w:tc>
          <w:tcPr>
            <w:tcW w:w="1417" w:type="dxa"/>
          </w:tcPr>
          <w:p w14:paraId="3BF16C58" w14:textId="77777777" w:rsidR="00854FF9" w:rsidRPr="00BD2EF1" w:rsidRDefault="00854FF9" w:rsidP="00854FF9">
            <w:pPr>
              <w:pStyle w:val="Standaard-Tabellen"/>
              <w:rPr>
                <w:rFonts w:eastAsia="Calibri"/>
              </w:rPr>
            </w:pPr>
            <w:r>
              <w:rPr>
                <w:rFonts w:eastAsia="Calibri"/>
              </w:rPr>
              <w:t>-</w:t>
            </w:r>
          </w:p>
        </w:tc>
        <w:tc>
          <w:tcPr>
            <w:tcW w:w="6799" w:type="dxa"/>
          </w:tcPr>
          <w:p w14:paraId="37D6431C" w14:textId="77777777" w:rsidR="00854FF9" w:rsidRPr="00BD2EF1" w:rsidRDefault="00854FF9" w:rsidP="00854FF9">
            <w:pPr>
              <w:pStyle w:val="Standaard-Tabellen"/>
              <w:rPr>
                <w:rFonts w:eastAsia="Calibri"/>
              </w:rPr>
            </w:pPr>
            <w:r w:rsidRPr="00C34EB6">
              <w:rPr>
                <w:rFonts w:eastAsia="Calibri"/>
              </w:rPr>
              <w:t xml:space="preserve">Not applicable since biocidal product </w:t>
            </w:r>
            <w:r>
              <w:rPr>
                <w:rFonts w:eastAsia="Calibri"/>
              </w:rPr>
              <w:t>is a ready to use liquid.</w:t>
            </w:r>
          </w:p>
        </w:tc>
        <w:tc>
          <w:tcPr>
            <w:tcW w:w="2267" w:type="dxa"/>
          </w:tcPr>
          <w:p w14:paraId="31D96C87" w14:textId="77777777" w:rsidR="00854FF9" w:rsidRPr="00BD2EF1" w:rsidRDefault="00854FF9" w:rsidP="00854FF9">
            <w:pPr>
              <w:pStyle w:val="Standaard-Tabellen"/>
              <w:rPr>
                <w:rFonts w:eastAsia="Calibri"/>
              </w:rPr>
            </w:pPr>
            <w:r>
              <w:rPr>
                <w:rFonts w:eastAsia="Calibri"/>
              </w:rPr>
              <w:t>-</w:t>
            </w:r>
          </w:p>
        </w:tc>
        <w:tc>
          <w:tcPr>
            <w:tcW w:w="2274" w:type="dxa"/>
          </w:tcPr>
          <w:p w14:paraId="59AEDCCE" w14:textId="5EF9A936" w:rsidR="009B4856" w:rsidRPr="00093760" w:rsidRDefault="009B4856" w:rsidP="009B4856">
            <w:pPr>
              <w:pStyle w:val="Standaard-Tabellen"/>
              <w:rPr>
                <w:rFonts w:eastAsia="Calibri"/>
              </w:rPr>
            </w:pPr>
          </w:p>
        </w:tc>
      </w:tr>
      <w:tr w:rsidR="00854FF9" w:rsidRPr="00BD2EF1" w14:paraId="3F9A02E3" w14:textId="1182FBC5" w:rsidTr="00F07537">
        <w:trPr>
          <w:trHeight w:val="147"/>
        </w:trPr>
        <w:tc>
          <w:tcPr>
            <w:tcW w:w="1705" w:type="dxa"/>
          </w:tcPr>
          <w:p w14:paraId="1AC80959" w14:textId="77777777" w:rsidR="00854FF9" w:rsidRPr="00BD2EF1" w:rsidRDefault="00854FF9" w:rsidP="00854FF9">
            <w:pPr>
              <w:pStyle w:val="Standaard-Tabellen"/>
              <w:rPr>
                <w:rFonts w:eastAsia="Calibri"/>
              </w:rPr>
            </w:pPr>
            <w:r w:rsidRPr="00BD2EF1">
              <w:rPr>
                <w:rFonts w:eastAsia="Calibri"/>
              </w:rPr>
              <w:t>Emulsifiability, re-emulsifiability and emulsion stability</w:t>
            </w:r>
          </w:p>
        </w:tc>
        <w:tc>
          <w:tcPr>
            <w:tcW w:w="1414" w:type="dxa"/>
          </w:tcPr>
          <w:p w14:paraId="071B4C6A" w14:textId="77777777" w:rsidR="00854FF9" w:rsidRPr="00BD2EF1" w:rsidRDefault="00854FF9" w:rsidP="00854FF9">
            <w:pPr>
              <w:pStyle w:val="Standaard-Tabellen"/>
              <w:rPr>
                <w:rFonts w:eastAsia="Calibri"/>
              </w:rPr>
            </w:pPr>
            <w:r w:rsidRPr="00F07537">
              <w:rPr>
                <w:rFonts w:eastAsia="Calibri"/>
                <w:lang w:eastAsia="en-US"/>
              </w:rPr>
              <w:t>Waived</w:t>
            </w:r>
          </w:p>
        </w:tc>
        <w:tc>
          <w:tcPr>
            <w:tcW w:w="1417" w:type="dxa"/>
          </w:tcPr>
          <w:p w14:paraId="3D4F3103" w14:textId="77777777" w:rsidR="00854FF9" w:rsidRPr="00BD2EF1" w:rsidRDefault="00854FF9" w:rsidP="00854FF9">
            <w:pPr>
              <w:pStyle w:val="Standaard-Tabellen"/>
              <w:rPr>
                <w:rFonts w:eastAsia="Calibri"/>
              </w:rPr>
            </w:pPr>
            <w:r>
              <w:rPr>
                <w:rFonts w:eastAsia="Calibri"/>
              </w:rPr>
              <w:t>-</w:t>
            </w:r>
          </w:p>
        </w:tc>
        <w:tc>
          <w:tcPr>
            <w:tcW w:w="6799" w:type="dxa"/>
          </w:tcPr>
          <w:p w14:paraId="221803E7" w14:textId="77777777" w:rsidR="00854FF9" w:rsidRPr="00BD2EF1" w:rsidRDefault="00854FF9" w:rsidP="00854FF9">
            <w:pPr>
              <w:pStyle w:val="Standaard-Tabellen"/>
              <w:rPr>
                <w:rFonts w:eastAsia="Calibri"/>
              </w:rPr>
            </w:pPr>
            <w:r w:rsidRPr="00C34EB6">
              <w:rPr>
                <w:rFonts w:eastAsia="Calibri"/>
              </w:rPr>
              <w:t>Not applicable since biocidal product does not need to be emulsified.</w:t>
            </w:r>
          </w:p>
        </w:tc>
        <w:tc>
          <w:tcPr>
            <w:tcW w:w="2267" w:type="dxa"/>
          </w:tcPr>
          <w:p w14:paraId="0E5A7728" w14:textId="77777777" w:rsidR="00854FF9" w:rsidRPr="00BD2EF1" w:rsidRDefault="00854FF9" w:rsidP="00854FF9">
            <w:pPr>
              <w:pStyle w:val="Standaard-Tabellen"/>
              <w:rPr>
                <w:rFonts w:eastAsia="Calibri"/>
              </w:rPr>
            </w:pPr>
            <w:r>
              <w:rPr>
                <w:rFonts w:eastAsia="Calibri"/>
              </w:rPr>
              <w:t>-</w:t>
            </w:r>
          </w:p>
        </w:tc>
        <w:tc>
          <w:tcPr>
            <w:tcW w:w="2274" w:type="dxa"/>
          </w:tcPr>
          <w:p w14:paraId="7B7DF354" w14:textId="3A41B435" w:rsidR="009B4856" w:rsidRPr="00093760" w:rsidRDefault="009B4856" w:rsidP="009B4856">
            <w:pPr>
              <w:pStyle w:val="Standaard-Tabellen"/>
              <w:rPr>
                <w:rFonts w:eastAsia="Calibri"/>
              </w:rPr>
            </w:pPr>
          </w:p>
        </w:tc>
      </w:tr>
      <w:tr w:rsidR="00854FF9" w:rsidRPr="00BD2EF1" w14:paraId="1021FA8C" w14:textId="322581F4" w:rsidTr="00F07537">
        <w:trPr>
          <w:trHeight w:val="103"/>
        </w:trPr>
        <w:tc>
          <w:tcPr>
            <w:tcW w:w="1705" w:type="dxa"/>
          </w:tcPr>
          <w:p w14:paraId="126D91A3" w14:textId="77777777" w:rsidR="00854FF9" w:rsidRPr="00BD2EF1" w:rsidRDefault="00854FF9" w:rsidP="00854FF9">
            <w:pPr>
              <w:pStyle w:val="Standaard-Tabellen"/>
              <w:rPr>
                <w:rFonts w:eastAsia="Calibri"/>
              </w:rPr>
            </w:pPr>
            <w:r w:rsidRPr="00BD2EF1">
              <w:rPr>
                <w:rFonts w:eastAsia="Calibri"/>
              </w:rPr>
              <w:t>Disintegration time</w:t>
            </w:r>
          </w:p>
        </w:tc>
        <w:tc>
          <w:tcPr>
            <w:tcW w:w="1414" w:type="dxa"/>
          </w:tcPr>
          <w:p w14:paraId="1078E585" w14:textId="77777777" w:rsidR="00854FF9" w:rsidRPr="00BD2EF1" w:rsidRDefault="00854FF9" w:rsidP="00854FF9">
            <w:pPr>
              <w:pStyle w:val="Standaard-Tabellen"/>
              <w:rPr>
                <w:rFonts w:eastAsia="Calibri"/>
              </w:rPr>
            </w:pPr>
            <w:r w:rsidRPr="00F07537">
              <w:rPr>
                <w:rFonts w:eastAsia="Calibri"/>
                <w:lang w:eastAsia="en-US"/>
              </w:rPr>
              <w:t>Waived</w:t>
            </w:r>
          </w:p>
        </w:tc>
        <w:tc>
          <w:tcPr>
            <w:tcW w:w="1417" w:type="dxa"/>
          </w:tcPr>
          <w:p w14:paraId="0909E7DA" w14:textId="77777777" w:rsidR="00854FF9" w:rsidRPr="00BD2EF1" w:rsidRDefault="00854FF9" w:rsidP="00854FF9">
            <w:pPr>
              <w:pStyle w:val="Standaard-Tabellen"/>
              <w:rPr>
                <w:rFonts w:eastAsia="Calibri"/>
              </w:rPr>
            </w:pPr>
            <w:r>
              <w:rPr>
                <w:rFonts w:eastAsia="Calibri"/>
              </w:rPr>
              <w:t>-</w:t>
            </w:r>
          </w:p>
        </w:tc>
        <w:tc>
          <w:tcPr>
            <w:tcW w:w="6799" w:type="dxa"/>
          </w:tcPr>
          <w:p w14:paraId="5C104313" w14:textId="77777777" w:rsidR="00854FF9" w:rsidRPr="00BD2EF1" w:rsidRDefault="00854FF9" w:rsidP="00854FF9">
            <w:pPr>
              <w:pStyle w:val="Standaard-Tabellen"/>
              <w:rPr>
                <w:rFonts w:eastAsia="Calibri"/>
              </w:rPr>
            </w:pPr>
            <w:r w:rsidRPr="00C34EB6">
              <w:rPr>
                <w:rFonts w:eastAsia="Calibri"/>
              </w:rPr>
              <w:t>Not applicable since biocidal product is not a tablet and is not used in a water soluble bag.</w:t>
            </w:r>
          </w:p>
        </w:tc>
        <w:tc>
          <w:tcPr>
            <w:tcW w:w="2267" w:type="dxa"/>
          </w:tcPr>
          <w:p w14:paraId="76EA2889" w14:textId="77777777" w:rsidR="00854FF9" w:rsidRPr="00BD2EF1" w:rsidRDefault="00854FF9" w:rsidP="00854FF9">
            <w:pPr>
              <w:pStyle w:val="Standaard-Tabellen"/>
              <w:rPr>
                <w:rFonts w:eastAsia="Calibri"/>
              </w:rPr>
            </w:pPr>
            <w:r>
              <w:rPr>
                <w:rFonts w:eastAsia="Calibri"/>
              </w:rPr>
              <w:t>-</w:t>
            </w:r>
          </w:p>
        </w:tc>
        <w:tc>
          <w:tcPr>
            <w:tcW w:w="2274" w:type="dxa"/>
          </w:tcPr>
          <w:p w14:paraId="4058523A" w14:textId="5F3626FF" w:rsidR="009B4856" w:rsidRPr="00093760" w:rsidRDefault="009B4856" w:rsidP="009B4856">
            <w:pPr>
              <w:pStyle w:val="Standaard-Tabellen"/>
              <w:rPr>
                <w:rFonts w:eastAsia="Calibri"/>
              </w:rPr>
            </w:pPr>
          </w:p>
        </w:tc>
      </w:tr>
      <w:tr w:rsidR="00854FF9" w:rsidRPr="00BD2EF1" w14:paraId="2A267ABB" w14:textId="780275C6" w:rsidTr="00F07537">
        <w:trPr>
          <w:trHeight w:val="146"/>
        </w:trPr>
        <w:tc>
          <w:tcPr>
            <w:tcW w:w="1705" w:type="dxa"/>
          </w:tcPr>
          <w:p w14:paraId="02957A32" w14:textId="77777777" w:rsidR="00854FF9" w:rsidRPr="00BD2EF1" w:rsidRDefault="00854FF9" w:rsidP="00854FF9">
            <w:pPr>
              <w:pStyle w:val="Standaard-Tabellen"/>
              <w:rPr>
                <w:rFonts w:eastAsia="Calibri"/>
              </w:rPr>
            </w:pPr>
            <w:r w:rsidRPr="00BD2EF1">
              <w:rPr>
                <w:rFonts w:eastAsia="Calibri"/>
              </w:rPr>
              <w:lastRenderedPageBreak/>
              <w:t>Particle size distribution, content of dust/fines, attrition, friability</w:t>
            </w:r>
          </w:p>
        </w:tc>
        <w:tc>
          <w:tcPr>
            <w:tcW w:w="1414" w:type="dxa"/>
          </w:tcPr>
          <w:p w14:paraId="3B7D7F85" w14:textId="77777777" w:rsidR="00854FF9" w:rsidRPr="00BD2EF1" w:rsidRDefault="00854FF9" w:rsidP="00854FF9">
            <w:pPr>
              <w:pStyle w:val="Standaard-Tabellen"/>
              <w:rPr>
                <w:rFonts w:eastAsia="Calibri"/>
              </w:rPr>
            </w:pPr>
            <w:r w:rsidRPr="00F07537">
              <w:rPr>
                <w:rFonts w:eastAsia="Calibri"/>
                <w:lang w:eastAsia="en-US"/>
              </w:rPr>
              <w:t>Waived</w:t>
            </w:r>
          </w:p>
        </w:tc>
        <w:tc>
          <w:tcPr>
            <w:tcW w:w="1417" w:type="dxa"/>
          </w:tcPr>
          <w:p w14:paraId="5891E35D" w14:textId="77777777" w:rsidR="00854FF9" w:rsidRPr="00BD2EF1" w:rsidRDefault="00854FF9" w:rsidP="00854FF9">
            <w:pPr>
              <w:pStyle w:val="Standaard-Tabellen"/>
              <w:rPr>
                <w:rFonts w:eastAsia="Calibri"/>
              </w:rPr>
            </w:pPr>
            <w:r>
              <w:rPr>
                <w:rFonts w:eastAsia="Calibri"/>
              </w:rPr>
              <w:t>-</w:t>
            </w:r>
          </w:p>
        </w:tc>
        <w:tc>
          <w:tcPr>
            <w:tcW w:w="6799" w:type="dxa"/>
          </w:tcPr>
          <w:p w14:paraId="6FCC53A7" w14:textId="77777777" w:rsidR="00854FF9" w:rsidRPr="00BD2EF1" w:rsidRDefault="00854FF9" w:rsidP="00854FF9">
            <w:pPr>
              <w:pStyle w:val="Standaard-Tabellen"/>
              <w:rPr>
                <w:rFonts w:eastAsia="Calibri"/>
              </w:rPr>
            </w:pPr>
            <w:r w:rsidRPr="00C34EB6">
              <w:rPr>
                <w:rFonts w:eastAsia="Calibri"/>
              </w:rPr>
              <w:t>Not applicable since biocidal product is not a granule or tablet.</w:t>
            </w:r>
          </w:p>
        </w:tc>
        <w:tc>
          <w:tcPr>
            <w:tcW w:w="2267" w:type="dxa"/>
          </w:tcPr>
          <w:p w14:paraId="0CB22AF4" w14:textId="77777777" w:rsidR="00854FF9" w:rsidRPr="00BD2EF1" w:rsidRDefault="00854FF9" w:rsidP="00854FF9">
            <w:pPr>
              <w:pStyle w:val="Standaard-Tabellen"/>
              <w:rPr>
                <w:rFonts w:eastAsia="Calibri"/>
              </w:rPr>
            </w:pPr>
            <w:r>
              <w:rPr>
                <w:rFonts w:eastAsia="Calibri"/>
              </w:rPr>
              <w:t>-</w:t>
            </w:r>
          </w:p>
        </w:tc>
        <w:tc>
          <w:tcPr>
            <w:tcW w:w="2274" w:type="dxa"/>
          </w:tcPr>
          <w:p w14:paraId="6F4ECC89" w14:textId="28D04E96" w:rsidR="009B4856" w:rsidRPr="00093760" w:rsidRDefault="009B4856" w:rsidP="009B4856">
            <w:pPr>
              <w:pStyle w:val="Standaard-Tabellen"/>
              <w:rPr>
                <w:rFonts w:eastAsia="Calibri"/>
              </w:rPr>
            </w:pPr>
          </w:p>
        </w:tc>
      </w:tr>
      <w:tr w:rsidR="00854FF9" w:rsidRPr="00BD2EF1" w14:paraId="17D269B3" w14:textId="2230616F" w:rsidTr="00F07537">
        <w:trPr>
          <w:trHeight w:val="259"/>
        </w:trPr>
        <w:tc>
          <w:tcPr>
            <w:tcW w:w="1705" w:type="dxa"/>
          </w:tcPr>
          <w:p w14:paraId="213F123B" w14:textId="77777777" w:rsidR="00854FF9" w:rsidRPr="00BD2EF1" w:rsidRDefault="00854FF9" w:rsidP="00854FF9">
            <w:pPr>
              <w:pStyle w:val="Standaard-Tabellen"/>
              <w:rPr>
                <w:rFonts w:eastAsia="Calibri"/>
              </w:rPr>
            </w:pPr>
            <w:r w:rsidRPr="00BD2EF1">
              <w:rPr>
                <w:rFonts w:eastAsia="Calibri"/>
              </w:rPr>
              <w:t>Persistent foaming</w:t>
            </w:r>
          </w:p>
        </w:tc>
        <w:tc>
          <w:tcPr>
            <w:tcW w:w="1414" w:type="dxa"/>
          </w:tcPr>
          <w:p w14:paraId="0BAB210D" w14:textId="77777777" w:rsidR="00854FF9" w:rsidRPr="00BD2EF1" w:rsidRDefault="00854FF9" w:rsidP="00854FF9">
            <w:pPr>
              <w:pStyle w:val="Standaard-Tabellen"/>
              <w:rPr>
                <w:rFonts w:eastAsia="Calibri"/>
              </w:rPr>
            </w:pPr>
            <w:r w:rsidRPr="00093760">
              <w:rPr>
                <w:rFonts w:eastAsia="Calibri"/>
                <w:lang w:eastAsia="en-US"/>
              </w:rPr>
              <w:t>Waived</w:t>
            </w:r>
          </w:p>
        </w:tc>
        <w:tc>
          <w:tcPr>
            <w:tcW w:w="1417" w:type="dxa"/>
          </w:tcPr>
          <w:p w14:paraId="3F1FAB5E" w14:textId="77777777" w:rsidR="00854FF9" w:rsidRPr="00BD2EF1" w:rsidRDefault="00854FF9" w:rsidP="00854FF9">
            <w:pPr>
              <w:pStyle w:val="Standaard-Tabellen"/>
              <w:rPr>
                <w:rFonts w:eastAsia="Calibri"/>
              </w:rPr>
            </w:pPr>
            <w:r>
              <w:rPr>
                <w:rFonts w:eastAsia="Calibri"/>
              </w:rPr>
              <w:t>-</w:t>
            </w:r>
          </w:p>
        </w:tc>
        <w:tc>
          <w:tcPr>
            <w:tcW w:w="6799" w:type="dxa"/>
          </w:tcPr>
          <w:p w14:paraId="3CFDFF1A" w14:textId="77777777" w:rsidR="00854FF9" w:rsidRPr="00BD2EF1" w:rsidRDefault="00854FF9" w:rsidP="00854FF9">
            <w:pPr>
              <w:pStyle w:val="Standaard-Tabellen"/>
              <w:rPr>
                <w:rFonts w:eastAsia="Calibri"/>
              </w:rPr>
            </w:pPr>
            <w:r w:rsidRPr="00C34EB6">
              <w:rPr>
                <w:rFonts w:eastAsia="Calibri"/>
              </w:rPr>
              <w:t>Not applicable since biocidal product is a ready for use product.</w:t>
            </w:r>
          </w:p>
        </w:tc>
        <w:tc>
          <w:tcPr>
            <w:tcW w:w="2267" w:type="dxa"/>
          </w:tcPr>
          <w:p w14:paraId="77306CFF" w14:textId="77777777" w:rsidR="00854FF9" w:rsidRPr="00BD2EF1" w:rsidRDefault="00854FF9" w:rsidP="00854FF9">
            <w:pPr>
              <w:pStyle w:val="Standaard-Tabellen"/>
              <w:rPr>
                <w:rFonts w:eastAsia="Calibri"/>
              </w:rPr>
            </w:pPr>
            <w:r>
              <w:rPr>
                <w:rFonts w:eastAsia="Calibri"/>
              </w:rPr>
              <w:t>-</w:t>
            </w:r>
          </w:p>
        </w:tc>
        <w:tc>
          <w:tcPr>
            <w:tcW w:w="2274" w:type="dxa"/>
          </w:tcPr>
          <w:p w14:paraId="45A3DC39" w14:textId="0DFCFAFD" w:rsidR="009B4856" w:rsidRPr="00093760" w:rsidRDefault="009B4856" w:rsidP="009B4856">
            <w:pPr>
              <w:pStyle w:val="Standaard-Tabellen"/>
              <w:rPr>
                <w:rFonts w:eastAsia="Calibri"/>
              </w:rPr>
            </w:pPr>
          </w:p>
        </w:tc>
      </w:tr>
      <w:tr w:rsidR="00854FF9" w:rsidRPr="00BD2EF1" w14:paraId="1AE49F4F" w14:textId="5E44DC6C" w:rsidTr="00F07537">
        <w:trPr>
          <w:trHeight w:val="284"/>
        </w:trPr>
        <w:tc>
          <w:tcPr>
            <w:tcW w:w="1705" w:type="dxa"/>
          </w:tcPr>
          <w:p w14:paraId="7E2DC3A0" w14:textId="77777777" w:rsidR="00854FF9" w:rsidRPr="00BD2EF1" w:rsidRDefault="00854FF9" w:rsidP="00854FF9">
            <w:pPr>
              <w:pStyle w:val="Standaard-Tabellen"/>
              <w:rPr>
                <w:rFonts w:eastAsia="Calibri"/>
              </w:rPr>
            </w:pPr>
            <w:r w:rsidRPr="00BD2EF1">
              <w:rPr>
                <w:rFonts w:eastAsia="Calibri"/>
              </w:rPr>
              <w:t>Flowability/Pourability/Dustability</w:t>
            </w:r>
          </w:p>
        </w:tc>
        <w:tc>
          <w:tcPr>
            <w:tcW w:w="1414" w:type="dxa"/>
          </w:tcPr>
          <w:p w14:paraId="3CB6DBE5" w14:textId="77777777" w:rsidR="00854FF9" w:rsidRPr="00BD2EF1" w:rsidRDefault="00854FF9" w:rsidP="00854FF9">
            <w:pPr>
              <w:pStyle w:val="Standaard-Tabellen"/>
              <w:rPr>
                <w:rFonts w:eastAsia="Calibri"/>
              </w:rPr>
            </w:pPr>
            <w:r w:rsidRPr="00093760">
              <w:rPr>
                <w:rFonts w:eastAsia="Calibri"/>
                <w:lang w:eastAsia="en-US"/>
              </w:rPr>
              <w:t>Waived</w:t>
            </w:r>
          </w:p>
        </w:tc>
        <w:tc>
          <w:tcPr>
            <w:tcW w:w="1417" w:type="dxa"/>
          </w:tcPr>
          <w:p w14:paraId="4E1EA2F4" w14:textId="77777777" w:rsidR="00854FF9" w:rsidRPr="00BD2EF1" w:rsidRDefault="00854FF9" w:rsidP="00854FF9">
            <w:pPr>
              <w:pStyle w:val="Standaard-Tabellen"/>
              <w:rPr>
                <w:rFonts w:eastAsia="Calibri"/>
              </w:rPr>
            </w:pPr>
            <w:r>
              <w:rPr>
                <w:rFonts w:eastAsia="Calibri"/>
              </w:rPr>
              <w:t>-</w:t>
            </w:r>
          </w:p>
        </w:tc>
        <w:tc>
          <w:tcPr>
            <w:tcW w:w="6799" w:type="dxa"/>
          </w:tcPr>
          <w:p w14:paraId="085E3E6A" w14:textId="77777777" w:rsidR="00854FF9" w:rsidRPr="00BD2EF1" w:rsidRDefault="00854FF9" w:rsidP="00854FF9">
            <w:pPr>
              <w:pStyle w:val="Standaard-Tabellen"/>
              <w:rPr>
                <w:rFonts w:eastAsia="Calibri"/>
              </w:rPr>
            </w:pPr>
            <w:r w:rsidRPr="00C34EB6">
              <w:rPr>
                <w:rFonts w:eastAsia="Calibri"/>
              </w:rPr>
              <w:t>Not applicable since biocidal product is not granular/a suspension.</w:t>
            </w:r>
          </w:p>
        </w:tc>
        <w:tc>
          <w:tcPr>
            <w:tcW w:w="2267" w:type="dxa"/>
          </w:tcPr>
          <w:p w14:paraId="228D1ED5" w14:textId="77777777" w:rsidR="00854FF9" w:rsidRPr="00BD2EF1" w:rsidRDefault="00854FF9" w:rsidP="00854FF9">
            <w:pPr>
              <w:pStyle w:val="Standaard-Tabellen"/>
              <w:rPr>
                <w:rFonts w:eastAsia="Calibri"/>
              </w:rPr>
            </w:pPr>
            <w:r>
              <w:rPr>
                <w:rFonts w:eastAsia="Calibri"/>
              </w:rPr>
              <w:t>-</w:t>
            </w:r>
          </w:p>
        </w:tc>
        <w:tc>
          <w:tcPr>
            <w:tcW w:w="2274" w:type="dxa"/>
          </w:tcPr>
          <w:p w14:paraId="4C9F9EE8" w14:textId="43CFBE6A" w:rsidR="009B4856" w:rsidRPr="00093760" w:rsidRDefault="009B4856" w:rsidP="009B4856">
            <w:pPr>
              <w:pStyle w:val="Standaard-Tabellen"/>
              <w:rPr>
                <w:rFonts w:eastAsia="Calibri"/>
              </w:rPr>
            </w:pPr>
          </w:p>
        </w:tc>
      </w:tr>
      <w:tr w:rsidR="00854FF9" w:rsidRPr="00BD2EF1" w14:paraId="3979E828" w14:textId="192FBBDA" w:rsidTr="00F07537">
        <w:trPr>
          <w:trHeight w:val="334"/>
        </w:trPr>
        <w:tc>
          <w:tcPr>
            <w:tcW w:w="1705" w:type="dxa"/>
          </w:tcPr>
          <w:p w14:paraId="4FC04994" w14:textId="77777777" w:rsidR="00854FF9" w:rsidRPr="00BD2EF1" w:rsidRDefault="00854FF9" w:rsidP="00854FF9">
            <w:pPr>
              <w:pStyle w:val="Standaard-Tabellen"/>
              <w:rPr>
                <w:rFonts w:eastAsia="Calibri"/>
              </w:rPr>
            </w:pPr>
            <w:r w:rsidRPr="00BD2EF1">
              <w:rPr>
                <w:rFonts w:eastAsia="Calibri"/>
              </w:rPr>
              <w:t>Burning rate — smoke generators</w:t>
            </w:r>
          </w:p>
        </w:tc>
        <w:tc>
          <w:tcPr>
            <w:tcW w:w="1414" w:type="dxa"/>
          </w:tcPr>
          <w:p w14:paraId="1ED38F3B" w14:textId="77777777" w:rsidR="00854FF9" w:rsidRPr="00BD2EF1" w:rsidRDefault="00854FF9" w:rsidP="00854FF9">
            <w:pPr>
              <w:pStyle w:val="Standaard-Tabellen"/>
              <w:rPr>
                <w:rFonts w:eastAsia="Calibri"/>
              </w:rPr>
            </w:pPr>
            <w:r w:rsidRPr="00093760">
              <w:rPr>
                <w:rFonts w:eastAsia="Calibri"/>
                <w:lang w:eastAsia="en-US"/>
              </w:rPr>
              <w:t>Waived</w:t>
            </w:r>
          </w:p>
        </w:tc>
        <w:tc>
          <w:tcPr>
            <w:tcW w:w="1417" w:type="dxa"/>
          </w:tcPr>
          <w:p w14:paraId="352A8374" w14:textId="77777777" w:rsidR="00854FF9" w:rsidRPr="00BD2EF1" w:rsidRDefault="00854FF9" w:rsidP="00854FF9">
            <w:pPr>
              <w:pStyle w:val="Standaard-Tabellen"/>
              <w:rPr>
                <w:rFonts w:eastAsia="Calibri"/>
              </w:rPr>
            </w:pPr>
            <w:r>
              <w:rPr>
                <w:rFonts w:eastAsia="Calibri"/>
              </w:rPr>
              <w:t>-</w:t>
            </w:r>
          </w:p>
        </w:tc>
        <w:tc>
          <w:tcPr>
            <w:tcW w:w="6799" w:type="dxa"/>
          </w:tcPr>
          <w:p w14:paraId="3B01DBBF" w14:textId="77777777" w:rsidR="00854FF9" w:rsidRPr="00BD2EF1" w:rsidRDefault="00854FF9" w:rsidP="00854FF9">
            <w:pPr>
              <w:pStyle w:val="Standaard-Tabellen"/>
              <w:rPr>
                <w:rFonts w:eastAsia="Calibri"/>
              </w:rPr>
            </w:pPr>
            <w:r w:rsidRPr="00C34EB6">
              <w:rPr>
                <w:rFonts w:eastAsia="Calibri"/>
              </w:rPr>
              <w:t>Not applicable since the biocidal product is no smoke generator.</w:t>
            </w:r>
          </w:p>
        </w:tc>
        <w:tc>
          <w:tcPr>
            <w:tcW w:w="2267" w:type="dxa"/>
          </w:tcPr>
          <w:p w14:paraId="515809B9" w14:textId="77777777" w:rsidR="00854FF9" w:rsidRPr="00BD2EF1" w:rsidRDefault="00854FF9" w:rsidP="00854FF9">
            <w:pPr>
              <w:pStyle w:val="Standaard-Tabellen"/>
              <w:rPr>
                <w:rFonts w:eastAsia="Calibri"/>
              </w:rPr>
            </w:pPr>
            <w:r>
              <w:rPr>
                <w:rFonts w:eastAsia="Calibri"/>
              </w:rPr>
              <w:t>-</w:t>
            </w:r>
          </w:p>
        </w:tc>
        <w:tc>
          <w:tcPr>
            <w:tcW w:w="2274" w:type="dxa"/>
          </w:tcPr>
          <w:p w14:paraId="75E849F5" w14:textId="1A1DC687" w:rsidR="009B4856" w:rsidRPr="00093760" w:rsidRDefault="009B4856" w:rsidP="009B4856">
            <w:pPr>
              <w:pStyle w:val="Standaard-Tabellen"/>
              <w:rPr>
                <w:rFonts w:eastAsia="Calibri"/>
              </w:rPr>
            </w:pPr>
          </w:p>
        </w:tc>
      </w:tr>
      <w:tr w:rsidR="00854FF9" w:rsidRPr="00BD2EF1" w14:paraId="6332AC84" w14:textId="0B5EE80E" w:rsidTr="00F07537">
        <w:trPr>
          <w:trHeight w:val="244"/>
        </w:trPr>
        <w:tc>
          <w:tcPr>
            <w:tcW w:w="1705" w:type="dxa"/>
          </w:tcPr>
          <w:p w14:paraId="14CC1A3B" w14:textId="77777777" w:rsidR="00854FF9" w:rsidRPr="00BD2EF1" w:rsidRDefault="00854FF9" w:rsidP="00854FF9">
            <w:pPr>
              <w:pStyle w:val="Standaard-Tabellen"/>
              <w:rPr>
                <w:rFonts w:eastAsia="Calibri"/>
              </w:rPr>
            </w:pPr>
            <w:r w:rsidRPr="00BD2EF1">
              <w:rPr>
                <w:rFonts w:eastAsia="Calibri"/>
              </w:rPr>
              <w:t>Burning completeness — smoke generators</w:t>
            </w:r>
          </w:p>
        </w:tc>
        <w:tc>
          <w:tcPr>
            <w:tcW w:w="1414" w:type="dxa"/>
          </w:tcPr>
          <w:p w14:paraId="7516F8C9" w14:textId="77777777" w:rsidR="00854FF9" w:rsidRPr="00BD2EF1" w:rsidRDefault="00854FF9" w:rsidP="00854FF9">
            <w:pPr>
              <w:pStyle w:val="Standaard-Tabellen"/>
              <w:rPr>
                <w:rFonts w:eastAsia="Calibri"/>
              </w:rPr>
            </w:pPr>
            <w:r w:rsidRPr="00093760">
              <w:rPr>
                <w:rFonts w:eastAsia="Calibri"/>
                <w:lang w:eastAsia="en-US"/>
              </w:rPr>
              <w:t>Waived</w:t>
            </w:r>
          </w:p>
        </w:tc>
        <w:tc>
          <w:tcPr>
            <w:tcW w:w="1417" w:type="dxa"/>
          </w:tcPr>
          <w:p w14:paraId="0D532F6F" w14:textId="77777777" w:rsidR="00854FF9" w:rsidRPr="00BD2EF1" w:rsidRDefault="00854FF9" w:rsidP="00854FF9">
            <w:pPr>
              <w:pStyle w:val="Standaard-Tabellen"/>
              <w:rPr>
                <w:rFonts w:eastAsia="Calibri"/>
              </w:rPr>
            </w:pPr>
            <w:r>
              <w:rPr>
                <w:rFonts w:eastAsia="Calibri"/>
              </w:rPr>
              <w:t>-</w:t>
            </w:r>
          </w:p>
        </w:tc>
        <w:tc>
          <w:tcPr>
            <w:tcW w:w="6799" w:type="dxa"/>
          </w:tcPr>
          <w:p w14:paraId="4B4F64E7" w14:textId="77777777" w:rsidR="00854FF9" w:rsidRPr="00BD2EF1" w:rsidRDefault="00854FF9" w:rsidP="00854FF9">
            <w:pPr>
              <w:pStyle w:val="Standaard-Tabellen"/>
              <w:rPr>
                <w:rFonts w:eastAsia="Calibri"/>
              </w:rPr>
            </w:pPr>
            <w:r w:rsidRPr="00C34EB6">
              <w:rPr>
                <w:rFonts w:eastAsia="Calibri"/>
              </w:rPr>
              <w:t>Not applicable since the biocidal product is no smoke generator.</w:t>
            </w:r>
          </w:p>
        </w:tc>
        <w:tc>
          <w:tcPr>
            <w:tcW w:w="2267" w:type="dxa"/>
          </w:tcPr>
          <w:p w14:paraId="3FDED8DF" w14:textId="77777777" w:rsidR="00854FF9" w:rsidRPr="00BD2EF1" w:rsidRDefault="00854FF9" w:rsidP="00854FF9">
            <w:pPr>
              <w:pStyle w:val="Standaard-Tabellen"/>
              <w:rPr>
                <w:rFonts w:eastAsia="Calibri"/>
              </w:rPr>
            </w:pPr>
            <w:r>
              <w:rPr>
                <w:rFonts w:eastAsia="Calibri"/>
              </w:rPr>
              <w:t>-</w:t>
            </w:r>
          </w:p>
        </w:tc>
        <w:tc>
          <w:tcPr>
            <w:tcW w:w="2274" w:type="dxa"/>
          </w:tcPr>
          <w:p w14:paraId="314E81CD" w14:textId="4F5D8136" w:rsidR="009B4856" w:rsidRPr="00093760" w:rsidRDefault="009B4856" w:rsidP="009B4856">
            <w:pPr>
              <w:pStyle w:val="Standaard-Tabellen"/>
              <w:rPr>
                <w:rFonts w:eastAsia="Calibri"/>
              </w:rPr>
            </w:pPr>
          </w:p>
        </w:tc>
      </w:tr>
      <w:tr w:rsidR="00854FF9" w:rsidRPr="00BD2EF1" w14:paraId="775EAB83" w14:textId="27494884" w:rsidTr="00F07537">
        <w:trPr>
          <w:trHeight w:val="343"/>
        </w:trPr>
        <w:tc>
          <w:tcPr>
            <w:tcW w:w="1705" w:type="dxa"/>
          </w:tcPr>
          <w:p w14:paraId="2A112510" w14:textId="77777777" w:rsidR="00854FF9" w:rsidRPr="00BD2EF1" w:rsidRDefault="00854FF9" w:rsidP="00854FF9">
            <w:pPr>
              <w:pStyle w:val="Standaard-Tabellen"/>
              <w:rPr>
                <w:rFonts w:eastAsia="Calibri"/>
              </w:rPr>
            </w:pPr>
            <w:r w:rsidRPr="00BD2EF1">
              <w:rPr>
                <w:rFonts w:eastAsia="Calibri"/>
              </w:rPr>
              <w:t>Composition of smoke — smoke generators</w:t>
            </w:r>
          </w:p>
        </w:tc>
        <w:tc>
          <w:tcPr>
            <w:tcW w:w="1414" w:type="dxa"/>
          </w:tcPr>
          <w:p w14:paraId="6EC799DF" w14:textId="77777777" w:rsidR="00854FF9" w:rsidRPr="00BD2EF1" w:rsidRDefault="00854FF9" w:rsidP="00854FF9">
            <w:pPr>
              <w:pStyle w:val="Standaard-Tabellen"/>
              <w:rPr>
                <w:rFonts w:eastAsia="Calibri"/>
              </w:rPr>
            </w:pPr>
            <w:r w:rsidRPr="00093760">
              <w:rPr>
                <w:rFonts w:eastAsia="Calibri"/>
                <w:lang w:eastAsia="en-US"/>
              </w:rPr>
              <w:t>Waived</w:t>
            </w:r>
          </w:p>
        </w:tc>
        <w:tc>
          <w:tcPr>
            <w:tcW w:w="1417" w:type="dxa"/>
          </w:tcPr>
          <w:p w14:paraId="7A66EFA7" w14:textId="77777777" w:rsidR="00854FF9" w:rsidRPr="00BD2EF1" w:rsidRDefault="00854FF9" w:rsidP="00854FF9">
            <w:pPr>
              <w:pStyle w:val="Standaard-Tabellen"/>
              <w:rPr>
                <w:rFonts w:eastAsia="Calibri"/>
              </w:rPr>
            </w:pPr>
            <w:r>
              <w:rPr>
                <w:rFonts w:eastAsia="Calibri"/>
              </w:rPr>
              <w:t>-</w:t>
            </w:r>
          </w:p>
        </w:tc>
        <w:tc>
          <w:tcPr>
            <w:tcW w:w="6799" w:type="dxa"/>
          </w:tcPr>
          <w:p w14:paraId="5A04CC62" w14:textId="77777777" w:rsidR="00854FF9" w:rsidRPr="00BD2EF1" w:rsidRDefault="00854FF9" w:rsidP="00854FF9">
            <w:pPr>
              <w:pStyle w:val="Standaard-Tabellen"/>
              <w:rPr>
                <w:rFonts w:eastAsia="Calibri"/>
              </w:rPr>
            </w:pPr>
            <w:r w:rsidRPr="00C34EB6">
              <w:rPr>
                <w:rFonts w:eastAsia="Calibri"/>
              </w:rPr>
              <w:t>Not applicable since the biocidal product is no smoke generator.</w:t>
            </w:r>
          </w:p>
        </w:tc>
        <w:tc>
          <w:tcPr>
            <w:tcW w:w="2267" w:type="dxa"/>
          </w:tcPr>
          <w:p w14:paraId="0521A90B" w14:textId="77777777" w:rsidR="00854FF9" w:rsidRPr="00BD2EF1" w:rsidRDefault="00854FF9" w:rsidP="00854FF9">
            <w:pPr>
              <w:pStyle w:val="Standaard-Tabellen"/>
              <w:rPr>
                <w:rFonts w:eastAsia="Calibri"/>
              </w:rPr>
            </w:pPr>
            <w:r>
              <w:rPr>
                <w:rFonts w:eastAsia="Calibri"/>
              </w:rPr>
              <w:t>-</w:t>
            </w:r>
          </w:p>
        </w:tc>
        <w:tc>
          <w:tcPr>
            <w:tcW w:w="2274" w:type="dxa"/>
          </w:tcPr>
          <w:p w14:paraId="460C0A1E" w14:textId="47CBEB5F" w:rsidR="009B4856" w:rsidRPr="00093760" w:rsidRDefault="009B4856" w:rsidP="009B4856">
            <w:pPr>
              <w:pStyle w:val="Standaard-Tabellen"/>
              <w:rPr>
                <w:rFonts w:eastAsia="Calibri"/>
              </w:rPr>
            </w:pPr>
          </w:p>
        </w:tc>
      </w:tr>
      <w:tr w:rsidR="00854FF9" w:rsidRPr="00BD2EF1" w14:paraId="12D1E282" w14:textId="56B03E1D" w:rsidTr="00F07537">
        <w:trPr>
          <w:trHeight w:val="408"/>
        </w:trPr>
        <w:tc>
          <w:tcPr>
            <w:tcW w:w="1705" w:type="dxa"/>
          </w:tcPr>
          <w:p w14:paraId="05E6BA5A" w14:textId="77777777" w:rsidR="00854FF9" w:rsidRPr="00BD2EF1" w:rsidRDefault="00854FF9" w:rsidP="00854FF9">
            <w:pPr>
              <w:pStyle w:val="Standaard-Tabellen"/>
              <w:rPr>
                <w:rFonts w:eastAsia="Calibri"/>
              </w:rPr>
            </w:pPr>
            <w:r w:rsidRPr="00BD2EF1">
              <w:rPr>
                <w:rFonts w:eastAsia="Calibri"/>
              </w:rPr>
              <w:t>Spraying pattern — aerosols</w:t>
            </w:r>
          </w:p>
        </w:tc>
        <w:tc>
          <w:tcPr>
            <w:tcW w:w="1414" w:type="dxa"/>
          </w:tcPr>
          <w:p w14:paraId="7F87C89D" w14:textId="77777777" w:rsidR="00854FF9" w:rsidRPr="00BD2EF1" w:rsidRDefault="00854FF9" w:rsidP="00854FF9">
            <w:pPr>
              <w:pStyle w:val="Standaard-Tabellen"/>
              <w:rPr>
                <w:rFonts w:eastAsia="Calibri"/>
              </w:rPr>
            </w:pPr>
            <w:r w:rsidRPr="00093760">
              <w:rPr>
                <w:rFonts w:eastAsia="Calibri"/>
                <w:lang w:eastAsia="en-US"/>
              </w:rPr>
              <w:t>Waived</w:t>
            </w:r>
          </w:p>
        </w:tc>
        <w:tc>
          <w:tcPr>
            <w:tcW w:w="1417" w:type="dxa"/>
          </w:tcPr>
          <w:p w14:paraId="17281889" w14:textId="77777777" w:rsidR="00854FF9" w:rsidRPr="00BD2EF1" w:rsidRDefault="00854FF9" w:rsidP="00854FF9">
            <w:pPr>
              <w:pStyle w:val="Standaard-Tabellen"/>
              <w:rPr>
                <w:rFonts w:eastAsia="Calibri"/>
              </w:rPr>
            </w:pPr>
            <w:r>
              <w:rPr>
                <w:rFonts w:eastAsia="Calibri"/>
              </w:rPr>
              <w:t>-</w:t>
            </w:r>
          </w:p>
        </w:tc>
        <w:tc>
          <w:tcPr>
            <w:tcW w:w="6799" w:type="dxa"/>
          </w:tcPr>
          <w:p w14:paraId="78421004" w14:textId="77777777" w:rsidR="00854FF9" w:rsidRPr="00BD2EF1" w:rsidRDefault="00854FF9" w:rsidP="00854FF9">
            <w:pPr>
              <w:pStyle w:val="Standaard-Tabellen"/>
              <w:rPr>
                <w:rFonts w:eastAsia="Calibri"/>
              </w:rPr>
            </w:pPr>
            <w:r w:rsidRPr="00C34EB6">
              <w:rPr>
                <w:rFonts w:eastAsia="Calibri"/>
              </w:rPr>
              <w:t>Not applicable since the biocidal product is no aerosol.</w:t>
            </w:r>
          </w:p>
        </w:tc>
        <w:tc>
          <w:tcPr>
            <w:tcW w:w="2267" w:type="dxa"/>
          </w:tcPr>
          <w:p w14:paraId="196D57E6" w14:textId="77777777" w:rsidR="00854FF9" w:rsidRPr="00BD2EF1" w:rsidRDefault="00854FF9" w:rsidP="00854FF9">
            <w:pPr>
              <w:pStyle w:val="Standaard-Tabellen"/>
              <w:rPr>
                <w:rFonts w:eastAsia="Calibri"/>
              </w:rPr>
            </w:pPr>
            <w:r>
              <w:rPr>
                <w:rFonts w:eastAsia="Calibri"/>
              </w:rPr>
              <w:t>-</w:t>
            </w:r>
          </w:p>
        </w:tc>
        <w:tc>
          <w:tcPr>
            <w:tcW w:w="2274" w:type="dxa"/>
          </w:tcPr>
          <w:p w14:paraId="5E244C7F" w14:textId="748E80B2" w:rsidR="009B4856" w:rsidRPr="00093760" w:rsidRDefault="009B4856" w:rsidP="009B4856">
            <w:pPr>
              <w:pStyle w:val="Standaard-Tabellen"/>
              <w:rPr>
                <w:rFonts w:eastAsia="Calibri"/>
              </w:rPr>
            </w:pPr>
          </w:p>
        </w:tc>
      </w:tr>
      <w:tr w:rsidR="00854FF9" w:rsidRPr="00BD2EF1" w14:paraId="39771E95" w14:textId="742C3050" w:rsidTr="00F07537">
        <w:trPr>
          <w:trHeight w:val="1276"/>
        </w:trPr>
        <w:tc>
          <w:tcPr>
            <w:tcW w:w="1705" w:type="dxa"/>
          </w:tcPr>
          <w:p w14:paraId="18EB4170" w14:textId="77777777" w:rsidR="00854FF9" w:rsidRPr="00BD2EF1" w:rsidRDefault="00854FF9" w:rsidP="00854FF9">
            <w:pPr>
              <w:pStyle w:val="Standaard-Tabellen"/>
              <w:rPr>
                <w:rFonts w:eastAsia="Calibri"/>
              </w:rPr>
            </w:pPr>
            <w:r w:rsidRPr="00BD2EF1">
              <w:rPr>
                <w:rFonts w:eastAsia="Calibri"/>
              </w:rPr>
              <w:t>Physical compatibility</w:t>
            </w:r>
          </w:p>
        </w:tc>
        <w:tc>
          <w:tcPr>
            <w:tcW w:w="1414" w:type="dxa"/>
          </w:tcPr>
          <w:p w14:paraId="143A1F9C" w14:textId="77777777" w:rsidR="00854FF9" w:rsidRDefault="00854FF9" w:rsidP="00854FF9">
            <w:pPr>
              <w:pStyle w:val="Standaard-Tabellen"/>
              <w:rPr>
                <w:rFonts w:eastAsia="Calibri"/>
                <w:lang w:eastAsia="en-US"/>
              </w:rPr>
            </w:pPr>
            <w:r>
              <w:rPr>
                <w:rFonts w:eastAsia="Calibri"/>
                <w:lang w:eastAsia="en-US"/>
              </w:rPr>
              <w:t>Particle</w:t>
            </w:r>
            <w:r w:rsidRPr="00DE3B31">
              <w:rPr>
                <w:rFonts w:eastAsia="Calibri"/>
                <w:lang w:eastAsia="en-US"/>
              </w:rPr>
              <w:t xml:space="preserve"> size distribution</w:t>
            </w:r>
          </w:p>
          <w:p w14:paraId="102EAAD3" w14:textId="77777777" w:rsidR="00AA6BE5" w:rsidRDefault="00AA6BE5" w:rsidP="00854FF9">
            <w:pPr>
              <w:pStyle w:val="Standaard-Tabellen"/>
              <w:rPr>
                <w:rFonts w:eastAsia="Calibri"/>
                <w:lang w:eastAsia="en-US"/>
              </w:rPr>
            </w:pPr>
          </w:p>
          <w:p w14:paraId="0D297FE7" w14:textId="77777777" w:rsidR="00AA6BE5" w:rsidRPr="008D4CA3" w:rsidRDefault="00AA6BE5" w:rsidP="00AA6BE5">
            <w:pPr>
              <w:pStyle w:val="Standaard-Tabellen"/>
              <w:rPr>
                <w:rFonts w:eastAsia="Calibri"/>
              </w:rPr>
            </w:pPr>
            <w:r w:rsidRPr="00093760">
              <w:rPr>
                <w:rFonts w:eastAsia="Calibri"/>
              </w:rPr>
              <w:t xml:space="preserve">[Laser light diffraction, </w:t>
            </w:r>
            <w:r w:rsidRPr="008D4CA3">
              <w:rPr>
                <w:rFonts w:eastAsia="Calibri"/>
              </w:rPr>
              <w:t>technical compliance to the requirements of</w:t>
            </w:r>
          </w:p>
          <w:p w14:paraId="695C189F" w14:textId="0C1C893A" w:rsidR="00AA6BE5" w:rsidRDefault="00AA6BE5" w:rsidP="00AA6BE5">
            <w:pPr>
              <w:pStyle w:val="Standaard-Tabellen"/>
              <w:rPr>
                <w:rFonts w:eastAsia="Calibri"/>
                <w:lang w:eastAsia="en-US"/>
              </w:rPr>
            </w:pPr>
            <w:r w:rsidRPr="008D4CA3">
              <w:rPr>
                <w:rFonts w:eastAsia="Calibri"/>
              </w:rPr>
              <w:t>21 CFR Part 11</w:t>
            </w:r>
            <w:r>
              <w:rPr>
                <w:rFonts w:eastAsia="Calibri"/>
              </w:rPr>
              <w:t xml:space="preserve"> and the ISO13320:2009]</w:t>
            </w:r>
          </w:p>
          <w:p w14:paraId="14DB66D0" w14:textId="77777777" w:rsidR="00854FF9" w:rsidRDefault="00854FF9" w:rsidP="00854FF9">
            <w:pPr>
              <w:pStyle w:val="Standaard-Tabellen"/>
              <w:rPr>
                <w:rFonts w:eastAsia="Calibri"/>
                <w:lang w:eastAsia="en-US"/>
              </w:rPr>
            </w:pPr>
          </w:p>
          <w:p w14:paraId="4003E373" w14:textId="77777777" w:rsidR="00854FF9" w:rsidRPr="00BD2EF1" w:rsidRDefault="00854FF9" w:rsidP="00854FF9">
            <w:pPr>
              <w:pStyle w:val="Standaard-Tabellen"/>
              <w:rPr>
                <w:rFonts w:eastAsia="Calibri"/>
              </w:rPr>
            </w:pPr>
          </w:p>
        </w:tc>
        <w:tc>
          <w:tcPr>
            <w:tcW w:w="1417" w:type="dxa"/>
          </w:tcPr>
          <w:p w14:paraId="70397ADB" w14:textId="77777777" w:rsidR="00854FF9" w:rsidRDefault="00854FF9" w:rsidP="00854FF9">
            <w:pPr>
              <w:pStyle w:val="Standaard-Tabellen"/>
              <w:rPr>
                <w:rFonts w:eastAsia="Calibri"/>
              </w:rPr>
            </w:pPr>
            <w:r w:rsidRPr="00093760">
              <w:rPr>
                <w:rFonts w:eastAsia="Calibri"/>
              </w:rPr>
              <w:lastRenderedPageBreak/>
              <w:t>READ-ACROSS</w:t>
            </w:r>
          </w:p>
          <w:p w14:paraId="682B19B8" w14:textId="77777777" w:rsidR="00854FF9" w:rsidRDefault="00854FF9" w:rsidP="00854FF9">
            <w:pPr>
              <w:pStyle w:val="Standaard-Tabellen"/>
              <w:rPr>
                <w:rFonts w:eastAsia="Calibri"/>
              </w:rPr>
            </w:pPr>
          </w:p>
          <w:p w14:paraId="3CF5C9A3" w14:textId="77777777" w:rsidR="00C8602D" w:rsidRDefault="00DE5D51" w:rsidP="00C8602D">
            <w:pPr>
              <w:pStyle w:val="Standaard-Tabellen"/>
              <w:rPr>
                <w:rFonts w:eastAsia="Calibri"/>
                <w:bCs w:val="0"/>
              </w:rPr>
            </w:pPr>
            <w:r w:rsidRPr="001524E0">
              <w:rPr>
                <w:rFonts w:eastAsia="Calibri"/>
                <w:bCs w:val="0"/>
              </w:rPr>
              <w:t>Pump Spray IR3535</w:t>
            </w:r>
            <w:r w:rsidRPr="001524E0">
              <w:rPr>
                <w:rFonts w:eastAsia="Calibri"/>
                <w:bCs w:val="0"/>
                <w:vertAlign w:val="superscript"/>
              </w:rPr>
              <w:t>®</w:t>
            </w:r>
            <w:r w:rsidRPr="001524E0">
              <w:rPr>
                <w:rFonts w:eastAsia="Calibri"/>
                <w:bCs w:val="0"/>
              </w:rPr>
              <w:t xml:space="preserve"> 19.5%</w:t>
            </w:r>
          </w:p>
          <w:p w14:paraId="3C453EDE" w14:textId="77777777" w:rsidR="00C8602D" w:rsidRDefault="00C8602D" w:rsidP="00C8602D">
            <w:pPr>
              <w:pStyle w:val="Standaard-Tabellen"/>
              <w:rPr>
                <w:rFonts w:eastAsia="Calibri"/>
                <w:bCs w:val="0"/>
              </w:rPr>
            </w:pPr>
          </w:p>
          <w:p w14:paraId="47899D85" w14:textId="77777777" w:rsidR="00C8602D" w:rsidRDefault="00C8602D" w:rsidP="00C8602D">
            <w:pPr>
              <w:pStyle w:val="Standaard-Tabellen"/>
              <w:rPr>
                <w:rFonts w:eastAsia="Calibri"/>
                <w:bCs w:val="0"/>
              </w:rPr>
            </w:pPr>
          </w:p>
          <w:p w14:paraId="5850E595" w14:textId="77777777" w:rsidR="00C8602D" w:rsidRDefault="00C8602D" w:rsidP="00C8602D">
            <w:pPr>
              <w:pStyle w:val="Standaard-Tabellen"/>
              <w:rPr>
                <w:rFonts w:eastAsia="Calibri"/>
                <w:bCs w:val="0"/>
              </w:rPr>
            </w:pPr>
          </w:p>
          <w:p w14:paraId="24593278" w14:textId="77777777" w:rsidR="00C8602D" w:rsidRDefault="00C8602D" w:rsidP="00C8602D">
            <w:pPr>
              <w:pStyle w:val="Standaard-Tabellen"/>
              <w:rPr>
                <w:rFonts w:eastAsia="Calibri"/>
                <w:bCs w:val="0"/>
              </w:rPr>
            </w:pPr>
          </w:p>
          <w:p w14:paraId="3DBF0A80" w14:textId="7677DAC9" w:rsidR="00190DC8" w:rsidRDefault="005E5F5C" w:rsidP="00854FF9">
            <w:pPr>
              <w:pStyle w:val="Standaard-Tabellen"/>
              <w:rPr>
                <w:rFonts w:eastAsia="Calibri"/>
              </w:rPr>
            </w:pPr>
            <w:r w:rsidRPr="005E5F5C">
              <w:rPr>
                <w:rFonts w:eastAsia="Calibri"/>
                <w:bCs w:val="0"/>
              </w:rPr>
              <w:t xml:space="preserve"> </w:t>
            </w:r>
          </w:p>
          <w:p w14:paraId="6502B520" w14:textId="7C3F5292" w:rsidR="00190DC8" w:rsidRPr="00BD2EF1" w:rsidRDefault="005E5F5C" w:rsidP="00854FF9">
            <w:pPr>
              <w:pStyle w:val="Standaard-Tabellen"/>
              <w:rPr>
                <w:rFonts w:eastAsia="Calibri"/>
              </w:rPr>
            </w:pPr>
            <w:r w:rsidRPr="005E5F5C">
              <w:rPr>
                <w:rFonts w:eastAsia="Calibri"/>
              </w:rPr>
              <w:t xml:space="preserve">Insect Repellent Pump Spray </w:t>
            </w:r>
            <w:r w:rsidRPr="005E5F5C">
              <w:rPr>
                <w:rFonts w:eastAsia="Calibri"/>
              </w:rPr>
              <w:lastRenderedPageBreak/>
              <w:t>Lice IR3535</w:t>
            </w:r>
            <w:r w:rsidRPr="005E5F5C">
              <w:rPr>
                <w:rFonts w:eastAsia="Calibri"/>
                <w:vertAlign w:val="superscript"/>
              </w:rPr>
              <w:t>®</w:t>
            </w:r>
            <w:r w:rsidRPr="005E5F5C">
              <w:rPr>
                <w:rFonts w:eastAsia="Calibri"/>
              </w:rPr>
              <w:t xml:space="preserve"> 20</w:t>
            </w:r>
            <w:r>
              <w:rPr>
                <w:rFonts w:eastAsia="Calibri"/>
                <w:bCs w:val="0"/>
              </w:rPr>
              <w:t>%</w:t>
            </w:r>
          </w:p>
        </w:tc>
        <w:tc>
          <w:tcPr>
            <w:tcW w:w="6799" w:type="dxa"/>
          </w:tcPr>
          <w:p w14:paraId="33EB8AA8" w14:textId="77777777" w:rsidR="00854FF9" w:rsidRDefault="00854FF9" w:rsidP="00854FF9">
            <w:pPr>
              <w:pStyle w:val="Standaard-Tabellen"/>
              <w:rPr>
                <w:rFonts w:eastAsia="Calibri"/>
              </w:rPr>
            </w:pPr>
            <w:r>
              <w:rPr>
                <w:rFonts w:eastAsia="Calibri"/>
              </w:rPr>
              <w:lastRenderedPageBreak/>
              <w:t>F</w:t>
            </w:r>
            <w:r w:rsidRPr="003041A4">
              <w:rPr>
                <w:rFonts w:eastAsia="Calibri"/>
              </w:rPr>
              <w:t>ra</w:t>
            </w:r>
            <w:r>
              <w:rPr>
                <w:rFonts w:eastAsia="Calibri"/>
              </w:rPr>
              <w:t>ction of particles &lt;5µm: &lt;0</w:t>
            </w:r>
            <w:r w:rsidRPr="003041A4">
              <w:rPr>
                <w:rFonts w:eastAsia="Calibri"/>
              </w:rPr>
              <w:t>.6 %</w:t>
            </w:r>
            <w:r>
              <w:rPr>
                <w:rFonts w:eastAsia="Calibri"/>
              </w:rPr>
              <w:t>.</w:t>
            </w:r>
          </w:p>
          <w:p w14:paraId="6E33166F" w14:textId="77777777" w:rsidR="00854FF9" w:rsidRDefault="00854FF9" w:rsidP="00854FF9">
            <w:pPr>
              <w:pStyle w:val="Standaard-Tabellen"/>
              <w:rPr>
                <w:rFonts w:eastAsia="Calibri"/>
              </w:rPr>
            </w:pPr>
          </w:p>
          <w:p w14:paraId="26E7D423" w14:textId="39966BEE" w:rsidR="00C8602D" w:rsidRDefault="00854FF9" w:rsidP="00C8602D">
            <w:pPr>
              <w:pStyle w:val="Standaard-Tabellen"/>
              <w:rPr>
                <w:rFonts w:eastAsia="Calibri"/>
              </w:rPr>
            </w:pPr>
            <w:r>
              <w:rPr>
                <w:rFonts w:eastAsia="Calibri"/>
              </w:rPr>
              <w:t>R</w:t>
            </w:r>
            <w:r w:rsidRPr="003041A4">
              <w:rPr>
                <w:rFonts w:eastAsia="Calibri"/>
              </w:rPr>
              <w:t>ange (n=50)</w:t>
            </w:r>
            <w:r>
              <w:rPr>
                <w:rFonts w:eastAsia="Calibri"/>
              </w:rPr>
              <w:t>:</w:t>
            </w:r>
            <w:r w:rsidRPr="003041A4">
              <w:rPr>
                <w:rFonts w:eastAsia="Calibri"/>
              </w:rPr>
              <w:t xml:space="preserve"> 0.28 - 0.68 microns</w:t>
            </w:r>
            <w:r>
              <w:rPr>
                <w:rFonts w:eastAsia="Calibri"/>
              </w:rPr>
              <w:t xml:space="preserve">, with a mean of 0.45 % &lt; </w:t>
            </w:r>
            <w:r w:rsidRPr="003041A4">
              <w:rPr>
                <w:rFonts w:eastAsia="Calibri"/>
              </w:rPr>
              <w:t>5.23 microns.</w:t>
            </w:r>
            <w:r w:rsidR="00C8602D">
              <w:rPr>
                <w:rFonts w:eastAsia="Calibri"/>
              </w:rPr>
              <w:t xml:space="preserve"> </w:t>
            </w:r>
          </w:p>
          <w:p w14:paraId="26C21A3C" w14:textId="77777777" w:rsidR="00C8602D" w:rsidRDefault="00C8602D" w:rsidP="00C8602D">
            <w:pPr>
              <w:pStyle w:val="Standaard-Tabellen"/>
              <w:rPr>
                <w:rFonts w:eastAsia="Calibri"/>
              </w:rPr>
            </w:pPr>
          </w:p>
          <w:p w14:paraId="7F752943" w14:textId="77777777" w:rsidR="00C8602D" w:rsidRDefault="00C8602D" w:rsidP="00C8602D">
            <w:pPr>
              <w:pStyle w:val="Standaard-Tabellen"/>
              <w:rPr>
                <w:rFonts w:eastAsia="Calibri"/>
              </w:rPr>
            </w:pPr>
            <w:r>
              <w:rPr>
                <w:rFonts w:eastAsia="Calibri"/>
              </w:rPr>
              <w:t>F</w:t>
            </w:r>
            <w:r w:rsidRPr="003041A4">
              <w:rPr>
                <w:rFonts w:eastAsia="Calibri"/>
              </w:rPr>
              <w:t>ra</w:t>
            </w:r>
            <w:r>
              <w:rPr>
                <w:rFonts w:eastAsia="Calibri"/>
              </w:rPr>
              <w:t>ction of particles &lt;50µm: 51.79&lt;x&lt;</w:t>
            </w:r>
            <w:r w:rsidRPr="003041A4">
              <w:rPr>
                <w:rFonts w:eastAsia="Calibri"/>
              </w:rPr>
              <w:t>6</w:t>
            </w:r>
            <w:r>
              <w:rPr>
                <w:rFonts w:eastAsia="Calibri"/>
              </w:rPr>
              <w:t>0.27</w:t>
            </w:r>
            <w:r w:rsidRPr="003041A4">
              <w:rPr>
                <w:rFonts w:eastAsia="Calibri"/>
              </w:rPr>
              <w:t xml:space="preserve"> %</w:t>
            </w:r>
          </w:p>
          <w:p w14:paraId="4CBCFBC1" w14:textId="77777777" w:rsidR="00C8602D" w:rsidRDefault="00C8602D" w:rsidP="00C8602D">
            <w:pPr>
              <w:pStyle w:val="Standaard-Tabellen"/>
              <w:rPr>
                <w:rFonts w:eastAsia="Calibri"/>
              </w:rPr>
            </w:pPr>
          </w:p>
          <w:p w14:paraId="0913043E" w14:textId="77777777" w:rsidR="00C8602D" w:rsidRDefault="00C8602D" w:rsidP="00C8602D">
            <w:pPr>
              <w:pStyle w:val="Standaard-Tabellen"/>
              <w:rPr>
                <w:rFonts w:eastAsia="Calibri"/>
              </w:rPr>
            </w:pPr>
            <w:r>
              <w:rPr>
                <w:rFonts w:eastAsia="Calibri"/>
              </w:rPr>
              <w:t>R</w:t>
            </w:r>
            <w:r w:rsidRPr="003041A4">
              <w:rPr>
                <w:rFonts w:eastAsia="Calibri"/>
              </w:rPr>
              <w:t>ange (n=50)</w:t>
            </w:r>
            <w:r>
              <w:rPr>
                <w:rFonts w:eastAsia="Calibri"/>
              </w:rPr>
              <w:t>:</w:t>
            </w:r>
            <w:r w:rsidRPr="003041A4">
              <w:rPr>
                <w:rFonts w:eastAsia="Calibri"/>
              </w:rPr>
              <w:t xml:space="preserve"> </w:t>
            </w:r>
            <w:r>
              <w:rPr>
                <w:rFonts w:eastAsia="Calibri"/>
              </w:rPr>
              <w:t>47.78</w:t>
            </w:r>
            <w:r w:rsidRPr="003041A4">
              <w:rPr>
                <w:rFonts w:eastAsia="Calibri"/>
              </w:rPr>
              <w:t xml:space="preserve"> </w:t>
            </w:r>
            <w:r>
              <w:rPr>
                <w:rFonts w:eastAsia="Calibri"/>
              </w:rPr>
              <w:t>–</w:t>
            </w:r>
            <w:r w:rsidRPr="003041A4">
              <w:rPr>
                <w:rFonts w:eastAsia="Calibri"/>
              </w:rPr>
              <w:t xml:space="preserve"> </w:t>
            </w:r>
            <w:r>
              <w:rPr>
                <w:rFonts w:eastAsia="Calibri"/>
              </w:rPr>
              <w:t>54.86</w:t>
            </w:r>
            <w:r w:rsidRPr="003041A4">
              <w:rPr>
                <w:rFonts w:eastAsia="Calibri"/>
              </w:rPr>
              <w:t xml:space="preserve"> microns</w:t>
            </w:r>
            <w:r>
              <w:rPr>
                <w:rFonts w:eastAsia="Calibri"/>
              </w:rPr>
              <w:t>, with respective means of 59.95 % and 51.46 %.</w:t>
            </w:r>
          </w:p>
          <w:p w14:paraId="38F0A480" w14:textId="77777777" w:rsidR="00854FF9" w:rsidRDefault="00854FF9" w:rsidP="00854FF9">
            <w:pPr>
              <w:pStyle w:val="Standaard-Tabellen"/>
              <w:rPr>
                <w:rFonts w:eastAsia="Calibri"/>
              </w:rPr>
            </w:pPr>
          </w:p>
          <w:p w14:paraId="02E385DD" w14:textId="77777777" w:rsidR="00854FF9" w:rsidRDefault="00854FF9" w:rsidP="00854FF9">
            <w:pPr>
              <w:pStyle w:val="Standaard-Tabellen"/>
              <w:rPr>
                <w:rFonts w:eastAsia="Calibri"/>
              </w:rPr>
            </w:pPr>
          </w:p>
          <w:p w14:paraId="4AABB7FC" w14:textId="77777777" w:rsidR="00C8602D" w:rsidRDefault="00C8602D" w:rsidP="00C8602D">
            <w:pPr>
              <w:pStyle w:val="Standaard-Tabellen"/>
              <w:rPr>
                <w:rFonts w:eastAsia="Calibri"/>
              </w:rPr>
            </w:pPr>
            <w:r>
              <w:rPr>
                <w:rFonts w:eastAsia="Calibri"/>
              </w:rPr>
              <w:t>[</w:t>
            </w:r>
            <w:r w:rsidRPr="00093760">
              <w:rPr>
                <w:rFonts w:eastAsia="Calibri"/>
              </w:rPr>
              <w:t xml:space="preserve">Malvern SprayTec Spectrometer, </w:t>
            </w:r>
            <w:r>
              <w:rPr>
                <w:rFonts w:eastAsia="Calibri"/>
              </w:rPr>
              <w:t>Distance nozzle to beam center: 3cm, Focal length: 200mm, Test time 200ms, Data recording rate: 1000Hz, Optical parameters: 1.34/0/1, Laser wave length: 670nm]</w:t>
            </w:r>
          </w:p>
          <w:p w14:paraId="425B70FC" w14:textId="77777777" w:rsidR="00190DC8" w:rsidRDefault="00190DC8" w:rsidP="00854FF9">
            <w:pPr>
              <w:pStyle w:val="Standaard-Tabellen"/>
              <w:rPr>
                <w:rFonts w:eastAsia="Calibri"/>
              </w:rPr>
            </w:pPr>
          </w:p>
          <w:p w14:paraId="490A5B79" w14:textId="77777777" w:rsidR="00190DC8" w:rsidRDefault="00190DC8" w:rsidP="00190DC8">
            <w:pPr>
              <w:pStyle w:val="Standaard-Tabellen"/>
              <w:rPr>
                <w:rFonts w:eastAsia="Calibri"/>
              </w:rPr>
            </w:pPr>
          </w:p>
          <w:p w14:paraId="2D640853" w14:textId="77777777" w:rsidR="00190DC8" w:rsidRDefault="00190DC8" w:rsidP="00190DC8">
            <w:pPr>
              <w:pStyle w:val="Standaard-Tabellen"/>
              <w:rPr>
                <w:rFonts w:eastAsia="Calibri"/>
              </w:rPr>
            </w:pPr>
            <w:r>
              <w:rPr>
                <w:rFonts w:eastAsia="Calibri"/>
              </w:rPr>
              <w:t>F</w:t>
            </w:r>
            <w:r w:rsidRPr="003041A4">
              <w:rPr>
                <w:rFonts w:eastAsia="Calibri"/>
              </w:rPr>
              <w:t>ra</w:t>
            </w:r>
            <w:r>
              <w:rPr>
                <w:rFonts w:eastAsia="Calibri"/>
              </w:rPr>
              <w:t>ction of particles &lt;10µm: ~1.5</w:t>
            </w:r>
            <w:r w:rsidRPr="003041A4">
              <w:rPr>
                <w:rFonts w:eastAsia="Calibri"/>
              </w:rPr>
              <w:t xml:space="preserve"> %</w:t>
            </w:r>
            <w:r>
              <w:rPr>
                <w:rFonts w:eastAsia="Calibri"/>
              </w:rPr>
              <w:t>.</w:t>
            </w:r>
          </w:p>
          <w:p w14:paraId="71A02A0C" w14:textId="77777777" w:rsidR="00190DC8" w:rsidRDefault="00190DC8" w:rsidP="00190DC8">
            <w:pPr>
              <w:pStyle w:val="Standaard-Tabellen"/>
              <w:rPr>
                <w:rFonts w:eastAsia="Calibri"/>
              </w:rPr>
            </w:pPr>
          </w:p>
          <w:p w14:paraId="2879FCA8" w14:textId="77777777" w:rsidR="00190DC8" w:rsidRDefault="00190DC8" w:rsidP="00190DC8">
            <w:pPr>
              <w:pStyle w:val="Standaard-Tabellen"/>
              <w:rPr>
                <w:rFonts w:eastAsia="Calibri"/>
              </w:rPr>
            </w:pPr>
            <w:r>
              <w:rPr>
                <w:rFonts w:eastAsia="Calibri"/>
              </w:rPr>
              <w:t>R</w:t>
            </w:r>
            <w:r w:rsidRPr="003041A4">
              <w:rPr>
                <w:rFonts w:eastAsia="Calibri"/>
              </w:rPr>
              <w:t>ange (n=</w:t>
            </w:r>
            <w:r>
              <w:rPr>
                <w:rFonts w:eastAsia="Calibri"/>
              </w:rPr>
              <w:t>12</w:t>
            </w:r>
            <w:r w:rsidRPr="003041A4">
              <w:rPr>
                <w:rFonts w:eastAsia="Calibri"/>
              </w:rPr>
              <w:t>)</w:t>
            </w:r>
            <w:r>
              <w:rPr>
                <w:rFonts w:eastAsia="Calibri"/>
              </w:rPr>
              <w:t>:</w:t>
            </w:r>
            <w:r w:rsidRPr="003041A4">
              <w:rPr>
                <w:rFonts w:eastAsia="Calibri"/>
              </w:rPr>
              <w:t xml:space="preserve"> 0.</w:t>
            </w:r>
            <w:r>
              <w:rPr>
                <w:rFonts w:eastAsia="Calibri"/>
              </w:rPr>
              <w:t>9</w:t>
            </w:r>
            <w:r w:rsidRPr="003041A4">
              <w:rPr>
                <w:rFonts w:eastAsia="Calibri"/>
              </w:rPr>
              <w:t xml:space="preserve">8 </w:t>
            </w:r>
            <w:r>
              <w:rPr>
                <w:rFonts w:eastAsia="Calibri"/>
              </w:rPr>
              <w:t>–</w:t>
            </w:r>
            <w:r w:rsidRPr="003041A4">
              <w:rPr>
                <w:rFonts w:eastAsia="Calibri"/>
              </w:rPr>
              <w:t xml:space="preserve"> </w:t>
            </w:r>
            <w:r>
              <w:rPr>
                <w:rFonts w:eastAsia="Calibri"/>
              </w:rPr>
              <w:t>1.95%, with an average of 1.495 % &lt;10</w:t>
            </w:r>
            <w:r w:rsidRPr="003041A4">
              <w:rPr>
                <w:rFonts w:eastAsia="Calibri"/>
              </w:rPr>
              <w:t xml:space="preserve"> microns.</w:t>
            </w:r>
          </w:p>
          <w:p w14:paraId="6ADE7AE4" w14:textId="77777777" w:rsidR="00190DC8" w:rsidRDefault="00190DC8" w:rsidP="00190DC8">
            <w:pPr>
              <w:pStyle w:val="Standaard-Tabellen"/>
              <w:rPr>
                <w:rFonts w:eastAsia="Calibri"/>
              </w:rPr>
            </w:pPr>
          </w:p>
          <w:p w14:paraId="741D7011" w14:textId="3399724B" w:rsidR="00190DC8" w:rsidRPr="00BD2EF1" w:rsidRDefault="00C8602D" w:rsidP="00190DC8">
            <w:pPr>
              <w:pStyle w:val="Standaard-Tabellen"/>
              <w:rPr>
                <w:rFonts w:eastAsia="Calibri"/>
              </w:rPr>
            </w:pPr>
            <w:r>
              <w:rPr>
                <w:rFonts w:eastAsia="Calibri"/>
              </w:rPr>
              <w:t>[</w:t>
            </w:r>
            <w:r w:rsidRPr="00F07537">
              <w:rPr>
                <w:rFonts w:eastAsia="Calibri"/>
              </w:rPr>
              <w:t xml:space="preserve">Malvern SprayTec Spectrometer, </w:t>
            </w:r>
            <w:r>
              <w:rPr>
                <w:rFonts w:eastAsia="Calibri"/>
              </w:rPr>
              <w:t>Focal length: 300mm, Test time 400ms, Data recording rate: 2.5kHz, Laser wave length: 632.8nm]</w:t>
            </w:r>
          </w:p>
        </w:tc>
        <w:tc>
          <w:tcPr>
            <w:tcW w:w="2267" w:type="dxa"/>
          </w:tcPr>
          <w:p w14:paraId="2861241A" w14:textId="77777777" w:rsidR="00854FF9" w:rsidRPr="00093760" w:rsidRDefault="00854FF9" w:rsidP="00854FF9">
            <w:pPr>
              <w:pStyle w:val="Standaard-Tabellen"/>
              <w:rPr>
                <w:rFonts w:eastAsia="Calibri"/>
              </w:rPr>
            </w:pPr>
            <w:r w:rsidRPr="00093760">
              <w:rPr>
                <w:rFonts w:eastAsia="Calibri"/>
              </w:rPr>
              <w:lastRenderedPageBreak/>
              <w:t>214-001, 2005. Fa. Aero Pump GmbH</w:t>
            </w:r>
          </w:p>
          <w:p w14:paraId="31B2D0E3" w14:textId="77777777" w:rsidR="00190DC8" w:rsidRPr="00093760" w:rsidRDefault="00190DC8" w:rsidP="00190DC8">
            <w:pPr>
              <w:pStyle w:val="Standaard-Tabellen"/>
              <w:rPr>
                <w:rFonts w:eastAsia="Calibri"/>
              </w:rPr>
            </w:pPr>
          </w:p>
          <w:p w14:paraId="34046D55" w14:textId="77777777" w:rsidR="00190DC8" w:rsidRPr="00093760" w:rsidRDefault="00190DC8" w:rsidP="00190DC8">
            <w:pPr>
              <w:pStyle w:val="Standaard-Tabellen"/>
              <w:rPr>
                <w:rFonts w:eastAsia="Calibri"/>
              </w:rPr>
            </w:pPr>
          </w:p>
          <w:p w14:paraId="28E319B1" w14:textId="77777777" w:rsidR="00190DC8" w:rsidRPr="00093760" w:rsidRDefault="00190DC8" w:rsidP="00190DC8">
            <w:pPr>
              <w:pStyle w:val="Standaard-Tabellen"/>
              <w:rPr>
                <w:rFonts w:eastAsia="Calibri"/>
              </w:rPr>
            </w:pPr>
          </w:p>
          <w:p w14:paraId="2B5D5D8A" w14:textId="77777777" w:rsidR="00190DC8" w:rsidRPr="00093760" w:rsidRDefault="00190DC8" w:rsidP="00190DC8">
            <w:pPr>
              <w:pStyle w:val="Standaard-Tabellen"/>
              <w:rPr>
                <w:rFonts w:eastAsia="Calibri"/>
              </w:rPr>
            </w:pPr>
          </w:p>
          <w:p w14:paraId="10596BDC" w14:textId="77777777" w:rsidR="00190DC8" w:rsidRPr="00093760" w:rsidRDefault="00190DC8" w:rsidP="00190DC8">
            <w:pPr>
              <w:pStyle w:val="Standaard-Tabellen"/>
              <w:rPr>
                <w:rFonts w:eastAsia="Calibri"/>
              </w:rPr>
            </w:pPr>
          </w:p>
          <w:p w14:paraId="518B83CE" w14:textId="77777777" w:rsidR="00190DC8" w:rsidRPr="00093760" w:rsidRDefault="00190DC8" w:rsidP="00190DC8">
            <w:pPr>
              <w:pStyle w:val="Standaard-Tabellen"/>
              <w:rPr>
                <w:rFonts w:eastAsia="Calibri"/>
              </w:rPr>
            </w:pPr>
          </w:p>
          <w:p w14:paraId="704C481B" w14:textId="77777777" w:rsidR="00190DC8" w:rsidRPr="00BD2EF1" w:rsidRDefault="00190DC8" w:rsidP="00190DC8">
            <w:pPr>
              <w:pStyle w:val="Standaard-Tabellen"/>
              <w:rPr>
                <w:rFonts w:eastAsia="Calibri"/>
              </w:rPr>
            </w:pPr>
            <w:r>
              <w:rPr>
                <w:rFonts w:eastAsia="Calibri"/>
              </w:rPr>
              <w:t>2016. Fa. Aero Pump GmbH</w:t>
            </w:r>
          </w:p>
        </w:tc>
        <w:tc>
          <w:tcPr>
            <w:tcW w:w="2274" w:type="dxa"/>
          </w:tcPr>
          <w:p w14:paraId="1D8F26D5" w14:textId="4C59D24B" w:rsidR="009B4856" w:rsidRPr="00594307" w:rsidRDefault="009B4856" w:rsidP="00F07537">
            <w:pPr>
              <w:pStyle w:val="Standaard-Tabellen"/>
              <w:jc w:val="both"/>
              <w:rPr>
                <w:rFonts w:eastAsia="Calibri"/>
              </w:rPr>
            </w:pPr>
          </w:p>
        </w:tc>
      </w:tr>
      <w:tr w:rsidR="00854FF9" w:rsidRPr="00BD2EF1" w14:paraId="53802345" w14:textId="72C1EE7F" w:rsidTr="00F07537">
        <w:trPr>
          <w:trHeight w:val="305"/>
        </w:trPr>
        <w:tc>
          <w:tcPr>
            <w:tcW w:w="1705" w:type="dxa"/>
          </w:tcPr>
          <w:p w14:paraId="29DD0DD3" w14:textId="77777777" w:rsidR="00854FF9" w:rsidRPr="00BD2EF1" w:rsidRDefault="00854FF9" w:rsidP="00854FF9">
            <w:pPr>
              <w:pStyle w:val="Standaard-Tabellen"/>
              <w:rPr>
                <w:rFonts w:eastAsia="Calibri"/>
              </w:rPr>
            </w:pPr>
            <w:r w:rsidRPr="00BD2EF1">
              <w:rPr>
                <w:rFonts w:eastAsia="Calibri"/>
              </w:rPr>
              <w:t>Chemical compatibility</w:t>
            </w:r>
          </w:p>
        </w:tc>
        <w:tc>
          <w:tcPr>
            <w:tcW w:w="1414" w:type="dxa"/>
          </w:tcPr>
          <w:p w14:paraId="20682D5F" w14:textId="77777777" w:rsidR="00854FF9" w:rsidRPr="00BD2EF1" w:rsidRDefault="00854FF9" w:rsidP="00854FF9">
            <w:pPr>
              <w:pStyle w:val="Standaard-Tabellen"/>
              <w:rPr>
                <w:rFonts w:eastAsia="Calibri"/>
              </w:rPr>
            </w:pPr>
            <w:r w:rsidRPr="00F07537">
              <w:rPr>
                <w:rFonts w:eastAsia="Calibri"/>
                <w:lang w:eastAsia="en-US"/>
              </w:rPr>
              <w:t>Waived</w:t>
            </w:r>
          </w:p>
        </w:tc>
        <w:tc>
          <w:tcPr>
            <w:tcW w:w="1417" w:type="dxa"/>
          </w:tcPr>
          <w:p w14:paraId="57A1678F" w14:textId="77777777" w:rsidR="00854FF9" w:rsidRPr="00BD2EF1" w:rsidRDefault="00854FF9" w:rsidP="00854FF9">
            <w:pPr>
              <w:pStyle w:val="Standaard-Tabellen"/>
              <w:rPr>
                <w:rFonts w:eastAsia="Calibri"/>
              </w:rPr>
            </w:pPr>
            <w:r>
              <w:rPr>
                <w:rFonts w:eastAsia="Calibri"/>
              </w:rPr>
              <w:t>-</w:t>
            </w:r>
          </w:p>
        </w:tc>
        <w:tc>
          <w:tcPr>
            <w:tcW w:w="6799" w:type="dxa"/>
          </w:tcPr>
          <w:p w14:paraId="660EAED1" w14:textId="77777777" w:rsidR="00854FF9" w:rsidRPr="00BD2EF1" w:rsidRDefault="00854FF9" w:rsidP="00854FF9">
            <w:pPr>
              <w:pStyle w:val="Standaard-Tabellen"/>
              <w:rPr>
                <w:rFonts w:eastAsia="Calibri"/>
              </w:rPr>
            </w:pPr>
            <w:r w:rsidRPr="00C34EB6">
              <w:rPr>
                <w:rFonts w:eastAsia="Calibri"/>
              </w:rPr>
              <w:t>The biocidal product is not intended to be added or mixed with any other products.</w:t>
            </w:r>
          </w:p>
        </w:tc>
        <w:tc>
          <w:tcPr>
            <w:tcW w:w="2267" w:type="dxa"/>
          </w:tcPr>
          <w:p w14:paraId="5C5567E8" w14:textId="77777777" w:rsidR="00854FF9" w:rsidRPr="00BD2EF1" w:rsidRDefault="00854FF9" w:rsidP="00854FF9">
            <w:pPr>
              <w:pStyle w:val="Standaard-Tabellen"/>
              <w:rPr>
                <w:rFonts w:eastAsia="Calibri"/>
              </w:rPr>
            </w:pPr>
            <w:r>
              <w:rPr>
                <w:rFonts w:eastAsia="Calibri"/>
              </w:rPr>
              <w:t>-</w:t>
            </w:r>
          </w:p>
        </w:tc>
        <w:tc>
          <w:tcPr>
            <w:tcW w:w="2274" w:type="dxa"/>
          </w:tcPr>
          <w:p w14:paraId="792EAC9D" w14:textId="63C5534B" w:rsidR="009B4856" w:rsidRPr="00093760" w:rsidRDefault="009B4856" w:rsidP="009B4856">
            <w:pPr>
              <w:pStyle w:val="Standaard-Tabellen"/>
              <w:rPr>
                <w:rFonts w:eastAsia="Calibri"/>
              </w:rPr>
            </w:pPr>
          </w:p>
        </w:tc>
      </w:tr>
      <w:tr w:rsidR="00854FF9" w:rsidRPr="00BD2EF1" w14:paraId="1DC07267" w14:textId="568426FF" w:rsidTr="00F07537">
        <w:trPr>
          <w:trHeight w:val="274"/>
        </w:trPr>
        <w:tc>
          <w:tcPr>
            <w:tcW w:w="1705" w:type="dxa"/>
          </w:tcPr>
          <w:p w14:paraId="75D5EECC" w14:textId="77777777" w:rsidR="00854FF9" w:rsidRPr="00BD2EF1" w:rsidRDefault="00854FF9" w:rsidP="00854FF9">
            <w:pPr>
              <w:pStyle w:val="Standaard-Tabellen"/>
              <w:rPr>
                <w:rFonts w:eastAsia="Calibri"/>
              </w:rPr>
            </w:pPr>
            <w:r w:rsidRPr="00BD2EF1">
              <w:rPr>
                <w:rFonts w:eastAsia="Calibri"/>
              </w:rPr>
              <w:t>Degree of dissolution and dilution stability</w:t>
            </w:r>
          </w:p>
        </w:tc>
        <w:tc>
          <w:tcPr>
            <w:tcW w:w="1414" w:type="dxa"/>
          </w:tcPr>
          <w:p w14:paraId="2B36F50F" w14:textId="77777777" w:rsidR="00854FF9" w:rsidRPr="00BD2EF1" w:rsidRDefault="00854FF9" w:rsidP="00854FF9">
            <w:pPr>
              <w:pStyle w:val="Standaard-Tabellen"/>
              <w:rPr>
                <w:rFonts w:eastAsia="Calibri"/>
              </w:rPr>
            </w:pPr>
            <w:r w:rsidRPr="00F07537">
              <w:rPr>
                <w:rFonts w:eastAsia="Calibri"/>
                <w:lang w:eastAsia="en-US"/>
              </w:rPr>
              <w:t>Waived</w:t>
            </w:r>
          </w:p>
        </w:tc>
        <w:tc>
          <w:tcPr>
            <w:tcW w:w="1417" w:type="dxa"/>
          </w:tcPr>
          <w:p w14:paraId="7663F81E" w14:textId="77777777" w:rsidR="00854FF9" w:rsidRPr="00BD2EF1" w:rsidRDefault="00854FF9" w:rsidP="00854FF9">
            <w:pPr>
              <w:pStyle w:val="Standaard-Tabellen"/>
              <w:rPr>
                <w:rFonts w:eastAsia="Calibri"/>
              </w:rPr>
            </w:pPr>
            <w:r>
              <w:rPr>
                <w:rFonts w:eastAsia="Calibri"/>
              </w:rPr>
              <w:t>-</w:t>
            </w:r>
          </w:p>
        </w:tc>
        <w:tc>
          <w:tcPr>
            <w:tcW w:w="6799" w:type="dxa"/>
          </w:tcPr>
          <w:p w14:paraId="74329586" w14:textId="77777777" w:rsidR="00854FF9" w:rsidRPr="00BD2EF1" w:rsidRDefault="00854FF9" w:rsidP="00854FF9">
            <w:pPr>
              <w:pStyle w:val="Standaard-Tabellen"/>
              <w:rPr>
                <w:rFonts w:eastAsia="Calibri"/>
              </w:rPr>
            </w:pPr>
            <w:r w:rsidRPr="00C34EB6">
              <w:rPr>
                <w:rFonts w:eastAsia="Calibri"/>
              </w:rPr>
              <w:t>The biocidal product is not intended to be added or mixed with any other products.</w:t>
            </w:r>
          </w:p>
        </w:tc>
        <w:tc>
          <w:tcPr>
            <w:tcW w:w="2267" w:type="dxa"/>
          </w:tcPr>
          <w:p w14:paraId="539F34FB" w14:textId="77777777" w:rsidR="00854FF9" w:rsidRPr="00BD2EF1" w:rsidRDefault="00854FF9" w:rsidP="00854FF9">
            <w:pPr>
              <w:pStyle w:val="Standaard-Tabellen"/>
              <w:rPr>
                <w:rFonts w:eastAsia="Calibri"/>
              </w:rPr>
            </w:pPr>
            <w:r>
              <w:rPr>
                <w:rFonts w:eastAsia="Calibri"/>
              </w:rPr>
              <w:t>-</w:t>
            </w:r>
          </w:p>
        </w:tc>
        <w:tc>
          <w:tcPr>
            <w:tcW w:w="2274" w:type="dxa"/>
          </w:tcPr>
          <w:p w14:paraId="22F482E2" w14:textId="050BF1DC" w:rsidR="009B4856" w:rsidRPr="00093760" w:rsidRDefault="009B4856" w:rsidP="009B4856">
            <w:pPr>
              <w:pStyle w:val="Standaard-Tabellen"/>
              <w:rPr>
                <w:rFonts w:eastAsia="Calibri"/>
              </w:rPr>
            </w:pPr>
          </w:p>
        </w:tc>
      </w:tr>
      <w:tr w:rsidR="00190DC8" w:rsidRPr="00BD2EF1" w14:paraId="4985671A" w14:textId="13822B49" w:rsidTr="00F07537">
        <w:trPr>
          <w:trHeight w:val="1103"/>
        </w:trPr>
        <w:tc>
          <w:tcPr>
            <w:tcW w:w="1705" w:type="dxa"/>
          </w:tcPr>
          <w:p w14:paraId="7AF19E80" w14:textId="77777777" w:rsidR="00190DC8" w:rsidRPr="00BD2EF1" w:rsidRDefault="00190DC8" w:rsidP="00190DC8">
            <w:pPr>
              <w:pStyle w:val="Standaard-Tabellen"/>
              <w:rPr>
                <w:rFonts w:eastAsia="Calibri"/>
              </w:rPr>
            </w:pPr>
            <w:r w:rsidRPr="00A411E7">
              <w:rPr>
                <w:rFonts w:eastAsia="Calibri"/>
              </w:rPr>
              <w:t>Surface tension</w:t>
            </w:r>
          </w:p>
        </w:tc>
        <w:tc>
          <w:tcPr>
            <w:tcW w:w="1414" w:type="dxa"/>
          </w:tcPr>
          <w:p w14:paraId="225A8079" w14:textId="77777777" w:rsidR="00190DC8" w:rsidRPr="00BD2EF1" w:rsidRDefault="00190DC8" w:rsidP="00190DC8">
            <w:pPr>
              <w:pStyle w:val="Standaard-Tabellen"/>
              <w:rPr>
                <w:rFonts w:eastAsia="Calibri"/>
              </w:rPr>
            </w:pPr>
            <w:r w:rsidRPr="00F714BC">
              <w:rPr>
                <w:rFonts w:eastAsia="Calibri"/>
                <w:lang w:eastAsia="en-US"/>
              </w:rPr>
              <w:t>OECD Test Guideline 11</w:t>
            </w:r>
            <w:r>
              <w:rPr>
                <w:rFonts w:eastAsia="Calibri"/>
                <w:lang w:eastAsia="en-US"/>
              </w:rPr>
              <w:t>5</w:t>
            </w:r>
          </w:p>
        </w:tc>
        <w:tc>
          <w:tcPr>
            <w:tcW w:w="1417" w:type="dxa"/>
          </w:tcPr>
          <w:p w14:paraId="04FF720F" w14:textId="06B3660A" w:rsidR="00E34B9F" w:rsidRDefault="005E5F5C" w:rsidP="001524E0">
            <w:pPr>
              <w:tabs>
                <w:tab w:val="left" w:pos="64"/>
              </w:tabs>
              <w:spacing w:before="0" w:after="0"/>
              <w:rPr>
                <w:rFonts w:eastAsia="Calibri"/>
              </w:rPr>
            </w:pPr>
            <w:r w:rsidRPr="005E5F5C">
              <w:rPr>
                <w:rFonts w:eastAsia="Calibri"/>
                <w:bCs/>
                <w:sz w:val="18"/>
                <w:szCs w:val="24"/>
                <w:lang w:eastAsia="en-GB"/>
              </w:rPr>
              <w:t>Insect Repellent Pump Spray Lice IR3535</w:t>
            </w:r>
            <w:r w:rsidRPr="005E5F5C">
              <w:rPr>
                <w:rFonts w:eastAsia="Calibri"/>
                <w:bCs/>
                <w:sz w:val="18"/>
                <w:szCs w:val="24"/>
                <w:vertAlign w:val="superscript"/>
                <w:lang w:eastAsia="en-GB"/>
              </w:rPr>
              <w:t>®</w:t>
            </w:r>
            <w:r w:rsidRPr="005E5F5C">
              <w:rPr>
                <w:rFonts w:eastAsia="Calibri"/>
                <w:bCs/>
                <w:sz w:val="18"/>
                <w:szCs w:val="24"/>
                <w:lang w:eastAsia="en-GB"/>
              </w:rPr>
              <w:t xml:space="preserve"> 20</w:t>
            </w:r>
            <w:r>
              <w:rPr>
                <w:rFonts w:eastAsia="Calibri"/>
                <w:bCs/>
                <w:sz w:val="18"/>
                <w:szCs w:val="24"/>
                <w:lang w:eastAsia="en-GB"/>
              </w:rPr>
              <w:t xml:space="preserve">% </w:t>
            </w:r>
          </w:p>
        </w:tc>
        <w:tc>
          <w:tcPr>
            <w:tcW w:w="6799" w:type="dxa"/>
          </w:tcPr>
          <w:p w14:paraId="56C76398" w14:textId="77777777" w:rsidR="00190DC8" w:rsidRPr="008303FE" w:rsidRDefault="00190DC8" w:rsidP="00190DC8">
            <w:pPr>
              <w:rPr>
                <w:rFonts w:eastAsia="Calibri"/>
                <w:sz w:val="18"/>
                <w:szCs w:val="18"/>
              </w:rPr>
            </w:pPr>
            <w:r w:rsidRPr="008303FE">
              <w:rPr>
                <w:rFonts w:eastAsia="Calibri"/>
                <w:sz w:val="18"/>
                <w:szCs w:val="18"/>
              </w:rPr>
              <w:t>29.447 mN/m</w:t>
            </w:r>
          </w:p>
          <w:p w14:paraId="3A449643" w14:textId="77777777" w:rsidR="00190DC8" w:rsidRPr="008303FE" w:rsidRDefault="00190DC8" w:rsidP="00190DC8">
            <w:pPr>
              <w:rPr>
                <w:rFonts w:eastAsia="Calibri"/>
                <w:sz w:val="18"/>
                <w:szCs w:val="18"/>
              </w:rPr>
            </w:pPr>
          </w:p>
          <w:p w14:paraId="74454C39" w14:textId="77777777" w:rsidR="00190DC8" w:rsidRPr="00BD2EF1" w:rsidRDefault="00190DC8" w:rsidP="00190DC8">
            <w:pPr>
              <w:pStyle w:val="Standaard-Tabellen"/>
              <w:rPr>
                <w:rFonts w:eastAsia="Calibri"/>
              </w:rPr>
            </w:pPr>
            <w:r w:rsidRPr="00713DED">
              <w:rPr>
                <w:rFonts w:eastAsia="Calibri"/>
                <w:szCs w:val="18"/>
              </w:rPr>
              <w:t>[At 20°C ± 0.5°C, DCAT11 tensiometer]</w:t>
            </w:r>
          </w:p>
        </w:tc>
        <w:tc>
          <w:tcPr>
            <w:tcW w:w="2267" w:type="dxa"/>
          </w:tcPr>
          <w:p w14:paraId="218A1647" w14:textId="77777777" w:rsidR="00190DC8" w:rsidRPr="00BD2EF1" w:rsidRDefault="00190DC8" w:rsidP="00190DC8">
            <w:pPr>
              <w:pStyle w:val="Standaard-Tabellen"/>
              <w:rPr>
                <w:rFonts w:eastAsia="Calibri"/>
              </w:rPr>
            </w:pPr>
            <w:r w:rsidRPr="00F07537">
              <w:rPr>
                <w:rFonts w:eastAsia="Calibri"/>
                <w:szCs w:val="18"/>
              </w:rPr>
              <w:t>009093 - IR3535_Ref Formulations surgace tension visco_Reg.Aff, Zur Lage, J., 2016. Merck.</w:t>
            </w:r>
          </w:p>
        </w:tc>
        <w:tc>
          <w:tcPr>
            <w:tcW w:w="2274" w:type="dxa"/>
          </w:tcPr>
          <w:p w14:paraId="13F820DE" w14:textId="1B2B1AD3" w:rsidR="009B4856" w:rsidRPr="00594307" w:rsidRDefault="009B4856" w:rsidP="009B4856">
            <w:pPr>
              <w:pStyle w:val="Standaard-Tabellen"/>
              <w:rPr>
                <w:rFonts w:eastAsia="Calibri"/>
              </w:rPr>
            </w:pPr>
          </w:p>
        </w:tc>
      </w:tr>
      <w:tr w:rsidR="00190DC8" w:rsidRPr="00BD2EF1" w14:paraId="2CA36905" w14:textId="4B9664B8" w:rsidTr="00F07537">
        <w:trPr>
          <w:trHeight w:val="2624"/>
        </w:trPr>
        <w:tc>
          <w:tcPr>
            <w:tcW w:w="1705" w:type="dxa"/>
          </w:tcPr>
          <w:p w14:paraId="1DD12AF6" w14:textId="77777777" w:rsidR="00190DC8" w:rsidRPr="00BD2EF1" w:rsidRDefault="00190DC8" w:rsidP="00190DC8">
            <w:pPr>
              <w:pStyle w:val="Standaard-Tabellen"/>
              <w:rPr>
                <w:rFonts w:eastAsia="Calibri"/>
              </w:rPr>
            </w:pPr>
            <w:r w:rsidRPr="00A411E7">
              <w:rPr>
                <w:rFonts w:eastAsia="Calibri"/>
              </w:rPr>
              <w:t>Viscosity</w:t>
            </w:r>
          </w:p>
        </w:tc>
        <w:tc>
          <w:tcPr>
            <w:tcW w:w="1414" w:type="dxa"/>
          </w:tcPr>
          <w:p w14:paraId="7C69E306" w14:textId="77777777" w:rsidR="00190DC8" w:rsidRPr="00BD2EF1" w:rsidRDefault="00190DC8" w:rsidP="00190DC8">
            <w:pPr>
              <w:pStyle w:val="Standaard-Tabellen"/>
              <w:rPr>
                <w:rFonts w:eastAsia="Calibri"/>
              </w:rPr>
            </w:pPr>
            <w:r w:rsidRPr="00F714BC">
              <w:rPr>
                <w:rFonts w:eastAsia="Calibri"/>
                <w:lang w:eastAsia="en-US"/>
              </w:rPr>
              <w:t>OECD Test Guideline 114</w:t>
            </w:r>
          </w:p>
        </w:tc>
        <w:tc>
          <w:tcPr>
            <w:tcW w:w="1417" w:type="dxa"/>
          </w:tcPr>
          <w:p w14:paraId="05375E36" w14:textId="2B5E527E" w:rsidR="00190DC8" w:rsidRPr="00BD2EF1" w:rsidRDefault="005E5F5C" w:rsidP="00190DC8">
            <w:pPr>
              <w:pStyle w:val="Standaard-Tabellen"/>
              <w:rPr>
                <w:rFonts w:eastAsia="Calibri"/>
              </w:rPr>
            </w:pPr>
            <w:r w:rsidRPr="005E5F5C">
              <w:rPr>
                <w:rFonts w:eastAsia="Calibri"/>
              </w:rPr>
              <w:t>Insect Repellent Pump Spray Lice IR3535</w:t>
            </w:r>
            <w:r w:rsidRPr="005E5F5C">
              <w:rPr>
                <w:rFonts w:eastAsia="Calibri"/>
                <w:vertAlign w:val="superscript"/>
              </w:rPr>
              <w:t>®</w:t>
            </w:r>
            <w:r w:rsidRPr="005E5F5C">
              <w:rPr>
                <w:rFonts w:eastAsia="Calibri"/>
              </w:rPr>
              <w:t xml:space="preserve"> 20</w:t>
            </w:r>
            <w:r>
              <w:rPr>
                <w:rFonts w:eastAsia="Calibri"/>
                <w:bCs w:val="0"/>
              </w:rPr>
              <w:t>%</w:t>
            </w:r>
          </w:p>
        </w:tc>
        <w:tc>
          <w:tcPr>
            <w:tcW w:w="6799" w:type="dxa"/>
          </w:tcPr>
          <w:p w14:paraId="3825E900" w14:textId="77777777" w:rsidR="00190DC8" w:rsidRPr="008303FE" w:rsidRDefault="00190DC8" w:rsidP="00190DC8">
            <w:pPr>
              <w:rPr>
                <w:rFonts w:eastAsia="Calibri"/>
                <w:sz w:val="18"/>
                <w:szCs w:val="18"/>
              </w:rPr>
            </w:pPr>
            <w:r w:rsidRPr="008303FE">
              <w:rPr>
                <w:rFonts w:eastAsia="Calibri"/>
                <w:sz w:val="18"/>
                <w:szCs w:val="18"/>
              </w:rPr>
              <w:t>5.66 mPa s</w:t>
            </w:r>
          </w:p>
          <w:p w14:paraId="2168855C" w14:textId="77777777" w:rsidR="00190DC8" w:rsidRPr="008303FE" w:rsidRDefault="00190DC8" w:rsidP="00190DC8">
            <w:pPr>
              <w:rPr>
                <w:rFonts w:eastAsia="Calibri"/>
                <w:sz w:val="18"/>
                <w:szCs w:val="18"/>
              </w:rPr>
            </w:pPr>
          </w:p>
          <w:p w14:paraId="41D0E487" w14:textId="0FE8D734" w:rsidR="00190DC8" w:rsidRPr="008303FE" w:rsidRDefault="00190DC8" w:rsidP="00190DC8">
            <w:pPr>
              <w:rPr>
                <w:rFonts w:eastAsia="Calibri"/>
                <w:sz w:val="18"/>
                <w:szCs w:val="18"/>
              </w:rPr>
            </w:pPr>
            <w:r w:rsidRPr="008303FE">
              <w:rPr>
                <w:rFonts w:eastAsia="Calibri"/>
                <w:sz w:val="18"/>
                <w:szCs w:val="18"/>
              </w:rPr>
              <w:t>[</w:t>
            </w:r>
            <w:r w:rsidR="00C8602D">
              <w:rPr>
                <w:rFonts w:eastAsia="Calibri"/>
                <w:szCs w:val="18"/>
              </w:rPr>
              <w:t>N</w:t>
            </w:r>
            <w:r w:rsidR="00C8602D">
              <w:rPr>
                <w:rFonts w:eastAsia="Calibri"/>
              </w:rPr>
              <w:t>eat product a</w:t>
            </w:r>
            <w:r w:rsidRPr="008303FE">
              <w:rPr>
                <w:rFonts w:eastAsia="Calibri"/>
                <w:sz w:val="18"/>
                <w:szCs w:val="18"/>
              </w:rPr>
              <w:t>t 20°C ± 0.2°C, rotational viscometer]</w:t>
            </w:r>
          </w:p>
          <w:p w14:paraId="05DBDB2D" w14:textId="77777777" w:rsidR="00190DC8" w:rsidRPr="008303FE" w:rsidRDefault="00190DC8" w:rsidP="00190DC8">
            <w:pPr>
              <w:rPr>
                <w:rFonts w:eastAsia="Calibri"/>
                <w:sz w:val="18"/>
                <w:szCs w:val="18"/>
              </w:rPr>
            </w:pPr>
          </w:p>
          <w:p w14:paraId="5E73EF70" w14:textId="77777777" w:rsidR="00190DC8" w:rsidRPr="008303FE" w:rsidRDefault="00190DC8" w:rsidP="00190DC8">
            <w:pPr>
              <w:rPr>
                <w:rFonts w:eastAsia="Calibri"/>
                <w:sz w:val="18"/>
                <w:szCs w:val="18"/>
              </w:rPr>
            </w:pPr>
            <w:r w:rsidRPr="008303FE">
              <w:rPr>
                <w:rFonts w:eastAsia="Calibri"/>
                <w:sz w:val="18"/>
                <w:szCs w:val="18"/>
              </w:rPr>
              <w:t>3.17 mPa s</w:t>
            </w:r>
          </w:p>
          <w:p w14:paraId="20B58E54" w14:textId="77777777" w:rsidR="00190DC8" w:rsidRPr="008303FE" w:rsidRDefault="00190DC8" w:rsidP="00190DC8">
            <w:pPr>
              <w:rPr>
                <w:rFonts w:eastAsia="Calibri"/>
                <w:sz w:val="18"/>
                <w:szCs w:val="18"/>
              </w:rPr>
            </w:pPr>
          </w:p>
          <w:p w14:paraId="0C0DB378" w14:textId="7E1AADD8" w:rsidR="00C8602D" w:rsidRDefault="00190DC8" w:rsidP="00C8602D">
            <w:pPr>
              <w:pStyle w:val="Standaard-Tabellen"/>
              <w:rPr>
                <w:rFonts w:eastAsia="Calibri"/>
                <w:szCs w:val="18"/>
              </w:rPr>
            </w:pPr>
            <w:r w:rsidRPr="00713DED">
              <w:rPr>
                <w:rFonts w:eastAsia="Calibri"/>
                <w:szCs w:val="18"/>
              </w:rPr>
              <w:t>[At 40°C ± 0.2°C, rotational viscometer]</w:t>
            </w:r>
            <w:r w:rsidR="00C8602D">
              <w:rPr>
                <w:rFonts w:eastAsia="Calibri"/>
                <w:szCs w:val="18"/>
              </w:rPr>
              <w:t xml:space="preserve"> </w:t>
            </w:r>
          </w:p>
          <w:p w14:paraId="04AACB6E" w14:textId="77777777" w:rsidR="00C8602D" w:rsidRDefault="00C8602D" w:rsidP="00C8602D">
            <w:pPr>
              <w:pStyle w:val="Standaard-Tabellen"/>
              <w:rPr>
                <w:rFonts w:eastAsia="Calibri"/>
                <w:szCs w:val="18"/>
              </w:rPr>
            </w:pPr>
          </w:p>
          <w:p w14:paraId="702202E8" w14:textId="274ADD5B" w:rsidR="00190DC8" w:rsidRPr="00BD2EF1" w:rsidRDefault="00C8602D" w:rsidP="00C8602D">
            <w:pPr>
              <w:pStyle w:val="Standaard-Tabellen"/>
              <w:rPr>
                <w:rFonts w:eastAsia="Calibri"/>
              </w:rPr>
            </w:pPr>
            <w:r>
              <w:rPr>
                <w:rFonts w:eastAsia="Calibri"/>
              </w:rPr>
              <w:t xml:space="preserve">Product with </w:t>
            </w:r>
            <w:r w:rsidRPr="001C162D">
              <w:rPr>
                <w:rFonts w:eastAsia="Calibri"/>
              </w:rPr>
              <w:t>Newtonian behaviour</w:t>
            </w:r>
          </w:p>
        </w:tc>
        <w:tc>
          <w:tcPr>
            <w:tcW w:w="2267" w:type="dxa"/>
          </w:tcPr>
          <w:p w14:paraId="63D668AD" w14:textId="77777777" w:rsidR="00190DC8" w:rsidRPr="00F07537" w:rsidRDefault="00190DC8" w:rsidP="00190DC8">
            <w:pPr>
              <w:rPr>
                <w:rFonts w:eastAsia="Calibri"/>
                <w:sz w:val="18"/>
                <w:szCs w:val="18"/>
              </w:rPr>
            </w:pPr>
            <w:r w:rsidRPr="00F07537">
              <w:rPr>
                <w:rFonts w:eastAsia="Calibri"/>
                <w:sz w:val="18"/>
                <w:szCs w:val="18"/>
              </w:rPr>
              <w:t>009093 - IR3535_Ref Formulations surface tension visco_Reg.Aff, Zur Lage, J., 2016. Merck.</w:t>
            </w:r>
          </w:p>
          <w:p w14:paraId="337AB25B" w14:textId="77777777" w:rsidR="00190DC8" w:rsidRPr="00F07537" w:rsidRDefault="00190DC8" w:rsidP="00190DC8">
            <w:pPr>
              <w:rPr>
                <w:rFonts w:eastAsia="Calibri"/>
                <w:sz w:val="18"/>
                <w:szCs w:val="18"/>
              </w:rPr>
            </w:pPr>
          </w:p>
          <w:p w14:paraId="05190A0E" w14:textId="77777777" w:rsidR="00190DC8" w:rsidRPr="00BD2EF1" w:rsidRDefault="00190DC8" w:rsidP="00190DC8">
            <w:pPr>
              <w:pStyle w:val="Standaard-Tabellen"/>
              <w:rPr>
                <w:rFonts w:eastAsia="Calibri"/>
              </w:rPr>
            </w:pPr>
            <w:r w:rsidRPr="008303FE">
              <w:rPr>
                <w:rFonts w:eastAsia="Calibri"/>
                <w:bCs w:val="0"/>
                <w:szCs w:val="18"/>
              </w:rPr>
              <w:t xml:space="preserve">009093 - IR3535_Ref Formulations Surface tension Viscosity_Reg.Aff, Zur Lage, J., 2016. </w:t>
            </w:r>
            <w:r w:rsidRPr="00F07537">
              <w:rPr>
                <w:rFonts w:eastAsia="Calibri"/>
                <w:szCs w:val="18"/>
              </w:rPr>
              <w:t>Merck.</w:t>
            </w:r>
          </w:p>
        </w:tc>
        <w:tc>
          <w:tcPr>
            <w:tcW w:w="2274" w:type="dxa"/>
          </w:tcPr>
          <w:p w14:paraId="0268BD2B" w14:textId="3E2C9B9A" w:rsidR="009B4856" w:rsidRPr="00594307" w:rsidRDefault="009B4856" w:rsidP="009B4856">
            <w:pPr>
              <w:rPr>
                <w:rFonts w:eastAsia="Calibri"/>
              </w:rPr>
            </w:pPr>
          </w:p>
        </w:tc>
      </w:tr>
    </w:tbl>
    <w:p w14:paraId="1400A58F" w14:textId="77777777" w:rsidR="0028480A" w:rsidRPr="00BD2EF1" w:rsidRDefault="0028480A" w:rsidP="0028480A">
      <w:pPr>
        <w:rPr>
          <w:lang w:eastAsia="en-US"/>
        </w:rPr>
      </w:pPr>
    </w:p>
    <w:tbl>
      <w:tblPr>
        <w:tblW w:w="533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303"/>
      </w:tblGrid>
      <w:tr w:rsidR="0028480A" w:rsidRPr="00BD2EF1" w14:paraId="505FB568" w14:textId="77777777" w:rsidTr="00F07537">
        <w:tc>
          <w:tcPr>
            <w:tcW w:w="5000" w:type="pct"/>
            <w:tcBorders>
              <w:top w:val="single" w:sz="4" w:space="0" w:color="auto"/>
              <w:left w:val="single" w:sz="4" w:space="0" w:color="auto"/>
              <w:bottom w:val="single" w:sz="6" w:space="0" w:color="auto"/>
              <w:right w:val="single" w:sz="6" w:space="0" w:color="auto"/>
            </w:tcBorders>
            <w:shd w:val="clear" w:color="auto" w:fill="CCFFCC"/>
          </w:tcPr>
          <w:p w14:paraId="77DC1006" w14:textId="77777777" w:rsidR="0028480A" w:rsidRPr="00854FF9" w:rsidRDefault="0028480A" w:rsidP="00FF76D2">
            <w:pPr>
              <w:rPr>
                <w:rFonts w:eastAsia="Calibri"/>
                <w:b/>
                <w:bCs/>
                <w:lang w:eastAsia="en-US"/>
              </w:rPr>
            </w:pPr>
            <w:r w:rsidRPr="00854FF9">
              <w:rPr>
                <w:rFonts w:eastAsia="Calibri"/>
                <w:b/>
                <w:bCs/>
                <w:lang w:eastAsia="en-US"/>
              </w:rPr>
              <w:t>Conclusion on the p</w:t>
            </w:r>
            <w:r w:rsidRPr="00854FF9">
              <w:rPr>
                <w:rFonts w:eastAsia="Calibri"/>
                <w:b/>
              </w:rPr>
              <w:t>hysical, chemical and technical properties</w:t>
            </w:r>
            <w:r w:rsidRPr="00854FF9">
              <w:rPr>
                <w:rFonts w:eastAsia="Calibri"/>
                <w:b/>
                <w:bCs/>
                <w:lang w:eastAsia="en-US"/>
              </w:rPr>
              <w:t xml:space="preserve"> of the product</w:t>
            </w:r>
          </w:p>
        </w:tc>
      </w:tr>
      <w:tr w:rsidR="0028480A" w:rsidRPr="00BD2EF1" w14:paraId="7E3178FA" w14:textId="77777777" w:rsidTr="00F0753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2BF411C" w14:textId="506D30D1" w:rsidR="0028480A" w:rsidRPr="00F07537" w:rsidRDefault="00A12E9F" w:rsidP="00404BE0">
            <w:pPr>
              <w:rPr>
                <w:rFonts w:eastAsia="Calibri"/>
                <w:lang w:eastAsia="en-US"/>
              </w:rPr>
            </w:pPr>
            <w:r>
              <w:rPr>
                <w:rFonts w:eastAsia="Calibri"/>
                <w:lang w:eastAsia="en-US"/>
              </w:rPr>
              <w:t>The Insect Repellent Pump Spray Lice IR3535</w:t>
            </w:r>
            <w:r w:rsidRPr="00854FF9">
              <w:rPr>
                <w:rFonts w:eastAsia="Calibri"/>
                <w:vertAlign w:val="superscript"/>
                <w:lang w:eastAsia="en-US"/>
              </w:rPr>
              <w:t>®</w:t>
            </w:r>
            <w:r>
              <w:rPr>
                <w:rFonts w:eastAsia="Calibri"/>
                <w:lang w:eastAsia="en-US"/>
              </w:rPr>
              <w:t xml:space="preserve"> 20% as manufactured is a clear, colourless to slightly yellowish, homogenous liquid with a mild characteristic, slight alcoholic smell. The relative density of the product is 0.951 g/mL at 20 °C. At 20°C and a concentration between 1.0 vol% and 100 vol%, the pH value is between 5.7 and 6.7. The product has a long term stability, with changes in active substance content smaller than 10% for up to and including 18 months, and is stable under cold and accelerated storage conditions. The shelf life of the product is 2 years. Light </w:t>
            </w:r>
            <w:r>
              <w:rPr>
                <w:rFonts w:eastAsia="Calibri"/>
                <w:lang w:eastAsia="en-US"/>
              </w:rPr>
              <w:lastRenderedPageBreak/>
              <w:t>influence is avoided by using a lightproof plastic packaging. There are no humidity effects expected in that closed package. The product should not be stored for prolonged times (more than 8 weeks) at temperatures &gt;40°C. Based on read-across with the Pump Spray IR3535 15%, more than 99.4% of particle fraction is greater than or equal to 5 microns. The surface tension is 29.447 mN/m and the viscosity at 20°C is 5.66 mPa.s. At 40°C the viscosity is 3.17 mPa.s. Physical and chemical compatibility with other products are not relevant.</w:t>
            </w:r>
          </w:p>
        </w:tc>
      </w:tr>
    </w:tbl>
    <w:p w14:paraId="745C6EB2" w14:textId="42622892" w:rsidR="00B42FC2" w:rsidRDefault="00B42FC2" w:rsidP="00404BE0">
      <w:pPr>
        <w:rPr>
          <w:lang w:eastAsia="en-US"/>
        </w:rPr>
      </w:pPr>
    </w:p>
    <w:p w14:paraId="35E8FA31" w14:textId="77777777" w:rsidR="009461FB" w:rsidRPr="008D7EDC" w:rsidRDefault="009461FB" w:rsidP="008D7EDC">
      <w:pPr>
        <w:pStyle w:val="Paragraphedeliste"/>
        <w:numPr>
          <w:ilvl w:val="0"/>
          <w:numId w:val="68"/>
        </w:numPr>
        <w:shd w:val="clear" w:color="auto" w:fill="FFFFFF" w:themeFill="background1"/>
        <w:rPr>
          <w:rFonts w:eastAsia="Calibri"/>
          <w:b/>
          <w:lang w:eastAsia="en-US"/>
        </w:rPr>
      </w:pPr>
      <w:r w:rsidRPr="008D7EDC">
        <w:rPr>
          <w:rFonts w:eastAsia="Calibri"/>
          <w:b/>
          <w:lang w:eastAsia="en-US"/>
        </w:rPr>
        <w:t>MAJOR CHANGE FOR SPRAY REPULSIF IR200 – 2019 (FR CA)</w:t>
      </w:r>
    </w:p>
    <w:p w14:paraId="4ABB492C" w14:textId="77777777" w:rsidR="009461FB" w:rsidRDefault="009461FB" w:rsidP="008D7EDC">
      <w:pPr>
        <w:shd w:val="clear" w:color="auto" w:fill="FFFFFF" w:themeFill="background1"/>
        <w:rPr>
          <w:lang w:eastAsia="en-US"/>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1414"/>
        <w:gridCol w:w="1417"/>
        <w:gridCol w:w="6799"/>
        <w:gridCol w:w="2267"/>
        <w:gridCol w:w="2274"/>
      </w:tblGrid>
      <w:tr w:rsidR="00B42FC2" w:rsidRPr="00FD5106" w14:paraId="5FF030F5" w14:textId="77777777" w:rsidTr="008D7EDC">
        <w:trPr>
          <w:cantSplit/>
          <w:trHeight w:val="644"/>
        </w:trPr>
        <w:tc>
          <w:tcPr>
            <w:tcW w:w="1705" w:type="dxa"/>
            <w:shd w:val="clear" w:color="auto" w:fill="FFFFFF" w:themeFill="background1"/>
            <w:vAlign w:val="center"/>
          </w:tcPr>
          <w:p w14:paraId="3DA8B086" w14:textId="6A0D7B87" w:rsidR="00B42FC2" w:rsidRPr="00FD5106" w:rsidRDefault="00B42FC2" w:rsidP="008D7EDC">
            <w:pPr>
              <w:pStyle w:val="Standaard-Tabellen"/>
              <w:shd w:val="clear" w:color="auto" w:fill="FFFFFF" w:themeFill="background1"/>
              <w:rPr>
                <w:rFonts w:eastAsia="Calibri"/>
                <w:b/>
              </w:rPr>
            </w:pPr>
            <w:r w:rsidRPr="00FD5106">
              <w:rPr>
                <w:rFonts w:eastAsia="Calibri"/>
                <w:b/>
              </w:rPr>
              <w:t>Property</w:t>
            </w:r>
          </w:p>
        </w:tc>
        <w:tc>
          <w:tcPr>
            <w:tcW w:w="1414" w:type="dxa"/>
            <w:shd w:val="clear" w:color="auto" w:fill="FFFFFF" w:themeFill="background1"/>
            <w:vAlign w:val="center"/>
          </w:tcPr>
          <w:p w14:paraId="0B88D6A8" w14:textId="77777777" w:rsidR="00B42FC2" w:rsidRPr="00FD5106" w:rsidRDefault="00B42FC2" w:rsidP="008D7EDC">
            <w:pPr>
              <w:pStyle w:val="Standaard-Tabellen"/>
              <w:shd w:val="clear" w:color="auto" w:fill="FFFFFF" w:themeFill="background1"/>
              <w:rPr>
                <w:rFonts w:eastAsia="Calibri"/>
                <w:b/>
              </w:rPr>
            </w:pPr>
            <w:r w:rsidRPr="00FD5106">
              <w:rPr>
                <w:rFonts w:eastAsia="Calibri"/>
                <w:b/>
              </w:rPr>
              <w:t>Guideline  and Method</w:t>
            </w:r>
          </w:p>
        </w:tc>
        <w:tc>
          <w:tcPr>
            <w:tcW w:w="1417" w:type="dxa"/>
            <w:shd w:val="clear" w:color="auto" w:fill="FFFFFF" w:themeFill="background1"/>
            <w:vAlign w:val="center"/>
          </w:tcPr>
          <w:p w14:paraId="1B9F9392" w14:textId="77777777" w:rsidR="00B42FC2" w:rsidRPr="00FD5106" w:rsidRDefault="00B42FC2" w:rsidP="008D7EDC">
            <w:pPr>
              <w:pStyle w:val="Standaard-Tabellen"/>
              <w:shd w:val="clear" w:color="auto" w:fill="FFFFFF" w:themeFill="background1"/>
              <w:rPr>
                <w:rFonts w:eastAsia="Calibri"/>
                <w:b/>
              </w:rPr>
            </w:pPr>
            <w:r w:rsidRPr="00FD5106">
              <w:rPr>
                <w:rFonts w:eastAsia="Calibri"/>
                <w:b/>
              </w:rPr>
              <w:t>Purity of the test substance (% (w/w)</w:t>
            </w:r>
          </w:p>
        </w:tc>
        <w:tc>
          <w:tcPr>
            <w:tcW w:w="6799" w:type="dxa"/>
            <w:shd w:val="clear" w:color="auto" w:fill="FFFFFF" w:themeFill="background1"/>
            <w:vAlign w:val="center"/>
          </w:tcPr>
          <w:p w14:paraId="53ED05C7" w14:textId="77777777" w:rsidR="00B42FC2" w:rsidRPr="00FD5106" w:rsidRDefault="00B42FC2" w:rsidP="008D7EDC">
            <w:pPr>
              <w:pStyle w:val="Standaard-Tabellen"/>
              <w:shd w:val="clear" w:color="auto" w:fill="FFFFFF" w:themeFill="background1"/>
              <w:rPr>
                <w:rFonts w:eastAsia="Calibri"/>
                <w:b/>
              </w:rPr>
            </w:pPr>
            <w:r w:rsidRPr="00FD5106">
              <w:rPr>
                <w:rFonts w:eastAsia="Calibri"/>
                <w:b/>
              </w:rPr>
              <w:t>Results</w:t>
            </w:r>
          </w:p>
        </w:tc>
        <w:tc>
          <w:tcPr>
            <w:tcW w:w="2267" w:type="dxa"/>
            <w:shd w:val="clear" w:color="auto" w:fill="FFFFFF" w:themeFill="background1"/>
            <w:vAlign w:val="center"/>
          </w:tcPr>
          <w:p w14:paraId="470396E8" w14:textId="77777777" w:rsidR="00B42FC2" w:rsidRPr="00FD5106" w:rsidRDefault="00B42FC2" w:rsidP="008D7EDC">
            <w:pPr>
              <w:pStyle w:val="Standaard-Tabellen"/>
              <w:shd w:val="clear" w:color="auto" w:fill="FFFFFF" w:themeFill="background1"/>
              <w:rPr>
                <w:rFonts w:eastAsia="Calibri"/>
                <w:b/>
              </w:rPr>
            </w:pPr>
            <w:r w:rsidRPr="00FD5106">
              <w:rPr>
                <w:rFonts w:eastAsia="Calibri"/>
                <w:b/>
              </w:rPr>
              <w:t>Reference</w:t>
            </w:r>
          </w:p>
        </w:tc>
        <w:tc>
          <w:tcPr>
            <w:tcW w:w="2274" w:type="dxa"/>
            <w:shd w:val="clear" w:color="auto" w:fill="FFFFFF" w:themeFill="background1"/>
            <w:vAlign w:val="center"/>
          </w:tcPr>
          <w:p w14:paraId="6FC12688" w14:textId="77777777" w:rsidR="00B42FC2" w:rsidRPr="00FD5106" w:rsidRDefault="00B42FC2" w:rsidP="008D7EDC">
            <w:pPr>
              <w:pStyle w:val="Standaard-Tabellen"/>
              <w:shd w:val="clear" w:color="auto" w:fill="FFFFFF" w:themeFill="background1"/>
              <w:rPr>
                <w:rFonts w:eastAsia="Calibri"/>
                <w:b/>
              </w:rPr>
            </w:pPr>
            <w:r w:rsidRPr="00FD5106">
              <w:rPr>
                <w:rFonts w:eastAsia="Calibri"/>
                <w:b/>
              </w:rPr>
              <w:t>Comments</w:t>
            </w:r>
          </w:p>
        </w:tc>
      </w:tr>
      <w:tr w:rsidR="00B42FC2" w:rsidRPr="00FD5106" w14:paraId="0DC20935" w14:textId="77777777" w:rsidTr="008D7EDC">
        <w:trPr>
          <w:cantSplit/>
          <w:trHeight w:val="644"/>
        </w:trPr>
        <w:tc>
          <w:tcPr>
            <w:tcW w:w="1705" w:type="dxa"/>
            <w:shd w:val="clear" w:color="auto" w:fill="FFFFFF" w:themeFill="background1"/>
          </w:tcPr>
          <w:p w14:paraId="2CDF7FDD" w14:textId="3DB599F7" w:rsidR="00B42FC2" w:rsidRPr="00FD5106" w:rsidRDefault="00B42FC2" w:rsidP="008D7EDC">
            <w:pPr>
              <w:pStyle w:val="Standaard-Tabellen"/>
              <w:shd w:val="clear" w:color="auto" w:fill="FFFFFF" w:themeFill="background1"/>
              <w:rPr>
                <w:rFonts w:eastAsia="Calibri"/>
                <w:b/>
              </w:rPr>
            </w:pPr>
            <w:r w:rsidRPr="00FD5106">
              <w:rPr>
                <w:rFonts w:eastAsia="Calibri"/>
                <w:szCs w:val="18"/>
              </w:rPr>
              <w:lastRenderedPageBreak/>
              <w:t xml:space="preserve">Storage stability test – </w:t>
            </w:r>
            <w:r w:rsidRPr="00FD5106">
              <w:rPr>
                <w:rFonts w:eastAsia="Calibri"/>
                <w:b/>
                <w:szCs w:val="18"/>
              </w:rPr>
              <w:t>accelerated storage</w:t>
            </w:r>
          </w:p>
        </w:tc>
        <w:tc>
          <w:tcPr>
            <w:tcW w:w="1414" w:type="dxa"/>
            <w:shd w:val="clear" w:color="auto" w:fill="FFFFFF" w:themeFill="background1"/>
          </w:tcPr>
          <w:p w14:paraId="7AE063E1"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Method MT46.3</w:t>
            </w:r>
          </w:p>
          <w:p w14:paraId="0D64B610" w14:textId="77777777" w:rsidR="00B42FC2" w:rsidRPr="00FD5106" w:rsidRDefault="00B42FC2" w:rsidP="008D7EDC">
            <w:pPr>
              <w:shd w:val="clear" w:color="auto" w:fill="FFFFFF" w:themeFill="background1"/>
              <w:rPr>
                <w:rFonts w:eastAsia="Calibri"/>
                <w:sz w:val="18"/>
                <w:szCs w:val="18"/>
              </w:rPr>
            </w:pPr>
          </w:p>
          <w:p w14:paraId="6BA93916"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 xml:space="preserve">Method to quantify the AS study # 18-905023-003 </w:t>
            </w:r>
          </w:p>
          <w:p w14:paraId="153912A9" w14:textId="77777777" w:rsidR="00B42FC2" w:rsidRPr="00FD5106" w:rsidRDefault="00B42FC2" w:rsidP="008D7EDC">
            <w:pPr>
              <w:pStyle w:val="Standaard-Tabellen"/>
              <w:shd w:val="clear" w:color="auto" w:fill="FFFFFF" w:themeFill="background1"/>
              <w:rPr>
                <w:rFonts w:eastAsia="Calibri"/>
                <w:b/>
              </w:rPr>
            </w:pPr>
          </w:p>
        </w:tc>
        <w:tc>
          <w:tcPr>
            <w:tcW w:w="1417" w:type="dxa"/>
            <w:shd w:val="clear" w:color="auto" w:fill="FFFFFF" w:themeFill="background1"/>
          </w:tcPr>
          <w:p w14:paraId="55FFE073"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Batch # CTG181101/00/04:</w:t>
            </w:r>
          </w:p>
          <w:p w14:paraId="54528580"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20.7%</w:t>
            </w:r>
            <w:r w:rsidRPr="00FD5106">
              <w:rPr>
                <w:rFonts w:eastAsia="Calibri"/>
                <w:sz w:val="18"/>
                <w:szCs w:val="18"/>
                <w:vertAlign w:val="subscript"/>
              </w:rPr>
              <w:t>w/w</w:t>
            </w:r>
            <w:r w:rsidRPr="00FD5106">
              <w:rPr>
                <w:rFonts w:eastAsia="Calibri"/>
                <w:sz w:val="18"/>
                <w:szCs w:val="18"/>
              </w:rPr>
              <w:t xml:space="preserve"> IR3535</w:t>
            </w:r>
          </w:p>
          <w:p w14:paraId="7CD864A6"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100mL HDPE Spray</w:t>
            </w:r>
          </w:p>
          <w:p w14:paraId="149A3CC1" w14:textId="77777777" w:rsidR="00B42FC2" w:rsidRPr="00FD5106" w:rsidRDefault="00B42FC2" w:rsidP="008D7EDC">
            <w:pPr>
              <w:shd w:val="clear" w:color="auto" w:fill="FFFFFF" w:themeFill="background1"/>
              <w:rPr>
                <w:rFonts w:eastAsia="Calibri"/>
                <w:sz w:val="18"/>
                <w:szCs w:val="18"/>
              </w:rPr>
            </w:pPr>
          </w:p>
          <w:p w14:paraId="7C1962BF" w14:textId="77777777" w:rsidR="00B42FC2" w:rsidRPr="00FD5106" w:rsidRDefault="00B42FC2" w:rsidP="008D7EDC">
            <w:pPr>
              <w:shd w:val="clear" w:color="auto" w:fill="FFFFFF" w:themeFill="background1"/>
              <w:rPr>
                <w:rFonts w:eastAsia="Calibri"/>
                <w:sz w:val="18"/>
                <w:szCs w:val="18"/>
              </w:rPr>
            </w:pPr>
          </w:p>
          <w:p w14:paraId="74EE20C9" w14:textId="77777777" w:rsidR="00B42FC2" w:rsidRPr="00FD5106" w:rsidRDefault="00B42FC2" w:rsidP="008D7EDC">
            <w:pPr>
              <w:shd w:val="clear" w:color="auto" w:fill="FFFFFF" w:themeFill="background1"/>
              <w:rPr>
                <w:rFonts w:eastAsia="Calibri"/>
                <w:sz w:val="18"/>
                <w:szCs w:val="18"/>
              </w:rPr>
            </w:pPr>
          </w:p>
          <w:p w14:paraId="6E6CB255" w14:textId="77777777" w:rsidR="00B42FC2" w:rsidRPr="00FD5106" w:rsidRDefault="00B42FC2" w:rsidP="008D7EDC">
            <w:pPr>
              <w:shd w:val="clear" w:color="auto" w:fill="FFFFFF" w:themeFill="background1"/>
              <w:rPr>
                <w:rFonts w:eastAsia="Calibri"/>
                <w:sz w:val="18"/>
                <w:szCs w:val="18"/>
              </w:rPr>
            </w:pPr>
          </w:p>
          <w:p w14:paraId="5B0255B2" w14:textId="77777777" w:rsidR="00B42FC2" w:rsidRPr="00FD5106" w:rsidRDefault="00B42FC2" w:rsidP="008D7EDC">
            <w:pPr>
              <w:shd w:val="clear" w:color="auto" w:fill="FFFFFF" w:themeFill="background1"/>
              <w:rPr>
                <w:rFonts w:eastAsia="Calibri"/>
                <w:sz w:val="18"/>
                <w:szCs w:val="18"/>
              </w:rPr>
            </w:pPr>
          </w:p>
          <w:p w14:paraId="039E8062" w14:textId="77777777" w:rsidR="00B42FC2" w:rsidRPr="00FD5106" w:rsidRDefault="00B42FC2" w:rsidP="008D7EDC">
            <w:pPr>
              <w:shd w:val="clear" w:color="auto" w:fill="FFFFFF" w:themeFill="background1"/>
              <w:rPr>
                <w:rFonts w:eastAsia="Calibri"/>
                <w:sz w:val="18"/>
                <w:szCs w:val="18"/>
              </w:rPr>
            </w:pPr>
          </w:p>
          <w:p w14:paraId="72AFE699" w14:textId="77777777" w:rsidR="00B42FC2" w:rsidRPr="00FD5106" w:rsidRDefault="00B42FC2" w:rsidP="008D7EDC">
            <w:pPr>
              <w:shd w:val="clear" w:color="auto" w:fill="FFFFFF" w:themeFill="background1"/>
              <w:rPr>
                <w:rFonts w:eastAsia="Calibri"/>
                <w:sz w:val="18"/>
                <w:szCs w:val="18"/>
              </w:rPr>
            </w:pPr>
          </w:p>
          <w:p w14:paraId="612E61DC" w14:textId="77777777" w:rsidR="00B42FC2" w:rsidRPr="00FD5106" w:rsidRDefault="00B42FC2" w:rsidP="008D7EDC">
            <w:pPr>
              <w:shd w:val="clear" w:color="auto" w:fill="FFFFFF" w:themeFill="background1"/>
              <w:rPr>
                <w:rFonts w:eastAsia="Calibri"/>
                <w:sz w:val="18"/>
                <w:szCs w:val="18"/>
              </w:rPr>
            </w:pPr>
          </w:p>
          <w:p w14:paraId="4B6D0C83" w14:textId="77777777" w:rsidR="00B42FC2" w:rsidRPr="00FD5106" w:rsidRDefault="00B42FC2" w:rsidP="008D7EDC">
            <w:pPr>
              <w:shd w:val="clear" w:color="auto" w:fill="FFFFFF" w:themeFill="background1"/>
              <w:rPr>
                <w:rFonts w:eastAsia="Calibri"/>
                <w:sz w:val="18"/>
                <w:szCs w:val="18"/>
              </w:rPr>
            </w:pPr>
          </w:p>
          <w:p w14:paraId="3185E465" w14:textId="77777777" w:rsidR="00B42FC2" w:rsidRPr="00FD5106" w:rsidRDefault="00B42FC2" w:rsidP="008D7EDC">
            <w:pPr>
              <w:shd w:val="clear" w:color="auto" w:fill="FFFFFF" w:themeFill="background1"/>
              <w:rPr>
                <w:rFonts w:eastAsia="Calibri"/>
                <w:sz w:val="18"/>
                <w:szCs w:val="18"/>
              </w:rPr>
            </w:pPr>
          </w:p>
          <w:p w14:paraId="7897B242" w14:textId="77777777" w:rsidR="00B42FC2" w:rsidRPr="00FD5106" w:rsidRDefault="00B42FC2" w:rsidP="008D7EDC">
            <w:pPr>
              <w:shd w:val="clear" w:color="auto" w:fill="FFFFFF" w:themeFill="background1"/>
              <w:rPr>
                <w:rFonts w:eastAsia="Calibri"/>
                <w:sz w:val="18"/>
                <w:szCs w:val="18"/>
              </w:rPr>
            </w:pPr>
          </w:p>
          <w:p w14:paraId="6E9E7753" w14:textId="77777777" w:rsidR="00B42FC2" w:rsidRPr="00FD5106" w:rsidRDefault="00B42FC2" w:rsidP="008D7EDC">
            <w:pPr>
              <w:shd w:val="clear" w:color="auto" w:fill="FFFFFF" w:themeFill="background1"/>
              <w:rPr>
                <w:rFonts w:eastAsia="Calibri"/>
                <w:sz w:val="18"/>
                <w:szCs w:val="18"/>
              </w:rPr>
            </w:pPr>
          </w:p>
          <w:p w14:paraId="505493FA" w14:textId="77777777" w:rsidR="00B42FC2" w:rsidRPr="00FD5106" w:rsidRDefault="00B42FC2" w:rsidP="008D7EDC">
            <w:pPr>
              <w:shd w:val="clear" w:color="auto" w:fill="FFFFFF" w:themeFill="background1"/>
              <w:rPr>
                <w:rFonts w:eastAsia="Calibri"/>
                <w:sz w:val="18"/>
                <w:szCs w:val="18"/>
              </w:rPr>
            </w:pPr>
          </w:p>
          <w:p w14:paraId="57BDBC27" w14:textId="77777777" w:rsidR="00B42FC2" w:rsidRPr="00FD5106" w:rsidRDefault="00B42FC2" w:rsidP="008D7EDC">
            <w:pPr>
              <w:shd w:val="clear" w:color="auto" w:fill="FFFFFF" w:themeFill="background1"/>
              <w:rPr>
                <w:rFonts w:eastAsia="Calibri"/>
                <w:sz w:val="18"/>
                <w:szCs w:val="18"/>
              </w:rPr>
            </w:pPr>
          </w:p>
          <w:p w14:paraId="24E8184F" w14:textId="77777777" w:rsidR="00B42FC2" w:rsidRPr="00FD5106" w:rsidRDefault="00B42FC2" w:rsidP="008D7EDC">
            <w:pPr>
              <w:shd w:val="clear" w:color="auto" w:fill="FFFFFF" w:themeFill="background1"/>
              <w:rPr>
                <w:rFonts w:eastAsia="Calibri"/>
                <w:sz w:val="18"/>
                <w:szCs w:val="18"/>
              </w:rPr>
            </w:pPr>
          </w:p>
          <w:p w14:paraId="76F95701" w14:textId="77777777" w:rsidR="00B42FC2" w:rsidRPr="00FD5106" w:rsidRDefault="00B42FC2" w:rsidP="008D7EDC">
            <w:pPr>
              <w:shd w:val="clear" w:color="auto" w:fill="FFFFFF" w:themeFill="background1"/>
              <w:rPr>
                <w:rFonts w:eastAsia="Calibri"/>
                <w:sz w:val="18"/>
                <w:szCs w:val="18"/>
              </w:rPr>
            </w:pPr>
          </w:p>
          <w:p w14:paraId="568BA611" w14:textId="77777777" w:rsidR="00B42FC2" w:rsidRPr="00FD5106" w:rsidRDefault="00B42FC2" w:rsidP="008D7EDC">
            <w:pPr>
              <w:shd w:val="clear" w:color="auto" w:fill="FFFFFF" w:themeFill="background1"/>
              <w:rPr>
                <w:rFonts w:eastAsia="Calibri"/>
                <w:sz w:val="18"/>
                <w:szCs w:val="18"/>
              </w:rPr>
            </w:pPr>
          </w:p>
          <w:p w14:paraId="466EB8CF" w14:textId="77777777" w:rsidR="00B42FC2" w:rsidRPr="00FD5106" w:rsidRDefault="00B42FC2" w:rsidP="008D7EDC">
            <w:pPr>
              <w:shd w:val="clear" w:color="auto" w:fill="FFFFFF" w:themeFill="background1"/>
              <w:rPr>
                <w:rFonts w:eastAsia="Calibri"/>
                <w:sz w:val="18"/>
                <w:szCs w:val="18"/>
              </w:rPr>
            </w:pPr>
          </w:p>
          <w:p w14:paraId="20B4C6DA" w14:textId="77777777" w:rsidR="00B42FC2" w:rsidRPr="00FD5106" w:rsidRDefault="00B42FC2" w:rsidP="008D7EDC">
            <w:pPr>
              <w:shd w:val="clear" w:color="auto" w:fill="FFFFFF" w:themeFill="background1"/>
              <w:rPr>
                <w:rFonts w:eastAsia="Calibri"/>
                <w:sz w:val="18"/>
                <w:szCs w:val="18"/>
              </w:rPr>
            </w:pPr>
          </w:p>
          <w:p w14:paraId="523D5104" w14:textId="77777777" w:rsidR="00B42FC2" w:rsidRPr="00FD5106" w:rsidRDefault="00B42FC2" w:rsidP="008D7EDC">
            <w:pPr>
              <w:shd w:val="clear" w:color="auto" w:fill="FFFFFF" w:themeFill="background1"/>
              <w:rPr>
                <w:rFonts w:eastAsia="Calibri"/>
                <w:sz w:val="18"/>
                <w:szCs w:val="18"/>
              </w:rPr>
            </w:pPr>
          </w:p>
          <w:p w14:paraId="1559ECA9" w14:textId="77777777" w:rsidR="00B42FC2" w:rsidRPr="00FD5106" w:rsidRDefault="00B42FC2" w:rsidP="008D7EDC">
            <w:pPr>
              <w:shd w:val="clear" w:color="auto" w:fill="FFFFFF" w:themeFill="background1"/>
              <w:rPr>
                <w:rFonts w:eastAsia="Calibri"/>
                <w:sz w:val="18"/>
                <w:szCs w:val="18"/>
              </w:rPr>
            </w:pPr>
          </w:p>
          <w:p w14:paraId="35D8B995" w14:textId="77777777" w:rsidR="00B42FC2" w:rsidRPr="00FD5106" w:rsidRDefault="00B42FC2" w:rsidP="008D7EDC">
            <w:pPr>
              <w:shd w:val="clear" w:color="auto" w:fill="FFFFFF" w:themeFill="background1"/>
              <w:rPr>
                <w:rFonts w:eastAsia="Calibri"/>
                <w:sz w:val="18"/>
                <w:szCs w:val="18"/>
              </w:rPr>
            </w:pPr>
          </w:p>
          <w:p w14:paraId="565446B8" w14:textId="77777777" w:rsidR="00B42FC2" w:rsidRPr="00FD5106" w:rsidRDefault="00B42FC2" w:rsidP="008D7EDC">
            <w:pPr>
              <w:shd w:val="clear" w:color="auto" w:fill="FFFFFF" w:themeFill="background1"/>
              <w:rPr>
                <w:rFonts w:eastAsia="Calibri"/>
                <w:sz w:val="18"/>
                <w:szCs w:val="18"/>
              </w:rPr>
            </w:pPr>
          </w:p>
          <w:p w14:paraId="7A29E685" w14:textId="77777777" w:rsidR="00B42FC2" w:rsidRPr="00FD5106" w:rsidRDefault="00B42FC2" w:rsidP="008D7EDC">
            <w:pPr>
              <w:shd w:val="clear" w:color="auto" w:fill="FFFFFF" w:themeFill="background1"/>
              <w:rPr>
                <w:rFonts w:eastAsia="Calibri"/>
                <w:sz w:val="18"/>
                <w:szCs w:val="18"/>
              </w:rPr>
            </w:pPr>
          </w:p>
          <w:p w14:paraId="347D68D0" w14:textId="77777777" w:rsidR="00B42FC2" w:rsidRPr="00FD5106" w:rsidRDefault="00B42FC2" w:rsidP="008D7EDC">
            <w:pPr>
              <w:shd w:val="clear" w:color="auto" w:fill="FFFFFF" w:themeFill="background1"/>
              <w:rPr>
                <w:rFonts w:eastAsia="Calibri"/>
                <w:sz w:val="18"/>
                <w:szCs w:val="18"/>
              </w:rPr>
            </w:pPr>
          </w:p>
          <w:p w14:paraId="4A2ACE00" w14:textId="77777777" w:rsidR="00B42FC2" w:rsidRPr="00FD5106" w:rsidRDefault="00B42FC2" w:rsidP="008D7EDC">
            <w:pPr>
              <w:shd w:val="clear" w:color="auto" w:fill="FFFFFF" w:themeFill="background1"/>
              <w:rPr>
                <w:rFonts w:eastAsia="Calibri"/>
                <w:sz w:val="18"/>
                <w:szCs w:val="18"/>
              </w:rPr>
            </w:pPr>
          </w:p>
          <w:p w14:paraId="672DB90E" w14:textId="77777777" w:rsidR="00B42FC2" w:rsidRPr="00FD5106" w:rsidRDefault="00B42FC2" w:rsidP="008D7EDC">
            <w:pPr>
              <w:shd w:val="clear" w:color="auto" w:fill="FFFFFF" w:themeFill="background1"/>
              <w:rPr>
                <w:rFonts w:eastAsia="Calibri"/>
                <w:sz w:val="18"/>
                <w:szCs w:val="18"/>
              </w:rPr>
            </w:pPr>
          </w:p>
          <w:p w14:paraId="60212CDE" w14:textId="77777777" w:rsidR="00B42FC2" w:rsidRPr="00FD5106" w:rsidRDefault="00B42FC2" w:rsidP="008D7EDC">
            <w:pPr>
              <w:shd w:val="clear" w:color="auto" w:fill="FFFFFF" w:themeFill="background1"/>
              <w:rPr>
                <w:rFonts w:eastAsia="Calibri"/>
                <w:sz w:val="18"/>
                <w:szCs w:val="18"/>
              </w:rPr>
            </w:pPr>
          </w:p>
          <w:p w14:paraId="73C3383B" w14:textId="77777777" w:rsidR="00B42FC2" w:rsidRPr="00FD5106" w:rsidRDefault="00B42FC2" w:rsidP="008D7EDC">
            <w:pPr>
              <w:shd w:val="clear" w:color="auto" w:fill="FFFFFF" w:themeFill="background1"/>
              <w:rPr>
                <w:rFonts w:eastAsia="Calibri"/>
                <w:sz w:val="18"/>
                <w:szCs w:val="18"/>
              </w:rPr>
            </w:pPr>
          </w:p>
          <w:p w14:paraId="23512BBE" w14:textId="77777777" w:rsidR="00B42FC2" w:rsidRPr="00FD5106" w:rsidRDefault="00B42FC2" w:rsidP="008D7EDC">
            <w:pPr>
              <w:shd w:val="clear" w:color="auto" w:fill="FFFFFF" w:themeFill="background1"/>
              <w:rPr>
                <w:rFonts w:eastAsia="Calibri"/>
                <w:sz w:val="18"/>
                <w:szCs w:val="18"/>
              </w:rPr>
            </w:pPr>
          </w:p>
          <w:p w14:paraId="7C07D8AF" w14:textId="77777777" w:rsidR="00B42FC2" w:rsidRPr="00FD5106" w:rsidRDefault="00B42FC2" w:rsidP="008D7EDC">
            <w:pPr>
              <w:shd w:val="clear" w:color="auto" w:fill="FFFFFF" w:themeFill="background1"/>
              <w:rPr>
                <w:rFonts w:eastAsia="Calibri"/>
                <w:sz w:val="18"/>
                <w:szCs w:val="18"/>
              </w:rPr>
            </w:pPr>
          </w:p>
          <w:p w14:paraId="5410A869"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Batch# CTG181101/00/02:</w:t>
            </w:r>
          </w:p>
          <w:p w14:paraId="1E19A148"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20.7%</w:t>
            </w:r>
            <w:r w:rsidRPr="00FD5106">
              <w:rPr>
                <w:rFonts w:eastAsia="Calibri"/>
                <w:sz w:val="18"/>
                <w:szCs w:val="18"/>
                <w:vertAlign w:val="subscript"/>
              </w:rPr>
              <w:t>w/w</w:t>
            </w:r>
            <w:r w:rsidRPr="00FD5106">
              <w:rPr>
                <w:rFonts w:eastAsia="Calibri"/>
                <w:sz w:val="18"/>
                <w:szCs w:val="18"/>
              </w:rPr>
              <w:t xml:space="preserve"> IR3535</w:t>
            </w:r>
          </w:p>
          <w:p w14:paraId="498D9AE9" w14:textId="584D1887" w:rsidR="00B42FC2" w:rsidRPr="00FD5106" w:rsidRDefault="00B42FC2" w:rsidP="008D7EDC">
            <w:pPr>
              <w:pStyle w:val="Standaard-Tabellen"/>
              <w:shd w:val="clear" w:color="auto" w:fill="FFFFFF" w:themeFill="background1"/>
              <w:rPr>
                <w:rFonts w:eastAsia="Calibri"/>
                <w:b/>
              </w:rPr>
            </w:pPr>
            <w:r w:rsidRPr="00FD5106">
              <w:rPr>
                <w:rFonts w:eastAsia="Calibri"/>
                <w:szCs w:val="18"/>
              </w:rPr>
              <w:t>250mL HDPE spray trigger flask</w:t>
            </w:r>
          </w:p>
        </w:tc>
        <w:tc>
          <w:tcPr>
            <w:tcW w:w="6799" w:type="dxa"/>
            <w:shd w:val="clear" w:color="auto" w:fill="FFFFFF" w:themeFill="background1"/>
          </w:tcPr>
          <w:p w14:paraId="20B2D6ED"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lastRenderedPageBreak/>
              <w:t>Batch # CTG181101/00/04:</w:t>
            </w:r>
          </w:p>
          <w:p w14:paraId="07EBFA73" w14:textId="77777777" w:rsidR="00B42FC2" w:rsidRPr="00FD5106" w:rsidRDefault="00B42FC2" w:rsidP="008D7EDC">
            <w:pPr>
              <w:shd w:val="clear" w:color="auto" w:fill="FFFFFF" w:themeFill="background1"/>
              <w:rPr>
                <w:rFonts w:eastAsia="Calibri"/>
                <w:sz w:val="18"/>
                <w:szCs w:val="18"/>
              </w:rPr>
            </w:pPr>
          </w:p>
          <w:tbl>
            <w:tblPr>
              <w:tblStyle w:val="Grilledutableau"/>
              <w:tblW w:w="6704" w:type="dxa"/>
              <w:tblLayout w:type="fixed"/>
              <w:tblLook w:val="04A0" w:firstRow="1" w:lastRow="0" w:firstColumn="1" w:lastColumn="0" w:noHBand="0" w:noVBand="1"/>
            </w:tblPr>
            <w:tblGrid>
              <w:gridCol w:w="2018"/>
              <w:gridCol w:w="2109"/>
              <w:gridCol w:w="2577"/>
            </w:tblGrid>
            <w:tr w:rsidR="00B42FC2" w:rsidRPr="00FD5106" w14:paraId="7A7CB6B2" w14:textId="77777777" w:rsidTr="00695A12">
              <w:trPr>
                <w:trHeight w:val="193"/>
              </w:trPr>
              <w:tc>
                <w:tcPr>
                  <w:tcW w:w="2018" w:type="dxa"/>
                </w:tcPr>
                <w:p w14:paraId="02F3B1AC" w14:textId="77777777" w:rsidR="00B42FC2" w:rsidRPr="00FD5106" w:rsidRDefault="00B42FC2" w:rsidP="008D7EDC">
                  <w:pPr>
                    <w:shd w:val="clear" w:color="auto" w:fill="FFFFFF" w:themeFill="background1"/>
                    <w:rPr>
                      <w:rFonts w:eastAsia="Calibri"/>
                      <w:sz w:val="18"/>
                      <w:szCs w:val="18"/>
                    </w:rPr>
                  </w:pPr>
                </w:p>
              </w:tc>
              <w:tc>
                <w:tcPr>
                  <w:tcW w:w="2109" w:type="dxa"/>
                </w:tcPr>
                <w:p w14:paraId="59F3C72F"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T0</w:t>
                  </w:r>
                </w:p>
              </w:tc>
              <w:tc>
                <w:tcPr>
                  <w:tcW w:w="2577" w:type="dxa"/>
                </w:tcPr>
                <w:p w14:paraId="782D3CA6"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T8weeks at 40°C in HDPE</w:t>
                  </w:r>
                </w:p>
              </w:tc>
            </w:tr>
            <w:tr w:rsidR="00B42FC2" w:rsidRPr="00FD5106" w14:paraId="1413D435" w14:textId="77777777" w:rsidTr="00695A12">
              <w:trPr>
                <w:trHeight w:val="522"/>
              </w:trPr>
              <w:tc>
                <w:tcPr>
                  <w:tcW w:w="2018" w:type="dxa"/>
                </w:tcPr>
                <w:p w14:paraId="1D79B763"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Appearance</w:t>
                  </w:r>
                </w:p>
              </w:tc>
              <w:tc>
                <w:tcPr>
                  <w:tcW w:w="2109" w:type="dxa"/>
                </w:tcPr>
                <w:p w14:paraId="617D1A05"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Homogeneous colourless limpid</w:t>
                  </w:r>
                </w:p>
                <w:p w14:paraId="175C0F7B"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liquid with a characteristic odour</w:t>
                  </w:r>
                </w:p>
              </w:tc>
              <w:tc>
                <w:tcPr>
                  <w:tcW w:w="2577" w:type="dxa"/>
                </w:tcPr>
                <w:p w14:paraId="41CA971C"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No change</w:t>
                  </w:r>
                </w:p>
              </w:tc>
            </w:tr>
            <w:tr w:rsidR="00B42FC2" w:rsidRPr="00FD5106" w14:paraId="08ADA0C6" w14:textId="77777777" w:rsidTr="00695A12">
              <w:trPr>
                <w:trHeight w:val="470"/>
              </w:trPr>
              <w:tc>
                <w:tcPr>
                  <w:tcW w:w="2018" w:type="dxa"/>
                </w:tcPr>
                <w:p w14:paraId="57C0B039"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Appearance of packaging</w:t>
                  </w:r>
                </w:p>
              </w:tc>
              <w:tc>
                <w:tcPr>
                  <w:tcW w:w="2109" w:type="dxa"/>
                </w:tcPr>
                <w:p w14:paraId="163552AD"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White opaque HDPE flask</w:t>
                  </w:r>
                </w:p>
              </w:tc>
              <w:tc>
                <w:tcPr>
                  <w:tcW w:w="2577" w:type="dxa"/>
                </w:tcPr>
                <w:p w14:paraId="16B173C4"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No weight change</w:t>
                  </w:r>
                </w:p>
                <w:p w14:paraId="30B2F388" w14:textId="77777777" w:rsidR="00B42FC2" w:rsidRPr="00FD5106" w:rsidRDefault="00B42FC2" w:rsidP="008D7EDC">
                  <w:pPr>
                    <w:shd w:val="clear" w:color="auto" w:fill="FFFFFF" w:themeFill="background1"/>
                    <w:rPr>
                      <w:rFonts w:eastAsia="Calibri"/>
                      <w:sz w:val="18"/>
                      <w:szCs w:val="18"/>
                    </w:rPr>
                  </w:pPr>
                </w:p>
                <w:p w14:paraId="5C356D44"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No sign of degradation or leak</w:t>
                  </w:r>
                </w:p>
              </w:tc>
            </w:tr>
            <w:tr w:rsidR="00B42FC2" w:rsidRPr="00FD5106" w14:paraId="5C849F86" w14:textId="77777777" w:rsidTr="00695A12">
              <w:trPr>
                <w:trHeight w:val="114"/>
              </w:trPr>
              <w:tc>
                <w:tcPr>
                  <w:tcW w:w="2018" w:type="dxa"/>
                </w:tcPr>
                <w:p w14:paraId="07FD81F5"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AS content</w:t>
                  </w:r>
                </w:p>
              </w:tc>
              <w:tc>
                <w:tcPr>
                  <w:tcW w:w="2109" w:type="dxa"/>
                </w:tcPr>
                <w:p w14:paraId="236F460F"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20.7 %</w:t>
                  </w:r>
                  <w:r w:rsidRPr="00FD5106">
                    <w:rPr>
                      <w:rFonts w:eastAsia="Calibri"/>
                      <w:sz w:val="18"/>
                      <w:szCs w:val="18"/>
                      <w:vertAlign w:val="subscript"/>
                    </w:rPr>
                    <w:t>w/w</w:t>
                  </w:r>
                </w:p>
              </w:tc>
              <w:tc>
                <w:tcPr>
                  <w:tcW w:w="2577" w:type="dxa"/>
                </w:tcPr>
                <w:p w14:paraId="7EDF6DCF"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20.6 %</w:t>
                  </w:r>
                  <w:r w:rsidRPr="00FD5106">
                    <w:rPr>
                      <w:rFonts w:eastAsia="Calibri"/>
                      <w:sz w:val="18"/>
                      <w:szCs w:val="18"/>
                      <w:vertAlign w:val="subscript"/>
                    </w:rPr>
                    <w:t>w/w</w:t>
                  </w:r>
                </w:p>
              </w:tc>
            </w:tr>
            <w:tr w:rsidR="00B42FC2" w:rsidRPr="00FD5106" w14:paraId="16BA50BB" w14:textId="77777777" w:rsidTr="00695A12">
              <w:trPr>
                <w:trHeight w:val="193"/>
              </w:trPr>
              <w:tc>
                <w:tcPr>
                  <w:tcW w:w="2018" w:type="dxa"/>
                </w:tcPr>
                <w:p w14:paraId="66E8C54C"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%variation</w:t>
                  </w:r>
                </w:p>
              </w:tc>
              <w:tc>
                <w:tcPr>
                  <w:tcW w:w="2109" w:type="dxa"/>
                </w:tcPr>
                <w:p w14:paraId="0AE5EADA" w14:textId="77777777" w:rsidR="00B42FC2" w:rsidRPr="00FD5106" w:rsidRDefault="00B42FC2" w:rsidP="008D7EDC">
                  <w:pPr>
                    <w:shd w:val="clear" w:color="auto" w:fill="FFFFFF" w:themeFill="background1"/>
                    <w:rPr>
                      <w:rFonts w:eastAsia="Calibri"/>
                      <w:sz w:val="18"/>
                      <w:szCs w:val="18"/>
                    </w:rPr>
                  </w:pPr>
                </w:p>
              </w:tc>
              <w:tc>
                <w:tcPr>
                  <w:tcW w:w="2577" w:type="dxa"/>
                </w:tcPr>
                <w:p w14:paraId="316F5270"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-0.5% compared to T0</w:t>
                  </w:r>
                </w:p>
              </w:tc>
            </w:tr>
            <w:tr w:rsidR="00B42FC2" w:rsidRPr="00FD5106" w14:paraId="11791C05" w14:textId="77777777" w:rsidTr="00695A12">
              <w:trPr>
                <w:trHeight w:val="420"/>
              </w:trPr>
              <w:tc>
                <w:tcPr>
                  <w:tcW w:w="2018" w:type="dxa"/>
                </w:tcPr>
                <w:p w14:paraId="04B7D8B3"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Determination of the satisfactory operation of the spray</w:t>
                  </w:r>
                </w:p>
              </w:tc>
              <w:tc>
                <w:tcPr>
                  <w:tcW w:w="2109" w:type="dxa"/>
                </w:tcPr>
                <w:p w14:paraId="1C00F870"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No blocking observed</w:t>
                  </w:r>
                </w:p>
              </w:tc>
              <w:tc>
                <w:tcPr>
                  <w:tcW w:w="2577" w:type="dxa"/>
                </w:tcPr>
                <w:p w14:paraId="6C479702"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No blocking observed</w:t>
                  </w:r>
                </w:p>
              </w:tc>
            </w:tr>
            <w:tr w:rsidR="00B42FC2" w:rsidRPr="00FD5106" w14:paraId="4A2EA626" w14:textId="77777777" w:rsidTr="00695A12">
              <w:trPr>
                <w:trHeight w:val="193"/>
              </w:trPr>
              <w:tc>
                <w:tcPr>
                  <w:tcW w:w="2018" w:type="dxa"/>
                </w:tcPr>
                <w:p w14:paraId="6E349BB1"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Spray volume (mean)</w:t>
                  </w:r>
                </w:p>
              </w:tc>
              <w:tc>
                <w:tcPr>
                  <w:tcW w:w="2109" w:type="dxa"/>
                </w:tcPr>
                <w:p w14:paraId="7345D81F"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0.099 mL</w:t>
                  </w:r>
                </w:p>
              </w:tc>
              <w:tc>
                <w:tcPr>
                  <w:tcW w:w="2577" w:type="dxa"/>
                </w:tcPr>
                <w:p w14:paraId="59812328"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0.093 mL</w:t>
                  </w:r>
                </w:p>
              </w:tc>
            </w:tr>
            <w:tr w:rsidR="00B42FC2" w:rsidRPr="00FD5106" w14:paraId="6E093C9D" w14:textId="77777777" w:rsidTr="00695A12">
              <w:trPr>
                <w:trHeight w:val="420"/>
              </w:trPr>
              <w:tc>
                <w:tcPr>
                  <w:tcW w:w="2018" w:type="dxa"/>
                </w:tcPr>
                <w:p w14:paraId="7AA8D9DE"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Spay diameter and pattern at a distance of 30 cm</w:t>
                  </w:r>
                </w:p>
              </w:tc>
              <w:tc>
                <w:tcPr>
                  <w:tcW w:w="2109" w:type="dxa"/>
                </w:tcPr>
                <w:p w14:paraId="3ABB003A"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10 cm</w:t>
                  </w:r>
                </w:p>
                <w:p w14:paraId="33047E2C" w14:textId="77777777" w:rsidR="00B42FC2" w:rsidRPr="00FD5106" w:rsidRDefault="00B42FC2" w:rsidP="008D7EDC">
                  <w:pPr>
                    <w:shd w:val="clear" w:color="auto" w:fill="FFFFFF" w:themeFill="background1"/>
                    <w:rPr>
                      <w:rFonts w:eastAsia="Calibri"/>
                      <w:sz w:val="18"/>
                      <w:szCs w:val="18"/>
                    </w:rPr>
                  </w:pPr>
                </w:p>
                <w:p w14:paraId="4E69344D"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Circular point cloud</w:t>
                  </w:r>
                </w:p>
              </w:tc>
              <w:tc>
                <w:tcPr>
                  <w:tcW w:w="2577" w:type="dxa"/>
                </w:tcPr>
                <w:p w14:paraId="35085167"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10 cm</w:t>
                  </w:r>
                </w:p>
                <w:p w14:paraId="1B27B7AF" w14:textId="77777777" w:rsidR="00B42FC2" w:rsidRPr="00FD5106" w:rsidRDefault="00B42FC2" w:rsidP="008D7EDC">
                  <w:pPr>
                    <w:shd w:val="clear" w:color="auto" w:fill="FFFFFF" w:themeFill="background1"/>
                    <w:rPr>
                      <w:rFonts w:eastAsia="Calibri"/>
                      <w:sz w:val="18"/>
                      <w:szCs w:val="18"/>
                    </w:rPr>
                  </w:pPr>
                </w:p>
                <w:p w14:paraId="5DBE7131"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Circular point cloud</w:t>
                  </w:r>
                </w:p>
              </w:tc>
            </w:tr>
            <w:tr w:rsidR="00B42FC2" w:rsidRPr="00FD5106" w14:paraId="79E6AF06" w14:textId="77777777" w:rsidTr="00695A12">
              <w:trPr>
                <w:trHeight w:val="543"/>
              </w:trPr>
              <w:tc>
                <w:tcPr>
                  <w:tcW w:w="2018" w:type="dxa"/>
                </w:tcPr>
                <w:p w14:paraId="73674EBD"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 xml:space="preserve">Droplet size </w:t>
                  </w:r>
                </w:p>
                <w:p w14:paraId="5D44A4AA" w14:textId="77777777" w:rsidR="00B42FC2" w:rsidRPr="00FD5106" w:rsidRDefault="00B42FC2" w:rsidP="008D7EDC">
                  <w:pPr>
                    <w:shd w:val="clear" w:color="auto" w:fill="FFFFFF" w:themeFill="background1"/>
                    <w:rPr>
                      <w:rFonts w:eastAsia="Calibri"/>
                      <w:sz w:val="18"/>
                      <w:szCs w:val="18"/>
                    </w:rPr>
                  </w:pPr>
                </w:p>
                <w:p w14:paraId="2D6DFF47"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[Laser light diffraction]</w:t>
                  </w:r>
                </w:p>
              </w:tc>
              <w:tc>
                <w:tcPr>
                  <w:tcW w:w="2109" w:type="dxa"/>
                </w:tcPr>
                <w:p w14:paraId="6FE70162"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Dv(10) = 37.6 µm</w:t>
                  </w:r>
                </w:p>
                <w:p w14:paraId="0C2D0E75"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Dv(50) = 68.6 µm</w:t>
                  </w:r>
                </w:p>
                <w:p w14:paraId="379049BD"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 (90) = 118 µm</w:t>
                  </w:r>
                </w:p>
              </w:tc>
              <w:tc>
                <w:tcPr>
                  <w:tcW w:w="2577" w:type="dxa"/>
                </w:tcPr>
                <w:p w14:paraId="3569AA15"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Dv(10) = 23.12 µm</w:t>
                  </w:r>
                </w:p>
                <w:p w14:paraId="31AEB9FA"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Dv(50) = 64.45 µm</w:t>
                  </w:r>
                </w:p>
                <w:p w14:paraId="17217733"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 (90) = 140.3 µm</w:t>
                  </w:r>
                </w:p>
              </w:tc>
            </w:tr>
          </w:tbl>
          <w:p w14:paraId="21D56EAB" w14:textId="77777777" w:rsidR="00B42FC2" w:rsidRPr="00FD5106" w:rsidRDefault="00B42FC2" w:rsidP="008D7EDC">
            <w:pPr>
              <w:shd w:val="clear" w:color="auto" w:fill="FFFFFF" w:themeFill="background1"/>
              <w:rPr>
                <w:rFonts w:eastAsia="Calibri"/>
                <w:sz w:val="18"/>
                <w:szCs w:val="18"/>
              </w:rPr>
            </w:pPr>
          </w:p>
          <w:p w14:paraId="140368C5" w14:textId="77777777" w:rsidR="00B42FC2" w:rsidRPr="00FD5106" w:rsidRDefault="00B42FC2" w:rsidP="008D7EDC">
            <w:pPr>
              <w:shd w:val="clear" w:color="auto" w:fill="FFFFFF" w:themeFill="background1"/>
              <w:rPr>
                <w:rFonts w:eastAsia="Calibri"/>
                <w:sz w:val="18"/>
                <w:szCs w:val="18"/>
              </w:rPr>
            </w:pPr>
          </w:p>
          <w:tbl>
            <w:tblPr>
              <w:tblStyle w:val="Grilledutableau"/>
              <w:tblW w:w="6703" w:type="dxa"/>
              <w:tblLayout w:type="fixed"/>
              <w:tblLook w:val="04A0" w:firstRow="1" w:lastRow="0" w:firstColumn="1" w:lastColumn="0" w:noHBand="0" w:noVBand="1"/>
            </w:tblPr>
            <w:tblGrid>
              <w:gridCol w:w="2016"/>
              <w:gridCol w:w="2175"/>
              <w:gridCol w:w="2512"/>
            </w:tblGrid>
            <w:tr w:rsidR="00B42FC2" w:rsidRPr="00FD5106" w14:paraId="669DED1C" w14:textId="77777777" w:rsidTr="00695A12">
              <w:trPr>
                <w:trHeight w:val="188"/>
              </w:trPr>
              <w:tc>
                <w:tcPr>
                  <w:tcW w:w="2016" w:type="dxa"/>
                </w:tcPr>
                <w:p w14:paraId="61D70E74" w14:textId="77777777" w:rsidR="00B42FC2" w:rsidRPr="00FD5106" w:rsidRDefault="00B42FC2" w:rsidP="008D7EDC">
                  <w:pPr>
                    <w:shd w:val="clear" w:color="auto" w:fill="FFFFFF" w:themeFill="background1"/>
                    <w:rPr>
                      <w:rFonts w:eastAsia="Calibri"/>
                      <w:sz w:val="18"/>
                      <w:szCs w:val="18"/>
                    </w:rPr>
                  </w:pPr>
                </w:p>
              </w:tc>
              <w:tc>
                <w:tcPr>
                  <w:tcW w:w="2175" w:type="dxa"/>
                </w:tcPr>
                <w:p w14:paraId="12525D86"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T0</w:t>
                  </w:r>
                </w:p>
              </w:tc>
              <w:tc>
                <w:tcPr>
                  <w:tcW w:w="2512" w:type="dxa"/>
                </w:tcPr>
                <w:p w14:paraId="7CDA87F0"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T8weeks at 40°C in HDPE</w:t>
                  </w:r>
                </w:p>
              </w:tc>
            </w:tr>
            <w:tr w:rsidR="00B42FC2" w:rsidRPr="00FD5106" w14:paraId="208F1965" w14:textId="77777777" w:rsidTr="00695A12">
              <w:trPr>
                <w:trHeight w:val="436"/>
              </w:trPr>
              <w:tc>
                <w:tcPr>
                  <w:tcW w:w="2016" w:type="dxa"/>
                </w:tcPr>
                <w:p w14:paraId="539E2CCD"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lastRenderedPageBreak/>
                    <w:t>Appearance</w:t>
                  </w:r>
                </w:p>
              </w:tc>
              <w:tc>
                <w:tcPr>
                  <w:tcW w:w="2175" w:type="dxa"/>
                </w:tcPr>
                <w:p w14:paraId="7629A84F"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Homogeneous colourless limpid</w:t>
                  </w:r>
                </w:p>
                <w:p w14:paraId="372AD7DC"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liquid with a characteristic odour</w:t>
                  </w:r>
                </w:p>
              </w:tc>
              <w:tc>
                <w:tcPr>
                  <w:tcW w:w="2512" w:type="dxa"/>
                </w:tcPr>
                <w:p w14:paraId="01A7E1D3"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No change</w:t>
                  </w:r>
                </w:p>
              </w:tc>
            </w:tr>
            <w:tr w:rsidR="00B42FC2" w:rsidRPr="00FD5106" w14:paraId="3B30E9C2" w14:textId="77777777" w:rsidTr="00695A12">
              <w:trPr>
                <w:trHeight w:val="326"/>
              </w:trPr>
              <w:tc>
                <w:tcPr>
                  <w:tcW w:w="2016" w:type="dxa"/>
                </w:tcPr>
                <w:p w14:paraId="2CCE04F2"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Appearance of packaging</w:t>
                  </w:r>
                </w:p>
              </w:tc>
              <w:tc>
                <w:tcPr>
                  <w:tcW w:w="2175" w:type="dxa"/>
                </w:tcPr>
                <w:p w14:paraId="76A0814E"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White opaque HDPE flask</w:t>
                  </w:r>
                </w:p>
              </w:tc>
              <w:tc>
                <w:tcPr>
                  <w:tcW w:w="2512" w:type="dxa"/>
                </w:tcPr>
                <w:p w14:paraId="068D772D"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No weight change</w:t>
                  </w:r>
                </w:p>
                <w:p w14:paraId="7C21AF84" w14:textId="77777777" w:rsidR="00B42FC2" w:rsidRPr="00FD5106" w:rsidRDefault="00B42FC2" w:rsidP="008D7EDC">
                  <w:pPr>
                    <w:shd w:val="clear" w:color="auto" w:fill="FFFFFF" w:themeFill="background1"/>
                    <w:rPr>
                      <w:rFonts w:eastAsia="Calibri"/>
                      <w:sz w:val="18"/>
                      <w:szCs w:val="18"/>
                    </w:rPr>
                  </w:pPr>
                </w:p>
                <w:p w14:paraId="335767AB"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No sign of degradation or leak</w:t>
                  </w:r>
                </w:p>
              </w:tc>
            </w:tr>
            <w:tr w:rsidR="00B42FC2" w:rsidRPr="00FD5106" w14:paraId="71540D26" w14:textId="77777777" w:rsidTr="00695A12">
              <w:trPr>
                <w:trHeight w:val="274"/>
              </w:trPr>
              <w:tc>
                <w:tcPr>
                  <w:tcW w:w="2016" w:type="dxa"/>
                </w:tcPr>
                <w:p w14:paraId="5E847AC3"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AS content</w:t>
                  </w:r>
                </w:p>
              </w:tc>
              <w:tc>
                <w:tcPr>
                  <w:tcW w:w="2175" w:type="dxa"/>
                </w:tcPr>
                <w:p w14:paraId="1B666907"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20.7 %</w:t>
                  </w:r>
                  <w:r w:rsidRPr="00FD5106">
                    <w:rPr>
                      <w:rFonts w:eastAsia="Calibri"/>
                      <w:sz w:val="18"/>
                      <w:szCs w:val="18"/>
                      <w:vertAlign w:val="subscript"/>
                    </w:rPr>
                    <w:t>w/w</w:t>
                  </w:r>
                </w:p>
              </w:tc>
              <w:tc>
                <w:tcPr>
                  <w:tcW w:w="2512" w:type="dxa"/>
                </w:tcPr>
                <w:p w14:paraId="42D7F162"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19.9 %</w:t>
                  </w:r>
                  <w:r w:rsidRPr="00FD5106">
                    <w:rPr>
                      <w:rFonts w:eastAsia="Calibri"/>
                      <w:sz w:val="18"/>
                      <w:szCs w:val="18"/>
                      <w:vertAlign w:val="subscript"/>
                    </w:rPr>
                    <w:t>w/w</w:t>
                  </w:r>
                </w:p>
              </w:tc>
            </w:tr>
            <w:tr w:rsidR="00B42FC2" w:rsidRPr="00FD5106" w14:paraId="40469A21" w14:textId="77777777" w:rsidTr="00695A12">
              <w:trPr>
                <w:trHeight w:val="106"/>
              </w:trPr>
              <w:tc>
                <w:tcPr>
                  <w:tcW w:w="2016" w:type="dxa"/>
                </w:tcPr>
                <w:p w14:paraId="40894EC2"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%variation</w:t>
                  </w:r>
                </w:p>
              </w:tc>
              <w:tc>
                <w:tcPr>
                  <w:tcW w:w="2175" w:type="dxa"/>
                </w:tcPr>
                <w:p w14:paraId="6E9F4E4D" w14:textId="77777777" w:rsidR="00B42FC2" w:rsidRPr="00FD5106" w:rsidRDefault="00B42FC2" w:rsidP="008D7EDC">
                  <w:pPr>
                    <w:shd w:val="clear" w:color="auto" w:fill="FFFFFF" w:themeFill="background1"/>
                    <w:rPr>
                      <w:rFonts w:eastAsia="Calibri"/>
                      <w:sz w:val="18"/>
                      <w:szCs w:val="18"/>
                    </w:rPr>
                  </w:pPr>
                </w:p>
              </w:tc>
              <w:tc>
                <w:tcPr>
                  <w:tcW w:w="2512" w:type="dxa"/>
                </w:tcPr>
                <w:p w14:paraId="708BDA67"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-3.9% compared to T0</w:t>
                  </w:r>
                </w:p>
              </w:tc>
            </w:tr>
            <w:tr w:rsidR="00B42FC2" w:rsidRPr="00FD5106" w14:paraId="5CE3298D" w14:textId="77777777" w:rsidTr="00695A12">
              <w:trPr>
                <w:trHeight w:val="328"/>
              </w:trPr>
              <w:tc>
                <w:tcPr>
                  <w:tcW w:w="2016" w:type="dxa"/>
                </w:tcPr>
                <w:p w14:paraId="6F93AF70"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Determination of the satisfactory operation of the spray</w:t>
                  </w:r>
                </w:p>
              </w:tc>
              <w:tc>
                <w:tcPr>
                  <w:tcW w:w="2175" w:type="dxa"/>
                </w:tcPr>
                <w:p w14:paraId="0FBE5885"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No blocking observed</w:t>
                  </w:r>
                </w:p>
              </w:tc>
              <w:tc>
                <w:tcPr>
                  <w:tcW w:w="2512" w:type="dxa"/>
                </w:tcPr>
                <w:p w14:paraId="1456B179"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No blocking observed</w:t>
                  </w:r>
                </w:p>
              </w:tc>
            </w:tr>
            <w:tr w:rsidR="00B42FC2" w:rsidRPr="00FD5106" w14:paraId="3BAE0060" w14:textId="77777777" w:rsidTr="00695A12">
              <w:trPr>
                <w:trHeight w:val="274"/>
              </w:trPr>
              <w:tc>
                <w:tcPr>
                  <w:tcW w:w="2016" w:type="dxa"/>
                </w:tcPr>
                <w:p w14:paraId="11BDE1B7"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Spray volume</w:t>
                  </w:r>
                </w:p>
              </w:tc>
              <w:tc>
                <w:tcPr>
                  <w:tcW w:w="2175" w:type="dxa"/>
                </w:tcPr>
                <w:p w14:paraId="3C88D4A4"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0.396 mL</w:t>
                  </w:r>
                </w:p>
              </w:tc>
              <w:tc>
                <w:tcPr>
                  <w:tcW w:w="2512" w:type="dxa"/>
                </w:tcPr>
                <w:p w14:paraId="68526307"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0.445 mL</w:t>
                  </w:r>
                </w:p>
              </w:tc>
            </w:tr>
            <w:tr w:rsidR="00B42FC2" w:rsidRPr="00FD5106" w14:paraId="5DFD4C88" w14:textId="77777777" w:rsidTr="00695A12">
              <w:trPr>
                <w:trHeight w:val="925"/>
              </w:trPr>
              <w:tc>
                <w:tcPr>
                  <w:tcW w:w="2016" w:type="dxa"/>
                </w:tcPr>
                <w:p w14:paraId="1D512DE1"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Spay diameter and pattern at a distance of 30 cm</w:t>
                  </w:r>
                </w:p>
              </w:tc>
              <w:tc>
                <w:tcPr>
                  <w:tcW w:w="2175" w:type="dxa"/>
                </w:tcPr>
                <w:p w14:paraId="4E59E3C2"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28 cm</w:t>
                  </w:r>
                </w:p>
                <w:p w14:paraId="69836D34" w14:textId="77777777" w:rsidR="00B42FC2" w:rsidRPr="00FD5106" w:rsidRDefault="00B42FC2" w:rsidP="008D7EDC">
                  <w:pPr>
                    <w:shd w:val="clear" w:color="auto" w:fill="FFFFFF" w:themeFill="background1"/>
                    <w:rPr>
                      <w:rFonts w:eastAsia="Calibri"/>
                      <w:sz w:val="18"/>
                      <w:szCs w:val="18"/>
                    </w:rPr>
                  </w:pPr>
                </w:p>
                <w:p w14:paraId="72015B06"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Dispersed point cloud</w:t>
                  </w:r>
                </w:p>
              </w:tc>
              <w:tc>
                <w:tcPr>
                  <w:tcW w:w="2512" w:type="dxa"/>
                </w:tcPr>
                <w:p w14:paraId="390DEE0A"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23 cm</w:t>
                  </w:r>
                </w:p>
                <w:p w14:paraId="6671CF05" w14:textId="77777777" w:rsidR="00B42FC2" w:rsidRPr="00FD5106" w:rsidRDefault="00B42FC2" w:rsidP="008D7EDC">
                  <w:pPr>
                    <w:shd w:val="clear" w:color="auto" w:fill="FFFFFF" w:themeFill="background1"/>
                    <w:rPr>
                      <w:rFonts w:eastAsia="Calibri"/>
                      <w:sz w:val="18"/>
                      <w:szCs w:val="18"/>
                    </w:rPr>
                  </w:pPr>
                </w:p>
                <w:p w14:paraId="371FE768"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Dispersed point cloud</w:t>
                  </w:r>
                </w:p>
              </w:tc>
            </w:tr>
            <w:tr w:rsidR="00B42FC2" w:rsidRPr="00FD5106" w14:paraId="2186B4A3" w14:textId="77777777" w:rsidTr="00695A12">
              <w:trPr>
                <w:trHeight w:val="732"/>
              </w:trPr>
              <w:tc>
                <w:tcPr>
                  <w:tcW w:w="2016" w:type="dxa"/>
                </w:tcPr>
                <w:p w14:paraId="596DEFBF"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 xml:space="preserve">Droplet size </w:t>
                  </w:r>
                </w:p>
                <w:p w14:paraId="69935344" w14:textId="77777777" w:rsidR="00B42FC2" w:rsidRPr="00FD5106" w:rsidRDefault="00B42FC2" w:rsidP="008D7EDC">
                  <w:pPr>
                    <w:shd w:val="clear" w:color="auto" w:fill="FFFFFF" w:themeFill="background1"/>
                    <w:rPr>
                      <w:rFonts w:eastAsia="Calibri"/>
                      <w:sz w:val="18"/>
                      <w:szCs w:val="18"/>
                    </w:rPr>
                  </w:pPr>
                </w:p>
                <w:p w14:paraId="53EE5296"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[Laser light diffraction]</w:t>
                  </w:r>
                </w:p>
              </w:tc>
              <w:tc>
                <w:tcPr>
                  <w:tcW w:w="2175" w:type="dxa"/>
                </w:tcPr>
                <w:p w14:paraId="78E31A22"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Dv(10) = 37.5 µm</w:t>
                  </w:r>
                </w:p>
                <w:p w14:paraId="3B6E7BCB"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Dv(50) = 69.3 µm</w:t>
                  </w:r>
                </w:p>
                <w:p w14:paraId="188FF4E3"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 (90) = 120.7 µm</w:t>
                  </w:r>
                </w:p>
              </w:tc>
              <w:tc>
                <w:tcPr>
                  <w:tcW w:w="2512" w:type="dxa"/>
                </w:tcPr>
                <w:p w14:paraId="65B26FA5"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Dv(10) = 32.8 µm</w:t>
                  </w:r>
                </w:p>
                <w:p w14:paraId="0971FC37"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Dv(50) = 65.6 µm</w:t>
                  </w:r>
                </w:p>
                <w:p w14:paraId="74E57357" w14:textId="77777777" w:rsidR="00B42FC2" w:rsidRPr="00FD5106" w:rsidRDefault="00B42FC2" w:rsidP="008D7EDC">
                  <w:pPr>
                    <w:shd w:val="clear" w:color="auto" w:fill="FFFFFF" w:themeFill="background1"/>
                    <w:rPr>
                      <w:rFonts w:eastAsia="Calibri"/>
                      <w:sz w:val="18"/>
                      <w:szCs w:val="18"/>
                    </w:rPr>
                  </w:pPr>
                  <w:r w:rsidRPr="00FD5106">
                    <w:rPr>
                      <w:rFonts w:eastAsia="Calibri"/>
                      <w:sz w:val="18"/>
                      <w:szCs w:val="18"/>
                    </w:rPr>
                    <w:t>Dv (90) = 117.1 µm</w:t>
                  </w:r>
                </w:p>
              </w:tc>
            </w:tr>
          </w:tbl>
          <w:p w14:paraId="587CBB5A" w14:textId="77777777" w:rsidR="00B42FC2" w:rsidRPr="00FD5106" w:rsidRDefault="00B42FC2" w:rsidP="008D7EDC">
            <w:pPr>
              <w:pStyle w:val="Standaard-Tabellen"/>
              <w:shd w:val="clear" w:color="auto" w:fill="FFFFFF" w:themeFill="background1"/>
              <w:rPr>
                <w:rFonts w:eastAsia="Calibri"/>
                <w:b/>
              </w:rPr>
            </w:pPr>
          </w:p>
        </w:tc>
        <w:tc>
          <w:tcPr>
            <w:tcW w:w="2267" w:type="dxa"/>
            <w:shd w:val="clear" w:color="auto" w:fill="FFFFFF" w:themeFill="background1"/>
          </w:tcPr>
          <w:p w14:paraId="47CC9793" w14:textId="77777777" w:rsidR="00B42FC2" w:rsidRPr="00FD5106" w:rsidRDefault="00B42FC2" w:rsidP="008D7EDC">
            <w:pPr>
              <w:shd w:val="clear" w:color="auto" w:fill="FFFFFF" w:themeFill="background1"/>
              <w:rPr>
                <w:rFonts w:eastAsia="Calibri"/>
                <w:sz w:val="18"/>
                <w:szCs w:val="18"/>
                <w:lang w:val="fr-FR"/>
              </w:rPr>
            </w:pPr>
            <w:r w:rsidRPr="00FD5106">
              <w:rPr>
                <w:rFonts w:eastAsia="Calibri"/>
                <w:sz w:val="18"/>
                <w:szCs w:val="18"/>
                <w:lang w:val="fr-FR"/>
              </w:rPr>
              <w:lastRenderedPageBreak/>
              <w:t>Demangel, 2018</w:t>
            </w:r>
          </w:p>
          <w:p w14:paraId="0EDFAB63" w14:textId="77777777" w:rsidR="00B42FC2" w:rsidRPr="00FD5106" w:rsidRDefault="00B42FC2" w:rsidP="008D7EDC">
            <w:pPr>
              <w:pStyle w:val="Absatz"/>
              <w:shd w:val="clear" w:color="auto" w:fill="FFFFFF" w:themeFill="background1"/>
              <w:ind w:left="0"/>
              <w:rPr>
                <w:rFonts w:ascii="Verdana" w:hAnsi="Verdana"/>
                <w:sz w:val="18"/>
                <w:szCs w:val="18"/>
                <w:lang w:val="fr-FR" w:eastAsia="en-US"/>
              </w:rPr>
            </w:pPr>
          </w:p>
          <w:p w14:paraId="35BEA54B" w14:textId="77777777" w:rsidR="00B42FC2" w:rsidRPr="00FD5106" w:rsidRDefault="00B42FC2" w:rsidP="008D7EDC">
            <w:pPr>
              <w:pStyle w:val="Absatz"/>
              <w:shd w:val="clear" w:color="auto" w:fill="FFFFFF" w:themeFill="background1"/>
              <w:ind w:left="0"/>
              <w:rPr>
                <w:rFonts w:ascii="Verdana" w:hAnsi="Verdana"/>
                <w:sz w:val="18"/>
                <w:szCs w:val="18"/>
                <w:lang w:val="fr-FR" w:eastAsia="en-US"/>
              </w:rPr>
            </w:pPr>
            <w:r w:rsidRPr="00FD5106">
              <w:rPr>
                <w:rFonts w:ascii="Verdana" w:hAnsi="Verdana"/>
                <w:sz w:val="18"/>
                <w:szCs w:val="18"/>
                <w:lang w:val="fr-FR" w:eastAsia="en-US"/>
              </w:rPr>
              <w:t xml:space="preserve">Estace (2018a) </w:t>
            </w:r>
          </w:p>
          <w:p w14:paraId="6DD80E27" w14:textId="77777777" w:rsidR="00B42FC2" w:rsidRPr="00FD5106" w:rsidRDefault="00B42FC2" w:rsidP="008D7EDC">
            <w:pPr>
              <w:shd w:val="clear" w:color="auto" w:fill="FFFFFF" w:themeFill="background1"/>
              <w:rPr>
                <w:sz w:val="18"/>
                <w:szCs w:val="18"/>
                <w:lang w:val="fr-FR" w:eastAsia="en-US"/>
              </w:rPr>
            </w:pPr>
            <w:r w:rsidRPr="00FD5106">
              <w:rPr>
                <w:sz w:val="18"/>
                <w:szCs w:val="18"/>
                <w:lang w:val="fr-FR" w:eastAsia="en-US"/>
              </w:rPr>
              <w:t>Ref : CTG181101/00/04 – 24/07/2018</w:t>
            </w:r>
          </w:p>
          <w:p w14:paraId="14A3DB31" w14:textId="77777777" w:rsidR="00B42FC2" w:rsidRPr="00FD5106" w:rsidRDefault="00B42FC2" w:rsidP="008D7EDC">
            <w:pPr>
              <w:shd w:val="clear" w:color="auto" w:fill="FFFFFF" w:themeFill="background1"/>
              <w:rPr>
                <w:sz w:val="18"/>
                <w:szCs w:val="18"/>
                <w:lang w:val="fr-FR" w:eastAsia="en-US"/>
              </w:rPr>
            </w:pPr>
          </w:p>
          <w:p w14:paraId="6D1CA55D" w14:textId="77777777" w:rsidR="00B42FC2" w:rsidRPr="00FD5106" w:rsidRDefault="00B42FC2" w:rsidP="008D7EDC">
            <w:pPr>
              <w:pStyle w:val="Absatz"/>
              <w:shd w:val="clear" w:color="auto" w:fill="FFFFFF" w:themeFill="background1"/>
              <w:ind w:left="0"/>
              <w:rPr>
                <w:rFonts w:ascii="Verdana" w:hAnsi="Verdana"/>
                <w:sz w:val="18"/>
                <w:szCs w:val="18"/>
                <w:lang w:eastAsia="en-US"/>
              </w:rPr>
            </w:pPr>
            <w:r w:rsidRPr="00FD5106">
              <w:rPr>
                <w:rFonts w:ascii="Verdana" w:hAnsi="Verdana"/>
                <w:sz w:val="18"/>
                <w:szCs w:val="18"/>
                <w:lang w:eastAsia="en-US"/>
              </w:rPr>
              <w:t xml:space="preserve">Estace (2018b) </w:t>
            </w:r>
          </w:p>
          <w:p w14:paraId="7F00D452" w14:textId="77777777" w:rsidR="00B42FC2" w:rsidRPr="00FD5106" w:rsidRDefault="00B42FC2" w:rsidP="008D7EDC">
            <w:pPr>
              <w:shd w:val="clear" w:color="auto" w:fill="FFFFFF" w:themeFill="background1"/>
              <w:rPr>
                <w:sz w:val="18"/>
                <w:szCs w:val="18"/>
                <w:lang w:eastAsia="en-US"/>
              </w:rPr>
            </w:pPr>
            <w:r w:rsidRPr="00FD5106">
              <w:rPr>
                <w:sz w:val="18"/>
                <w:szCs w:val="18"/>
                <w:lang w:eastAsia="en-US"/>
              </w:rPr>
              <w:t>Ref : CTG181101/00/02 – 24/07/2018</w:t>
            </w:r>
          </w:p>
          <w:p w14:paraId="5DDE5196" w14:textId="77777777" w:rsidR="00B42FC2" w:rsidRPr="00FD5106" w:rsidRDefault="00B42FC2" w:rsidP="008D7EDC">
            <w:pPr>
              <w:shd w:val="clear" w:color="auto" w:fill="FFFFFF" w:themeFill="background1"/>
              <w:rPr>
                <w:sz w:val="18"/>
                <w:szCs w:val="18"/>
                <w:lang w:eastAsia="en-US"/>
              </w:rPr>
            </w:pPr>
          </w:p>
          <w:p w14:paraId="34ECD4D0" w14:textId="77777777" w:rsidR="00B42FC2" w:rsidRPr="00FD5106" w:rsidRDefault="00B42FC2" w:rsidP="008D7EDC">
            <w:pPr>
              <w:pStyle w:val="Absatz"/>
              <w:shd w:val="clear" w:color="auto" w:fill="FFFFFF" w:themeFill="background1"/>
              <w:ind w:left="0"/>
              <w:rPr>
                <w:rFonts w:ascii="Verdana" w:hAnsi="Verdana"/>
                <w:sz w:val="18"/>
                <w:szCs w:val="18"/>
                <w:lang w:eastAsia="en-US"/>
              </w:rPr>
            </w:pPr>
            <w:r w:rsidRPr="00FD5106">
              <w:rPr>
                <w:rFonts w:ascii="Verdana" w:hAnsi="Verdana"/>
                <w:sz w:val="18"/>
                <w:szCs w:val="18"/>
                <w:lang w:eastAsia="en-US"/>
              </w:rPr>
              <w:t xml:space="preserve">Keravec (2019a) </w:t>
            </w:r>
          </w:p>
          <w:p w14:paraId="7CAD09EC" w14:textId="77777777" w:rsidR="00B42FC2" w:rsidRPr="00FD5106" w:rsidRDefault="00B42FC2" w:rsidP="008D7EDC">
            <w:pPr>
              <w:shd w:val="clear" w:color="auto" w:fill="FFFFFF" w:themeFill="background1"/>
              <w:rPr>
                <w:sz w:val="18"/>
                <w:szCs w:val="18"/>
                <w:lang w:eastAsia="en-US"/>
              </w:rPr>
            </w:pPr>
            <w:r w:rsidRPr="00FD5106">
              <w:rPr>
                <w:sz w:val="18"/>
                <w:szCs w:val="18"/>
                <w:lang w:eastAsia="en-US"/>
              </w:rPr>
              <w:t>Ref : CTG181101/00/04 – 24/07/2018</w:t>
            </w:r>
          </w:p>
          <w:p w14:paraId="1562A530" w14:textId="77777777" w:rsidR="00B42FC2" w:rsidRPr="00FD5106" w:rsidRDefault="00B42FC2" w:rsidP="008D7EDC">
            <w:pPr>
              <w:shd w:val="clear" w:color="auto" w:fill="FFFFFF" w:themeFill="background1"/>
              <w:rPr>
                <w:sz w:val="18"/>
                <w:szCs w:val="18"/>
                <w:lang w:eastAsia="en-US"/>
              </w:rPr>
            </w:pPr>
          </w:p>
          <w:p w14:paraId="0467DF0F" w14:textId="77777777" w:rsidR="00B42FC2" w:rsidRPr="00FD5106" w:rsidRDefault="00B42FC2" w:rsidP="008D7EDC">
            <w:pPr>
              <w:pStyle w:val="Absatz"/>
              <w:shd w:val="clear" w:color="auto" w:fill="FFFFFF" w:themeFill="background1"/>
              <w:ind w:left="0"/>
              <w:rPr>
                <w:rFonts w:ascii="Verdana" w:hAnsi="Verdana"/>
                <w:sz w:val="18"/>
                <w:szCs w:val="18"/>
                <w:lang w:eastAsia="en-US"/>
              </w:rPr>
            </w:pPr>
            <w:r w:rsidRPr="00FD5106">
              <w:rPr>
                <w:rFonts w:ascii="Verdana" w:hAnsi="Verdana"/>
                <w:sz w:val="18"/>
                <w:szCs w:val="18"/>
                <w:lang w:eastAsia="en-US"/>
              </w:rPr>
              <w:t xml:space="preserve">Keravec (2019b) </w:t>
            </w:r>
          </w:p>
          <w:p w14:paraId="1FE4F3E7" w14:textId="77777777" w:rsidR="00B42FC2" w:rsidRPr="00FD5106" w:rsidRDefault="00B42FC2" w:rsidP="008D7EDC">
            <w:pPr>
              <w:shd w:val="clear" w:color="auto" w:fill="FFFFFF" w:themeFill="background1"/>
              <w:rPr>
                <w:sz w:val="18"/>
                <w:szCs w:val="18"/>
                <w:lang w:eastAsia="en-US"/>
              </w:rPr>
            </w:pPr>
            <w:r w:rsidRPr="00FD5106">
              <w:rPr>
                <w:sz w:val="18"/>
                <w:szCs w:val="18"/>
                <w:lang w:eastAsia="en-US"/>
              </w:rPr>
              <w:t>Ref : CTG181101/00/02 – 24/07/2018</w:t>
            </w:r>
          </w:p>
          <w:p w14:paraId="442C5C50" w14:textId="77777777" w:rsidR="00B42FC2" w:rsidRPr="00FD5106" w:rsidRDefault="00B42FC2" w:rsidP="008D7EDC">
            <w:pPr>
              <w:pStyle w:val="Standaard-Tabellen"/>
              <w:shd w:val="clear" w:color="auto" w:fill="FFFFFF" w:themeFill="background1"/>
              <w:rPr>
                <w:rFonts w:eastAsia="Calibri"/>
                <w:b/>
              </w:rPr>
            </w:pPr>
          </w:p>
        </w:tc>
        <w:tc>
          <w:tcPr>
            <w:tcW w:w="2274" w:type="dxa"/>
            <w:shd w:val="clear" w:color="auto" w:fill="FFFFFF" w:themeFill="background1"/>
          </w:tcPr>
          <w:p w14:paraId="2D6DBA43" w14:textId="77777777" w:rsidR="00B42FC2" w:rsidRPr="00FD5106" w:rsidRDefault="00B42FC2" w:rsidP="008D7EDC">
            <w:pPr>
              <w:pStyle w:val="Standaard-Tabellen"/>
              <w:shd w:val="clear" w:color="auto" w:fill="FFFFFF" w:themeFill="background1"/>
              <w:rPr>
                <w:rFonts w:eastAsia="Calibri"/>
              </w:rPr>
            </w:pPr>
            <w:r w:rsidRPr="00FD5106">
              <w:rPr>
                <w:rFonts w:eastAsia="Calibri"/>
              </w:rPr>
              <w:t>Product is stable after 8weeks at 40°C.</w:t>
            </w:r>
          </w:p>
          <w:p w14:paraId="658F71E8" w14:textId="77777777" w:rsidR="00B42FC2" w:rsidRPr="00FD5106" w:rsidRDefault="00B42FC2" w:rsidP="008D7EDC">
            <w:pPr>
              <w:pStyle w:val="Standaard-Tabellen"/>
              <w:shd w:val="clear" w:color="auto" w:fill="FFFFFF" w:themeFill="background1"/>
              <w:rPr>
                <w:rFonts w:eastAsia="Calibri"/>
              </w:rPr>
            </w:pPr>
            <w:r w:rsidRPr="00FD5106">
              <w:rPr>
                <w:rFonts w:eastAsia="Calibri"/>
              </w:rPr>
              <w:t>Tests are performed with the new sprayer system as the older is not used anymore.</w:t>
            </w:r>
          </w:p>
          <w:p w14:paraId="74DE4320" w14:textId="4B11BBC1" w:rsidR="00B42FC2" w:rsidRPr="00FD5106" w:rsidRDefault="00B42FC2" w:rsidP="008D7EDC">
            <w:pPr>
              <w:pStyle w:val="Standaard-Tabellen"/>
              <w:shd w:val="clear" w:color="auto" w:fill="FFFFFF" w:themeFill="background1"/>
              <w:rPr>
                <w:rFonts w:eastAsia="Calibri"/>
                <w:b/>
              </w:rPr>
            </w:pPr>
            <w:r w:rsidRPr="00FD5106">
              <w:rPr>
                <w:rFonts w:eastAsia="Calibri"/>
                <w:b/>
              </w:rPr>
              <w:t>Product should not be stored at a temperature above 40°C.</w:t>
            </w:r>
          </w:p>
        </w:tc>
      </w:tr>
      <w:tr w:rsidR="001335A3" w:rsidRPr="00FD5106" w14:paraId="740B17F6" w14:textId="77777777" w:rsidTr="008D7EDC">
        <w:trPr>
          <w:cantSplit/>
          <w:trHeight w:val="644"/>
        </w:trPr>
        <w:tc>
          <w:tcPr>
            <w:tcW w:w="1705" w:type="dxa"/>
            <w:shd w:val="clear" w:color="auto" w:fill="FFFFFF" w:themeFill="background1"/>
          </w:tcPr>
          <w:p w14:paraId="50A93E3F" w14:textId="1924F645" w:rsidR="001335A3" w:rsidRPr="00FD5106" w:rsidRDefault="001335A3" w:rsidP="008D7EDC">
            <w:pPr>
              <w:pStyle w:val="Standaard-Tabellen"/>
              <w:shd w:val="clear" w:color="auto" w:fill="FFFFFF" w:themeFill="background1"/>
              <w:rPr>
                <w:rFonts w:eastAsia="Calibri"/>
                <w:b/>
              </w:rPr>
            </w:pPr>
            <w:r w:rsidRPr="00FD5106">
              <w:rPr>
                <w:rFonts w:eastAsia="Calibri"/>
              </w:rPr>
              <w:lastRenderedPageBreak/>
              <w:t>Physical compatibility</w:t>
            </w:r>
          </w:p>
        </w:tc>
        <w:tc>
          <w:tcPr>
            <w:tcW w:w="1414" w:type="dxa"/>
            <w:shd w:val="clear" w:color="auto" w:fill="FFFFFF" w:themeFill="background1"/>
          </w:tcPr>
          <w:p w14:paraId="07C5CA83" w14:textId="3A087668" w:rsidR="001335A3" w:rsidRPr="00FD5106" w:rsidRDefault="001335A3" w:rsidP="008D7EDC">
            <w:pPr>
              <w:pStyle w:val="Standaard-Tabellen"/>
              <w:shd w:val="clear" w:color="auto" w:fill="FFFFFF" w:themeFill="background1"/>
              <w:rPr>
                <w:rFonts w:eastAsia="Calibri"/>
                <w:b/>
              </w:rPr>
            </w:pPr>
            <w:r w:rsidRPr="00FD5106">
              <w:rPr>
                <w:rFonts w:eastAsia="Calibri"/>
              </w:rPr>
              <w:t>[Laser light diffraction, technical compliance to the requirements of21 CFR Part 11 and the ISO13320:2009]</w:t>
            </w:r>
          </w:p>
        </w:tc>
        <w:tc>
          <w:tcPr>
            <w:tcW w:w="1417" w:type="dxa"/>
            <w:shd w:val="clear" w:color="auto" w:fill="FFFFFF" w:themeFill="background1"/>
          </w:tcPr>
          <w:p w14:paraId="71B3363D" w14:textId="77777777" w:rsidR="001335A3" w:rsidRPr="00FD5106" w:rsidRDefault="001335A3" w:rsidP="008D7EDC">
            <w:pPr>
              <w:pStyle w:val="Standaard-Tabellen"/>
              <w:shd w:val="clear" w:color="auto" w:fill="FFFFFF" w:themeFill="background1"/>
              <w:rPr>
                <w:rFonts w:eastAsia="Calibri"/>
                <w:bCs w:val="0"/>
              </w:rPr>
            </w:pPr>
          </w:p>
          <w:p w14:paraId="0334C6CA" w14:textId="77777777" w:rsidR="001335A3" w:rsidRPr="00FD5106" w:rsidRDefault="001335A3" w:rsidP="008D7EDC">
            <w:pPr>
              <w:pStyle w:val="Standaard-Tabellen"/>
              <w:shd w:val="clear" w:color="auto" w:fill="FFFFFF" w:themeFill="background1"/>
              <w:rPr>
                <w:rFonts w:eastAsia="Calibri"/>
                <w:bCs w:val="0"/>
              </w:rPr>
            </w:pPr>
          </w:p>
          <w:p w14:paraId="1ABAD3FB" w14:textId="77777777" w:rsidR="001335A3" w:rsidRPr="00FD5106" w:rsidRDefault="001335A3" w:rsidP="008D7EDC">
            <w:pPr>
              <w:pStyle w:val="Standaard-Tabellen"/>
              <w:shd w:val="clear" w:color="auto" w:fill="FFFFFF" w:themeFill="background1"/>
              <w:rPr>
                <w:rFonts w:eastAsia="Calibri"/>
                <w:bCs w:val="0"/>
              </w:rPr>
            </w:pPr>
          </w:p>
          <w:p w14:paraId="0C62F831" w14:textId="77777777" w:rsidR="001335A3" w:rsidRPr="00FD5106" w:rsidRDefault="001335A3" w:rsidP="008D7EDC">
            <w:pPr>
              <w:pStyle w:val="Standaard-Tabellen"/>
              <w:shd w:val="clear" w:color="auto" w:fill="FFFFFF" w:themeFill="background1"/>
              <w:rPr>
                <w:rFonts w:eastAsia="Calibri"/>
                <w:bCs w:val="0"/>
              </w:rPr>
            </w:pPr>
          </w:p>
          <w:p w14:paraId="4BD8162A" w14:textId="77777777" w:rsidR="001335A3" w:rsidRPr="00FD5106" w:rsidRDefault="001335A3" w:rsidP="008D7EDC">
            <w:pPr>
              <w:pStyle w:val="Standaard-Tabellen"/>
              <w:shd w:val="clear" w:color="auto" w:fill="FFFFFF" w:themeFill="background1"/>
              <w:rPr>
                <w:rFonts w:eastAsia="Calibri"/>
                <w:bCs w:val="0"/>
              </w:rPr>
            </w:pPr>
          </w:p>
          <w:p w14:paraId="3BD72319"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Batch # CTG181101/00/04:</w:t>
            </w:r>
          </w:p>
          <w:p w14:paraId="476A47C1"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20.7%</w:t>
            </w:r>
            <w:r w:rsidRPr="00FD5106">
              <w:rPr>
                <w:rFonts w:eastAsia="Calibri"/>
                <w:sz w:val="18"/>
                <w:szCs w:val="18"/>
                <w:vertAlign w:val="subscript"/>
              </w:rPr>
              <w:t>w/w</w:t>
            </w:r>
            <w:r w:rsidRPr="00FD5106">
              <w:rPr>
                <w:rFonts w:eastAsia="Calibri"/>
                <w:sz w:val="18"/>
                <w:szCs w:val="18"/>
              </w:rPr>
              <w:t xml:space="preserve"> IR3535</w:t>
            </w:r>
          </w:p>
          <w:p w14:paraId="534F9080"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100mL HDPE Spray</w:t>
            </w:r>
          </w:p>
          <w:p w14:paraId="2E677317" w14:textId="77777777" w:rsidR="001335A3" w:rsidRPr="00FD5106" w:rsidRDefault="001335A3" w:rsidP="008D7EDC">
            <w:pPr>
              <w:pStyle w:val="Standaard-Tabellen"/>
              <w:shd w:val="clear" w:color="auto" w:fill="FFFFFF" w:themeFill="background1"/>
              <w:rPr>
                <w:rFonts w:eastAsia="Calibri"/>
                <w:bCs w:val="0"/>
              </w:rPr>
            </w:pPr>
          </w:p>
          <w:p w14:paraId="51B7051B" w14:textId="77777777" w:rsidR="001335A3" w:rsidRPr="00FD5106" w:rsidRDefault="001335A3" w:rsidP="008D7EDC">
            <w:pPr>
              <w:pStyle w:val="Standaard-Tabellen"/>
              <w:shd w:val="clear" w:color="auto" w:fill="FFFFFF" w:themeFill="background1"/>
              <w:rPr>
                <w:rFonts w:eastAsia="Calibri"/>
                <w:bCs w:val="0"/>
              </w:rPr>
            </w:pPr>
          </w:p>
          <w:p w14:paraId="754BCF25" w14:textId="77777777" w:rsidR="001335A3" w:rsidRPr="00FD5106" w:rsidRDefault="001335A3" w:rsidP="008D7EDC">
            <w:pPr>
              <w:pStyle w:val="Standaard-Tabellen"/>
              <w:shd w:val="clear" w:color="auto" w:fill="FFFFFF" w:themeFill="background1"/>
              <w:rPr>
                <w:rFonts w:eastAsia="Calibri"/>
                <w:bCs w:val="0"/>
              </w:rPr>
            </w:pPr>
          </w:p>
          <w:p w14:paraId="7856C5AF" w14:textId="77777777" w:rsidR="001335A3" w:rsidRPr="00FD5106" w:rsidRDefault="001335A3" w:rsidP="008D7EDC">
            <w:pPr>
              <w:pStyle w:val="Standaard-Tabellen"/>
              <w:shd w:val="clear" w:color="auto" w:fill="FFFFFF" w:themeFill="background1"/>
              <w:rPr>
                <w:rFonts w:eastAsia="Calibri"/>
                <w:bCs w:val="0"/>
              </w:rPr>
            </w:pPr>
          </w:p>
          <w:p w14:paraId="33EAC588" w14:textId="77777777" w:rsidR="001335A3" w:rsidRPr="00FD5106" w:rsidRDefault="001335A3" w:rsidP="008D7EDC">
            <w:pPr>
              <w:pStyle w:val="Standaard-Tabellen"/>
              <w:shd w:val="clear" w:color="auto" w:fill="FFFFFF" w:themeFill="background1"/>
              <w:rPr>
                <w:rFonts w:eastAsia="Calibri"/>
                <w:bCs w:val="0"/>
              </w:rPr>
            </w:pPr>
          </w:p>
          <w:p w14:paraId="50A8CF18" w14:textId="77777777" w:rsidR="001335A3" w:rsidRPr="00FD5106" w:rsidRDefault="001335A3" w:rsidP="008D7EDC">
            <w:pPr>
              <w:pStyle w:val="Standaard-Tabellen"/>
              <w:shd w:val="clear" w:color="auto" w:fill="FFFFFF" w:themeFill="background1"/>
              <w:rPr>
                <w:rFonts w:eastAsia="Calibri"/>
                <w:bCs w:val="0"/>
              </w:rPr>
            </w:pPr>
          </w:p>
          <w:p w14:paraId="771D99A4" w14:textId="77777777" w:rsidR="001335A3" w:rsidRPr="00FD5106" w:rsidRDefault="001335A3" w:rsidP="008D7EDC">
            <w:pPr>
              <w:pStyle w:val="Standaard-Tabellen"/>
              <w:shd w:val="clear" w:color="auto" w:fill="FFFFFF" w:themeFill="background1"/>
              <w:rPr>
                <w:rFonts w:eastAsia="Calibri"/>
                <w:bCs w:val="0"/>
              </w:rPr>
            </w:pPr>
          </w:p>
          <w:p w14:paraId="459C252F" w14:textId="77777777" w:rsidR="001335A3" w:rsidRPr="00FD5106" w:rsidRDefault="001335A3" w:rsidP="008D7EDC">
            <w:pPr>
              <w:pStyle w:val="Standaard-Tabellen"/>
              <w:shd w:val="clear" w:color="auto" w:fill="FFFFFF" w:themeFill="background1"/>
              <w:rPr>
                <w:rFonts w:eastAsia="Calibri"/>
                <w:bCs w:val="0"/>
              </w:rPr>
            </w:pPr>
          </w:p>
          <w:p w14:paraId="124B589D"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Batch# CTG181101/00/02:</w:t>
            </w:r>
          </w:p>
          <w:p w14:paraId="6F933F05"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20.7%</w:t>
            </w:r>
            <w:r w:rsidRPr="00FD5106">
              <w:rPr>
                <w:rFonts w:eastAsia="Calibri"/>
                <w:sz w:val="18"/>
                <w:szCs w:val="18"/>
                <w:vertAlign w:val="subscript"/>
              </w:rPr>
              <w:t>w/w</w:t>
            </w:r>
            <w:r w:rsidRPr="00FD5106">
              <w:rPr>
                <w:rFonts w:eastAsia="Calibri"/>
                <w:sz w:val="18"/>
                <w:szCs w:val="18"/>
              </w:rPr>
              <w:t xml:space="preserve"> IR3535</w:t>
            </w:r>
          </w:p>
          <w:p w14:paraId="49F6ABFA" w14:textId="7EE5A7A9" w:rsidR="001335A3" w:rsidRPr="00FD5106" w:rsidRDefault="001335A3" w:rsidP="008D7EDC">
            <w:pPr>
              <w:pStyle w:val="Standaard-Tabellen"/>
              <w:shd w:val="clear" w:color="auto" w:fill="FFFFFF" w:themeFill="background1"/>
              <w:rPr>
                <w:rFonts w:eastAsia="Calibri"/>
                <w:b/>
              </w:rPr>
            </w:pPr>
            <w:r w:rsidRPr="00FD5106">
              <w:rPr>
                <w:rFonts w:eastAsia="Calibri"/>
                <w:szCs w:val="18"/>
              </w:rPr>
              <w:t>250mL HDPE spray trigger flask</w:t>
            </w:r>
          </w:p>
        </w:tc>
        <w:tc>
          <w:tcPr>
            <w:tcW w:w="6799" w:type="dxa"/>
            <w:shd w:val="clear" w:color="auto" w:fill="D9D9D9" w:themeFill="background1" w:themeFillShade="D9"/>
          </w:tcPr>
          <w:p w14:paraId="4B5E008B" w14:textId="77777777" w:rsidR="001335A3" w:rsidRPr="00FD5106" w:rsidRDefault="001335A3" w:rsidP="008D7EDC">
            <w:pPr>
              <w:pStyle w:val="Standaard-Tabellen"/>
              <w:shd w:val="clear" w:color="auto" w:fill="FFFFFF" w:themeFill="background1"/>
              <w:rPr>
                <w:rFonts w:eastAsia="Calibri"/>
              </w:rPr>
            </w:pPr>
          </w:p>
          <w:tbl>
            <w:tblPr>
              <w:tblStyle w:val="Grilledutableau"/>
              <w:tblW w:w="6704" w:type="dxa"/>
              <w:tblLayout w:type="fixed"/>
              <w:tblLook w:val="04A0" w:firstRow="1" w:lastRow="0" w:firstColumn="1" w:lastColumn="0" w:noHBand="0" w:noVBand="1"/>
            </w:tblPr>
            <w:tblGrid>
              <w:gridCol w:w="3278"/>
              <w:gridCol w:w="3426"/>
            </w:tblGrid>
            <w:tr w:rsidR="001335A3" w:rsidRPr="00FD5106" w14:paraId="060C4BC1" w14:textId="77777777" w:rsidTr="008D7EDC">
              <w:trPr>
                <w:trHeight w:val="420"/>
              </w:trPr>
              <w:tc>
                <w:tcPr>
                  <w:tcW w:w="2018" w:type="dxa"/>
                  <w:shd w:val="clear" w:color="auto" w:fill="FFFFFF" w:themeFill="background1"/>
                </w:tcPr>
                <w:p w14:paraId="7047C1F7"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Determination of the satisfactory operation of the spray</w:t>
                  </w:r>
                </w:p>
              </w:tc>
              <w:tc>
                <w:tcPr>
                  <w:tcW w:w="2109" w:type="dxa"/>
                  <w:shd w:val="clear" w:color="auto" w:fill="FFFFFF" w:themeFill="background1"/>
                </w:tcPr>
                <w:p w14:paraId="0BE90909"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No blocking observed</w:t>
                  </w:r>
                </w:p>
              </w:tc>
            </w:tr>
            <w:tr w:rsidR="001335A3" w:rsidRPr="00FD5106" w14:paraId="60DBFC1C" w14:textId="77777777" w:rsidTr="008D7EDC">
              <w:trPr>
                <w:trHeight w:val="193"/>
              </w:trPr>
              <w:tc>
                <w:tcPr>
                  <w:tcW w:w="2018" w:type="dxa"/>
                  <w:shd w:val="clear" w:color="auto" w:fill="FFFFFF" w:themeFill="background1"/>
                </w:tcPr>
                <w:p w14:paraId="20C2E868"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Spray volume (mean)</w:t>
                  </w:r>
                </w:p>
              </w:tc>
              <w:tc>
                <w:tcPr>
                  <w:tcW w:w="2109" w:type="dxa"/>
                  <w:shd w:val="clear" w:color="auto" w:fill="FFFFFF" w:themeFill="background1"/>
                </w:tcPr>
                <w:p w14:paraId="705AA795"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0.099 mL</w:t>
                  </w:r>
                </w:p>
              </w:tc>
            </w:tr>
            <w:tr w:rsidR="001335A3" w:rsidRPr="00FD5106" w14:paraId="6CB23972" w14:textId="77777777" w:rsidTr="008D7EDC">
              <w:trPr>
                <w:trHeight w:val="420"/>
              </w:trPr>
              <w:tc>
                <w:tcPr>
                  <w:tcW w:w="2018" w:type="dxa"/>
                  <w:shd w:val="clear" w:color="auto" w:fill="FFFFFF" w:themeFill="background1"/>
                </w:tcPr>
                <w:p w14:paraId="7263971C"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Spay diameter and pattern at a distance of 30 cm</w:t>
                  </w:r>
                </w:p>
              </w:tc>
              <w:tc>
                <w:tcPr>
                  <w:tcW w:w="2109" w:type="dxa"/>
                </w:tcPr>
                <w:p w14:paraId="71A8FE50"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10 cm</w:t>
                  </w:r>
                </w:p>
                <w:p w14:paraId="7B3127B0" w14:textId="77777777" w:rsidR="001335A3" w:rsidRPr="00FD5106" w:rsidRDefault="001335A3" w:rsidP="008D7EDC">
                  <w:pPr>
                    <w:shd w:val="clear" w:color="auto" w:fill="FFFFFF" w:themeFill="background1"/>
                    <w:rPr>
                      <w:rFonts w:eastAsia="Calibri"/>
                      <w:sz w:val="18"/>
                      <w:szCs w:val="18"/>
                    </w:rPr>
                  </w:pPr>
                </w:p>
                <w:p w14:paraId="27CC890B"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Circular point cloud</w:t>
                  </w:r>
                </w:p>
              </w:tc>
            </w:tr>
            <w:tr w:rsidR="001335A3" w:rsidRPr="00FD5106" w14:paraId="784BB675" w14:textId="77777777" w:rsidTr="008D7EDC">
              <w:trPr>
                <w:trHeight w:val="543"/>
              </w:trPr>
              <w:tc>
                <w:tcPr>
                  <w:tcW w:w="2018" w:type="dxa"/>
                  <w:shd w:val="clear" w:color="auto" w:fill="FFFFFF" w:themeFill="background1"/>
                </w:tcPr>
                <w:p w14:paraId="0C52AB13"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 xml:space="preserve">Droplet size </w:t>
                  </w:r>
                </w:p>
                <w:p w14:paraId="5A79B7AA" w14:textId="77777777" w:rsidR="001335A3" w:rsidRPr="00FD5106" w:rsidRDefault="001335A3" w:rsidP="008D7EDC">
                  <w:pPr>
                    <w:shd w:val="clear" w:color="auto" w:fill="FFFFFF" w:themeFill="background1"/>
                    <w:rPr>
                      <w:rFonts w:eastAsia="Calibri"/>
                      <w:sz w:val="18"/>
                      <w:szCs w:val="18"/>
                    </w:rPr>
                  </w:pPr>
                </w:p>
                <w:p w14:paraId="0A87E4B4"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[Laser light diffraction]</w:t>
                  </w:r>
                </w:p>
              </w:tc>
              <w:tc>
                <w:tcPr>
                  <w:tcW w:w="2109" w:type="dxa"/>
                  <w:shd w:val="clear" w:color="auto" w:fill="FFFFFF" w:themeFill="background1"/>
                </w:tcPr>
                <w:p w14:paraId="1A5D8F1B"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Dv(10) = 37.6 µm</w:t>
                  </w:r>
                </w:p>
                <w:p w14:paraId="1247BDC0"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Dv(50) = 68.6 µm</w:t>
                  </w:r>
                </w:p>
                <w:p w14:paraId="65473867"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Dv (90) = 118 µm</w:t>
                  </w:r>
                </w:p>
              </w:tc>
            </w:tr>
            <w:tr w:rsidR="008D7EDC" w:rsidRPr="00FD5106" w14:paraId="48CEBA4B" w14:textId="77777777" w:rsidTr="008D7EDC">
              <w:trPr>
                <w:trHeight w:val="543"/>
              </w:trPr>
              <w:tc>
                <w:tcPr>
                  <w:tcW w:w="2018" w:type="dxa"/>
                  <w:shd w:val="clear" w:color="auto" w:fill="FFFFFF" w:themeFill="background1"/>
                </w:tcPr>
                <w:p w14:paraId="076DBCAC" w14:textId="77777777" w:rsidR="008D7EDC" w:rsidRPr="00FD5106" w:rsidRDefault="008D7EDC" w:rsidP="008D7EDC">
                  <w:pPr>
                    <w:shd w:val="clear" w:color="auto" w:fill="FFFFFF" w:themeFill="background1"/>
                    <w:rPr>
                      <w:rFonts w:eastAsia="Calibri"/>
                      <w:sz w:val="18"/>
                      <w:szCs w:val="18"/>
                    </w:rPr>
                  </w:pPr>
                </w:p>
              </w:tc>
              <w:tc>
                <w:tcPr>
                  <w:tcW w:w="2109" w:type="dxa"/>
                  <w:shd w:val="clear" w:color="auto" w:fill="FFFFFF" w:themeFill="background1"/>
                </w:tcPr>
                <w:p w14:paraId="17EBB6C1" w14:textId="77777777" w:rsidR="008D7EDC" w:rsidRPr="00FD5106" w:rsidRDefault="008D7EDC" w:rsidP="008D7EDC">
                  <w:pPr>
                    <w:shd w:val="clear" w:color="auto" w:fill="FFFFFF" w:themeFill="background1"/>
                    <w:rPr>
                      <w:rFonts w:eastAsia="Calibri"/>
                      <w:sz w:val="18"/>
                      <w:szCs w:val="18"/>
                    </w:rPr>
                  </w:pPr>
                </w:p>
              </w:tc>
            </w:tr>
          </w:tbl>
          <w:p w14:paraId="0BA3AE0D" w14:textId="77777777" w:rsidR="001335A3" w:rsidRPr="00FD5106" w:rsidRDefault="001335A3" w:rsidP="008D7EDC">
            <w:pPr>
              <w:pStyle w:val="Standaard-Tabellen"/>
              <w:shd w:val="clear" w:color="auto" w:fill="FFFFFF" w:themeFill="background1"/>
              <w:rPr>
                <w:rFonts w:eastAsia="Calibri"/>
              </w:rPr>
            </w:pPr>
          </w:p>
          <w:tbl>
            <w:tblPr>
              <w:tblStyle w:val="Grilledutableau"/>
              <w:tblW w:w="6703" w:type="dxa"/>
              <w:tblLayout w:type="fixed"/>
              <w:tblLook w:val="04A0" w:firstRow="1" w:lastRow="0" w:firstColumn="1" w:lastColumn="0" w:noHBand="0" w:noVBand="1"/>
            </w:tblPr>
            <w:tblGrid>
              <w:gridCol w:w="3224"/>
              <w:gridCol w:w="3479"/>
            </w:tblGrid>
            <w:tr w:rsidR="001335A3" w:rsidRPr="00FD5106" w14:paraId="7F4902E5" w14:textId="77777777" w:rsidTr="008D7EDC">
              <w:trPr>
                <w:trHeight w:val="328"/>
              </w:trPr>
              <w:tc>
                <w:tcPr>
                  <w:tcW w:w="2016" w:type="dxa"/>
                  <w:shd w:val="clear" w:color="auto" w:fill="FFFFFF" w:themeFill="background1"/>
                </w:tcPr>
                <w:p w14:paraId="2158F2D4"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Determination of the satisfactory operation of the spray</w:t>
                  </w:r>
                </w:p>
              </w:tc>
              <w:tc>
                <w:tcPr>
                  <w:tcW w:w="2175" w:type="dxa"/>
                  <w:shd w:val="clear" w:color="auto" w:fill="FFFFFF" w:themeFill="background1"/>
                </w:tcPr>
                <w:p w14:paraId="6C687B24"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No blocking observed</w:t>
                  </w:r>
                </w:p>
              </w:tc>
            </w:tr>
            <w:tr w:rsidR="001335A3" w:rsidRPr="00FD5106" w14:paraId="72EB7BB9" w14:textId="77777777" w:rsidTr="008D7EDC">
              <w:trPr>
                <w:trHeight w:val="274"/>
              </w:trPr>
              <w:tc>
                <w:tcPr>
                  <w:tcW w:w="2016" w:type="dxa"/>
                  <w:shd w:val="clear" w:color="auto" w:fill="FFFFFF" w:themeFill="background1"/>
                </w:tcPr>
                <w:p w14:paraId="2F00FDE8"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Spray volume</w:t>
                  </w:r>
                </w:p>
              </w:tc>
              <w:tc>
                <w:tcPr>
                  <w:tcW w:w="2175" w:type="dxa"/>
                  <w:shd w:val="clear" w:color="auto" w:fill="FFFFFF" w:themeFill="background1"/>
                </w:tcPr>
                <w:p w14:paraId="54198AB7"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0.396 mL</w:t>
                  </w:r>
                </w:p>
              </w:tc>
            </w:tr>
            <w:tr w:rsidR="001335A3" w:rsidRPr="00FD5106" w14:paraId="1E65C1E4" w14:textId="77777777" w:rsidTr="008D7EDC">
              <w:trPr>
                <w:trHeight w:val="925"/>
              </w:trPr>
              <w:tc>
                <w:tcPr>
                  <w:tcW w:w="2016" w:type="dxa"/>
                  <w:shd w:val="clear" w:color="auto" w:fill="FFFFFF" w:themeFill="background1"/>
                </w:tcPr>
                <w:p w14:paraId="4EF661F7"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Spay diameter and pattern at a distance of 30 cm</w:t>
                  </w:r>
                </w:p>
              </w:tc>
              <w:tc>
                <w:tcPr>
                  <w:tcW w:w="2175" w:type="dxa"/>
                  <w:shd w:val="clear" w:color="auto" w:fill="FFFFFF" w:themeFill="background1"/>
                </w:tcPr>
                <w:p w14:paraId="5D192103"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28 cm</w:t>
                  </w:r>
                </w:p>
                <w:p w14:paraId="28145997" w14:textId="77777777" w:rsidR="001335A3" w:rsidRPr="00FD5106" w:rsidRDefault="001335A3" w:rsidP="008D7EDC">
                  <w:pPr>
                    <w:shd w:val="clear" w:color="auto" w:fill="FFFFFF" w:themeFill="background1"/>
                    <w:rPr>
                      <w:rFonts w:eastAsia="Calibri"/>
                      <w:sz w:val="18"/>
                      <w:szCs w:val="18"/>
                    </w:rPr>
                  </w:pPr>
                </w:p>
                <w:p w14:paraId="2FBDC61B"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Dispersed point cloud</w:t>
                  </w:r>
                </w:p>
              </w:tc>
            </w:tr>
            <w:tr w:rsidR="001335A3" w:rsidRPr="00FD5106" w14:paraId="3363FD74" w14:textId="77777777" w:rsidTr="008D7EDC">
              <w:trPr>
                <w:trHeight w:val="732"/>
              </w:trPr>
              <w:tc>
                <w:tcPr>
                  <w:tcW w:w="2016" w:type="dxa"/>
                  <w:shd w:val="clear" w:color="auto" w:fill="FFFFFF" w:themeFill="background1"/>
                </w:tcPr>
                <w:p w14:paraId="40CC17A1"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 xml:space="preserve">Droplet size </w:t>
                  </w:r>
                </w:p>
                <w:p w14:paraId="70B3401F" w14:textId="77777777" w:rsidR="001335A3" w:rsidRPr="00FD5106" w:rsidRDefault="001335A3" w:rsidP="008D7EDC">
                  <w:pPr>
                    <w:shd w:val="clear" w:color="auto" w:fill="FFFFFF" w:themeFill="background1"/>
                    <w:rPr>
                      <w:rFonts w:eastAsia="Calibri"/>
                      <w:sz w:val="18"/>
                      <w:szCs w:val="18"/>
                    </w:rPr>
                  </w:pPr>
                </w:p>
                <w:p w14:paraId="27AFCDCA"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[Laser light diffraction]</w:t>
                  </w:r>
                </w:p>
              </w:tc>
              <w:tc>
                <w:tcPr>
                  <w:tcW w:w="2175" w:type="dxa"/>
                  <w:shd w:val="clear" w:color="auto" w:fill="FFFFFF" w:themeFill="background1"/>
                </w:tcPr>
                <w:p w14:paraId="1E7680D9"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Dv(10) = 37.5 µm</w:t>
                  </w:r>
                </w:p>
                <w:p w14:paraId="4339BCBB"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Dv(50) = 69.3 µm</w:t>
                  </w:r>
                </w:p>
                <w:p w14:paraId="190A18BE" w14:textId="77777777" w:rsidR="001335A3" w:rsidRPr="00FD5106" w:rsidRDefault="001335A3" w:rsidP="008D7EDC">
                  <w:pPr>
                    <w:shd w:val="clear" w:color="auto" w:fill="FFFFFF" w:themeFill="background1"/>
                    <w:rPr>
                      <w:rFonts w:eastAsia="Calibri"/>
                      <w:sz w:val="18"/>
                      <w:szCs w:val="18"/>
                    </w:rPr>
                  </w:pPr>
                  <w:r w:rsidRPr="00FD5106">
                    <w:rPr>
                      <w:rFonts w:eastAsia="Calibri"/>
                      <w:sz w:val="18"/>
                      <w:szCs w:val="18"/>
                    </w:rPr>
                    <w:t>Dv (90) = 120.7 µm</w:t>
                  </w:r>
                </w:p>
              </w:tc>
            </w:tr>
          </w:tbl>
          <w:p w14:paraId="17306BFE" w14:textId="77777777" w:rsidR="001335A3" w:rsidRPr="00FD5106" w:rsidRDefault="001335A3" w:rsidP="008D7EDC">
            <w:pPr>
              <w:pStyle w:val="Standaard-Tabellen"/>
              <w:shd w:val="clear" w:color="auto" w:fill="FFFFFF" w:themeFill="background1"/>
              <w:rPr>
                <w:rFonts w:eastAsia="Calibri"/>
                <w:b/>
              </w:rPr>
            </w:pPr>
          </w:p>
        </w:tc>
        <w:tc>
          <w:tcPr>
            <w:tcW w:w="2267" w:type="dxa"/>
            <w:shd w:val="clear" w:color="auto" w:fill="FFFFFF" w:themeFill="background1"/>
          </w:tcPr>
          <w:p w14:paraId="37AB9E67" w14:textId="77777777" w:rsidR="001335A3" w:rsidRPr="00FD5106" w:rsidRDefault="001335A3" w:rsidP="008D7EDC">
            <w:pPr>
              <w:pStyle w:val="Standaard-Tabellen"/>
              <w:shd w:val="clear" w:color="auto" w:fill="FFFFFF" w:themeFill="background1"/>
              <w:rPr>
                <w:rFonts w:eastAsia="Calibri"/>
                <w:b/>
              </w:rPr>
            </w:pPr>
          </w:p>
        </w:tc>
        <w:tc>
          <w:tcPr>
            <w:tcW w:w="2274" w:type="dxa"/>
            <w:shd w:val="clear" w:color="auto" w:fill="FFFFFF" w:themeFill="background1"/>
          </w:tcPr>
          <w:p w14:paraId="1DFF091C" w14:textId="77777777" w:rsidR="001335A3" w:rsidRPr="00FD5106" w:rsidRDefault="001335A3" w:rsidP="008D7EDC">
            <w:pPr>
              <w:pStyle w:val="Standaard-Tabellen"/>
              <w:shd w:val="clear" w:color="auto" w:fill="FFFFFF" w:themeFill="background1"/>
              <w:rPr>
                <w:rFonts w:eastAsia="Calibri"/>
              </w:rPr>
            </w:pPr>
            <w:r w:rsidRPr="00FD5106">
              <w:rPr>
                <w:rFonts w:eastAsia="Calibri"/>
              </w:rPr>
              <w:t>Acceptable</w:t>
            </w:r>
          </w:p>
          <w:p w14:paraId="4DE8B8EC" w14:textId="5C0D32F7" w:rsidR="001335A3" w:rsidRPr="00FD5106" w:rsidRDefault="001335A3" w:rsidP="008D7EDC">
            <w:pPr>
              <w:pStyle w:val="Standaard-Tabellen"/>
              <w:shd w:val="clear" w:color="auto" w:fill="FFFFFF" w:themeFill="background1"/>
              <w:rPr>
                <w:rFonts w:eastAsia="Calibri"/>
                <w:b/>
              </w:rPr>
            </w:pPr>
            <w:r w:rsidRPr="00FD5106">
              <w:rPr>
                <w:rFonts w:eastAsia="Calibri"/>
              </w:rPr>
              <w:t xml:space="preserve">Tests are available with the new sprayer system as the older are not used anymore </w:t>
            </w:r>
          </w:p>
        </w:tc>
      </w:tr>
    </w:tbl>
    <w:p w14:paraId="24BB7EF1" w14:textId="0552981A" w:rsidR="00B42FC2" w:rsidRPr="00FD5106" w:rsidRDefault="00B42FC2" w:rsidP="00FD5106">
      <w:pPr>
        <w:shd w:val="clear" w:color="auto" w:fill="FFFFFF" w:themeFill="background1"/>
        <w:rPr>
          <w:lang w:eastAsia="en-US"/>
        </w:rPr>
      </w:pPr>
    </w:p>
    <w:tbl>
      <w:tblPr>
        <w:tblW w:w="533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303"/>
      </w:tblGrid>
      <w:tr w:rsidR="001335A3" w:rsidRPr="00FD5106" w14:paraId="42EB2C38" w14:textId="77777777" w:rsidTr="00695A12">
        <w:tc>
          <w:tcPr>
            <w:tcW w:w="5000" w:type="pct"/>
            <w:tcBorders>
              <w:top w:val="single" w:sz="4" w:space="0" w:color="auto"/>
              <w:left w:val="single" w:sz="4" w:space="0" w:color="auto"/>
              <w:bottom w:val="single" w:sz="6" w:space="0" w:color="auto"/>
              <w:right w:val="single" w:sz="6" w:space="0" w:color="auto"/>
            </w:tcBorders>
            <w:shd w:val="clear" w:color="auto" w:fill="CCFFCC"/>
          </w:tcPr>
          <w:p w14:paraId="65492A5D" w14:textId="77777777" w:rsidR="001335A3" w:rsidRPr="008D7EDC" w:rsidRDefault="001335A3" w:rsidP="009461FB">
            <w:pPr>
              <w:shd w:val="clear" w:color="auto" w:fill="D9D9D9" w:themeFill="background1" w:themeFillShade="D9"/>
              <w:rPr>
                <w:rFonts w:eastAsia="Calibri"/>
                <w:b/>
                <w:bCs/>
                <w:lang w:eastAsia="en-US"/>
              </w:rPr>
            </w:pPr>
            <w:r w:rsidRPr="008D7EDC">
              <w:rPr>
                <w:rFonts w:eastAsia="Calibri"/>
                <w:b/>
                <w:bCs/>
                <w:lang w:eastAsia="en-US"/>
              </w:rPr>
              <w:t>Conclusion on the p</w:t>
            </w:r>
            <w:r w:rsidRPr="008D7EDC">
              <w:rPr>
                <w:rFonts w:eastAsia="Calibri"/>
                <w:b/>
              </w:rPr>
              <w:t>hysical, chemical and technical properties</w:t>
            </w:r>
            <w:r w:rsidRPr="008D7EDC">
              <w:rPr>
                <w:rFonts w:eastAsia="Calibri"/>
                <w:b/>
                <w:bCs/>
                <w:lang w:eastAsia="en-US"/>
              </w:rPr>
              <w:t xml:space="preserve"> of the product</w:t>
            </w:r>
          </w:p>
        </w:tc>
      </w:tr>
      <w:tr w:rsidR="001335A3" w:rsidRPr="00BD2EF1" w14:paraId="5CA16DCD" w14:textId="77777777" w:rsidTr="008D7ED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FFFFFF" w:themeFill="background1"/>
          </w:tcPr>
          <w:p w14:paraId="530C328A" w14:textId="77777777" w:rsidR="001335A3" w:rsidRPr="008D7EDC" w:rsidRDefault="001335A3" w:rsidP="008D7EDC">
            <w:pPr>
              <w:pStyle w:val="Standaard-Tabellen"/>
              <w:shd w:val="clear" w:color="auto" w:fill="FFFFFF" w:themeFill="background1"/>
              <w:rPr>
                <w:rFonts w:eastAsia="Calibri"/>
                <w:lang w:eastAsia="en-US"/>
              </w:rPr>
            </w:pPr>
            <w:r w:rsidRPr="008D7EDC">
              <w:rPr>
                <w:rFonts w:eastAsia="Calibri"/>
                <w:lang w:eastAsia="en-US"/>
              </w:rPr>
              <w:t xml:space="preserve">The </w:t>
            </w:r>
            <w:r w:rsidRPr="008D7EDC">
              <w:t>SPRAY REPULSIF IR200 – 2019 (major change)</w:t>
            </w:r>
            <w:r w:rsidRPr="008D7EDC">
              <w:rPr>
                <w:rFonts w:eastAsia="Calibri"/>
                <w:lang w:eastAsia="en-US"/>
              </w:rPr>
              <w:t xml:space="preserve"> as manufactured is a clear, colourless to slightly yellowish, homogenous liquid with a mild characteristic, slight alcoholic smell. The relative density of the product is 0.951 g/mL at 20 °C. At 20°C and a concentration between 1.0 vol% and 100 vol%, the pH value is between 5.7 and 6.7. The product is stable under cold and accelerated (8 weeks at 40°C) storage conditions. As the long term storage study is not yet available and the old study is not acceptable after 24 months storage (loss of active substance &gt;10%), the shelf life of the product is kept at 18 months. </w:t>
            </w:r>
          </w:p>
          <w:p w14:paraId="15FBBBF1" w14:textId="77777777" w:rsidR="001335A3" w:rsidRPr="008D7EDC" w:rsidRDefault="001335A3" w:rsidP="008D7EDC">
            <w:pPr>
              <w:pStyle w:val="Standaard-Tabellen"/>
              <w:shd w:val="clear" w:color="auto" w:fill="FFFFFF" w:themeFill="background1"/>
            </w:pPr>
            <w:r w:rsidRPr="008D7EDC">
              <w:rPr>
                <w:rFonts w:eastAsia="Calibri"/>
                <w:lang w:eastAsia="en-US"/>
              </w:rPr>
              <w:t xml:space="preserve">A long term storage study </w:t>
            </w:r>
            <w:r w:rsidRPr="008D7EDC">
              <w:rPr>
                <w:rFonts w:eastAsia="Calibri"/>
              </w:rPr>
              <w:t>(</w:t>
            </w:r>
            <w:r w:rsidRPr="008D7EDC">
              <w:rPr>
                <w:rFonts w:eastAsia="Calibri"/>
                <w:lang w:eastAsia="en-US"/>
              </w:rPr>
              <w:t xml:space="preserve">on actual </w:t>
            </w:r>
            <w:r w:rsidRPr="008D7EDC">
              <w:rPr>
                <w:rFonts w:eastAsia="Calibri"/>
              </w:rPr>
              <w:t xml:space="preserve">sprayer system product and </w:t>
            </w:r>
            <w:r w:rsidRPr="008D7EDC">
              <w:rPr>
                <w:rFonts w:eastAsia="Calibri"/>
                <w:lang w:eastAsia="en-US"/>
              </w:rPr>
              <w:t>with free acid content before and after storage</w:t>
            </w:r>
            <w:r w:rsidRPr="008D7EDC">
              <w:rPr>
                <w:rFonts w:eastAsia="Calibri"/>
              </w:rPr>
              <w:t>)</w:t>
            </w:r>
            <w:r w:rsidRPr="008D7EDC">
              <w:rPr>
                <w:rFonts w:eastAsia="Calibri"/>
                <w:lang w:eastAsia="en-US"/>
              </w:rPr>
              <w:t xml:space="preserve"> </w:t>
            </w:r>
            <w:r w:rsidRPr="008D7EDC">
              <w:rPr>
                <w:rFonts w:eastAsia="Calibri"/>
              </w:rPr>
              <w:t>can be provided</w:t>
            </w:r>
            <w:r w:rsidRPr="008D7EDC">
              <w:rPr>
                <w:rFonts w:eastAsia="Calibri"/>
                <w:lang w:eastAsia="en-US"/>
              </w:rPr>
              <w:t xml:space="preserve"> in a minor change dossier to </w:t>
            </w:r>
            <w:r w:rsidRPr="008D7EDC">
              <w:rPr>
                <w:rFonts w:eastAsia="Calibri"/>
              </w:rPr>
              <w:t>claim a new</w:t>
            </w:r>
            <w:r w:rsidRPr="008D7EDC">
              <w:rPr>
                <w:rFonts w:eastAsia="Calibri"/>
                <w:lang w:eastAsia="en-US"/>
              </w:rPr>
              <w:t xml:space="preserve"> shelf life </w:t>
            </w:r>
            <w:r w:rsidRPr="008D7EDC">
              <w:rPr>
                <w:rFonts w:eastAsia="Calibri"/>
              </w:rPr>
              <w:t>for</w:t>
            </w:r>
            <w:r w:rsidRPr="008D7EDC">
              <w:rPr>
                <w:rFonts w:eastAsia="Calibri"/>
                <w:lang w:eastAsia="en-US"/>
              </w:rPr>
              <w:t xml:space="preserve"> the product.</w:t>
            </w:r>
          </w:p>
          <w:p w14:paraId="7565BDED" w14:textId="77777777" w:rsidR="001335A3" w:rsidRPr="008D7EDC" w:rsidRDefault="001335A3" w:rsidP="008D7EDC">
            <w:pPr>
              <w:pStyle w:val="Standaard-Tabellen"/>
              <w:shd w:val="clear" w:color="auto" w:fill="FFFFFF" w:themeFill="background1"/>
              <w:rPr>
                <w:rFonts w:eastAsia="Calibri"/>
                <w:lang w:eastAsia="en-US"/>
              </w:rPr>
            </w:pPr>
            <w:r w:rsidRPr="008D7EDC">
              <w:rPr>
                <w:rFonts w:eastAsia="Calibri"/>
                <w:lang w:eastAsia="en-US"/>
              </w:rPr>
              <w:lastRenderedPageBreak/>
              <w:t>Light influence is avoided by using a lightproof plastic packaging. There are no humidity effects expected in that closed package. The product should not be stored for prolonged times (more than 8 weeks) at temperatures &gt;40°C. The surface tension is 29.447 mN/m and the viscosity at 20°C is 5.66 mPa.s. At 40°C the viscosity is 3.17 mPa.s. Physical and chemical compatibility with other products are not relevant.</w:t>
            </w:r>
          </w:p>
          <w:p w14:paraId="5B3421D6" w14:textId="77777777" w:rsidR="001335A3" w:rsidRPr="008D7EDC" w:rsidRDefault="001335A3" w:rsidP="008D7EDC">
            <w:pPr>
              <w:pStyle w:val="Standaard-Tabellen"/>
              <w:shd w:val="clear" w:color="auto" w:fill="FFFFFF" w:themeFill="background1"/>
              <w:rPr>
                <w:rFonts w:eastAsia="Calibri"/>
                <w:lang w:eastAsia="en-US"/>
              </w:rPr>
            </w:pPr>
          </w:p>
          <w:p w14:paraId="7A02E894" w14:textId="77777777" w:rsidR="001335A3" w:rsidRPr="00F07537" w:rsidRDefault="001335A3" w:rsidP="008D7EDC">
            <w:pPr>
              <w:pStyle w:val="Standaard-Tabellen"/>
              <w:shd w:val="clear" w:color="auto" w:fill="FFFFFF" w:themeFill="background1"/>
              <w:rPr>
                <w:rFonts w:eastAsia="Calibri"/>
                <w:lang w:eastAsia="en-US"/>
              </w:rPr>
            </w:pPr>
            <w:r w:rsidRPr="008D7EDC">
              <w:rPr>
                <w:rFonts w:eastAsia="Calibri"/>
                <w:lang w:eastAsia="en-US"/>
              </w:rPr>
              <w:t>The change of spray device (major change 2019) was supported with sufficient data.</w:t>
            </w:r>
          </w:p>
        </w:tc>
      </w:tr>
    </w:tbl>
    <w:p w14:paraId="4CA1DF62" w14:textId="756B344E" w:rsidR="001335A3" w:rsidRDefault="001335A3" w:rsidP="0028480A">
      <w:pPr>
        <w:rPr>
          <w:lang w:eastAsia="en-US"/>
        </w:rPr>
      </w:pPr>
    </w:p>
    <w:p w14:paraId="2CC29045" w14:textId="1FFBE2C2" w:rsidR="002971AD" w:rsidRDefault="002971AD" w:rsidP="0028480A">
      <w:pPr>
        <w:rPr>
          <w:lang w:eastAsia="en-US"/>
        </w:rPr>
      </w:pPr>
    </w:p>
    <w:p w14:paraId="1D0D1051" w14:textId="77777777" w:rsidR="002971AD" w:rsidRPr="00C825A4" w:rsidRDefault="002971AD" w:rsidP="002971AD">
      <w:pPr>
        <w:pStyle w:val="Paragraphedeliste"/>
        <w:numPr>
          <w:ilvl w:val="0"/>
          <w:numId w:val="65"/>
        </w:numPr>
        <w:rPr>
          <w:rFonts w:eastAsia="Calibri"/>
          <w:b/>
          <w:highlight w:val="lightGray"/>
          <w:lang w:eastAsia="en-US"/>
        </w:rPr>
      </w:pPr>
      <w:r w:rsidRPr="00C825A4">
        <w:rPr>
          <w:rFonts w:eastAsia="Calibri"/>
          <w:b/>
          <w:highlight w:val="lightGray"/>
          <w:lang w:eastAsia="en-US"/>
        </w:rPr>
        <w:t>MINOR CHANGE FOR SPRAY REPULSIF IR200 – 2021 (FR CA)</w:t>
      </w:r>
    </w:p>
    <w:p w14:paraId="65BE483A" w14:textId="77777777" w:rsidR="00C825A4" w:rsidRPr="00C825A4" w:rsidRDefault="00C825A4" w:rsidP="00C825A4">
      <w:pPr>
        <w:jc w:val="both"/>
        <w:rPr>
          <w:highlight w:val="lightGray"/>
          <w:lang w:eastAsia="en-US"/>
        </w:rPr>
      </w:pPr>
      <w:r w:rsidRPr="00C825A4">
        <w:rPr>
          <w:highlight w:val="lightGray"/>
          <w:lang w:eastAsia="en-US"/>
        </w:rPr>
        <w:t>New data are presented in the context of this minor change to support:</w:t>
      </w:r>
    </w:p>
    <w:p w14:paraId="4FE5C424" w14:textId="77777777" w:rsidR="00C825A4" w:rsidRPr="00C825A4" w:rsidRDefault="00C825A4" w:rsidP="00C825A4">
      <w:pPr>
        <w:pStyle w:val="Paragraphedeliste"/>
        <w:numPr>
          <w:ilvl w:val="0"/>
          <w:numId w:val="19"/>
        </w:numPr>
        <w:jc w:val="both"/>
        <w:rPr>
          <w:highlight w:val="lightGray"/>
          <w:lang w:eastAsia="en-US"/>
        </w:rPr>
      </w:pPr>
      <w:r w:rsidRPr="00C825A4">
        <w:rPr>
          <w:highlight w:val="lightGray"/>
          <w:lang w:eastAsia="en-US"/>
        </w:rPr>
        <w:t>The increase of the shelf-life from 18 to 24 months.</w:t>
      </w:r>
    </w:p>
    <w:p w14:paraId="3CA28892" w14:textId="77777777" w:rsidR="00C825A4" w:rsidRPr="00C825A4" w:rsidRDefault="00C825A4" w:rsidP="00C825A4">
      <w:pPr>
        <w:pStyle w:val="Paragraphedeliste"/>
        <w:numPr>
          <w:ilvl w:val="1"/>
          <w:numId w:val="19"/>
        </w:numPr>
        <w:jc w:val="both"/>
        <w:rPr>
          <w:highlight w:val="lightGray"/>
          <w:lang w:eastAsia="en-US"/>
        </w:rPr>
      </w:pPr>
      <w:r w:rsidRPr="00C825A4">
        <w:rPr>
          <w:highlight w:val="lightGray"/>
          <w:lang w:eastAsia="en-US"/>
        </w:rPr>
        <w:t>Ambient storage data on two packs (100 mL with 100 µL discharge rate and 250 mL with 400 µL discharge rate) covering all requirements up to 24 months. A partial data set is also available up to 30 months of storage.</w:t>
      </w:r>
    </w:p>
    <w:p w14:paraId="425E2DAB" w14:textId="77777777" w:rsidR="00C825A4" w:rsidRPr="00C825A4" w:rsidRDefault="00C825A4" w:rsidP="00C825A4">
      <w:pPr>
        <w:pStyle w:val="Paragraphedeliste"/>
        <w:numPr>
          <w:ilvl w:val="0"/>
          <w:numId w:val="19"/>
        </w:numPr>
        <w:jc w:val="both"/>
        <w:rPr>
          <w:highlight w:val="lightGray"/>
          <w:lang w:eastAsia="en-US"/>
        </w:rPr>
      </w:pPr>
      <w:r w:rsidRPr="00C825A4">
        <w:rPr>
          <w:highlight w:val="lightGray"/>
          <w:lang w:eastAsia="en-US"/>
        </w:rPr>
        <w:t>The addition of a new spray pump with a 300 µL/spray discharge rate.</w:t>
      </w:r>
    </w:p>
    <w:p w14:paraId="320AD0CA" w14:textId="77777777" w:rsidR="00C825A4" w:rsidRPr="00C825A4" w:rsidRDefault="00C825A4" w:rsidP="00C825A4">
      <w:pPr>
        <w:pStyle w:val="Paragraphedeliste"/>
        <w:numPr>
          <w:ilvl w:val="1"/>
          <w:numId w:val="19"/>
        </w:numPr>
        <w:jc w:val="both"/>
        <w:rPr>
          <w:highlight w:val="lightGray"/>
          <w:lang w:eastAsia="en-US"/>
        </w:rPr>
      </w:pPr>
      <w:r w:rsidRPr="00C825A4">
        <w:rPr>
          <w:highlight w:val="lightGray"/>
          <w:lang w:eastAsia="en-US"/>
        </w:rPr>
        <w:t>The selected 300µl pump differs from the already authorised 100µl pump only by the sprayed volume. This volume depends on the combination of the stroke of the sprayer with the volume contained in the pump body. These elements have no impact on the quality of the spraying. Indeed, spraying characteristics such as the spray pattern and drop size depend only on the nozzle in the push button. This nozzle is identical in both pumps (100 and 300 µl). The quality of spraying will therefore be identical between the 2 pumps.</w:t>
      </w:r>
    </w:p>
    <w:p w14:paraId="63F89CCA" w14:textId="77777777" w:rsidR="00C825A4" w:rsidRPr="00C825A4" w:rsidRDefault="00C825A4" w:rsidP="00C825A4">
      <w:pPr>
        <w:pStyle w:val="Paragraphedeliste"/>
        <w:ind w:left="1440"/>
        <w:jc w:val="both"/>
        <w:rPr>
          <w:highlight w:val="lightGray"/>
          <w:lang w:eastAsia="en-US"/>
        </w:rPr>
      </w:pPr>
      <w:r w:rsidRPr="00C825A4">
        <w:rPr>
          <w:highlight w:val="lightGray"/>
          <w:lang w:eastAsia="en-US"/>
        </w:rPr>
        <w:t>Concerning the compatibility of the 300µl pump with the formula, the materials used for each component being the same as for the 100µl version, the physicochemical interactions between the formula and the two pumps will be identical. Finally, as far as the tightness of the pump is concerned, this is given by the internal seal (internal gasket) at the nozzle and through the external gasket at the bottle, in the same crimping conditions on the same bottle, the sealing will be assured of the same way between the 2 pumps of 100 and 300 µl.</w:t>
      </w:r>
    </w:p>
    <w:p w14:paraId="53A3CF31" w14:textId="77777777" w:rsidR="00C825A4" w:rsidRPr="00C825A4" w:rsidRDefault="00C825A4" w:rsidP="00C825A4">
      <w:pPr>
        <w:pStyle w:val="Paragraphedeliste"/>
        <w:numPr>
          <w:ilvl w:val="1"/>
          <w:numId w:val="19"/>
        </w:numPr>
        <w:jc w:val="both"/>
        <w:rPr>
          <w:highlight w:val="lightGray"/>
          <w:lang w:eastAsia="en-US"/>
        </w:rPr>
      </w:pPr>
      <w:r w:rsidRPr="00C825A4">
        <w:rPr>
          <w:highlight w:val="lightGray"/>
          <w:lang w:eastAsia="en-US"/>
        </w:rPr>
        <w:t>An accelerated storage stability study is submitted on this new pump to show that its stability is similar to the 100 µL pump.</w:t>
      </w:r>
    </w:p>
    <w:p w14:paraId="4E507486" w14:textId="77777777" w:rsidR="00C825A4" w:rsidRPr="00C825A4" w:rsidRDefault="00C825A4" w:rsidP="00C825A4">
      <w:pPr>
        <w:pStyle w:val="Paragraphedeliste"/>
        <w:ind w:left="1440"/>
        <w:rPr>
          <w:highlight w:val="lightGray"/>
          <w:lang w:eastAsia="en-US"/>
        </w:rPr>
      </w:pPr>
    </w:p>
    <w:p w14:paraId="7F931DD4" w14:textId="77777777" w:rsidR="00C825A4" w:rsidRPr="00C825A4" w:rsidRDefault="00C825A4" w:rsidP="00C825A4">
      <w:pPr>
        <w:rPr>
          <w:highlight w:val="lightGray"/>
          <w:lang w:eastAsia="en-US"/>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1414"/>
        <w:gridCol w:w="1417"/>
        <w:gridCol w:w="6799"/>
        <w:gridCol w:w="2267"/>
        <w:gridCol w:w="2274"/>
      </w:tblGrid>
      <w:tr w:rsidR="00C825A4" w:rsidRPr="00C825A4" w14:paraId="51DCFF9C" w14:textId="77777777" w:rsidTr="008D7EDC">
        <w:trPr>
          <w:cantSplit/>
          <w:trHeight w:val="644"/>
        </w:trPr>
        <w:tc>
          <w:tcPr>
            <w:tcW w:w="1705" w:type="dxa"/>
            <w:shd w:val="clear" w:color="auto" w:fill="D9D9D9" w:themeFill="background1" w:themeFillShade="D9"/>
            <w:vAlign w:val="center"/>
          </w:tcPr>
          <w:p w14:paraId="49EC5676" w14:textId="77777777" w:rsidR="00C825A4" w:rsidRPr="00C825A4" w:rsidRDefault="00C825A4" w:rsidP="008D7EDC">
            <w:pPr>
              <w:pStyle w:val="Standaard-Tabellen"/>
              <w:rPr>
                <w:rFonts w:eastAsia="Calibri"/>
                <w:b/>
                <w:highlight w:val="lightGray"/>
              </w:rPr>
            </w:pPr>
            <w:r w:rsidRPr="00C825A4">
              <w:rPr>
                <w:rFonts w:eastAsia="Calibri"/>
                <w:b/>
                <w:highlight w:val="lightGray"/>
              </w:rPr>
              <w:t>Property</w:t>
            </w:r>
          </w:p>
        </w:tc>
        <w:tc>
          <w:tcPr>
            <w:tcW w:w="1414" w:type="dxa"/>
            <w:shd w:val="clear" w:color="auto" w:fill="D9D9D9" w:themeFill="background1" w:themeFillShade="D9"/>
            <w:vAlign w:val="center"/>
          </w:tcPr>
          <w:p w14:paraId="0ABDBDDE" w14:textId="77777777" w:rsidR="00C825A4" w:rsidRPr="00C825A4" w:rsidRDefault="00C825A4" w:rsidP="008D7EDC">
            <w:pPr>
              <w:pStyle w:val="Standaard-Tabellen"/>
              <w:rPr>
                <w:rFonts w:eastAsia="Calibri"/>
                <w:b/>
                <w:highlight w:val="lightGray"/>
              </w:rPr>
            </w:pPr>
            <w:r w:rsidRPr="00C825A4">
              <w:rPr>
                <w:rFonts w:eastAsia="Calibri"/>
                <w:b/>
                <w:highlight w:val="lightGray"/>
              </w:rPr>
              <w:t>Guideline  and Method</w:t>
            </w:r>
          </w:p>
        </w:tc>
        <w:tc>
          <w:tcPr>
            <w:tcW w:w="1417" w:type="dxa"/>
            <w:shd w:val="clear" w:color="auto" w:fill="D9D9D9" w:themeFill="background1" w:themeFillShade="D9"/>
            <w:vAlign w:val="center"/>
          </w:tcPr>
          <w:p w14:paraId="2C29AEB0" w14:textId="77777777" w:rsidR="00C825A4" w:rsidRPr="00C825A4" w:rsidRDefault="00C825A4" w:rsidP="008D7EDC">
            <w:pPr>
              <w:pStyle w:val="Standaard-Tabellen"/>
              <w:rPr>
                <w:rFonts w:eastAsia="Calibri"/>
                <w:b/>
                <w:highlight w:val="lightGray"/>
              </w:rPr>
            </w:pPr>
            <w:r w:rsidRPr="00C825A4">
              <w:rPr>
                <w:rFonts w:eastAsia="Calibri"/>
                <w:b/>
                <w:highlight w:val="lightGray"/>
              </w:rPr>
              <w:t>Purity of the test substance (% (w/w)</w:t>
            </w:r>
          </w:p>
        </w:tc>
        <w:tc>
          <w:tcPr>
            <w:tcW w:w="6799" w:type="dxa"/>
            <w:shd w:val="clear" w:color="auto" w:fill="D9D9D9" w:themeFill="background1" w:themeFillShade="D9"/>
            <w:vAlign w:val="center"/>
          </w:tcPr>
          <w:p w14:paraId="561F62E3" w14:textId="77777777" w:rsidR="00C825A4" w:rsidRPr="00C825A4" w:rsidRDefault="00C825A4" w:rsidP="008D7EDC">
            <w:pPr>
              <w:pStyle w:val="Standaard-Tabellen"/>
              <w:rPr>
                <w:rFonts w:eastAsia="Calibri"/>
                <w:b/>
                <w:highlight w:val="lightGray"/>
              </w:rPr>
            </w:pPr>
            <w:r w:rsidRPr="00C825A4">
              <w:rPr>
                <w:rFonts w:eastAsia="Calibri"/>
                <w:b/>
                <w:highlight w:val="lightGray"/>
              </w:rPr>
              <w:t>Results</w:t>
            </w:r>
          </w:p>
        </w:tc>
        <w:tc>
          <w:tcPr>
            <w:tcW w:w="2267" w:type="dxa"/>
            <w:shd w:val="clear" w:color="auto" w:fill="D9D9D9" w:themeFill="background1" w:themeFillShade="D9"/>
            <w:vAlign w:val="center"/>
          </w:tcPr>
          <w:p w14:paraId="0D218D36" w14:textId="77777777" w:rsidR="00C825A4" w:rsidRPr="00C825A4" w:rsidRDefault="00C825A4" w:rsidP="008D7EDC">
            <w:pPr>
              <w:pStyle w:val="Standaard-Tabellen"/>
              <w:rPr>
                <w:rFonts w:eastAsia="Calibri"/>
                <w:b/>
                <w:highlight w:val="lightGray"/>
              </w:rPr>
            </w:pPr>
            <w:r w:rsidRPr="00C825A4">
              <w:rPr>
                <w:rFonts w:eastAsia="Calibri"/>
                <w:b/>
                <w:highlight w:val="lightGray"/>
              </w:rPr>
              <w:t>Reference</w:t>
            </w:r>
          </w:p>
        </w:tc>
        <w:tc>
          <w:tcPr>
            <w:tcW w:w="2274" w:type="dxa"/>
            <w:shd w:val="clear" w:color="auto" w:fill="D9D9D9" w:themeFill="background1" w:themeFillShade="D9"/>
            <w:vAlign w:val="center"/>
          </w:tcPr>
          <w:p w14:paraId="5B3315ED" w14:textId="77777777" w:rsidR="00C825A4" w:rsidRPr="00C825A4" w:rsidRDefault="00C825A4" w:rsidP="008D7EDC">
            <w:pPr>
              <w:pStyle w:val="Standaard-Tabellen"/>
              <w:rPr>
                <w:rFonts w:eastAsia="Calibri"/>
                <w:b/>
                <w:highlight w:val="lightGray"/>
              </w:rPr>
            </w:pPr>
            <w:r w:rsidRPr="00C825A4">
              <w:rPr>
                <w:rFonts w:eastAsia="Calibri"/>
                <w:b/>
                <w:highlight w:val="lightGray"/>
              </w:rPr>
              <w:t>Comments</w:t>
            </w:r>
          </w:p>
        </w:tc>
      </w:tr>
      <w:tr w:rsidR="00C825A4" w:rsidRPr="00C825A4" w14:paraId="6FD84534" w14:textId="77777777" w:rsidTr="008D7EDC">
        <w:trPr>
          <w:cantSplit/>
          <w:trHeight w:val="644"/>
        </w:trPr>
        <w:tc>
          <w:tcPr>
            <w:tcW w:w="1705" w:type="dxa"/>
            <w:vMerge w:val="restart"/>
            <w:shd w:val="clear" w:color="auto" w:fill="D9D9D9" w:themeFill="background1" w:themeFillShade="D9"/>
          </w:tcPr>
          <w:p w14:paraId="2646EDB3"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lastRenderedPageBreak/>
              <w:t xml:space="preserve">Storage stability test – </w:t>
            </w:r>
            <w:r w:rsidRPr="00C825A4">
              <w:rPr>
                <w:rFonts w:eastAsia="Calibri"/>
                <w:b/>
                <w:bCs/>
                <w:sz w:val="18"/>
                <w:szCs w:val="18"/>
                <w:highlight w:val="lightGray"/>
              </w:rPr>
              <w:t>Long term storage</w:t>
            </w:r>
          </w:p>
        </w:tc>
        <w:tc>
          <w:tcPr>
            <w:tcW w:w="1414" w:type="dxa"/>
            <w:shd w:val="clear" w:color="auto" w:fill="D9D9D9" w:themeFill="background1" w:themeFillShade="D9"/>
          </w:tcPr>
          <w:p w14:paraId="167FBA27" w14:textId="77777777" w:rsidR="00C825A4" w:rsidRDefault="00C825A4" w:rsidP="008D7EDC">
            <w:pPr>
              <w:rPr>
                <w:rFonts w:eastAsia="Calibri"/>
                <w:sz w:val="18"/>
                <w:szCs w:val="18"/>
                <w:highlight w:val="lightGray"/>
              </w:rPr>
            </w:pPr>
            <w:r w:rsidRPr="00C825A4">
              <w:rPr>
                <w:rFonts w:eastAsia="Calibri"/>
                <w:sz w:val="18"/>
                <w:szCs w:val="18"/>
                <w:highlight w:val="lightGray"/>
              </w:rPr>
              <w:t>Gifap Monograph No.17</w:t>
            </w:r>
          </w:p>
          <w:p w14:paraId="47A42A06" w14:textId="77777777" w:rsidR="006A24DD" w:rsidRPr="00FD5106" w:rsidRDefault="006A24DD" w:rsidP="006A24DD">
            <w:pPr>
              <w:shd w:val="clear" w:color="auto" w:fill="D9D9D9" w:themeFill="background1" w:themeFillShade="D9"/>
              <w:rPr>
                <w:rFonts w:eastAsia="Calibri"/>
                <w:sz w:val="18"/>
                <w:szCs w:val="18"/>
              </w:rPr>
            </w:pPr>
            <w:r w:rsidRPr="00FD5106">
              <w:rPr>
                <w:rFonts w:eastAsia="Calibri"/>
                <w:sz w:val="18"/>
                <w:szCs w:val="18"/>
              </w:rPr>
              <w:t xml:space="preserve">Method to quantify the AS study # 18-905023-003 </w:t>
            </w:r>
          </w:p>
          <w:p w14:paraId="0A19A055" w14:textId="56159EF3" w:rsidR="006A24DD" w:rsidRPr="00C825A4" w:rsidRDefault="006A24DD" w:rsidP="008D7EDC">
            <w:pPr>
              <w:rPr>
                <w:rFonts w:eastAsia="Calibri"/>
                <w:sz w:val="18"/>
                <w:szCs w:val="18"/>
                <w:highlight w:val="lightGray"/>
              </w:rPr>
            </w:pPr>
          </w:p>
        </w:tc>
        <w:tc>
          <w:tcPr>
            <w:tcW w:w="1417" w:type="dxa"/>
            <w:shd w:val="clear" w:color="auto" w:fill="D9D9D9" w:themeFill="background1" w:themeFillShade="D9"/>
          </w:tcPr>
          <w:p w14:paraId="1428881E"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Spray Repulsif IR200, 20% w/w IR3535, Batch CTG181101/00/04</w:t>
            </w:r>
          </w:p>
          <w:p w14:paraId="71FA92F4" w14:textId="77777777" w:rsidR="00C825A4" w:rsidRPr="00C825A4" w:rsidRDefault="00C825A4" w:rsidP="008D7EDC">
            <w:pPr>
              <w:rPr>
                <w:rFonts w:eastAsia="Calibri"/>
                <w:sz w:val="18"/>
                <w:szCs w:val="18"/>
                <w:highlight w:val="lightGray"/>
              </w:rPr>
            </w:pPr>
          </w:p>
        </w:tc>
        <w:tc>
          <w:tcPr>
            <w:tcW w:w="6799" w:type="dxa"/>
            <w:shd w:val="clear" w:color="auto" w:fill="D9D9D9" w:themeFill="background1" w:themeFillShade="D9"/>
          </w:tcPr>
          <w:p w14:paraId="34E4935A"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Storage at ambient temperature (20°C) in a 100 mL commercial packaging (HDPE) with a spray head of 100 µL discharge rate.</w:t>
            </w:r>
          </w:p>
          <w:p w14:paraId="3FF5AF26" w14:textId="77777777" w:rsidR="00C825A4" w:rsidRPr="00C825A4" w:rsidRDefault="00C825A4" w:rsidP="008D7EDC">
            <w:pPr>
              <w:rPr>
                <w:rFonts w:eastAsia="Calibri"/>
                <w:sz w:val="18"/>
                <w:szCs w:val="18"/>
                <w:highlight w:val="lightGray"/>
              </w:rPr>
            </w:pPr>
          </w:p>
          <w:tbl>
            <w:tblPr>
              <w:tblStyle w:val="Grilledutableau"/>
              <w:tblW w:w="6576" w:type="dxa"/>
              <w:tblLayout w:type="fixed"/>
              <w:tblLook w:val="04A0" w:firstRow="1" w:lastRow="0" w:firstColumn="1" w:lastColumn="0" w:noHBand="0" w:noVBand="1"/>
            </w:tblPr>
            <w:tblGrid>
              <w:gridCol w:w="1685"/>
              <w:gridCol w:w="1779"/>
              <w:gridCol w:w="1559"/>
              <w:gridCol w:w="1553"/>
            </w:tblGrid>
            <w:tr w:rsidR="00C825A4" w:rsidRPr="00C825A4" w14:paraId="5A78DACC" w14:textId="77777777" w:rsidTr="008D7EDC">
              <w:trPr>
                <w:trHeight w:val="191"/>
              </w:trPr>
              <w:tc>
                <w:tcPr>
                  <w:tcW w:w="1685" w:type="dxa"/>
                </w:tcPr>
                <w:p w14:paraId="4F4D1B45" w14:textId="77777777" w:rsidR="00C825A4" w:rsidRPr="00C825A4" w:rsidRDefault="00C825A4" w:rsidP="008D7EDC">
                  <w:pPr>
                    <w:rPr>
                      <w:rFonts w:eastAsia="Calibri"/>
                      <w:sz w:val="18"/>
                      <w:szCs w:val="18"/>
                      <w:highlight w:val="lightGray"/>
                    </w:rPr>
                  </w:pPr>
                </w:p>
              </w:tc>
              <w:tc>
                <w:tcPr>
                  <w:tcW w:w="1779" w:type="dxa"/>
                </w:tcPr>
                <w:p w14:paraId="5C1C176E"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T0</w:t>
                  </w:r>
                </w:p>
              </w:tc>
              <w:tc>
                <w:tcPr>
                  <w:tcW w:w="1559" w:type="dxa"/>
                </w:tcPr>
                <w:p w14:paraId="3CBBD05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After 24 months</w:t>
                  </w:r>
                </w:p>
              </w:tc>
              <w:tc>
                <w:tcPr>
                  <w:tcW w:w="1553" w:type="dxa"/>
                </w:tcPr>
                <w:p w14:paraId="0C34A3B4"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After 30 months</w:t>
                  </w:r>
                </w:p>
              </w:tc>
            </w:tr>
            <w:tr w:rsidR="00C825A4" w:rsidRPr="00C825A4" w14:paraId="6D2C51D9" w14:textId="77777777" w:rsidTr="008D7EDC">
              <w:trPr>
                <w:trHeight w:val="518"/>
              </w:trPr>
              <w:tc>
                <w:tcPr>
                  <w:tcW w:w="1685" w:type="dxa"/>
                </w:tcPr>
                <w:p w14:paraId="696EBCF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Appearance</w:t>
                  </w:r>
                </w:p>
              </w:tc>
              <w:tc>
                <w:tcPr>
                  <w:tcW w:w="1779" w:type="dxa"/>
                </w:tcPr>
                <w:p w14:paraId="58544F6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Homogeneous colourless limpid liquid with a characteristic odour</w:t>
                  </w:r>
                </w:p>
              </w:tc>
              <w:tc>
                <w:tcPr>
                  <w:tcW w:w="1559" w:type="dxa"/>
                </w:tcPr>
                <w:p w14:paraId="3577366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change</w:t>
                  </w:r>
                </w:p>
              </w:tc>
              <w:tc>
                <w:tcPr>
                  <w:tcW w:w="1553" w:type="dxa"/>
                </w:tcPr>
                <w:p w14:paraId="396EDD4B"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change</w:t>
                  </w:r>
                </w:p>
              </w:tc>
            </w:tr>
            <w:tr w:rsidR="00C825A4" w:rsidRPr="00C825A4" w14:paraId="5B9881D2" w14:textId="77777777" w:rsidTr="008D7EDC">
              <w:trPr>
                <w:trHeight w:val="466"/>
              </w:trPr>
              <w:tc>
                <w:tcPr>
                  <w:tcW w:w="1685" w:type="dxa"/>
                </w:tcPr>
                <w:p w14:paraId="584CD63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Appearance of packaging</w:t>
                  </w:r>
                </w:p>
              </w:tc>
              <w:tc>
                <w:tcPr>
                  <w:tcW w:w="1779" w:type="dxa"/>
                </w:tcPr>
                <w:p w14:paraId="16C3A4ED"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White opaque HDPE flask</w:t>
                  </w:r>
                </w:p>
              </w:tc>
              <w:tc>
                <w:tcPr>
                  <w:tcW w:w="1559" w:type="dxa"/>
                </w:tcPr>
                <w:p w14:paraId="6A9AC580"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change</w:t>
                  </w:r>
                </w:p>
                <w:p w14:paraId="4E97C28D"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sign of degradation or leak</w:t>
                  </w:r>
                </w:p>
              </w:tc>
              <w:tc>
                <w:tcPr>
                  <w:tcW w:w="1553" w:type="dxa"/>
                </w:tcPr>
                <w:p w14:paraId="2F0F6926"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change</w:t>
                  </w:r>
                </w:p>
                <w:p w14:paraId="7D41AD0B"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sign of degradation or leak</w:t>
                  </w:r>
                </w:p>
              </w:tc>
            </w:tr>
            <w:tr w:rsidR="00C825A4" w:rsidRPr="00C825A4" w14:paraId="01D9FFB0" w14:textId="77777777" w:rsidTr="008D7EDC">
              <w:trPr>
                <w:trHeight w:val="466"/>
              </w:trPr>
              <w:tc>
                <w:tcPr>
                  <w:tcW w:w="1685" w:type="dxa"/>
                </w:tcPr>
                <w:p w14:paraId="04B934D4"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Weight loss</w:t>
                  </w:r>
                </w:p>
              </w:tc>
              <w:tc>
                <w:tcPr>
                  <w:tcW w:w="1779" w:type="dxa"/>
                </w:tcPr>
                <w:p w14:paraId="502C4CD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t>
                  </w:r>
                </w:p>
              </w:tc>
              <w:tc>
                <w:tcPr>
                  <w:tcW w:w="1559" w:type="dxa"/>
                </w:tcPr>
                <w:p w14:paraId="4E8C5A7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0.9%</w:t>
                  </w:r>
                </w:p>
              </w:tc>
              <w:tc>
                <w:tcPr>
                  <w:tcW w:w="1553" w:type="dxa"/>
                </w:tcPr>
                <w:p w14:paraId="7977BEA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1.3%</w:t>
                  </w:r>
                </w:p>
              </w:tc>
            </w:tr>
            <w:tr w:rsidR="00C825A4" w:rsidRPr="00C825A4" w14:paraId="130377CD" w14:textId="77777777" w:rsidTr="008D7EDC">
              <w:trPr>
                <w:trHeight w:val="112"/>
              </w:trPr>
              <w:tc>
                <w:tcPr>
                  <w:tcW w:w="1685" w:type="dxa"/>
                </w:tcPr>
                <w:p w14:paraId="2332AF86"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AS content</w:t>
                  </w:r>
                </w:p>
              </w:tc>
              <w:tc>
                <w:tcPr>
                  <w:tcW w:w="1779" w:type="dxa"/>
                </w:tcPr>
                <w:p w14:paraId="6A845E14"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20.7 %w/w</w:t>
                  </w:r>
                </w:p>
              </w:tc>
              <w:tc>
                <w:tcPr>
                  <w:tcW w:w="1559" w:type="dxa"/>
                </w:tcPr>
                <w:p w14:paraId="731A112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20.4 %w/w</w:t>
                  </w:r>
                </w:p>
              </w:tc>
              <w:tc>
                <w:tcPr>
                  <w:tcW w:w="1553" w:type="dxa"/>
                </w:tcPr>
                <w:p w14:paraId="4A114150"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20.8 %w/w</w:t>
                  </w:r>
                </w:p>
              </w:tc>
            </w:tr>
            <w:tr w:rsidR="00C825A4" w:rsidRPr="00C825A4" w14:paraId="23737D12" w14:textId="77777777" w:rsidTr="008D7EDC">
              <w:trPr>
                <w:trHeight w:val="191"/>
              </w:trPr>
              <w:tc>
                <w:tcPr>
                  <w:tcW w:w="1685" w:type="dxa"/>
                </w:tcPr>
                <w:p w14:paraId="0717AFDE"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%variation</w:t>
                  </w:r>
                </w:p>
              </w:tc>
              <w:tc>
                <w:tcPr>
                  <w:tcW w:w="1779" w:type="dxa"/>
                </w:tcPr>
                <w:p w14:paraId="32C29A8F"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t>
                  </w:r>
                </w:p>
              </w:tc>
              <w:tc>
                <w:tcPr>
                  <w:tcW w:w="1559" w:type="dxa"/>
                </w:tcPr>
                <w:p w14:paraId="6EB041A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-1.4% compared to T0</w:t>
                  </w:r>
                </w:p>
              </w:tc>
              <w:tc>
                <w:tcPr>
                  <w:tcW w:w="1553" w:type="dxa"/>
                </w:tcPr>
                <w:p w14:paraId="7AD39E7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+0.5% compared to T0</w:t>
                  </w:r>
                </w:p>
              </w:tc>
            </w:tr>
            <w:tr w:rsidR="00C825A4" w:rsidRPr="00C825A4" w14:paraId="27AF482E" w14:textId="77777777" w:rsidTr="008D7EDC">
              <w:trPr>
                <w:trHeight w:val="191"/>
              </w:trPr>
              <w:tc>
                <w:tcPr>
                  <w:tcW w:w="1685" w:type="dxa"/>
                </w:tcPr>
                <w:p w14:paraId="2091F1C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pH</w:t>
                  </w:r>
                </w:p>
              </w:tc>
              <w:tc>
                <w:tcPr>
                  <w:tcW w:w="1779" w:type="dxa"/>
                </w:tcPr>
                <w:p w14:paraId="19F5621F"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t>
                  </w:r>
                </w:p>
              </w:tc>
              <w:tc>
                <w:tcPr>
                  <w:tcW w:w="1559" w:type="dxa"/>
                </w:tcPr>
                <w:p w14:paraId="75C1F84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5.35</w:t>
                  </w:r>
                </w:p>
              </w:tc>
              <w:tc>
                <w:tcPr>
                  <w:tcW w:w="1553" w:type="dxa"/>
                </w:tcPr>
                <w:p w14:paraId="2D5EC4C3"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5.20</w:t>
                  </w:r>
                </w:p>
              </w:tc>
            </w:tr>
            <w:tr w:rsidR="00C825A4" w:rsidRPr="00C825A4" w14:paraId="32C96638" w14:textId="77777777" w:rsidTr="008D7EDC">
              <w:trPr>
                <w:trHeight w:val="417"/>
              </w:trPr>
              <w:tc>
                <w:tcPr>
                  <w:tcW w:w="1685" w:type="dxa"/>
                </w:tcPr>
                <w:p w14:paraId="0A70D04D"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Clogging</w:t>
                  </w:r>
                </w:p>
              </w:tc>
              <w:tc>
                <w:tcPr>
                  <w:tcW w:w="1779" w:type="dxa"/>
                </w:tcPr>
                <w:p w14:paraId="24F3C74E"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blocking observed</w:t>
                  </w:r>
                </w:p>
              </w:tc>
              <w:tc>
                <w:tcPr>
                  <w:tcW w:w="1559" w:type="dxa"/>
                </w:tcPr>
                <w:p w14:paraId="3731D10E"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blocking observed</w:t>
                  </w:r>
                </w:p>
              </w:tc>
              <w:tc>
                <w:tcPr>
                  <w:tcW w:w="1553" w:type="dxa"/>
                </w:tcPr>
                <w:p w14:paraId="0D2DD823"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Ongoing</w:t>
                  </w:r>
                </w:p>
              </w:tc>
            </w:tr>
            <w:tr w:rsidR="00C825A4" w:rsidRPr="00C825A4" w14:paraId="6CF16653" w14:textId="77777777" w:rsidTr="008D7EDC">
              <w:trPr>
                <w:trHeight w:val="191"/>
              </w:trPr>
              <w:tc>
                <w:tcPr>
                  <w:tcW w:w="1685" w:type="dxa"/>
                </w:tcPr>
                <w:p w14:paraId="73635253" w14:textId="257CBEA5" w:rsidR="00C825A4" w:rsidRPr="00C825A4" w:rsidRDefault="00C825A4" w:rsidP="008D7EDC">
                  <w:pPr>
                    <w:rPr>
                      <w:rFonts w:eastAsia="Calibri"/>
                      <w:sz w:val="18"/>
                      <w:szCs w:val="18"/>
                      <w:highlight w:val="lightGray"/>
                    </w:rPr>
                  </w:pPr>
                  <w:r w:rsidRPr="00C825A4">
                    <w:rPr>
                      <w:rFonts w:eastAsia="Calibri"/>
                      <w:sz w:val="18"/>
                      <w:szCs w:val="18"/>
                      <w:highlight w:val="lightGray"/>
                    </w:rPr>
                    <w:t>Di</w:t>
                  </w:r>
                  <w:r>
                    <w:rPr>
                      <w:rFonts w:eastAsia="Calibri"/>
                      <w:sz w:val="18"/>
                      <w:szCs w:val="18"/>
                      <w:highlight w:val="lightGray"/>
                    </w:rPr>
                    <w:t>s</w:t>
                  </w:r>
                  <w:r w:rsidRPr="00C825A4">
                    <w:rPr>
                      <w:rFonts w:eastAsia="Calibri"/>
                      <w:sz w:val="18"/>
                      <w:szCs w:val="18"/>
                      <w:highlight w:val="lightGray"/>
                    </w:rPr>
                    <w:t>charge rate</w:t>
                  </w:r>
                </w:p>
              </w:tc>
              <w:tc>
                <w:tcPr>
                  <w:tcW w:w="1779" w:type="dxa"/>
                </w:tcPr>
                <w:p w14:paraId="445A2E24"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0.092ml</w:t>
                  </w:r>
                </w:p>
              </w:tc>
              <w:tc>
                <w:tcPr>
                  <w:tcW w:w="1559" w:type="dxa"/>
                </w:tcPr>
                <w:p w14:paraId="52A8FBCF"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0.098ml</w:t>
                  </w:r>
                </w:p>
              </w:tc>
              <w:tc>
                <w:tcPr>
                  <w:tcW w:w="1553" w:type="dxa"/>
                </w:tcPr>
                <w:p w14:paraId="37D1212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Ongoing</w:t>
                  </w:r>
                </w:p>
              </w:tc>
            </w:tr>
            <w:tr w:rsidR="00C825A4" w:rsidRPr="00C825A4" w14:paraId="485FEF29" w14:textId="77777777" w:rsidTr="008D7EDC">
              <w:trPr>
                <w:trHeight w:val="417"/>
              </w:trPr>
              <w:tc>
                <w:tcPr>
                  <w:tcW w:w="1685" w:type="dxa"/>
                </w:tcPr>
                <w:p w14:paraId="03EF6ED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Spray pattern</w:t>
                  </w:r>
                </w:p>
              </w:tc>
              <w:tc>
                <w:tcPr>
                  <w:tcW w:w="1779" w:type="dxa"/>
                </w:tcPr>
                <w:p w14:paraId="137C3581"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9cm</w:t>
                  </w:r>
                </w:p>
                <w:p w14:paraId="1F1D51F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Circular point cloud</w:t>
                  </w:r>
                </w:p>
              </w:tc>
              <w:tc>
                <w:tcPr>
                  <w:tcW w:w="1559" w:type="dxa"/>
                </w:tcPr>
                <w:p w14:paraId="42DDF16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17cm</w:t>
                  </w:r>
                </w:p>
                <w:p w14:paraId="5782EE9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Circular point cloud</w:t>
                  </w:r>
                </w:p>
              </w:tc>
              <w:tc>
                <w:tcPr>
                  <w:tcW w:w="1553" w:type="dxa"/>
                </w:tcPr>
                <w:p w14:paraId="5508A99E"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Ongoing</w:t>
                  </w:r>
                </w:p>
              </w:tc>
            </w:tr>
            <w:tr w:rsidR="00C825A4" w:rsidRPr="00C825A4" w14:paraId="59140D00" w14:textId="77777777" w:rsidTr="008D7EDC">
              <w:trPr>
                <w:trHeight w:val="538"/>
              </w:trPr>
              <w:tc>
                <w:tcPr>
                  <w:tcW w:w="1685" w:type="dxa"/>
                </w:tcPr>
                <w:p w14:paraId="2366CCCA"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Droplet size distribution</w:t>
                  </w:r>
                </w:p>
              </w:tc>
              <w:tc>
                <w:tcPr>
                  <w:tcW w:w="1779" w:type="dxa"/>
                </w:tcPr>
                <w:p w14:paraId="39CB3381"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Dv(10) = 37.6 µm</w:t>
                  </w:r>
                </w:p>
                <w:p w14:paraId="4383B8B3"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Dv(50) = 68.6 µm</w:t>
                  </w:r>
                </w:p>
                <w:p w14:paraId="2F5186E4"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 (90) = 118 µm</w:t>
                  </w:r>
                </w:p>
              </w:tc>
              <w:tc>
                <w:tcPr>
                  <w:tcW w:w="1559" w:type="dxa"/>
                </w:tcPr>
                <w:p w14:paraId="65B0A6D4"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Dv(10) = 35.43 µm</w:t>
                  </w:r>
                </w:p>
                <w:p w14:paraId="44FCF03A"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Dv(50) = 82.23 µm</w:t>
                  </w:r>
                </w:p>
                <w:p w14:paraId="3698B96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 (90) = 164.12 µm</w:t>
                  </w:r>
                </w:p>
              </w:tc>
              <w:tc>
                <w:tcPr>
                  <w:tcW w:w="1553" w:type="dxa"/>
                </w:tcPr>
                <w:p w14:paraId="1C0DD0E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Ongoing</w:t>
                  </w:r>
                </w:p>
              </w:tc>
            </w:tr>
          </w:tbl>
          <w:p w14:paraId="7143A618" w14:textId="77777777" w:rsidR="00C825A4" w:rsidRPr="00C825A4" w:rsidRDefault="00C825A4" w:rsidP="008D7EDC">
            <w:pPr>
              <w:rPr>
                <w:rFonts w:eastAsia="Calibri"/>
                <w:sz w:val="18"/>
                <w:szCs w:val="18"/>
                <w:highlight w:val="lightGray"/>
              </w:rPr>
            </w:pPr>
          </w:p>
        </w:tc>
        <w:tc>
          <w:tcPr>
            <w:tcW w:w="2267" w:type="dxa"/>
            <w:shd w:val="clear" w:color="auto" w:fill="D9D9D9" w:themeFill="background1" w:themeFillShade="D9"/>
          </w:tcPr>
          <w:p w14:paraId="4B47D28A"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B. Demangel, 2021, Report No. 18-905023-002</w:t>
            </w:r>
          </w:p>
          <w:p w14:paraId="1D64E0A9" w14:textId="77777777" w:rsidR="00C825A4" w:rsidRPr="00C825A4" w:rsidRDefault="00C825A4" w:rsidP="008D7EDC">
            <w:pPr>
              <w:rPr>
                <w:rFonts w:eastAsia="Calibri"/>
                <w:sz w:val="18"/>
                <w:szCs w:val="18"/>
                <w:highlight w:val="lightGray"/>
              </w:rPr>
            </w:pPr>
          </w:p>
          <w:p w14:paraId="420B75C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B. Demangel, 2021, Report No. 19-905023-001 intermediary</w:t>
            </w:r>
          </w:p>
        </w:tc>
        <w:tc>
          <w:tcPr>
            <w:tcW w:w="2274" w:type="dxa"/>
            <w:shd w:val="clear" w:color="auto" w:fill="D9D9D9" w:themeFill="background1" w:themeFillShade="D9"/>
          </w:tcPr>
          <w:p w14:paraId="4CB250F2" w14:textId="15D486FA" w:rsidR="00C825A4" w:rsidRPr="00C825A4" w:rsidRDefault="00C825A4" w:rsidP="008D7EDC">
            <w:pPr>
              <w:rPr>
                <w:rFonts w:eastAsia="Calibri"/>
                <w:sz w:val="18"/>
                <w:szCs w:val="18"/>
                <w:highlight w:val="lightGray"/>
              </w:rPr>
            </w:pPr>
            <w:r w:rsidRPr="00C825A4">
              <w:rPr>
                <w:rFonts w:eastAsia="Calibri"/>
                <w:sz w:val="18"/>
                <w:szCs w:val="18"/>
                <w:highlight w:val="lightGray"/>
              </w:rPr>
              <w:t>Product is stable after 24 months at ambient temperature.</w:t>
            </w:r>
          </w:p>
        </w:tc>
      </w:tr>
      <w:tr w:rsidR="00C825A4" w:rsidRPr="00C825A4" w14:paraId="3294AD47" w14:textId="77777777" w:rsidTr="008D7EDC">
        <w:trPr>
          <w:cantSplit/>
          <w:trHeight w:val="644"/>
        </w:trPr>
        <w:tc>
          <w:tcPr>
            <w:tcW w:w="1705" w:type="dxa"/>
            <w:vMerge/>
            <w:shd w:val="clear" w:color="auto" w:fill="auto"/>
          </w:tcPr>
          <w:p w14:paraId="56E3CE4E" w14:textId="77777777" w:rsidR="00C825A4" w:rsidRPr="00C825A4" w:rsidRDefault="00C825A4" w:rsidP="008D7EDC">
            <w:pPr>
              <w:rPr>
                <w:rFonts w:eastAsia="Calibri"/>
                <w:sz w:val="18"/>
                <w:szCs w:val="18"/>
                <w:highlight w:val="lightGray"/>
              </w:rPr>
            </w:pPr>
          </w:p>
        </w:tc>
        <w:tc>
          <w:tcPr>
            <w:tcW w:w="1414" w:type="dxa"/>
            <w:shd w:val="clear" w:color="auto" w:fill="D9D9D9" w:themeFill="background1" w:themeFillShade="D9"/>
          </w:tcPr>
          <w:p w14:paraId="37BBF354" w14:textId="77777777" w:rsidR="00C825A4" w:rsidRDefault="00C825A4" w:rsidP="008D7EDC">
            <w:pPr>
              <w:rPr>
                <w:rFonts w:eastAsia="Calibri"/>
                <w:sz w:val="18"/>
                <w:szCs w:val="18"/>
                <w:highlight w:val="lightGray"/>
              </w:rPr>
            </w:pPr>
            <w:r w:rsidRPr="00C825A4">
              <w:rPr>
                <w:rFonts w:eastAsia="Calibri"/>
                <w:sz w:val="18"/>
                <w:szCs w:val="18"/>
                <w:highlight w:val="lightGray"/>
              </w:rPr>
              <w:t>Gifap Monograph No.17</w:t>
            </w:r>
          </w:p>
          <w:p w14:paraId="1A8CF970" w14:textId="77777777" w:rsidR="006A5CE0" w:rsidRPr="00FD5106" w:rsidRDefault="006A5CE0" w:rsidP="006A5CE0">
            <w:pPr>
              <w:shd w:val="clear" w:color="auto" w:fill="D9D9D9" w:themeFill="background1" w:themeFillShade="D9"/>
              <w:rPr>
                <w:rFonts w:eastAsia="Calibri"/>
                <w:sz w:val="18"/>
                <w:szCs w:val="18"/>
              </w:rPr>
            </w:pPr>
            <w:r w:rsidRPr="00FD5106">
              <w:rPr>
                <w:rFonts w:eastAsia="Calibri"/>
                <w:sz w:val="18"/>
                <w:szCs w:val="18"/>
              </w:rPr>
              <w:t xml:space="preserve">Method to quantify the AS study # 18-905023-003 </w:t>
            </w:r>
          </w:p>
          <w:p w14:paraId="7C6E6E42" w14:textId="68D11267" w:rsidR="006A5CE0" w:rsidRPr="00C825A4" w:rsidRDefault="006A5CE0" w:rsidP="008D7EDC">
            <w:pPr>
              <w:rPr>
                <w:rFonts w:eastAsia="Calibri"/>
                <w:sz w:val="18"/>
                <w:szCs w:val="18"/>
                <w:highlight w:val="lightGray"/>
              </w:rPr>
            </w:pPr>
          </w:p>
        </w:tc>
        <w:tc>
          <w:tcPr>
            <w:tcW w:w="1417" w:type="dxa"/>
            <w:shd w:val="clear" w:color="auto" w:fill="D9D9D9" w:themeFill="background1" w:themeFillShade="D9"/>
          </w:tcPr>
          <w:p w14:paraId="3388D7B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Spray Repulsif IR200, 20% w/w IR3535, Batch CTG181101/00/02</w:t>
            </w:r>
          </w:p>
          <w:p w14:paraId="23C80CCD" w14:textId="77777777" w:rsidR="00C825A4" w:rsidRPr="00C825A4" w:rsidRDefault="00C825A4" w:rsidP="008D7EDC">
            <w:pPr>
              <w:rPr>
                <w:rFonts w:eastAsia="Calibri"/>
                <w:sz w:val="18"/>
                <w:szCs w:val="18"/>
                <w:highlight w:val="lightGray"/>
              </w:rPr>
            </w:pPr>
          </w:p>
        </w:tc>
        <w:tc>
          <w:tcPr>
            <w:tcW w:w="6799" w:type="dxa"/>
            <w:shd w:val="clear" w:color="auto" w:fill="D9D9D9" w:themeFill="background1" w:themeFillShade="D9"/>
          </w:tcPr>
          <w:p w14:paraId="4C9FEA5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Storage at ambient temperature (20°C) in a 250 mL commercial packaging (HDPE) with a spray head of 400 µL discharge rate.</w:t>
            </w:r>
          </w:p>
          <w:p w14:paraId="2DEDEB97" w14:textId="77777777" w:rsidR="00C825A4" w:rsidRPr="00C825A4" w:rsidRDefault="00C825A4" w:rsidP="008D7EDC">
            <w:pPr>
              <w:rPr>
                <w:rFonts w:eastAsia="Calibri"/>
                <w:sz w:val="18"/>
                <w:szCs w:val="18"/>
                <w:highlight w:val="lightGray"/>
              </w:rPr>
            </w:pPr>
          </w:p>
          <w:tbl>
            <w:tblPr>
              <w:tblStyle w:val="Grilledutableau"/>
              <w:tblW w:w="6576" w:type="dxa"/>
              <w:tblLayout w:type="fixed"/>
              <w:tblLook w:val="04A0" w:firstRow="1" w:lastRow="0" w:firstColumn="1" w:lastColumn="0" w:noHBand="0" w:noVBand="1"/>
            </w:tblPr>
            <w:tblGrid>
              <w:gridCol w:w="1685"/>
              <w:gridCol w:w="1779"/>
              <w:gridCol w:w="1559"/>
              <w:gridCol w:w="1553"/>
            </w:tblGrid>
            <w:tr w:rsidR="00C825A4" w:rsidRPr="00C825A4" w14:paraId="2D5685E0" w14:textId="77777777" w:rsidTr="008D7EDC">
              <w:trPr>
                <w:trHeight w:val="191"/>
              </w:trPr>
              <w:tc>
                <w:tcPr>
                  <w:tcW w:w="1685" w:type="dxa"/>
                </w:tcPr>
                <w:p w14:paraId="1B73CD7C" w14:textId="77777777" w:rsidR="00C825A4" w:rsidRPr="00C825A4" w:rsidRDefault="00C825A4" w:rsidP="008D7EDC">
                  <w:pPr>
                    <w:rPr>
                      <w:rFonts w:eastAsia="Calibri"/>
                      <w:sz w:val="18"/>
                      <w:szCs w:val="18"/>
                      <w:highlight w:val="lightGray"/>
                    </w:rPr>
                  </w:pPr>
                </w:p>
              </w:tc>
              <w:tc>
                <w:tcPr>
                  <w:tcW w:w="1779" w:type="dxa"/>
                </w:tcPr>
                <w:p w14:paraId="449EC86B"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T0</w:t>
                  </w:r>
                </w:p>
              </w:tc>
              <w:tc>
                <w:tcPr>
                  <w:tcW w:w="1559" w:type="dxa"/>
                </w:tcPr>
                <w:p w14:paraId="1A7B777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After 24 months</w:t>
                  </w:r>
                </w:p>
              </w:tc>
              <w:tc>
                <w:tcPr>
                  <w:tcW w:w="1553" w:type="dxa"/>
                </w:tcPr>
                <w:p w14:paraId="0DA27B0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After 30 months</w:t>
                  </w:r>
                </w:p>
              </w:tc>
            </w:tr>
            <w:tr w:rsidR="00C825A4" w:rsidRPr="00C825A4" w14:paraId="28B0F2E2" w14:textId="77777777" w:rsidTr="008D7EDC">
              <w:trPr>
                <w:trHeight w:val="518"/>
              </w:trPr>
              <w:tc>
                <w:tcPr>
                  <w:tcW w:w="1685" w:type="dxa"/>
                </w:tcPr>
                <w:p w14:paraId="6B5A9D0B"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Appearance</w:t>
                  </w:r>
                </w:p>
              </w:tc>
              <w:tc>
                <w:tcPr>
                  <w:tcW w:w="1779" w:type="dxa"/>
                </w:tcPr>
                <w:p w14:paraId="0E47917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Homogeneous colourless limpid liquid with a characteristic odour</w:t>
                  </w:r>
                </w:p>
              </w:tc>
              <w:tc>
                <w:tcPr>
                  <w:tcW w:w="1559" w:type="dxa"/>
                </w:tcPr>
                <w:p w14:paraId="6AA3DCB0"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change</w:t>
                  </w:r>
                </w:p>
              </w:tc>
              <w:tc>
                <w:tcPr>
                  <w:tcW w:w="1553" w:type="dxa"/>
                </w:tcPr>
                <w:p w14:paraId="2B564C11"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change</w:t>
                  </w:r>
                </w:p>
              </w:tc>
            </w:tr>
            <w:tr w:rsidR="00C825A4" w:rsidRPr="00C825A4" w14:paraId="3BB62145" w14:textId="77777777" w:rsidTr="008D7EDC">
              <w:trPr>
                <w:trHeight w:val="466"/>
              </w:trPr>
              <w:tc>
                <w:tcPr>
                  <w:tcW w:w="1685" w:type="dxa"/>
                </w:tcPr>
                <w:p w14:paraId="27627F40"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Appearance of packaging</w:t>
                  </w:r>
                </w:p>
              </w:tc>
              <w:tc>
                <w:tcPr>
                  <w:tcW w:w="1779" w:type="dxa"/>
                </w:tcPr>
                <w:p w14:paraId="08B8881B"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White opaque HDPE flask</w:t>
                  </w:r>
                </w:p>
              </w:tc>
              <w:tc>
                <w:tcPr>
                  <w:tcW w:w="1559" w:type="dxa"/>
                </w:tcPr>
                <w:p w14:paraId="2A4A1CB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change</w:t>
                  </w:r>
                </w:p>
                <w:p w14:paraId="783C9F6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sign of degradation or leak</w:t>
                  </w:r>
                </w:p>
              </w:tc>
              <w:tc>
                <w:tcPr>
                  <w:tcW w:w="1553" w:type="dxa"/>
                </w:tcPr>
                <w:p w14:paraId="48BCF79B"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change</w:t>
                  </w:r>
                </w:p>
                <w:p w14:paraId="1473DB70"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sign of degradation or leak</w:t>
                  </w:r>
                </w:p>
              </w:tc>
            </w:tr>
            <w:tr w:rsidR="00C825A4" w:rsidRPr="00C825A4" w14:paraId="037A3C4B" w14:textId="77777777" w:rsidTr="008D7EDC">
              <w:trPr>
                <w:trHeight w:val="466"/>
              </w:trPr>
              <w:tc>
                <w:tcPr>
                  <w:tcW w:w="1685" w:type="dxa"/>
                </w:tcPr>
                <w:p w14:paraId="552715C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Weight loss</w:t>
                  </w:r>
                </w:p>
              </w:tc>
              <w:tc>
                <w:tcPr>
                  <w:tcW w:w="1779" w:type="dxa"/>
                </w:tcPr>
                <w:p w14:paraId="577B589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t>
                  </w:r>
                </w:p>
              </w:tc>
              <w:tc>
                <w:tcPr>
                  <w:tcW w:w="1559" w:type="dxa"/>
                </w:tcPr>
                <w:p w14:paraId="3202AF3D" w14:textId="32337D0F" w:rsidR="00C825A4" w:rsidRPr="00C825A4" w:rsidRDefault="00C825A4" w:rsidP="008D7EDC">
                  <w:pPr>
                    <w:rPr>
                      <w:rFonts w:eastAsia="Calibri"/>
                      <w:sz w:val="18"/>
                      <w:szCs w:val="18"/>
                      <w:highlight w:val="lightGray"/>
                    </w:rPr>
                  </w:pPr>
                  <w:r>
                    <w:rPr>
                      <w:rFonts w:eastAsia="Calibri"/>
                      <w:sz w:val="18"/>
                      <w:szCs w:val="18"/>
                      <w:highlight w:val="lightGray"/>
                    </w:rPr>
                    <w:t>0.2</w:t>
                  </w:r>
                  <w:r w:rsidRPr="00C825A4">
                    <w:rPr>
                      <w:rFonts w:eastAsia="Calibri"/>
                      <w:sz w:val="18"/>
                      <w:szCs w:val="18"/>
                      <w:highlight w:val="lightGray"/>
                    </w:rPr>
                    <w:t>%</w:t>
                  </w:r>
                </w:p>
              </w:tc>
              <w:tc>
                <w:tcPr>
                  <w:tcW w:w="1553" w:type="dxa"/>
                </w:tcPr>
                <w:p w14:paraId="2C097FD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0.4%</w:t>
                  </w:r>
                </w:p>
              </w:tc>
            </w:tr>
            <w:tr w:rsidR="00C825A4" w:rsidRPr="00C825A4" w14:paraId="7A024DDF" w14:textId="77777777" w:rsidTr="008D7EDC">
              <w:trPr>
                <w:trHeight w:val="112"/>
              </w:trPr>
              <w:tc>
                <w:tcPr>
                  <w:tcW w:w="1685" w:type="dxa"/>
                </w:tcPr>
                <w:p w14:paraId="0367ACEA"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AS content</w:t>
                  </w:r>
                </w:p>
              </w:tc>
              <w:tc>
                <w:tcPr>
                  <w:tcW w:w="1779" w:type="dxa"/>
                </w:tcPr>
                <w:p w14:paraId="3B61522B"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20.7 %w/w</w:t>
                  </w:r>
                </w:p>
              </w:tc>
              <w:tc>
                <w:tcPr>
                  <w:tcW w:w="1559" w:type="dxa"/>
                </w:tcPr>
                <w:p w14:paraId="1F9A0833"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19.8 %w/w</w:t>
                  </w:r>
                </w:p>
              </w:tc>
              <w:tc>
                <w:tcPr>
                  <w:tcW w:w="1553" w:type="dxa"/>
                </w:tcPr>
                <w:p w14:paraId="7339586D"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20.2 %w/w</w:t>
                  </w:r>
                </w:p>
              </w:tc>
            </w:tr>
            <w:tr w:rsidR="00C825A4" w:rsidRPr="00C825A4" w14:paraId="3CA91AE6" w14:textId="77777777" w:rsidTr="008D7EDC">
              <w:trPr>
                <w:trHeight w:val="191"/>
              </w:trPr>
              <w:tc>
                <w:tcPr>
                  <w:tcW w:w="1685" w:type="dxa"/>
                </w:tcPr>
                <w:p w14:paraId="45726304"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%variation</w:t>
                  </w:r>
                </w:p>
              </w:tc>
              <w:tc>
                <w:tcPr>
                  <w:tcW w:w="1779" w:type="dxa"/>
                </w:tcPr>
                <w:p w14:paraId="504D65C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t>
                  </w:r>
                </w:p>
              </w:tc>
              <w:tc>
                <w:tcPr>
                  <w:tcW w:w="1559" w:type="dxa"/>
                </w:tcPr>
                <w:p w14:paraId="444718AD"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-4.3% compared to T0</w:t>
                  </w:r>
                </w:p>
              </w:tc>
              <w:tc>
                <w:tcPr>
                  <w:tcW w:w="1553" w:type="dxa"/>
                </w:tcPr>
                <w:p w14:paraId="768A8F51"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-2.4% compared to T0</w:t>
                  </w:r>
                </w:p>
              </w:tc>
            </w:tr>
            <w:tr w:rsidR="00C825A4" w:rsidRPr="00C825A4" w14:paraId="13B709BA" w14:textId="77777777" w:rsidTr="008D7EDC">
              <w:trPr>
                <w:trHeight w:val="191"/>
              </w:trPr>
              <w:tc>
                <w:tcPr>
                  <w:tcW w:w="1685" w:type="dxa"/>
                </w:tcPr>
                <w:p w14:paraId="3E79C8CA" w14:textId="3E688FC8" w:rsidR="00C825A4" w:rsidRPr="00C825A4" w:rsidRDefault="00C825A4" w:rsidP="008D7EDC">
                  <w:pPr>
                    <w:rPr>
                      <w:rFonts w:eastAsia="Calibri"/>
                      <w:sz w:val="18"/>
                      <w:szCs w:val="18"/>
                      <w:highlight w:val="lightGray"/>
                    </w:rPr>
                  </w:pPr>
                  <w:r w:rsidRPr="00C825A4">
                    <w:rPr>
                      <w:rFonts w:eastAsia="Calibri"/>
                      <w:sz w:val="18"/>
                      <w:szCs w:val="18"/>
                      <w:highlight w:val="lightGray"/>
                    </w:rPr>
                    <w:t>pH</w:t>
                  </w:r>
                  <w:r w:rsidR="006A5CE0">
                    <w:rPr>
                      <w:rFonts w:eastAsia="Calibri"/>
                      <w:sz w:val="18"/>
                      <w:szCs w:val="18"/>
                      <w:highlight w:val="lightGray"/>
                    </w:rPr>
                    <w:t xml:space="preserve"> (19°C)</w:t>
                  </w:r>
                </w:p>
              </w:tc>
              <w:tc>
                <w:tcPr>
                  <w:tcW w:w="1779" w:type="dxa"/>
                </w:tcPr>
                <w:p w14:paraId="6118C20D"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t>
                  </w:r>
                </w:p>
              </w:tc>
              <w:tc>
                <w:tcPr>
                  <w:tcW w:w="1559" w:type="dxa"/>
                </w:tcPr>
                <w:p w14:paraId="0DD9504E"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5.35</w:t>
                  </w:r>
                </w:p>
              </w:tc>
              <w:tc>
                <w:tcPr>
                  <w:tcW w:w="1553" w:type="dxa"/>
                </w:tcPr>
                <w:p w14:paraId="64EA832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5.15</w:t>
                  </w:r>
                </w:p>
              </w:tc>
            </w:tr>
            <w:tr w:rsidR="00C825A4" w:rsidRPr="00C825A4" w14:paraId="6DC5A11C" w14:textId="77777777" w:rsidTr="008D7EDC">
              <w:trPr>
                <w:trHeight w:val="417"/>
              </w:trPr>
              <w:tc>
                <w:tcPr>
                  <w:tcW w:w="1685" w:type="dxa"/>
                </w:tcPr>
                <w:p w14:paraId="6FFCD6C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Clogging</w:t>
                  </w:r>
                </w:p>
              </w:tc>
              <w:tc>
                <w:tcPr>
                  <w:tcW w:w="1779" w:type="dxa"/>
                </w:tcPr>
                <w:p w14:paraId="51C8383B" w14:textId="77777777" w:rsidR="00C825A4" w:rsidRPr="00C825A4" w:rsidRDefault="00C825A4" w:rsidP="008D7EDC">
                  <w:pPr>
                    <w:rPr>
                      <w:rFonts w:eastAsia="Calibri"/>
                      <w:sz w:val="18"/>
                      <w:szCs w:val="18"/>
                      <w:highlight w:val="lightGray"/>
                      <w:vertAlign w:val="superscript"/>
                    </w:rPr>
                  </w:pPr>
                  <w:r w:rsidRPr="00C825A4">
                    <w:rPr>
                      <w:rFonts w:eastAsia="Calibri"/>
                      <w:sz w:val="18"/>
                      <w:szCs w:val="18"/>
                      <w:highlight w:val="lightGray"/>
                    </w:rPr>
                    <w:t>No blocking observed</w:t>
                  </w:r>
                  <w:r w:rsidRPr="00C825A4">
                    <w:rPr>
                      <w:rFonts w:eastAsia="Calibri"/>
                      <w:sz w:val="18"/>
                      <w:szCs w:val="18"/>
                      <w:highlight w:val="lightGray"/>
                      <w:vertAlign w:val="superscript"/>
                    </w:rPr>
                    <w:t>*</w:t>
                  </w:r>
                </w:p>
              </w:tc>
              <w:tc>
                <w:tcPr>
                  <w:tcW w:w="1559" w:type="dxa"/>
                </w:tcPr>
                <w:p w14:paraId="0922023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blocking observed</w:t>
                  </w:r>
                </w:p>
              </w:tc>
              <w:tc>
                <w:tcPr>
                  <w:tcW w:w="1553" w:type="dxa"/>
                </w:tcPr>
                <w:p w14:paraId="78BC6041"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blocking observed</w:t>
                  </w:r>
                </w:p>
              </w:tc>
            </w:tr>
            <w:tr w:rsidR="00C825A4" w:rsidRPr="00C825A4" w14:paraId="6DC332F2" w14:textId="77777777" w:rsidTr="008D7EDC">
              <w:trPr>
                <w:trHeight w:val="191"/>
              </w:trPr>
              <w:tc>
                <w:tcPr>
                  <w:tcW w:w="1685" w:type="dxa"/>
                </w:tcPr>
                <w:p w14:paraId="51C2A6FB"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Discharge rate</w:t>
                  </w:r>
                </w:p>
              </w:tc>
              <w:tc>
                <w:tcPr>
                  <w:tcW w:w="1779" w:type="dxa"/>
                </w:tcPr>
                <w:p w14:paraId="338CD61B" w14:textId="77777777" w:rsidR="00C825A4" w:rsidRPr="00C825A4" w:rsidRDefault="00C825A4" w:rsidP="008D7EDC">
                  <w:pPr>
                    <w:rPr>
                      <w:rFonts w:eastAsia="Calibri"/>
                      <w:sz w:val="18"/>
                      <w:szCs w:val="18"/>
                      <w:highlight w:val="lightGray"/>
                      <w:vertAlign w:val="superscript"/>
                    </w:rPr>
                  </w:pPr>
                  <w:r w:rsidRPr="00C825A4">
                    <w:rPr>
                      <w:rFonts w:eastAsia="Calibri"/>
                      <w:sz w:val="18"/>
                      <w:szCs w:val="18"/>
                      <w:highlight w:val="lightGray"/>
                    </w:rPr>
                    <w:t>0.396 mL</w:t>
                  </w:r>
                  <w:r w:rsidRPr="00C825A4">
                    <w:rPr>
                      <w:rFonts w:eastAsia="Calibri"/>
                      <w:sz w:val="18"/>
                      <w:szCs w:val="18"/>
                      <w:highlight w:val="lightGray"/>
                      <w:vertAlign w:val="superscript"/>
                    </w:rPr>
                    <w:t>*</w:t>
                  </w:r>
                </w:p>
              </w:tc>
              <w:tc>
                <w:tcPr>
                  <w:tcW w:w="1559" w:type="dxa"/>
                </w:tcPr>
                <w:p w14:paraId="3CFEAB5E"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0.398 ml</w:t>
                  </w:r>
                </w:p>
              </w:tc>
              <w:tc>
                <w:tcPr>
                  <w:tcW w:w="1553" w:type="dxa"/>
                </w:tcPr>
                <w:p w14:paraId="1100FBA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0.400 mL</w:t>
                  </w:r>
                </w:p>
              </w:tc>
            </w:tr>
            <w:tr w:rsidR="00C825A4" w:rsidRPr="00C825A4" w14:paraId="741ECEB0" w14:textId="77777777" w:rsidTr="008D7EDC">
              <w:trPr>
                <w:trHeight w:val="417"/>
              </w:trPr>
              <w:tc>
                <w:tcPr>
                  <w:tcW w:w="1685" w:type="dxa"/>
                </w:tcPr>
                <w:p w14:paraId="748662B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Spray pattern</w:t>
                  </w:r>
                </w:p>
              </w:tc>
              <w:tc>
                <w:tcPr>
                  <w:tcW w:w="1779" w:type="dxa"/>
                </w:tcPr>
                <w:p w14:paraId="62865A4D"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28 cm</w:t>
                  </w:r>
                </w:p>
                <w:p w14:paraId="574328FE" w14:textId="77777777" w:rsidR="00C825A4" w:rsidRPr="00C825A4" w:rsidRDefault="00C825A4" w:rsidP="008D7EDC">
                  <w:pPr>
                    <w:rPr>
                      <w:rFonts w:eastAsia="Calibri"/>
                      <w:sz w:val="18"/>
                      <w:szCs w:val="18"/>
                      <w:highlight w:val="lightGray"/>
                      <w:vertAlign w:val="superscript"/>
                    </w:rPr>
                  </w:pPr>
                  <w:r w:rsidRPr="00C825A4">
                    <w:rPr>
                      <w:rFonts w:eastAsia="Calibri"/>
                      <w:sz w:val="18"/>
                      <w:szCs w:val="18"/>
                      <w:highlight w:val="lightGray"/>
                    </w:rPr>
                    <w:t>Circular point cloud</w:t>
                  </w:r>
                  <w:r w:rsidRPr="00C825A4">
                    <w:rPr>
                      <w:rFonts w:eastAsia="Calibri"/>
                      <w:sz w:val="18"/>
                      <w:szCs w:val="18"/>
                      <w:highlight w:val="lightGray"/>
                      <w:vertAlign w:val="superscript"/>
                    </w:rPr>
                    <w:t>*</w:t>
                  </w:r>
                </w:p>
              </w:tc>
              <w:tc>
                <w:tcPr>
                  <w:tcW w:w="1559" w:type="dxa"/>
                </w:tcPr>
                <w:p w14:paraId="46887D20"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24 cm</w:t>
                  </w:r>
                </w:p>
                <w:p w14:paraId="7D352131"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Circular point cloud</w:t>
                  </w:r>
                </w:p>
              </w:tc>
              <w:tc>
                <w:tcPr>
                  <w:tcW w:w="1553" w:type="dxa"/>
                </w:tcPr>
                <w:p w14:paraId="7A475C91"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24 cm</w:t>
                  </w:r>
                </w:p>
                <w:p w14:paraId="1EB72BFA"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Circular point cloud</w:t>
                  </w:r>
                </w:p>
              </w:tc>
            </w:tr>
            <w:tr w:rsidR="00C825A4" w:rsidRPr="00C825A4" w14:paraId="146A1F73" w14:textId="77777777" w:rsidTr="005C23A6">
              <w:trPr>
                <w:trHeight w:val="76"/>
              </w:trPr>
              <w:tc>
                <w:tcPr>
                  <w:tcW w:w="1685" w:type="dxa"/>
                </w:tcPr>
                <w:p w14:paraId="5CEC30F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Droplet size distribution</w:t>
                  </w:r>
                </w:p>
              </w:tc>
              <w:tc>
                <w:tcPr>
                  <w:tcW w:w="1779" w:type="dxa"/>
                </w:tcPr>
                <w:p w14:paraId="6C1F7DD2"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Dv(10) = 37.5 µm</w:t>
                  </w:r>
                </w:p>
                <w:p w14:paraId="0F2AD86E"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Dv(50) = 69.3 µm</w:t>
                  </w:r>
                </w:p>
                <w:p w14:paraId="79BDA03E" w14:textId="77777777" w:rsidR="00C825A4" w:rsidRPr="00C825A4" w:rsidRDefault="00C825A4" w:rsidP="008D7EDC">
                  <w:pPr>
                    <w:rPr>
                      <w:rFonts w:eastAsia="Calibri"/>
                      <w:sz w:val="18"/>
                      <w:szCs w:val="18"/>
                      <w:highlight w:val="lightGray"/>
                      <w:vertAlign w:val="superscript"/>
                    </w:rPr>
                  </w:pPr>
                  <w:r w:rsidRPr="00C825A4">
                    <w:rPr>
                      <w:rFonts w:eastAsia="Calibri"/>
                      <w:sz w:val="18"/>
                      <w:szCs w:val="18"/>
                      <w:highlight w:val="lightGray"/>
                    </w:rPr>
                    <w:t>Dv (90) = 120.7 µm</w:t>
                  </w:r>
                  <w:r w:rsidRPr="00C825A4">
                    <w:rPr>
                      <w:rFonts w:eastAsia="Calibri"/>
                      <w:sz w:val="18"/>
                      <w:szCs w:val="18"/>
                      <w:highlight w:val="lightGray"/>
                      <w:vertAlign w:val="superscript"/>
                    </w:rPr>
                    <w:t>*</w:t>
                  </w:r>
                </w:p>
              </w:tc>
              <w:tc>
                <w:tcPr>
                  <w:tcW w:w="1559" w:type="dxa"/>
                </w:tcPr>
                <w:p w14:paraId="7AB951C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Dv(10) = 42.28 µm</w:t>
                  </w:r>
                </w:p>
                <w:p w14:paraId="3282FE7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Dv(50) = 79.69 µm</w:t>
                  </w:r>
                </w:p>
                <w:p w14:paraId="6668AD23"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Dv (90) = 145.76 µm</w:t>
                  </w:r>
                </w:p>
              </w:tc>
              <w:tc>
                <w:tcPr>
                  <w:tcW w:w="1553" w:type="dxa"/>
                </w:tcPr>
                <w:p w14:paraId="58C7015D"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 xml:space="preserve">Dv(10) = </w:t>
                  </w:r>
                </w:p>
                <w:p w14:paraId="658C2AF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82.92 µm</w:t>
                  </w:r>
                </w:p>
                <w:p w14:paraId="4D59524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 xml:space="preserve">Dv(50) = </w:t>
                  </w:r>
                </w:p>
                <w:p w14:paraId="76B6FE2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192 µm</w:t>
                  </w:r>
                </w:p>
                <w:p w14:paraId="6541287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 xml:space="preserve">Dv (90) = </w:t>
                  </w:r>
                </w:p>
                <w:p w14:paraId="0FBB02E1"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lastRenderedPageBreak/>
                    <w:t>326.5 µm</w:t>
                  </w:r>
                </w:p>
              </w:tc>
            </w:tr>
          </w:tbl>
          <w:p w14:paraId="46452A9C" w14:textId="77777777" w:rsidR="00C825A4" w:rsidRPr="00C825A4" w:rsidRDefault="00C825A4" w:rsidP="008D7EDC">
            <w:pPr>
              <w:rPr>
                <w:sz w:val="16"/>
                <w:szCs w:val="16"/>
                <w:highlight w:val="lightGray"/>
              </w:rPr>
            </w:pPr>
            <w:r w:rsidRPr="00C825A4">
              <w:rPr>
                <w:sz w:val="16"/>
                <w:szCs w:val="16"/>
                <w:highlight w:val="lightGray"/>
                <w:vertAlign w:val="superscript"/>
              </w:rPr>
              <w:lastRenderedPageBreak/>
              <w:t>*</w:t>
            </w:r>
            <w:r w:rsidRPr="00C825A4">
              <w:rPr>
                <w:sz w:val="16"/>
                <w:szCs w:val="16"/>
                <w:highlight w:val="lightGray"/>
              </w:rPr>
              <w:t>: taken from the t0 results of the accelerated storage study performed on the same batch</w:t>
            </w:r>
          </w:p>
        </w:tc>
        <w:tc>
          <w:tcPr>
            <w:tcW w:w="2267" w:type="dxa"/>
            <w:shd w:val="clear" w:color="auto" w:fill="D9D9D9" w:themeFill="background1" w:themeFillShade="D9"/>
          </w:tcPr>
          <w:p w14:paraId="6680867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lastRenderedPageBreak/>
              <w:t>B. Demangel, 2021, Report No. 18-905023-002</w:t>
            </w:r>
          </w:p>
          <w:p w14:paraId="6BB3CE0F" w14:textId="77777777" w:rsidR="00C825A4" w:rsidRPr="00C825A4" w:rsidRDefault="00C825A4" w:rsidP="008D7EDC">
            <w:pPr>
              <w:rPr>
                <w:rFonts w:eastAsia="Calibri"/>
                <w:sz w:val="18"/>
                <w:szCs w:val="18"/>
                <w:highlight w:val="lightGray"/>
              </w:rPr>
            </w:pPr>
          </w:p>
        </w:tc>
        <w:tc>
          <w:tcPr>
            <w:tcW w:w="2274" w:type="dxa"/>
            <w:shd w:val="clear" w:color="auto" w:fill="D9D9D9" w:themeFill="background1" w:themeFillShade="D9"/>
          </w:tcPr>
          <w:p w14:paraId="6BF50A2F" w14:textId="5D1F9943" w:rsidR="00C825A4" w:rsidRPr="00C825A4" w:rsidRDefault="00C825A4" w:rsidP="008D7EDC">
            <w:pPr>
              <w:rPr>
                <w:rFonts w:eastAsia="Calibri"/>
                <w:sz w:val="18"/>
                <w:szCs w:val="18"/>
                <w:highlight w:val="lightGray"/>
              </w:rPr>
            </w:pPr>
            <w:r w:rsidRPr="00C825A4">
              <w:rPr>
                <w:rFonts w:eastAsia="Calibri"/>
                <w:sz w:val="18"/>
                <w:szCs w:val="18"/>
                <w:highlight w:val="lightGray"/>
              </w:rPr>
              <w:t xml:space="preserve">Product is stable after 24 </w:t>
            </w:r>
            <w:r w:rsidR="005C23A6">
              <w:rPr>
                <w:rFonts w:eastAsia="Calibri"/>
                <w:sz w:val="18"/>
                <w:szCs w:val="18"/>
                <w:highlight w:val="lightGray"/>
              </w:rPr>
              <w:t xml:space="preserve">and 30 </w:t>
            </w:r>
            <w:r w:rsidRPr="00C825A4">
              <w:rPr>
                <w:rFonts w:eastAsia="Calibri"/>
                <w:sz w:val="18"/>
                <w:szCs w:val="18"/>
                <w:highlight w:val="lightGray"/>
              </w:rPr>
              <w:t>months at ambient temperature.</w:t>
            </w:r>
          </w:p>
        </w:tc>
      </w:tr>
      <w:tr w:rsidR="00C825A4" w:rsidRPr="00C825A4" w14:paraId="355BE981" w14:textId="77777777" w:rsidTr="008D7EDC">
        <w:trPr>
          <w:cantSplit/>
          <w:trHeight w:val="644"/>
        </w:trPr>
        <w:tc>
          <w:tcPr>
            <w:tcW w:w="1705" w:type="dxa"/>
            <w:shd w:val="clear" w:color="auto" w:fill="D9D9D9" w:themeFill="background1" w:themeFillShade="D9"/>
          </w:tcPr>
          <w:p w14:paraId="0CC84E8B"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lastRenderedPageBreak/>
              <w:t xml:space="preserve">Storage stability test – </w:t>
            </w:r>
            <w:r w:rsidRPr="00C825A4">
              <w:rPr>
                <w:rFonts w:eastAsia="Calibri"/>
                <w:b/>
                <w:bCs/>
                <w:sz w:val="18"/>
                <w:szCs w:val="18"/>
                <w:highlight w:val="lightGray"/>
              </w:rPr>
              <w:t>accelerated storage</w:t>
            </w:r>
          </w:p>
        </w:tc>
        <w:tc>
          <w:tcPr>
            <w:tcW w:w="1414" w:type="dxa"/>
            <w:shd w:val="clear" w:color="auto" w:fill="D9D9D9" w:themeFill="background1" w:themeFillShade="D9"/>
          </w:tcPr>
          <w:p w14:paraId="0E3F7FE2" w14:textId="0B3AE3AD" w:rsidR="00C825A4" w:rsidRPr="00C825A4" w:rsidRDefault="00C825A4" w:rsidP="006A5CE0">
            <w:pPr>
              <w:rPr>
                <w:rFonts w:eastAsia="Calibri"/>
                <w:sz w:val="18"/>
                <w:szCs w:val="18"/>
                <w:highlight w:val="lightGray"/>
              </w:rPr>
            </w:pPr>
            <w:r w:rsidRPr="00C825A4">
              <w:rPr>
                <w:rFonts w:eastAsia="Calibri"/>
                <w:sz w:val="18"/>
                <w:szCs w:val="18"/>
                <w:highlight w:val="lightGray"/>
              </w:rPr>
              <w:t>CIPAC MT46.3</w:t>
            </w:r>
          </w:p>
        </w:tc>
        <w:tc>
          <w:tcPr>
            <w:tcW w:w="1417" w:type="dxa"/>
            <w:shd w:val="clear" w:color="auto" w:fill="D9D9D9" w:themeFill="background1" w:themeFillShade="D9"/>
          </w:tcPr>
          <w:p w14:paraId="3519A6F1"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 xml:space="preserve">Spray Repulsif IR200, 20% w/w IR3535, Batch # </w:t>
            </w:r>
            <w:r w:rsidRPr="00C825A4">
              <w:rPr>
                <w:sz w:val="18"/>
                <w:szCs w:val="18"/>
                <w:highlight w:val="lightGray"/>
              </w:rPr>
              <w:t>CTG201228/00/01</w:t>
            </w:r>
            <w:r w:rsidRPr="00C825A4">
              <w:rPr>
                <w:rFonts w:eastAsia="Calibri"/>
                <w:sz w:val="18"/>
                <w:szCs w:val="18"/>
                <w:highlight w:val="lightGray"/>
              </w:rPr>
              <w:t>-A</w:t>
            </w:r>
          </w:p>
          <w:p w14:paraId="34263AFA" w14:textId="77777777" w:rsidR="00C825A4" w:rsidRPr="00C825A4" w:rsidRDefault="00C825A4" w:rsidP="008D7EDC">
            <w:pPr>
              <w:rPr>
                <w:rFonts w:eastAsia="Calibri"/>
                <w:sz w:val="18"/>
                <w:szCs w:val="18"/>
                <w:highlight w:val="lightGray"/>
              </w:rPr>
            </w:pPr>
          </w:p>
          <w:p w14:paraId="39B150FA" w14:textId="77777777" w:rsidR="00C825A4" w:rsidRPr="00C825A4" w:rsidRDefault="00C825A4" w:rsidP="008D7EDC">
            <w:pPr>
              <w:rPr>
                <w:rFonts w:eastAsia="Calibri"/>
                <w:sz w:val="18"/>
                <w:szCs w:val="18"/>
                <w:highlight w:val="lightGray"/>
              </w:rPr>
            </w:pPr>
          </w:p>
          <w:p w14:paraId="627C5D96" w14:textId="77777777" w:rsidR="00C825A4" w:rsidRPr="00C825A4" w:rsidRDefault="00C825A4" w:rsidP="008D7EDC">
            <w:pPr>
              <w:rPr>
                <w:rFonts w:eastAsia="Calibri"/>
                <w:sz w:val="18"/>
                <w:szCs w:val="18"/>
                <w:highlight w:val="lightGray"/>
              </w:rPr>
            </w:pPr>
          </w:p>
          <w:p w14:paraId="581F2A5E" w14:textId="77777777" w:rsidR="00C825A4" w:rsidRPr="00C825A4" w:rsidRDefault="00C825A4" w:rsidP="008D7EDC">
            <w:pPr>
              <w:rPr>
                <w:rFonts w:eastAsia="Calibri"/>
                <w:sz w:val="18"/>
                <w:szCs w:val="18"/>
                <w:highlight w:val="lightGray"/>
              </w:rPr>
            </w:pPr>
          </w:p>
          <w:p w14:paraId="3EA9410C" w14:textId="77777777" w:rsidR="00C825A4" w:rsidRPr="00C825A4" w:rsidRDefault="00C825A4" w:rsidP="008D7EDC">
            <w:pPr>
              <w:rPr>
                <w:rFonts w:eastAsia="Calibri"/>
                <w:sz w:val="18"/>
                <w:szCs w:val="18"/>
                <w:highlight w:val="lightGray"/>
              </w:rPr>
            </w:pPr>
          </w:p>
          <w:p w14:paraId="7E314E96" w14:textId="77777777" w:rsidR="00C825A4" w:rsidRPr="00C825A4" w:rsidRDefault="00C825A4" w:rsidP="008D7EDC">
            <w:pPr>
              <w:rPr>
                <w:rFonts w:eastAsia="Calibri"/>
                <w:sz w:val="18"/>
                <w:szCs w:val="18"/>
                <w:highlight w:val="lightGray"/>
              </w:rPr>
            </w:pPr>
          </w:p>
        </w:tc>
        <w:tc>
          <w:tcPr>
            <w:tcW w:w="6799" w:type="dxa"/>
            <w:shd w:val="clear" w:color="auto" w:fill="D9D9D9" w:themeFill="background1" w:themeFillShade="D9"/>
          </w:tcPr>
          <w:p w14:paraId="44A0B98B"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 xml:space="preserve">Storage at 40°C for 8 weeks in a 100 mL commercial packaging (HDPE) with a spray head of 300 µL discharge rate. </w:t>
            </w:r>
          </w:p>
          <w:p w14:paraId="64FAD672" w14:textId="77777777" w:rsidR="00C825A4" w:rsidRPr="00C825A4" w:rsidRDefault="00C825A4" w:rsidP="008D7EDC">
            <w:pPr>
              <w:rPr>
                <w:rFonts w:eastAsia="Calibri"/>
                <w:sz w:val="18"/>
                <w:szCs w:val="18"/>
                <w:highlight w:val="lightGray"/>
              </w:rPr>
            </w:pPr>
          </w:p>
          <w:tbl>
            <w:tblPr>
              <w:tblStyle w:val="Grilledutableau"/>
              <w:tblW w:w="6583" w:type="dxa"/>
              <w:tblLayout w:type="fixed"/>
              <w:tblLook w:val="04A0" w:firstRow="1" w:lastRow="0" w:firstColumn="1" w:lastColumn="0" w:noHBand="0" w:noVBand="1"/>
            </w:tblPr>
            <w:tblGrid>
              <w:gridCol w:w="2047"/>
              <w:gridCol w:w="2268"/>
              <w:gridCol w:w="2268"/>
            </w:tblGrid>
            <w:tr w:rsidR="00C825A4" w:rsidRPr="00C825A4" w14:paraId="344ECE71" w14:textId="77777777" w:rsidTr="008D7EDC">
              <w:trPr>
                <w:trHeight w:val="386"/>
              </w:trPr>
              <w:tc>
                <w:tcPr>
                  <w:tcW w:w="2047" w:type="dxa"/>
                </w:tcPr>
                <w:p w14:paraId="0601C229" w14:textId="77777777" w:rsidR="00C825A4" w:rsidRPr="00C825A4" w:rsidRDefault="00C825A4" w:rsidP="008D7EDC">
                  <w:pPr>
                    <w:rPr>
                      <w:rFonts w:eastAsia="Calibri"/>
                      <w:sz w:val="18"/>
                      <w:szCs w:val="18"/>
                      <w:highlight w:val="lightGray"/>
                    </w:rPr>
                  </w:pPr>
                </w:p>
              </w:tc>
              <w:tc>
                <w:tcPr>
                  <w:tcW w:w="2268" w:type="dxa"/>
                </w:tcPr>
                <w:p w14:paraId="0C82643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T0</w:t>
                  </w:r>
                </w:p>
              </w:tc>
              <w:tc>
                <w:tcPr>
                  <w:tcW w:w="2268" w:type="dxa"/>
                </w:tcPr>
                <w:p w14:paraId="014AF96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After storage</w:t>
                  </w:r>
                </w:p>
              </w:tc>
            </w:tr>
            <w:tr w:rsidR="00C825A4" w:rsidRPr="00C825A4" w14:paraId="5359D66F" w14:textId="77777777" w:rsidTr="008D7EDC">
              <w:trPr>
                <w:trHeight w:val="386"/>
              </w:trPr>
              <w:tc>
                <w:tcPr>
                  <w:tcW w:w="2047" w:type="dxa"/>
                </w:tcPr>
                <w:p w14:paraId="4E529FB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Appearance</w:t>
                  </w:r>
                </w:p>
              </w:tc>
              <w:tc>
                <w:tcPr>
                  <w:tcW w:w="2268" w:type="dxa"/>
                </w:tcPr>
                <w:p w14:paraId="52C60C94"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Homogeneous colourless limpid liquid with a characteristic odour</w:t>
                  </w:r>
                </w:p>
              </w:tc>
              <w:tc>
                <w:tcPr>
                  <w:tcW w:w="2268" w:type="dxa"/>
                </w:tcPr>
                <w:p w14:paraId="12DD6AE0"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change</w:t>
                  </w:r>
                </w:p>
              </w:tc>
            </w:tr>
            <w:tr w:rsidR="00C825A4" w:rsidRPr="00C825A4" w14:paraId="4AC3815D" w14:textId="77777777" w:rsidTr="008D7EDC">
              <w:trPr>
                <w:trHeight w:val="386"/>
              </w:trPr>
              <w:tc>
                <w:tcPr>
                  <w:tcW w:w="2047" w:type="dxa"/>
                </w:tcPr>
                <w:p w14:paraId="38844FF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Appearance of packaging</w:t>
                  </w:r>
                </w:p>
              </w:tc>
              <w:tc>
                <w:tcPr>
                  <w:tcW w:w="2268" w:type="dxa"/>
                </w:tcPr>
                <w:p w14:paraId="46FCA94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White opaque PE spray</w:t>
                  </w:r>
                </w:p>
              </w:tc>
              <w:tc>
                <w:tcPr>
                  <w:tcW w:w="2268" w:type="dxa"/>
                </w:tcPr>
                <w:p w14:paraId="65F7980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change</w:t>
                  </w:r>
                </w:p>
                <w:p w14:paraId="6690596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sign of degradation or leak</w:t>
                  </w:r>
                </w:p>
              </w:tc>
            </w:tr>
            <w:tr w:rsidR="00C825A4" w:rsidRPr="00C825A4" w14:paraId="0A7A0003" w14:textId="77777777" w:rsidTr="008D7EDC">
              <w:trPr>
                <w:trHeight w:val="386"/>
              </w:trPr>
              <w:tc>
                <w:tcPr>
                  <w:tcW w:w="2047" w:type="dxa"/>
                </w:tcPr>
                <w:p w14:paraId="4946B3A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Weight loss</w:t>
                  </w:r>
                </w:p>
              </w:tc>
              <w:tc>
                <w:tcPr>
                  <w:tcW w:w="2268" w:type="dxa"/>
                </w:tcPr>
                <w:p w14:paraId="3867434C"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w:t>
                  </w:r>
                </w:p>
              </w:tc>
              <w:tc>
                <w:tcPr>
                  <w:tcW w:w="2268" w:type="dxa"/>
                </w:tcPr>
                <w:p w14:paraId="6C8D7979"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0.6%</w:t>
                  </w:r>
                </w:p>
              </w:tc>
            </w:tr>
            <w:tr w:rsidR="00C825A4" w:rsidRPr="00C825A4" w14:paraId="2567618F" w14:textId="77777777" w:rsidTr="008D7EDC">
              <w:trPr>
                <w:trHeight w:val="386"/>
              </w:trPr>
              <w:tc>
                <w:tcPr>
                  <w:tcW w:w="2047" w:type="dxa"/>
                </w:tcPr>
                <w:p w14:paraId="055F19AF" w14:textId="7E1D7FBD" w:rsidR="00C825A4" w:rsidRPr="00C825A4" w:rsidRDefault="00C825A4" w:rsidP="006A5CE0">
                  <w:pPr>
                    <w:rPr>
                      <w:rFonts w:eastAsia="Calibri"/>
                      <w:sz w:val="18"/>
                      <w:szCs w:val="18"/>
                      <w:highlight w:val="lightGray"/>
                    </w:rPr>
                  </w:pPr>
                  <w:r w:rsidRPr="00C825A4">
                    <w:rPr>
                      <w:rFonts w:eastAsia="Calibri"/>
                      <w:sz w:val="18"/>
                      <w:szCs w:val="18"/>
                      <w:highlight w:val="lightGray"/>
                    </w:rPr>
                    <w:t xml:space="preserve">pH Value </w:t>
                  </w:r>
                  <w:r w:rsidR="006A5CE0">
                    <w:rPr>
                      <w:rFonts w:eastAsia="Calibri"/>
                      <w:sz w:val="18"/>
                      <w:szCs w:val="18"/>
                      <w:highlight w:val="lightGray"/>
                    </w:rPr>
                    <w:t>(19°C)</w:t>
                  </w:r>
                </w:p>
              </w:tc>
              <w:tc>
                <w:tcPr>
                  <w:tcW w:w="2268" w:type="dxa"/>
                </w:tcPr>
                <w:p w14:paraId="2C68F098"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6.10</w:t>
                  </w:r>
                </w:p>
              </w:tc>
              <w:tc>
                <w:tcPr>
                  <w:tcW w:w="2268" w:type="dxa"/>
                </w:tcPr>
                <w:p w14:paraId="50E2BC8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5.85</w:t>
                  </w:r>
                </w:p>
              </w:tc>
            </w:tr>
            <w:tr w:rsidR="00C825A4" w:rsidRPr="00C825A4" w14:paraId="3A9CE787" w14:textId="77777777" w:rsidTr="008D7EDC">
              <w:trPr>
                <w:trHeight w:val="386"/>
              </w:trPr>
              <w:tc>
                <w:tcPr>
                  <w:tcW w:w="2047" w:type="dxa"/>
                </w:tcPr>
                <w:p w14:paraId="0A166E9D"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Clogging</w:t>
                  </w:r>
                </w:p>
              </w:tc>
              <w:tc>
                <w:tcPr>
                  <w:tcW w:w="2268" w:type="dxa"/>
                </w:tcPr>
                <w:p w14:paraId="199E3156"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blocking observed</w:t>
                  </w:r>
                </w:p>
              </w:tc>
              <w:tc>
                <w:tcPr>
                  <w:tcW w:w="2268" w:type="dxa"/>
                </w:tcPr>
                <w:p w14:paraId="64D781D6"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No blocking observed</w:t>
                  </w:r>
                </w:p>
              </w:tc>
            </w:tr>
            <w:tr w:rsidR="00C825A4" w:rsidRPr="00C825A4" w14:paraId="15A376BE" w14:textId="77777777" w:rsidTr="008D7EDC">
              <w:trPr>
                <w:trHeight w:val="499"/>
              </w:trPr>
              <w:tc>
                <w:tcPr>
                  <w:tcW w:w="2047" w:type="dxa"/>
                </w:tcPr>
                <w:p w14:paraId="306AF864" w14:textId="77777777" w:rsidR="00C825A4" w:rsidRPr="00C825A4" w:rsidDel="00EF1032" w:rsidRDefault="00C825A4" w:rsidP="008D7EDC">
                  <w:pPr>
                    <w:rPr>
                      <w:rFonts w:eastAsia="Calibri"/>
                      <w:sz w:val="18"/>
                      <w:szCs w:val="18"/>
                      <w:highlight w:val="lightGray"/>
                    </w:rPr>
                  </w:pPr>
                  <w:r w:rsidRPr="00C825A4">
                    <w:rPr>
                      <w:rFonts w:eastAsia="Calibri"/>
                      <w:sz w:val="18"/>
                      <w:szCs w:val="18"/>
                      <w:highlight w:val="lightGray"/>
                    </w:rPr>
                    <w:t>Discharge rate</w:t>
                  </w:r>
                </w:p>
              </w:tc>
              <w:tc>
                <w:tcPr>
                  <w:tcW w:w="2268" w:type="dxa"/>
                </w:tcPr>
                <w:p w14:paraId="12C7DFB6" w14:textId="77777777" w:rsidR="00C825A4" w:rsidRPr="00C825A4" w:rsidDel="00EF1032" w:rsidRDefault="00C825A4" w:rsidP="008D7EDC">
                  <w:pPr>
                    <w:rPr>
                      <w:rFonts w:eastAsia="Calibri"/>
                      <w:sz w:val="18"/>
                      <w:szCs w:val="18"/>
                      <w:highlight w:val="lightGray"/>
                    </w:rPr>
                  </w:pPr>
                  <w:r w:rsidRPr="00C825A4">
                    <w:rPr>
                      <w:rFonts w:eastAsia="Calibri"/>
                      <w:sz w:val="18"/>
                      <w:szCs w:val="18"/>
                      <w:highlight w:val="lightGray"/>
                    </w:rPr>
                    <w:t>0.268 mL</w:t>
                  </w:r>
                </w:p>
              </w:tc>
              <w:tc>
                <w:tcPr>
                  <w:tcW w:w="2268" w:type="dxa"/>
                </w:tcPr>
                <w:p w14:paraId="18DDF241"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0.265 mL</w:t>
                  </w:r>
                </w:p>
              </w:tc>
            </w:tr>
            <w:tr w:rsidR="00C825A4" w:rsidRPr="00C825A4" w14:paraId="12A5967D" w14:textId="77777777" w:rsidTr="008D7EDC">
              <w:trPr>
                <w:trHeight w:val="499"/>
              </w:trPr>
              <w:tc>
                <w:tcPr>
                  <w:tcW w:w="2047" w:type="dxa"/>
                </w:tcPr>
                <w:p w14:paraId="3B0F034F"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Spray pattern</w:t>
                  </w:r>
                </w:p>
              </w:tc>
              <w:tc>
                <w:tcPr>
                  <w:tcW w:w="2268" w:type="dxa"/>
                </w:tcPr>
                <w:p w14:paraId="49FEAE96"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15 cm</w:t>
                  </w:r>
                </w:p>
                <w:p w14:paraId="4A7C95DF"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Circular point cloud</w:t>
                  </w:r>
                </w:p>
              </w:tc>
              <w:tc>
                <w:tcPr>
                  <w:tcW w:w="2268" w:type="dxa"/>
                </w:tcPr>
                <w:p w14:paraId="288E5CA3"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15 cm</w:t>
                  </w:r>
                </w:p>
                <w:p w14:paraId="78849DC5"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Circular point cloud</w:t>
                  </w:r>
                </w:p>
              </w:tc>
            </w:tr>
          </w:tbl>
          <w:p w14:paraId="758B0011" w14:textId="77777777" w:rsidR="00C825A4" w:rsidRPr="00C825A4" w:rsidRDefault="00C825A4" w:rsidP="008D7EDC">
            <w:pPr>
              <w:rPr>
                <w:rFonts w:eastAsia="Calibri"/>
                <w:sz w:val="18"/>
                <w:szCs w:val="18"/>
                <w:highlight w:val="lightGray"/>
              </w:rPr>
            </w:pPr>
          </w:p>
        </w:tc>
        <w:tc>
          <w:tcPr>
            <w:tcW w:w="2267" w:type="dxa"/>
            <w:shd w:val="clear" w:color="auto" w:fill="D9D9D9" w:themeFill="background1" w:themeFillShade="D9"/>
          </w:tcPr>
          <w:p w14:paraId="708E7107"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P. Padilla, 2020, Report No. 20-905023-001</w:t>
            </w:r>
          </w:p>
        </w:tc>
        <w:tc>
          <w:tcPr>
            <w:tcW w:w="2274" w:type="dxa"/>
            <w:shd w:val="clear" w:color="auto" w:fill="D9D9D9" w:themeFill="background1" w:themeFillShade="D9"/>
          </w:tcPr>
          <w:p w14:paraId="23930644"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Acceptable.</w:t>
            </w:r>
          </w:p>
          <w:p w14:paraId="5A6427C2" w14:textId="28CF742D" w:rsidR="00C825A4" w:rsidRPr="00C825A4" w:rsidRDefault="00C825A4" w:rsidP="008D7EDC">
            <w:pPr>
              <w:rPr>
                <w:rFonts w:eastAsia="Calibri"/>
                <w:sz w:val="18"/>
                <w:szCs w:val="18"/>
                <w:highlight w:val="lightGray"/>
              </w:rPr>
            </w:pPr>
            <w:r w:rsidRPr="00C825A4">
              <w:rPr>
                <w:rFonts w:eastAsia="Calibri"/>
                <w:sz w:val="18"/>
                <w:szCs w:val="18"/>
                <w:highlight w:val="lightGray"/>
              </w:rPr>
              <w:t xml:space="preserve">The product in its 100 mL-300 µL packaging can be concluded to be stable for two years at </w:t>
            </w:r>
            <w:r w:rsidR="006A5CE0">
              <w:rPr>
                <w:rFonts w:eastAsia="Calibri"/>
                <w:sz w:val="18"/>
                <w:szCs w:val="18"/>
                <w:highlight w:val="lightGray"/>
              </w:rPr>
              <w:t>40°C</w:t>
            </w:r>
            <w:r w:rsidRPr="00C825A4">
              <w:rPr>
                <w:rFonts w:eastAsia="Calibri"/>
                <w:sz w:val="18"/>
                <w:szCs w:val="18"/>
                <w:highlight w:val="lightGray"/>
              </w:rPr>
              <w:t>.</w:t>
            </w:r>
          </w:p>
          <w:p w14:paraId="4F561B23" w14:textId="77777777" w:rsidR="00C825A4" w:rsidRPr="00C825A4" w:rsidRDefault="00C825A4" w:rsidP="008D7EDC">
            <w:pPr>
              <w:rPr>
                <w:rFonts w:eastAsia="Calibri"/>
                <w:sz w:val="18"/>
                <w:szCs w:val="18"/>
                <w:highlight w:val="lightGray"/>
              </w:rPr>
            </w:pPr>
            <w:r w:rsidRPr="00C825A4">
              <w:rPr>
                <w:rFonts w:eastAsia="Calibri"/>
                <w:sz w:val="18"/>
                <w:szCs w:val="18"/>
                <w:highlight w:val="lightGray"/>
              </w:rPr>
              <w:t>The stability of this new spray head is identical to the one of the spray head already authorised (100 µL discharge rate).</w:t>
            </w:r>
          </w:p>
        </w:tc>
      </w:tr>
    </w:tbl>
    <w:p w14:paraId="2219C0E6" w14:textId="77777777" w:rsidR="00C825A4" w:rsidRPr="00C825A4" w:rsidRDefault="00C825A4" w:rsidP="00C825A4">
      <w:pPr>
        <w:shd w:val="clear" w:color="auto" w:fill="FFFFFF" w:themeFill="background1"/>
        <w:rPr>
          <w:highlight w:val="lightGray"/>
          <w:lang w:eastAsia="en-US"/>
        </w:rPr>
      </w:pPr>
    </w:p>
    <w:p w14:paraId="5109F286" w14:textId="77777777" w:rsidR="00C825A4" w:rsidRPr="00C825A4" w:rsidRDefault="00C825A4" w:rsidP="00C825A4">
      <w:pPr>
        <w:shd w:val="clear" w:color="auto" w:fill="FFFFFF" w:themeFill="background1"/>
        <w:rPr>
          <w:highlight w:val="lightGray"/>
          <w:lang w:eastAsia="en-US"/>
        </w:rPr>
      </w:pPr>
    </w:p>
    <w:p w14:paraId="05A9D6A6" w14:textId="77777777" w:rsidR="00C825A4" w:rsidRPr="00C825A4" w:rsidRDefault="00C825A4" w:rsidP="00C825A4">
      <w:pPr>
        <w:shd w:val="clear" w:color="auto" w:fill="FFFFFF" w:themeFill="background1"/>
        <w:rPr>
          <w:highlight w:val="lightGray"/>
          <w:lang w:eastAsia="en-US"/>
        </w:rPr>
      </w:pPr>
    </w:p>
    <w:tbl>
      <w:tblPr>
        <w:tblW w:w="5539" w:type="pct"/>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76"/>
      </w:tblGrid>
      <w:tr w:rsidR="00C825A4" w:rsidRPr="00C825A4" w14:paraId="0C646709" w14:textId="77777777" w:rsidTr="008D7ED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CCFFCC"/>
          </w:tcPr>
          <w:p w14:paraId="5F9C5B38" w14:textId="25B8EE3F" w:rsidR="00C825A4" w:rsidRPr="00C825A4" w:rsidRDefault="00C825A4" w:rsidP="008D7EDC">
            <w:pPr>
              <w:rPr>
                <w:rFonts w:eastAsia="Calibri"/>
                <w:b/>
                <w:bCs/>
                <w:highlight w:val="lightGray"/>
                <w:lang w:eastAsia="en-US"/>
              </w:rPr>
            </w:pPr>
            <w:r w:rsidRPr="00C825A4">
              <w:rPr>
                <w:rFonts w:eastAsia="Calibri"/>
                <w:b/>
                <w:bCs/>
                <w:highlight w:val="lightGray"/>
                <w:lang w:eastAsia="en-US"/>
              </w:rPr>
              <w:t>Conclusion on the physical, chemical and technical properties of the product</w:t>
            </w:r>
            <w:r w:rsidR="008D7EDC">
              <w:rPr>
                <w:rFonts w:eastAsia="Calibri"/>
                <w:b/>
                <w:bCs/>
                <w:highlight w:val="lightGray"/>
                <w:lang w:eastAsia="en-US"/>
              </w:rPr>
              <w:t xml:space="preserve"> – Minor Change application 2021</w:t>
            </w:r>
          </w:p>
        </w:tc>
      </w:tr>
      <w:tr w:rsidR="00C825A4" w:rsidRPr="00BD2EF1" w14:paraId="055442DC" w14:textId="77777777" w:rsidTr="008D7ED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02D18922" w14:textId="77777777" w:rsidR="00C825A4" w:rsidRPr="00C825A4" w:rsidRDefault="00C825A4" w:rsidP="008D7EDC">
            <w:pPr>
              <w:rPr>
                <w:rFonts w:eastAsia="Calibri"/>
                <w:highlight w:val="lightGray"/>
                <w:lang w:eastAsia="en-US"/>
              </w:rPr>
            </w:pPr>
            <w:r w:rsidRPr="00C825A4">
              <w:rPr>
                <w:rFonts w:eastAsia="Calibri"/>
                <w:highlight w:val="lightGray"/>
                <w:lang w:eastAsia="en-US"/>
              </w:rPr>
              <w:t>New storage stability studies have been submitted in the context of a minor change application (2021):</w:t>
            </w:r>
          </w:p>
          <w:p w14:paraId="3B868E0E" w14:textId="77777777" w:rsidR="00C825A4" w:rsidRPr="00C825A4" w:rsidRDefault="00C825A4" w:rsidP="00C825A4">
            <w:pPr>
              <w:pStyle w:val="Paragraphedeliste"/>
              <w:numPr>
                <w:ilvl w:val="0"/>
                <w:numId w:val="28"/>
              </w:numPr>
              <w:rPr>
                <w:rFonts w:eastAsia="Calibri"/>
                <w:highlight w:val="lightGray"/>
                <w:lang w:eastAsia="en-US"/>
              </w:rPr>
            </w:pPr>
            <w:r w:rsidRPr="00C825A4">
              <w:rPr>
                <w:rFonts w:eastAsia="Calibri"/>
                <w:highlight w:val="lightGray"/>
                <w:lang w:eastAsia="en-US"/>
              </w:rPr>
              <w:t>Ambient storage up to 24 months in a 100 mL packaging with a spray head with a discharge rate of 100 µL/spray.</w:t>
            </w:r>
          </w:p>
          <w:p w14:paraId="34048B7A" w14:textId="77777777" w:rsidR="00C825A4" w:rsidRPr="00C825A4" w:rsidRDefault="00C825A4" w:rsidP="00C825A4">
            <w:pPr>
              <w:pStyle w:val="Paragraphedeliste"/>
              <w:numPr>
                <w:ilvl w:val="0"/>
                <w:numId w:val="28"/>
              </w:numPr>
              <w:rPr>
                <w:rFonts w:eastAsia="Calibri"/>
                <w:highlight w:val="lightGray"/>
                <w:lang w:eastAsia="en-US"/>
              </w:rPr>
            </w:pPr>
            <w:r w:rsidRPr="00C825A4">
              <w:rPr>
                <w:rFonts w:eastAsia="Calibri"/>
                <w:highlight w:val="lightGray"/>
                <w:lang w:eastAsia="en-US"/>
              </w:rPr>
              <w:t>Ambient storage up to 30 months in a 100 mL packaging with a spray head with a discharge rate of 100 µL/spray and in a 250 mL packaging with a spray head with a discharge rate of 400 µL/spray.</w:t>
            </w:r>
          </w:p>
          <w:p w14:paraId="2D679060" w14:textId="77777777" w:rsidR="00C825A4" w:rsidRPr="00C825A4" w:rsidRDefault="00C825A4" w:rsidP="00C825A4">
            <w:pPr>
              <w:pStyle w:val="Paragraphedeliste"/>
              <w:numPr>
                <w:ilvl w:val="0"/>
                <w:numId w:val="28"/>
              </w:numPr>
              <w:rPr>
                <w:rFonts w:eastAsia="Calibri"/>
                <w:highlight w:val="lightGray"/>
                <w:lang w:eastAsia="en-US"/>
              </w:rPr>
            </w:pPr>
            <w:r w:rsidRPr="00C825A4">
              <w:rPr>
                <w:rFonts w:eastAsia="Calibri"/>
                <w:highlight w:val="lightGray"/>
                <w:lang w:eastAsia="en-US"/>
              </w:rPr>
              <w:t>Accelerated storage (8 weeks at 40°C) in a 100 mL packaging with a new spray head with a discharge rate of 300 µL/spray.</w:t>
            </w:r>
          </w:p>
          <w:p w14:paraId="791A9088" w14:textId="77777777" w:rsidR="00C825A4" w:rsidRPr="00C825A4" w:rsidRDefault="00C825A4" w:rsidP="008D7EDC">
            <w:pPr>
              <w:rPr>
                <w:rFonts w:eastAsia="Calibri"/>
                <w:highlight w:val="lightGray"/>
                <w:lang w:eastAsia="en-US"/>
              </w:rPr>
            </w:pPr>
          </w:p>
          <w:p w14:paraId="0B27B38F" w14:textId="77777777" w:rsidR="00C825A4" w:rsidRPr="00C825A4" w:rsidRDefault="00C825A4" w:rsidP="008D7EDC">
            <w:pPr>
              <w:rPr>
                <w:rFonts w:eastAsia="Calibri"/>
                <w:highlight w:val="lightGray"/>
                <w:lang w:eastAsia="en-US"/>
              </w:rPr>
            </w:pPr>
            <w:r w:rsidRPr="00C825A4">
              <w:rPr>
                <w:rFonts w:eastAsia="Calibri"/>
                <w:highlight w:val="lightGray"/>
                <w:lang w:eastAsia="en-US"/>
              </w:rPr>
              <w:t>The results show that the product is stable in all of the test packs. The accelerated storage results on the new spray head show that it is at least as stable as the previously authorised spray head with a 100 µL discharge rate.</w:t>
            </w:r>
          </w:p>
          <w:p w14:paraId="0D203C0F" w14:textId="77777777" w:rsidR="00C825A4" w:rsidRPr="00C825A4" w:rsidRDefault="00C825A4" w:rsidP="008D7EDC">
            <w:pPr>
              <w:rPr>
                <w:rFonts w:eastAsia="Calibri"/>
                <w:highlight w:val="lightGray"/>
                <w:lang w:eastAsia="en-US"/>
              </w:rPr>
            </w:pPr>
            <w:r w:rsidRPr="00C825A4">
              <w:rPr>
                <w:rFonts w:eastAsia="Calibri"/>
                <w:highlight w:val="lightGray"/>
                <w:lang w:eastAsia="en-US"/>
              </w:rPr>
              <w:t>In conclusion:</w:t>
            </w:r>
          </w:p>
          <w:p w14:paraId="28ACCD63" w14:textId="77777777" w:rsidR="00C825A4" w:rsidRPr="00C825A4" w:rsidRDefault="00C825A4" w:rsidP="00C825A4">
            <w:pPr>
              <w:pStyle w:val="Paragraphedeliste"/>
              <w:numPr>
                <w:ilvl w:val="0"/>
                <w:numId w:val="28"/>
              </w:numPr>
              <w:rPr>
                <w:rFonts w:eastAsia="Calibri"/>
                <w:highlight w:val="lightGray"/>
                <w:lang w:eastAsia="en-US"/>
              </w:rPr>
            </w:pPr>
            <w:r w:rsidRPr="00C825A4">
              <w:rPr>
                <w:rFonts w:eastAsia="Calibri"/>
                <w:highlight w:val="lightGray"/>
                <w:lang w:eastAsia="en-US"/>
              </w:rPr>
              <w:t>The addition of a spray device with a 300 µL discharge rate is supported with sufficient data.</w:t>
            </w:r>
          </w:p>
          <w:p w14:paraId="085022D0" w14:textId="77777777" w:rsidR="00C825A4" w:rsidRPr="00C825A4" w:rsidRDefault="00C825A4" w:rsidP="00C825A4">
            <w:pPr>
              <w:pStyle w:val="Paragraphedeliste"/>
              <w:numPr>
                <w:ilvl w:val="0"/>
                <w:numId w:val="28"/>
              </w:numPr>
              <w:rPr>
                <w:rFonts w:eastAsia="Calibri"/>
                <w:highlight w:val="lightGray"/>
                <w:lang w:eastAsia="en-US"/>
              </w:rPr>
            </w:pPr>
            <w:r w:rsidRPr="00C825A4">
              <w:rPr>
                <w:rFonts w:eastAsia="Calibri"/>
                <w:highlight w:val="lightGray"/>
                <w:lang w:eastAsia="en-US"/>
              </w:rPr>
              <w:t>The shelf-life of the product is increased to 24 months.</w:t>
            </w:r>
          </w:p>
        </w:tc>
      </w:tr>
    </w:tbl>
    <w:p w14:paraId="1D36F349" w14:textId="77777777" w:rsidR="002971AD" w:rsidRDefault="002971AD" w:rsidP="0028480A">
      <w:pPr>
        <w:rPr>
          <w:lang w:eastAsia="en-US"/>
        </w:rPr>
      </w:pPr>
    </w:p>
    <w:p w14:paraId="4DCE0F50" w14:textId="77777777" w:rsidR="00B42FC2" w:rsidRPr="00BD2EF1" w:rsidRDefault="00B42FC2" w:rsidP="0028480A">
      <w:pPr>
        <w:rPr>
          <w:lang w:eastAsia="en-US"/>
        </w:rPr>
      </w:pPr>
    </w:p>
    <w:p w14:paraId="7A59AF4A" w14:textId="4C58FD68" w:rsidR="00093760" w:rsidRDefault="00AD0B64" w:rsidP="00093760">
      <w:pPr>
        <w:pStyle w:val="Titre3"/>
        <w:rPr>
          <w:lang w:eastAsia="en-US"/>
        </w:rPr>
      </w:pPr>
      <w:bookmarkStart w:id="125" w:name="_Toc93326534"/>
      <w:r w:rsidRPr="00BD2EF1">
        <w:rPr>
          <w:lang w:eastAsia="en-US"/>
        </w:rPr>
        <w:t>Physical hazards and respective characteristics</w:t>
      </w:r>
      <w:bookmarkEnd w:id="125"/>
    </w:p>
    <w:p w14:paraId="37DE0296" w14:textId="77777777" w:rsidR="00FD5106" w:rsidRPr="009461FB" w:rsidRDefault="00FD5106" w:rsidP="00FD5106">
      <w:pPr>
        <w:pStyle w:val="Paragraphedeliste"/>
        <w:numPr>
          <w:ilvl w:val="0"/>
          <w:numId w:val="68"/>
        </w:numPr>
        <w:rPr>
          <w:b/>
        </w:rPr>
      </w:pPr>
      <w:r w:rsidRPr="009461FB">
        <w:rPr>
          <w:b/>
        </w:rPr>
        <w:t>FIRST AUTHORISATION – 2017 (BE CA)</w:t>
      </w:r>
    </w:p>
    <w:p w14:paraId="0CFE4F55" w14:textId="3FF40C5F" w:rsidR="00093760" w:rsidRPr="00093760" w:rsidRDefault="00093760" w:rsidP="00F07537">
      <w:pPr>
        <w:pStyle w:val="Titre3"/>
        <w:numPr>
          <w:ilvl w:val="0"/>
          <w:numId w:val="0"/>
        </w:numPr>
        <w:ind w:left="720"/>
        <w:rPr>
          <w:lang w:eastAsia="en-US"/>
        </w:rPr>
      </w:pPr>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3"/>
        <w:gridCol w:w="1728"/>
        <w:gridCol w:w="3681"/>
        <w:gridCol w:w="4462"/>
        <w:gridCol w:w="2830"/>
      </w:tblGrid>
      <w:tr w:rsidR="00404BE0" w:rsidRPr="00BD2EF1" w14:paraId="6A358231" w14:textId="7D68DF8D" w:rsidTr="005946A1">
        <w:trPr>
          <w:trHeight w:val="436"/>
          <w:tblHeader/>
        </w:trPr>
        <w:tc>
          <w:tcPr>
            <w:tcW w:w="804" w:type="pct"/>
            <w:shd w:val="clear" w:color="auto" w:fill="BFBFBF" w:themeFill="background1" w:themeFillShade="BF"/>
            <w:vAlign w:val="center"/>
          </w:tcPr>
          <w:p w14:paraId="4C0686FB" w14:textId="77777777" w:rsidR="00404BE0" w:rsidRPr="00BD2EF1" w:rsidRDefault="00404BE0" w:rsidP="00FF76D2">
            <w:pPr>
              <w:pStyle w:val="Standaard-Tabellen"/>
              <w:rPr>
                <w:rFonts w:eastAsia="Calibri"/>
                <w:b/>
              </w:rPr>
            </w:pPr>
            <w:r w:rsidRPr="00BD2EF1">
              <w:rPr>
                <w:rFonts w:eastAsia="Calibri"/>
                <w:b/>
              </w:rPr>
              <w:t>Property</w:t>
            </w:r>
          </w:p>
        </w:tc>
        <w:tc>
          <w:tcPr>
            <w:tcW w:w="571" w:type="pct"/>
            <w:shd w:val="clear" w:color="auto" w:fill="BFBFBF" w:themeFill="background1" w:themeFillShade="BF"/>
            <w:vAlign w:val="center"/>
          </w:tcPr>
          <w:p w14:paraId="3175380E" w14:textId="77777777" w:rsidR="00404BE0" w:rsidRPr="00BD2EF1" w:rsidRDefault="00404BE0" w:rsidP="00FF76D2">
            <w:pPr>
              <w:pStyle w:val="Standaard-Tabellen"/>
              <w:rPr>
                <w:rFonts w:eastAsia="Calibri"/>
                <w:b/>
              </w:rPr>
            </w:pPr>
            <w:r w:rsidRPr="00BD2EF1">
              <w:rPr>
                <w:rFonts w:eastAsia="Calibri"/>
                <w:b/>
              </w:rPr>
              <w:t>Guideline  and Method</w:t>
            </w:r>
          </w:p>
        </w:tc>
        <w:tc>
          <w:tcPr>
            <w:tcW w:w="1216" w:type="pct"/>
            <w:shd w:val="clear" w:color="auto" w:fill="BFBFBF" w:themeFill="background1" w:themeFillShade="BF"/>
            <w:vAlign w:val="center"/>
          </w:tcPr>
          <w:p w14:paraId="78F44800" w14:textId="77777777" w:rsidR="00404BE0" w:rsidRPr="00BD2EF1" w:rsidRDefault="00404BE0" w:rsidP="00FF76D2">
            <w:pPr>
              <w:pStyle w:val="Standaard-Tabellen"/>
              <w:rPr>
                <w:rFonts w:eastAsia="Calibri"/>
                <w:b/>
              </w:rPr>
            </w:pPr>
            <w:r w:rsidRPr="00BD2EF1">
              <w:rPr>
                <w:rFonts w:eastAsia="Calibri"/>
                <w:b/>
              </w:rPr>
              <w:t>Purity of the test substance (% (w/w)</w:t>
            </w:r>
          </w:p>
        </w:tc>
        <w:tc>
          <w:tcPr>
            <w:tcW w:w="1474" w:type="pct"/>
            <w:shd w:val="clear" w:color="auto" w:fill="BFBFBF" w:themeFill="background1" w:themeFillShade="BF"/>
            <w:vAlign w:val="center"/>
          </w:tcPr>
          <w:p w14:paraId="4E7B1CD0" w14:textId="77777777" w:rsidR="00404BE0" w:rsidRPr="00BD2EF1" w:rsidRDefault="00404BE0" w:rsidP="00FF76D2">
            <w:pPr>
              <w:pStyle w:val="Standaard-Tabellen"/>
              <w:rPr>
                <w:rFonts w:eastAsia="Calibri"/>
                <w:b/>
              </w:rPr>
            </w:pPr>
            <w:r w:rsidRPr="00BD2EF1">
              <w:rPr>
                <w:rFonts w:eastAsia="Calibri"/>
                <w:b/>
              </w:rPr>
              <w:t>Results</w:t>
            </w:r>
          </w:p>
        </w:tc>
        <w:tc>
          <w:tcPr>
            <w:tcW w:w="935" w:type="pct"/>
            <w:shd w:val="clear" w:color="auto" w:fill="BFBFBF" w:themeFill="background1" w:themeFillShade="BF"/>
            <w:vAlign w:val="center"/>
          </w:tcPr>
          <w:p w14:paraId="640D384B" w14:textId="77777777" w:rsidR="00404BE0" w:rsidRPr="00BD2EF1" w:rsidRDefault="00404BE0" w:rsidP="00FF76D2">
            <w:pPr>
              <w:pStyle w:val="Standaard-Tabellen"/>
              <w:rPr>
                <w:rFonts w:eastAsia="Calibri"/>
                <w:b/>
              </w:rPr>
            </w:pPr>
            <w:r w:rsidRPr="00BD2EF1">
              <w:rPr>
                <w:rFonts w:eastAsia="Calibri"/>
                <w:b/>
              </w:rPr>
              <w:t>Reference</w:t>
            </w:r>
          </w:p>
        </w:tc>
      </w:tr>
      <w:tr w:rsidR="00404BE0" w:rsidRPr="00BD2EF1" w14:paraId="4D6628DB" w14:textId="2CBB38D0" w:rsidTr="005946A1">
        <w:trPr>
          <w:trHeight w:val="1084"/>
        </w:trPr>
        <w:tc>
          <w:tcPr>
            <w:tcW w:w="804" w:type="pct"/>
          </w:tcPr>
          <w:p w14:paraId="21D06FB0" w14:textId="77777777" w:rsidR="00404BE0" w:rsidRPr="00BD2EF1" w:rsidRDefault="00404BE0" w:rsidP="00854FF9">
            <w:pPr>
              <w:pStyle w:val="Standaard-Tabellen"/>
              <w:rPr>
                <w:rFonts w:eastAsia="Calibri"/>
              </w:rPr>
            </w:pPr>
            <w:r w:rsidRPr="00BD2EF1">
              <w:rPr>
                <w:rFonts w:eastAsia="Calibri"/>
              </w:rPr>
              <w:t>Explosives</w:t>
            </w:r>
          </w:p>
        </w:tc>
        <w:tc>
          <w:tcPr>
            <w:tcW w:w="571" w:type="pct"/>
          </w:tcPr>
          <w:p w14:paraId="54597D44"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08277ABD" w14:textId="77777777" w:rsidR="00404BE0" w:rsidRPr="00BD2EF1" w:rsidRDefault="00404BE0" w:rsidP="00854FF9">
            <w:pPr>
              <w:pStyle w:val="Standaard-Tabellen"/>
              <w:rPr>
                <w:rFonts w:eastAsia="Calibri"/>
              </w:rPr>
            </w:pPr>
            <w:r>
              <w:rPr>
                <w:rFonts w:eastAsia="Calibri"/>
              </w:rPr>
              <w:t>-</w:t>
            </w:r>
          </w:p>
        </w:tc>
        <w:tc>
          <w:tcPr>
            <w:tcW w:w="1474" w:type="pct"/>
          </w:tcPr>
          <w:p w14:paraId="6D9C60C0" w14:textId="77777777" w:rsidR="00404BE0" w:rsidRPr="00BD2EF1" w:rsidRDefault="00404BE0" w:rsidP="00854FF9">
            <w:pPr>
              <w:pStyle w:val="Standaard-Tabellen"/>
              <w:rPr>
                <w:rFonts w:eastAsia="Calibri"/>
              </w:rPr>
            </w:pPr>
            <w:r w:rsidRPr="006466A5">
              <w:rPr>
                <w:rFonts w:eastAsia="Calibri"/>
              </w:rPr>
              <w:t>None of the ingredients of the product is classified as explosive.</w:t>
            </w:r>
          </w:p>
        </w:tc>
        <w:tc>
          <w:tcPr>
            <w:tcW w:w="935" w:type="pct"/>
          </w:tcPr>
          <w:p w14:paraId="23389984" w14:textId="77777777" w:rsidR="00404BE0" w:rsidRPr="00BD2EF1" w:rsidRDefault="00404BE0" w:rsidP="00854FF9">
            <w:pPr>
              <w:pStyle w:val="Standaard-Tabellen"/>
              <w:rPr>
                <w:rFonts w:eastAsia="Calibri"/>
              </w:rPr>
            </w:pPr>
            <w:r>
              <w:rPr>
                <w:rFonts w:eastAsia="Calibri"/>
              </w:rPr>
              <w:t>-</w:t>
            </w:r>
          </w:p>
        </w:tc>
      </w:tr>
      <w:tr w:rsidR="00404BE0" w:rsidRPr="00BD2EF1" w14:paraId="15B99537" w14:textId="0DBE0A94" w:rsidTr="005946A1">
        <w:trPr>
          <w:trHeight w:val="436"/>
        </w:trPr>
        <w:tc>
          <w:tcPr>
            <w:tcW w:w="804" w:type="pct"/>
          </w:tcPr>
          <w:p w14:paraId="633A3379" w14:textId="77777777" w:rsidR="00404BE0" w:rsidRPr="00BD2EF1" w:rsidRDefault="00404BE0" w:rsidP="00854FF9">
            <w:pPr>
              <w:pStyle w:val="Standaard-Tabellen"/>
              <w:rPr>
                <w:rFonts w:eastAsia="Calibri"/>
              </w:rPr>
            </w:pPr>
            <w:r w:rsidRPr="00BD2EF1">
              <w:rPr>
                <w:rFonts w:eastAsia="Calibri"/>
              </w:rPr>
              <w:t>Flammable gases</w:t>
            </w:r>
          </w:p>
        </w:tc>
        <w:tc>
          <w:tcPr>
            <w:tcW w:w="571" w:type="pct"/>
          </w:tcPr>
          <w:p w14:paraId="4AD58199"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7BD99FD9" w14:textId="77777777" w:rsidR="00404BE0" w:rsidRPr="00BD2EF1" w:rsidRDefault="00404BE0" w:rsidP="00854FF9">
            <w:pPr>
              <w:pStyle w:val="Standaard-Tabellen"/>
              <w:rPr>
                <w:rFonts w:eastAsia="Calibri"/>
              </w:rPr>
            </w:pPr>
            <w:r>
              <w:rPr>
                <w:rFonts w:eastAsia="Calibri"/>
              </w:rPr>
              <w:t>-</w:t>
            </w:r>
          </w:p>
        </w:tc>
        <w:tc>
          <w:tcPr>
            <w:tcW w:w="1474" w:type="pct"/>
          </w:tcPr>
          <w:p w14:paraId="66D63CCB"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is a liquid.</w:t>
            </w:r>
          </w:p>
        </w:tc>
        <w:tc>
          <w:tcPr>
            <w:tcW w:w="935" w:type="pct"/>
          </w:tcPr>
          <w:p w14:paraId="43E7266A" w14:textId="77777777" w:rsidR="00404BE0" w:rsidRPr="00BD2EF1" w:rsidRDefault="00404BE0" w:rsidP="00854FF9">
            <w:pPr>
              <w:pStyle w:val="Standaard-Tabellen"/>
              <w:rPr>
                <w:rFonts w:eastAsia="Calibri"/>
              </w:rPr>
            </w:pPr>
            <w:r>
              <w:rPr>
                <w:rFonts w:eastAsia="Calibri"/>
              </w:rPr>
              <w:t>-</w:t>
            </w:r>
          </w:p>
        </w:tc>
      </w:tr>
      <w:tr w:rsidR="00404BE0" w:rsidRPr="00BD2EF1" w14:paraId="0E57B156" w14:textId="7D0BA1E4" w:rsidTr="005946A1">
        <w:trPr>
          <w:trHeight w:val="436"/>
        </w:trPr>
        <w:tc>
          <w:tcPr>
            <w:tcW w:w="804" w:type="pct"/>
          </w:tcPr>
          <w:p w14:paraId="0B9E1741" w14:textId="77777777" w:rsidR="00404BE0" w:rsidRPr="00BD2EF1" w:rsidRDefault="00404BE0" w:rsidP="00854FF9">
            <w:pPr>
              <w:pStyle w:val="Standaard-Tabellen"/>
              <w:rPr>
                <w:rFonts w:eastAsia="Calibri"/>
              </w:rPr>
            </w:pPr>
            <w:r w:rsidRPr="00BD2EF1">
              <w:rPr>
                <w:rFonts w:eastAsia="Calibri"/>
              </w:rPr>
              <w:t>Flammable aerosols</w:t>
            </w:r>
          </w:p>
        </w:tc>
        <w:tc>
          <w:tcPr>
            <w:tcW w:w="571" w:type="pct"/>
          </w:tcPr>
          <w:p w14:paraId="4AEEDBE6"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4876E4BD" w14:textId="77777777" w:rsidR="00404BE0" w:rsidRPr="00BD2EF1" w:rsidRDefault="00404BE0" w:rsidP="00854FF9">
            <w:pPr>
              <w:pStyle w:val="Standaard-Tabellen"/>
              <w:rPr>
                <w:rFonts w:eastAsia="Calibri"/>
              </w:rPr>
            </w:pPr>
            <w:r>
              <w:rPr>
                <w:rFonts w:eastAsia="Calibri"/>
              </w:rPr>
              <w:t>-</w:t>
            </w:r>
          </w:p>
        </w:tc>
        <w:tc>
          <w:tcPr>
            <w:tcW w:w="1474" w:type="pct"/>
          </w:tcPr>
          <w:p w14:paraId="14320CDE"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is a liquid.</w:t>
            </w:r>
          </w:p>
        </w:tc>
        <w:tc>
          <w:tcPr>
            <w:tcW w:w="935" w:type="pct"/>
          </w:tcPr>
          <w:p w14:paraId="5F244AD5" w14:textId="77777777" w:rsidR="00404BE0" w:rsidRPr="00BD2EF1" w:rsidRDefault="00404BE0" w:rsidP="00854FF9">
            <w:pPr>
              <w:pStyle w:val="Standaard-Tabellen"/>
              <w:rPr>
                <w:rFonts w:eastAsia="Calibri"/>
              </w:rPr>
            </w:pPr>
            <w:r>
              <w:rPr>
                <w:rFonts w:eastAsia="Calibri"/>
              </w:rPr>
              <w:t>-</w:t>
            </w:r>
          </w:p>
        </w:tc>
      </w:tr>
      <w:tr w:rsidR="00404BE0" w:rsidRPr="00BD2EF1" w14:paraId="32493191" w14:textId="155FC114" w:rsidTr="005946A1">
        <w:trPr>
          <w:trHeight w:val="436"/>
        </w:trPr>
        <w:tc>
          <w:tcPr>
            <w:tcW w:w="804" w:type="pct"/>
          </w:tcPr>
          <w:p w14:paraId="553AEF8E" w14:textId="77777777" w:rsidR="00404BE0" w:rsidRPr="00BD2EF1" w:rsidRDefault="00404BE0" w:rsidP="00854FF9">
            <w:pPr>
              <w:pStyle w:val="Standaard-Tabellen"/>
              <w:rPr>
                <w:rFonts w:eastAsia="Calibri"/>
              </w:rPr>
            </w:pPr>
            <w:r w:rsidRPr="00BD2EF1">
              <w:rPr>
                <w:rFonts w:eastAsia="Calibri"/>
              </w:rPr>
              <w:t>Oxidising gases</w:t>
            </w:r>
          </w:p>
        </w:tc>
        <w:tc>
          <w:tcPr>
            <w:tcW w:w="571" w:type="pct"/>
          </w:tcPr>
          <w:p w14:paraId="51050715"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48ED8B11" w14:textId="77777777" w:rsidR="00404BE0" w:rsidRPr="00BD2EF1" w:rsidRDefault="00404BE0" w:rsidP="00854FF9">
            <w:pPr>
              <w:pStyle w:val="Standaard-Tabellen"/>
              <w:rPr>
                <w:rFonts w:eastAsia="Calibri"/>
              </w:rPr>
            </w:pPr>
            <w:r>
              <w:rPr>
                <w:rFonts w:eastAsia="Calibri"/>
              </w:rPr>
              <w:t>-</w:t>
            </w:r>
          </w:p>
        </w:tc>
        <w:tc>
          <w:tcPr>
            <w:tcW w:w="1474" w:type="pct"/>
          </w:tcPr>
          <w:p w14:paraId="5BFCEE3B"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is a liquid.</w:t>
            </w:r>
          </w:p>
        </w:tc>
        <w:tc>
          <w:tcPr>
            <w:tcW w:w="935" w:type="pct"/>
          </w:tcPr>
          <w:p w14:paraId="114C2C39" w14:textId="77777777" w:rsidR="00404BE0" w:rsidRPr="00BD2EF1" w:rsidRDefault="00404BE0" w:rsidP="00854FF9">
            <w:pPr>
              <w:pStyle w:val="Standaard-Tabellen"/>
              <w:rPr>
                <w:rFonts w:eastAsia="Calibri"/>
              </w:rPr>
            </w:pPr>
            <w:r>
              <w:rPr>
                <w:rFonts w:eastAsia="Calibri"/>
              </w:rPr>
              <w:t>-</w:t>
            </w:r>
          </w:p>
        </w:tc>
      </w:tr>
      <w:tr w:rsidR="00404BE0" w:rsidRPr="00BD2EF1" w14:paraId="78589525" w14:textId="29874CFC" w:rsidTr="005946A1">
        <w:trPr>
          <w:trHeight w:val="436"/>
        </w:trPr>
        <w:tc>
          <w:tcPr>
            <w:tcW w:w="804" w:type="pct"/>
          </w:tcPr>
          <w:p w14:paraId="3CFF5D9E" w14:textId="77777777" w:rsidR="00404BE0" w:rsidRPr="00BD2EF1" w:rsidRDefault="00404BE0" w:rsidP="00854FF9">
            <w:pPr>
              <w:pStyle w:val="Standaard-Tabellen"/>
              <w:rPr>
                <w:rFonts w:eastAsia="Calibri"/>
              </w:rPr>
            </w:pPr>
            <w:r w:rsidRPr="00BD2EF1">
              <w:rPr>
                <w:rFonts w:eastAsia="Calibri"/>
              </w:rPr>
              <w:t>Gases under pressure</w:t>
            </w:r>
          </w:p>
        </w:tc>
        <w:tc>
          <w:tcPr>
            <w:tcW w:w="571" w:type="pct"/>
          </w:tcPr>
          <w:p w14:paraId="2BB75D5A"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34850F33" w14:textId="77777777" w:rsidR="00404BE0" w:rsidRPr="00BD2EF1" w:rsidRDefault="00404BE0" w:rsidP="00854FF9">
            <w:pPr>
              <w:pStyle w:val="Standaard-Tabellen"/>
              <w:rPr>
                <w:rFonts w:eastAsia="Calibri"/>
              </w:rPr>
            </w:pPr>
            <w:r>
              <w:rPr>
                <w:rFonts w:eastAsia="Calibri"/>
              </w:rPr>
              <w:t>-</w:t>
            </w:r>
          </w:p>
        </w:tc>
        <w:tc>
          <w:tcPr>
            <w:tcW w:w="1474" w:type="pct"/>
          </w:tcPr>
          <w:p w14:paraId="6FA4F8A2"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is a liquid.</w:t>
            </w:r>
          </w:p>
        </w:tc>
        <w:tc>
          <w:tcPr>
            <w:tcW w:w="935" w:type="pct"/>
          </w:tcPr>
          <w:p w14:paraId="26E34847" w14:textId="77777777" w:rsidR="00404BE0" w:rsidRPr="00BD2EF1" w:rsidRDefault="00404BE0" w:rsidP="00854FF9">
            <w:pPr>
              <w:pStyle w:val="Standaard-Tabellen"/>
              <w:rPr>
                <w:rFonts w:eastAsia="Calibri"/>
              </w:rPr>
            </w:pPr>
            <w:r>
              <w:rPr>
                <w:rFonts w:eastAsia="Calibri"/>
              </w:rPr>
              <w:t>-</w:t>
            </w:r>
          </w:p>
        </w:tc>
      </w:tr>
      <w:tr w:rsidR="00404BE0" w:rsidRPr="0089119C" w14:paraId="56B4B2B0" w14:textId="2FEB5BD8" w:rsidTr="005946A1">
        <w:trPr>
          <w:trHeight w:val="1521"/>
        </w:trPr>
        <w:tc>
          <w:tcPr>
            <w:tcW w:w="804" w:type="pct"/>
          </w:tcPr>
          <w:p w14:paraId="795EA5F9" w14:textId="77777777" w:rsidR="00404BE0" w:rsidRPr="00BD2EF1" w:rsidRDefault="00404BE0" w:rsidP="00854FF9">
            <w:pPr>
              <w:pStyle w:val="Standaard-Tabellen"/>
              <w:rPr>
                <w:rFonts w:eastAsia="Calibri"/>
              </w:rPr>
            </w:pPr>
            <w:r w:rsidRPr="00BD2EF1">
              <w:rPr>
                <w:rFonts w:eastAsia="Calibri"/>
              </w:rPr>
              <w:t>Flammable liquids</w:t>
            </w:r>
          </w:p>
        </w:tc>
        <w:tc>
          <w:tcPr>
            <w:tcW w:w="571" w:type="pct"/>
          </w:tcPr>
          <w:p w14:paraId="3F123346" w14:textId="77777777" w:rsidR="00404BE0" w:rsidRPr="00230E6E" w:rsidRDefault="00404BE0" w:rsidP="00854FF9">
            <w:pPr>
              <w:pStyle w:val="Standaard-Tabellen"/>
              <w:rPr>
                <w:rFonts w:eastAsia="Calibri"/>
              </w:rPr>
            </w:pPr>
            <w:r w:rsidRPr="00230E6E">
              <w:rPr>
                <w:rFonts w:eastAsia="Calibri"/>
              </w:rPr>
              <w:t>EC A.9, under GLP, with elements of ISO 2719</w:t>
            </w:r>
          </w:p>
          <w:p w14:paraId="3845DAF9" w14:textId="77777777" w:rsidR="00404BE0" w:rsidRPr="00230E6E" w:rsidRDefault="00404BE0" w:rsidP="00854FF9">
            <w:pPr>
              <w:pStyle w:val="Standaard-Tabellen"/>
              <w:rPr>
                <w:rFonts w:eastAsia="Calibri"/>
              </w:rPr>
            </w:pPr>
            <w:r w:rsidRPr="00230E6E">
              <w:rPr>
                <w:rFonts w:eastAsia="Calibri"/>
              </w:rPr>
              <w:t>OPPTS 830.6315</w:t>
            </w:r>
          </w:p>
          <w:p w14:paraId="6AEE546D" w14:textId="77777777" w:rsidR="00404BE0" w:rsidRPr="00BD2EF1" w:rsidRDefault="00404BE0" w:rsidP="00854FF9">
            <w:pPr>
              <w:pStyle w:val="Standaard-Tabellen"/>
              <w:rPr>
                <w:rFonts w:eastAsia="Calibri"/>
              </w:rPr>
            </w:pPr>
            <w:r w:rsidRPr="00230E6E">
              <w:rPr>
                <w:rFonts w:eastAsia="Calibri"/>
              </w:rPr>
              <w:t>ASTM D 7094-04</w:t>
            </w:r>
          </w:p>
        </w:tc>
        <w:tc>
          <w:tcPr>
            <w:tcW w:w="1216" w:type="pct"/>
          </w:tcPr>
          <w:p w14:paraId="5429CEDC" w14:textId="77777777" w:rsidR="00404BE0" w:rsidRDefault="00404BE0" w:rsidP="00854FF9">
            <w:pPr>
              <w:pStyle w:val="Standaard-Tabellen"/>
              <w:rPr>
                <w:rFonts w:eastAsia="Calibri"/>
              </w:rPr>
            </w:pPr>
            <w:r w:rsidRPr="00F07537">
              <w:rPr>
                <w:rFonts w:eastAsia="Calibri"/>
              </w:rPr>
              <w:t>READ-ACROSS</w:t>
            </w:r>
          </w:p>
          <w:p w14:paraId="62F1B219" w14:textId="77777777" w:rsidR="00404BE0" w:rsidRDefault="00404BE0" w:rsidP="00854FF9">
            <w:pPr>
              <w:pStyle w:val="Standaard-Tabellen"/>
              <w:rPr>
                <w:rFonts w:eastAsia="Calibri"/>
              </w:rPr>
            </w:pPr>
          </w:p>
          <w:p w14:paraId="6D4A63AA" w14:textId="089B4E7F" w:rsidR="00404BE0" w:rsidRPr="00BD2EF1" w:rsidRDefault="00404BE0" w:rsidP="00854FF9">
            <w:pPr>
              <w:pStyle w:val="Standaard-Tabellen"/>
              <w:rPr>
                <w:rFonts w:eastAsia="Calibri"/>
              </w:rPr>
            </w:pPr>
            <w:r w:rsidRPr="005E5F5C">
              <w:rPr>
                <w:rFonts w:eastAsia="Calibri"/>
              </w:rPr>
              <w:t>I</w:t>
            </w:r>
            <w:r>
              <w:rPr>
                <w:rFonts w:eastAsia="Calibri"/>
              </w:rPr>
              <w:t xml:space="preserve">nsect Repellent Pump Spray </w:t>
            </w:r>
            <w:r w:rsidRPr="005E5F5C">
              <w:rPr>
                <w:rFonts w:eastAsia="Calibri"/>
              </w:rPr>
              <w:t>IR3535</w:t>
            </w:r>
            <w:r w:rsidRPr="005E5F5C">
              <w:rPr>
                <w:rFonts w:eastAsia="Calibri"/>
                <w:vertAlign w:val="superscript"/>
              </w:rPr>
              <w:t>®</w:t>
            </w:r>
            <w:r w:rsidRPr="005E5F5C">
              <w:rPr>
                <w:rFonts w:eastAsia="Calibri"/>
              </w:rPr>
              <w:t xml:space="preserve"> 20</w:t>
            </w:r>
            <w:r>
              <w:rPr>
                <w:rFonts w:eastAsia="Calibri"/>
                <w:bCs w:val="0"/>
              </w:rPr>
              <w:t xml:space="preserve">% without Bitrex </w:t>
            </w:r>
          </w:p>
        </w:tc>
        <w:tc>
          <w:tcPr>
            <w:tcW w:w="1474" w:type="pct"/>
          </w:tcPr>
          <w:p w14:paraId="59DE50E4" w14:textId="77777777" w:rsidR="00404BE0" w:rsidRPr="00BD2EF1" w:rsidRDefault="00404BE0" w:rsidP="00854FF9">
            <w:pPr>
              <w:pStyle w:val="Standaard-Tabellen"/>
              <w:rPr>
                <w:rFonts w:eastAsia="Calibri"/>
              </w:rPr>
            </w:pPr>
            <w:r>
              <w:rPr>
                <w:rFonts w:eastAsia="Calibri"/>
              </w:rPr>
              <w:t>Flash point: 28.7°C</w:t>
            </w:r>
          </w:p>
        </w:tc>
        <w:tc>
          <w:tcPr>
            <w:tcW w:w="935" w:type="pct"/>
          </w:tcPr>
          <w:p w14:paraId="40D21677" w14:textId="77777777" w:rsidR="00404BE0" w:rsidRPr="00F07537" w:rsidRDefault="00404BE0" w:rsidP="00854FF9">
            <w:pPr>
              <w:pStyle w:val="Standaard-Tabellen"/>
              <w:rPr>
                <w:rFonts w:eastAsia="Calibri"/>
              </w:rPr>
            </w:pPr>
            <w:r w:rsidRPr="00F07537">
              <w:rPr>
                <w:rFonts w:eastAsia="Calibri"/>
              </w:rPr>
              <w:t>63161189, Fieseler, A., 2011. Institut für Biologische Analytik und Consulting IBACON GmbH</w:t>
            </w:r>
          </w:p>
        </w:tc>
      </w:tr>
      <w:tr w:rsidR="00404BE0" w:rsidRPr="00BD2EF1" w14:paraId="4184DA96" w14:textId="455D0503" w:rsidTr="005946A1">
        <w:trPr>
          <w:trHeight w:val="436"/>
        </w:trPr>
        <w:tc>
          <w:tcPr>
            <w:tcW w:w="804" w:type="pct"/>
          </w:tcPr>
          <w:p w14:paraId="6D37F382" w14:textId="77777777" w:rsidR="00404BE0" w:rsidRPr="00BD2EF1" w:rsidRDefault="00404BE0" w:rsidP="00854FF9">
            <w:pPr>
              <w:pStyle w:val="Standaard-Tabellen"/>
              <w:rPr>
                <w:rFonts w:eastAsia="Calibri"/>
              </w:rPr>
            </w:pPr>
            <w:r w:rsidRPr="00BD2EF1">
              <w:rPr>
                <w:rFonts w:eastAsia="Calibri"/>
              </w:rPr>
              <w:t>Flammable solids</w:t>
            </w:r>
          </w:p>
        </w:tc>
        <w:tc>
          <w:tcPr>
            <w:tcW w:w="571" w:type="pct"/>
          </w:tcPr>
          <w:p w14:paraId="1685BFCF"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241C2C29" w14:textId="77777777" w:rsidR="00404BE0" w:rsidRPr="00BD2EF1" w:rsidRDefault="00404BE0" w:rsidP="00854FF9">
            <w:pPr>
              <w:pStyle w:val="Standaard-Tabellen"/>
              <w:rPr>
                <w:rFonts w:eastAsia="Calibri"/>
              </w:rPr>
            </w:pPr>
            <w:r>
              <w:rPr>
                <w:rFonts w:eastAsia="Calibri"/>
              </w:rPr>
              <w:t>-</w:t>
            </w:r>
          </w:p>
        </w:tc>
        <w:tc>
          <w:tcPr>
            <w:tcW w:w="1474" w:type="pct"/>
          </w:tcPr>
          <w:p w14:paraId="67D6F111"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is a liquid.</w:t>
            </w:r>
          </w:p>
        </w:tc>
        <w:tc>
          <w:tcPr>
            <w:tcW w:w="935" w:type="pct"/>
          </w:tcPr>
          <w:p w14:paraId="3BEB00A7" w14:textId="77777777" w:rsidR="00404BE0" w:rsidRPr="00BD2EF1" w:rsidRDefault="00404BE0" w:rsidP="00854FF9">
            <w:pPr>
              <w:pStyle w:val="Standaard-Tabellen"/>
              <w:rPr>
                <w:rFonts w:eastAsia="Calibri"/>
              </w:rPr>
            </w:pPr>
            <w:r>
              <w:rPr>
                <w:rFonts w:eastAsia="Calibri"/>
              </w:rPr>
              <w:t>-</w:t>
            </w:r>
          </w:p>
        </w:tc>
      </w:tr>
      <w:tr w:rsidR="00404BE0" w:rsidRPr="00BD2EF1" w14:paraId="485948BD" w14:textId="47C1A677" w:rsidTr="005946A1">
        <w:trPr>
          <w:trHeight w:val="1084"/>
        </w:trPr>
        <w:tc>
          <w:tcPr>
            <w:tcW w:w="804" w:type="pct"/>
          </w:tcPr>
          <w:p w14:paraId="20C2971E" w14:textId="77777777" w:rsidR="00404BE0" w:rsidRPr="00BD2EF1" w:rsidRDefault="00404BE0" w:rsidP="00854FF9">
            <w:pPr>
              <w:pStyle w:val="Standaard-Tabellen"/>
              <w:rPr>
                <w:rFonts w:eastAsia="Calibri"/>
              </w:rPr>
            </w:pPr>
            <w:r w:rsidRPr="00BD2EF1">
              <w:rPr>
                <w:rFonts w:eastAsia="Calibri"/>
              </w:rPr>
              <w:lastRenderedPageBreak/>
              <w:t>Self-reactive substances and mixtures</w:t>
            </w:r>
          </w:p>
        </w:tc>
        <w:tc>
          <w:tcPr>
            <w:tcW w:w="571" w:type="pct"/>
          </w:tcPr>
          <w:p w14:paraId="642C1F94"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0BC46E20" w14:textId="77777777" w:rsidR="00404BE0" w:rsidRPr="00BD2EF1" w:rsidRDefault="00404BE0" w:rsidP="00854FF9">
            <w:pPr>
              <w:pStyle w:val="Standaard-Tabellen"/>
              <w:rPr>
                <w:rFonts w:eastAsia="Calibri"/>
              </w:rPr>
            </w:pPr>
            <w:r>
              <w:rPr>
                <w:rFonts w:eastAsia="Calibri"/>
              </w:rPr>
              <w:t>-</w:t>
            </w:r>
          </w:p>
        </w:tc>
        <w:tc>
          <w:tcPr>
            <w:tcW w:w="1474" w:type="pct"/>
          </w:tcPr>
          <w:p w14:paraId="09C170AF" w14:textId="77777777" w:rsidR="00404BE0" w:rsidRPr="00BD2EF1" w:rsidRDefault="00404BE0" w:rsidP="00854FF9">
            <w:pPr>
              <w:pStyle w:val="Standaard-Tabellen"/>
              <w:rPr>
                <w:rFonts w:eastAsia="Calibri"/>
              </w:rPr>
            </w:pPr>
            <w:r w:rsidRPr="0011451C">
              <w:rPr>
                <w:rFonts w:eastAsia="Calibri"/>
              </w:rPr>
              <w:t>The mixture does not contain any substances known to self-react or with chemical groups present in their molecules that are associated with explosive or self-reactive properties.</w:t>
            </w:r>
          </w:p>
        </w:tc>
        <w:tc>
          <w:tcPr>
            <w:tcW w:w="935" w:type="pct"/>
          </w:tcPr>
          <w:p w14:paraId="5D0C9FBF" w14:textId="77777777" w:rsidR="00404BE0" w:rsidRPr="00BD2EF1" w:rsidRDefault="00404BE0" w:rsidP="00854FF9">
            <w:pPr>
              <w:pStyle w:val="Standaard-Tabellen"/>
              <w:rPr>
                <w:rFonts w:eastAsia="Calibri"/>
              </w:rPr>
            </w:pPr>
            <w:r>
              <w:rPr>
                <w:rFonts w:eastAsia="Calibri"/>
              </w:rPr>
              <w:t>-</w:t>
            </w:r>
          </w:p>
        </w:tc>
      </w:tr>
      <w:tr w:rsidR="00404BE0" w:rsidRPr="00BD2EF1" w14:paraId="0A2A2386" w14:textId="3C946D07" w:rsidTr="005946A1">
        <w:trPr>
          <w:trHeight w:val="873"/>
        </w:trPr>
        <w:tc>
          <w:tcPr>
            <w:tcW w:w="804" w:type="pct"/>
          </w:tcPr>
          <w:p w14:paraId="24485926" w14:textId="77777777" w:rsidR="00404BE0" w:rsidRPr="00BD2EF1" w:rsidRDefault="00404BE0" w:rsidP="00854FF9">
            <w:pPr>
              <w:pStyle w:val="Standaard-Tabellen"/>
              <w:rPr>
                <w:rFonts w:eastAsia="Calibri"/>
              </w:rPr>
            </w:pPr>
            <w:r w:rsidRPr="00BD2EF1">
              <w:rPr>
                <w:rFonts w:eastAsia="Calibri"/>
              </w:rPr>
              <w:t>Pyrophoric liquids</w:t>
            </w:r>
          </w:p>
        </w:tc>
        <w:tc>
          <w:tcPr>
            <w:tcW w:w="571" w:type="pct"/>
          </w:tcPr>
          <w:p w14:paraId="0690BC28"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798F0A97" w14:textId="77777777" w:rsidR="00404BE0" w:rsidRPr="00BD2EF1" w:rsidRDefault="00404BE0" w:rsidP="00854FF9">
            <w:pPr>
              <w:pStyle w:val="Standaard-Tabellen"/>
              <w:rPr>
                <w:rFonts w:eastAsia="Calibri"/>
              </w:rPr>
            </w:pPr>
            <w:r>
              <w:rPr>
                <w:rFonts w:eastAsia="Calibri"/>
              </w:rPr>
              <w:t>-</w:t>
            </w:r>
          </w:p>
        </w:tc>
        <w:tc>
          <w:tcPr>
            <w:tcW w:w="1474" w:type="pct"/>
          </w:tcPr>
          <w:p w14:paraId="7F964EAB" w14:textId="77777777" w:rsidR="00404BE0" w:rsidRPr="00BD2EF1" w:rsidRDefault="00404BE0" w:rsidP="00854FF9">
            <w:pPr>
              <w:pStyle w:val="Standaard-Tabellen"/>
              <w:rPr>
                <w:rFonts w:eastAsia="Calibri"/>
              </w:rPr>
            </w:pPr>
            <w:r w:rsidRPr="0011451C">
              <w:rPr>
                <w:rFonts w:eastAsia="Calibri"/>
              </w:rPr>
              <w:t>The mixture does not contain any substances known to react with air so the mixture is no pyrophoric liquid.</w:t>
            </w:r>
          </w:p>
        </w:tc>
        <w:tc>
          <w:tcPr>
            <w:tcW w:w="935" w:type="pct"/>
          </w:tcPr>
          <w:p w14:paraId="4454F43A" w14:textId="77777777" w:rsidR="00404BE0" w:rsidRPr="00BD2EF1" w:rsidRDefault="00404BE0" w:rsidP="00854FF9">
            <w:pPr>
              <w:pStyle w:val="Standaard-Tabellen"/>
              <w:rPr>
                <w:rFonts w:eastAsia="Calibri"/>
              </w:rPr>
            </w:pPr>
            <w:r>
              <w:rPr>
                <w:rFonts w:eastAsia="Calibri"/>
              </w:rPr>
              <w:t>-</w:t>
            </w:r>
          </w:p>
        </w:tc>
      </w:tr>
      <w:tr w:rsidR="00404BE0" w:rsidRPr="00BD2EF1" w14:paraId="66C9D585" w14:textId="44CA6DC9" w:rsidTr="005946A1">
        <w:trPr>
          <w:trHeight w:val="436"/>
        </w:trPr>
        <w:tc>
          <w:tcPr>
            <w:tcW w:w="804" w:type="pct"/>
          </w:tcPr>
          <w:p w14:paraId="0DA185FA" w14:textId="77777777" w:rsidR="00404BE0" w:rsidRPr="00BD2EF1" w:rsidRDefault="00404BE0" w:rsidP="00854FF9">
            <w:pPr>
              <w:pStyle w:val="Standaard-Tabellen"/>
              <w:rPr>
                <w:rFonts w:eastAsia="Calibri"/>
              </w:rPr>
            </w:pPr>
            <w:r w:rsidRPr="00BD2EF1">
              <w:rPr>
                <w:rFonts w:eastAsia="Calibri"/>
              </w:rPr>
              <w:t>Pyrophoric solids</w:t>
            </w:r>
          </w:p>
        </w:tc>
        <w:tc>
          <w:tcPr>
            <w:tcW w:w="571" w:type="pct"/>
          </w:tcPr>
          <w:p w14:paraId="089D8770"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1E618F55" w14:textId="77777777" w:rsidR="00404BE0" w:rsidRPr="00BD2EF1" w:rsidRDefault="00404BE0" w:rsidP="00854FF9">
            <w:pPr>
              <w:pStyle w:val="Standaard-Tabellen"/>
              <w:rPr>
                <w:rFonts w:eastAsia="Calibri"/>
              </w:rPr>
            </w:pPr>
            <w:r>
              <w:rPr>
                <w:rFonts w:eastAsia="Calibri"/>
              </w:rPr>
              <w:t>-</w:t>
            </w:r>
          </w:p>
        </w:tc>
        <w:tc>
          <w:tcPr>
            <w:tcW w:w="1474" w:type="pct"/>
          </w:tcPr>
          <w:p w14:paraId="1FC479D6"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is a liquid.</w:t>
            </w:r>
          </w:p>
        </w:tc>
        <w:tc>
          <w:tcPr>
            <w:tcW w:w="935" w:type="pct"/>
          </w:tcPr>
          <w:p w14:paraId="4F82C4EF" w14:textId="77777777" w:rsidR="00404BE0" w:rsidRPr="00BD2EF1" w:rsidRDefault="00404BE0" w:rsidP="00854FF9">
            <w:pPr>
              <w:pStyle w:val="Standaard-Tabellen"/>
              <w:rPr>
                <w:rFonts w:eastAsia="Calibri"/>
              </w:rPr>
            </w:pPr>
            <w:r>
              <w:rPr>
                <w:rFonts w:eastAsia="Calibri"/>
              </w:rPr>
              <w:t>-</w:t>
            </w:r>
          </w:p>
        </w:tc>
      </w:tr>
      <w:tr w:rsidR="00404BE0" w:rsidRPr="00BD2EF1" w14:paraId="157207A9" w14:textId="785BD21C" w:rsidTr="005946A1">
        <w:trPr>
          <w:trHeight w:val="1310"/>
        </w:trPr>
        <w:tc>
          <w:tcPr>
            <w:tcW w:w="804" w:type="pct"/>
          </w:tcPr>
          <w:p w14:paraId="68114135" w14:textId="77777777" w:rsidR="00404BE0" w:rsidRPr="00BD2EF1" w:rsidRDefault="00404BE0" w:rsidP="00854FF9">
            <w:pPr>
              <w:pStyle w:val="Standaard-Tabellen"/>
              <w:rPr>
                <w:rFonts w:eastAsia="Calibri"/>
              </w:rPr>
            </w:pPr>
            <w:r w:rsidRPr="00BD2EF1">
              <w:rPr>
                <w:rFonts w:eastAsia="Calibri"/>
              </w:rPr>
              <w:t>Self-heating substances and mixtures</w:t>
            </w:r>
          </w:p>
        </w:tc>
        <w:tc>
          <w:tcPr>
            <w:tcW w:w="571" w:type="pct"/>
          </w:tcPr>
          <w:p w14:paraId="78FF6BB0"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79D32C2E" w14:textId="77777777" w:rsidR="00404BE0" w:rsidRPr="00BD2EF1" w:rsidRDefault="00404BE0" w:rsidP="00854FF9">
            <w:pPr>
              <w:pStyle w:val="Standaard-Tabellen"/>
              <w:rPr>
                <w:rFonts w:eastAsia="Calibri"/>
              </w:rPr>
            </w:pPr>
            <w:r>
              <w:rPr>
                <w:rFonts w:eastAsia="Calibri"/>
              </w:rPr>
              <w:t>-</w:t>
            </w:r>
          </w:p>
        </w:tc>
        <w:tc>
          <w:tcPr>
            <w:tcW w:w="1474" w:type="pct"/>
          </w:tcPr>
          <w:p w14:paraId="3552DA9F" w14:textId="77777777" w:rsidR="00404BE0" w:rsidRPr="00BD2EF1" w:rsidRDefault="00404BE0" w:rsidP="00854FF9">
            <w:pPr>
              <w:pStyle w:val="Standaard-Tabellen"/>
              <w:rPr>
                <w:rFonts w:eastAsia="Calibri"/>
              </w:rPr>
            </w:pPr>
            <w:r w:rsidRPr="0011451C">
              <w:rPr>
                <w:rFonts w:eastAsia="Calibri"/>
              </w:rPr>
              <w:t>The mixture is not self-heating since it is a liquid at room temperature. Since the liquid will also not be absorbed onto powder particles thus generating a large surface, no self-heating must be considered.</w:t>
            </w:r>
          </w:p>
        </w:tc>
        <w:tc>
          <w:tcPr>
            <w:tcW w:w="935" w:type="pct"/>
          </w:tcPr>
          <w:p w14:paraId="4699CD9E" w14:textId="77777777" w:rsidR="00404BE0" w:rsidRPr="00BD2EF1" w:rsidRDefault="00404BE0" w:rsidP="00854FF9">
            <w:pPr>
              <w:pStyle w:val="Standaard-Tabellen"/>
              <w:rPr>
                <w:rFonts w:eastAsia="Calibri"/>
              </w:rPr>
            </w:pPr>
            <w:r>
              <w:rPr>
                <w:rFonts w:eastAsia="Calibri"/>
              </w:rPr>
              <w:t>-</w:t>
            </w:r>
          </w:p>
        </w:tc>
      </w:tr>
      <w:tr w:rsidR="00404BE0" w:rsidRPr="00BD2EF1" w14:paraId="38DDED92" w14:textId="34C05E08" w:rsidTr="005946A1">
        <w:trPr>
          <w:trHeight w:val="1099"/>
        </w:trPr>
        <w:tc>
          <w:tcPr>
            <w:tcW w:w="804" w:type="pct"/>
          </w:tcPr>
          <w:p w14:paraId="529C8907" w14:textId="77777777" w:rsidR="00404BE0" w:rsidRPr="00BD2EF1" w:rsidRDefault="00404BE0" w:rsidP="00854FF9">
            <w:pPr>
              <w:pStyle w:val="Standaard-Tabellen"/>
              <w:rPr>
                <w:rFonts w:eastAsia="Calibri"/>
              </w:rPr>
            </w:pPr>
            <w:r w:rsidRPr="00BD2EF1">
              <w:rPr>
                <w:rFonts w:eastAsia="Calibri"/>
              </w:rPr>
              <w:t>Substances and mixtures which in contact with water emit flammable gases</w:t>
            </w:r>
          </w:p>
        </w:tc>
        <w:tc>
          <w:tcPr>
            <w:tcW w:w="571" w:type="pct"/>
          </w:tcPr>
          <w:p w14:paraId="5A41B8F1"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2660E8DE" w14:textId="77777777" w:rsidR="00404BE0" w:rsidRPr="00BD2EF1" w:rsidRDefault="00404BE0" w:rsidP="00854FF9">
            <w:pPr>
              <w:pStyle w:val="Standaard-Tabellen"/>
              <w:rPr>
                <w:rFonts w:eastAsia="Calibri"/>
              </w:rPr>
            </w:pPr>
            <w:r>
              <w:rPr>
                <w:rFonts w:eastAsia="Calibri"/>
              </w:rPr>
              <w:t>-</w:t>
            </w:r>
          </w:p>
        </w:tc>
        <w:tc>
          <w:tcPr>
            <w:tcW w:w="1474" w:type="pct"/>
          </w:tcPr>
          <w:p w14:paraId="6ED25507"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is a ready to use liquid.</w:t>
            </w:r>
          </w:p>
        </w:tc>
        <w:tc>
          <w:tcPr>
            <w:tcW w:w="935" w:type="pct"/>
          </w:tcPr>
          <w:p w14:paraId="1614D938" w14:textId="77777777" w:rsidR="00404BE0" w:rsidRPr="00BD2EF1" w:rsidRDefault="00404BE0" w:rsidP="00854FF9">
            <w:pPr>
              <w:pStyle w:val="Standaard-Tabellen"/>
              <w:rPr>
                <w:rFonts w:eastAsia="Calibri"/>
              </w:rPr>
            </w:pPr>
            <w:r>
              <w:rPr>
                <w:rFonts w:eastAsia="Calibri"/>
              </w:rPr>
              <w:t>-</w:t>
            </w:r>
          </w:p>
        </w:tc>
      </w:tr>
      <w:tr w:rsidR="00404BE0" w:rsidRPr="00BD2EF1" w14:paraId="1662FDF4" w14:textId="3919AC7C" w:rsidTr="005946A1">
        <w:trPr>
          <w:trHeight w:val="1084"/>
        </w:trPr>
        <w:tc>
          <w:tcPr>
            <w:tcW w:w="804" w:type="pct"/>
          </w:tcPr>
          <w:p w14:paraId="34EFC4AB" w14:textId="77777777" w:rsidR="00404BE0" w:rsidRPr="00BD2EF1" w:rsidRDefault="00404BE0" w:rsidP="00854FF9">
            <w:pPr>
              <w:pStyle w:val="Standaard-Tabellen"/>
              <w:rPr>
                <w:rFonts w:eastAsia="Calibri"/>
              </w:rPr>
            </w:pPr>
            <w:r w:rsidRPr="00BD2EF1">
              <w:rPr>
                <w:rFonts w:eastAsia="Calibri"/>
              </w:rPr>
              <w:t>Oxidising liquids</w:t>
            </w:r>
          </w:p>
        </w:tc>
        <w:tc>
          <w:tcPr>
            <w:tcW w:w="571" w:type="pct"/>
          </w:tcPr>
          <w:p w14:paraId="6D58AAA9"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7D980DBA" w14:textId="77777777" w:rsidR="00404BE0" w:rsidRPr="00BD2EF1" w:rsidRDefault="00404BE0" w:rsidP="00854FF9">
            <w:pPr>
              <w:pStyle w:val="Standaard-Tabellen"/>
              <w:rPr>
                <w:rFonts w:eastAsia="Calibri"/>
              </w:rPr>
            </w:pPr>
            <w:r>
              <w:rPr>
                <w:rFonts w:eastAsia="Calibri"/>
              </w:rPr>
              <w:t>-</w:t>
            </w:r>
          </w:p>
        </w:tc>
        <w:tc>
          <w:tcPr>
            <w:tcW w:w="1474" w:type="pct"/>
          </w:tcPr>
          <w:p w14:paraId="4D538DFC" w14:textId="77777777" w:rsidR="00404BE0" w:rsidRPr="00BD2EF1" w:rsidRDefault="00404BE0" w:rsidP="00854FF9">
            <w:pPr>
              <w:pStyle w:val="Standaard-Tabellen"/>
              <w:rPr>
                <w:rFonts w:eastAsia="Calibri"/>
              </w:rPr>
            </w:pPr>
            <w:r w:rsidRPr="006466A5">
              <w:rPr>
                <w:rFonts w:eastAsia="Calibri"/>
              </w:rPr>
              <w:t xml:space="preserve">None of the ingredients of the product is classified as </w:t>
            </w:r>
            <w:r>
              <w:rPr>
                <w:rFonts w:eastAsia="Calibri"/>
              </w:rPr>
              <w:t>oxidising</w:t>
            </w:r>
            <w:r w:rsidRPr="006466A5">
              <w:rPr>
                <w:rFonts w:eastAsia="Calibri"/>
              </w:rPr>
              <w:t>.</w:t>
            </w:r>
          </w:p>
        </w:tc>
        <w:tc>
          <w:tcPr>
            <w:tcW w:w="935" w:type="pct"/>
          </w:tcPr>
          <w:p w14:paraId="197AC84D" w14:textId="77777777" w:rsidR="00404BE0" w:rsidRPr="00BD2EF1" w:rsidRDefault="00404BE0" w:rsidP="00854FF9">
            <w:pPr>
              <w:pStyle w:val="Standaard-Tabellen"/>
              <w:rPr>
                <w:rFonts w:eastAsia="Calibri"/>
              </w:rPr>
            </w:pPr>
            <w:r>
              <w:rPr>
                <w:rFonts w:eastAsia="Calibri"/>
              </w:rPr>
              <w:t>-</w:t>
            </w:r>
          </w:p>
        </w:tc>
      </w:tr>
      <w:tr w:rsidR="00404BE0" w:rsidRPr="00BD2EF1" w14:paraId="462952FC" w14:textId="292F6ED9" w:rsidTr="005946A1">
        <w:trPr>
          <w:trHeight w:val="436"/>
        </w:trPr>
        <w:tc>
          <w:tcPr>
            <w:tcW w:w="804" w:type="pct"/>
          </w:tcPr>
          <w:p w14:paraId="6EB53428" w14:textId="77777777" w:rsidR="00404BE0" w:rsidRPr="00BD2EF1" w:rsidRDefault="00404BE0" w:rsidP="00854FF9">
            <w:pPr>
              <w:pStyle w:val="Standaard-Tabellen"/>
              <w:rPr>
                <w:rFonts w:eastAsia="Calibri"/>
              </w:rPr>
            </w:pPr>
            <w:r w:rsidRPr="00BD2EF1">
              <w:rPr>
                <w:rFonts w:eastAsia="Calibri"/>
              </w:rPr>
              <w:t>Oxidising solids</w:t>
            </w:r>
          </w:p>
        </w:tc>
        <w:tc>
          <w:tcPr>
            <w:tcW w:w="571" w:type="pct"/>
          </w:tcPr>
          <w:p w14:paraId="389EDD6A"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41A10127" w14:textId="77777777" w:rsidR="00404BE0" w:rsidRPr="00BD2EF1" w:rsidRDefault="00404BE0" w:rsidP="00854FF9">
            <w:pPr>
              <w:pStyle w:val="Standaard-Tabellen"/>
              <w:rPr>
                <w:rFonts w:eastAsia="Calibri"/>
              </w:rPr>
            </w:pPr>
            <w:r>
              <w:rPr>
                <w:rFonts w:eastAsia="Calibri"/>
              </w:rPr>
              <w:t>-</w:t>
            </w:r>
          </w:p>
        </w:tc>
        <w:tc>
          <w:tcPr>
            <w:tcW w:w="1474" w:type="pct"/>
          </w:tcPr>
          <w:p w14:paraId="58B6003F"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is a liquid.</w:t>
            </w:r>
          </w:p>
        </w:tc>
        <w:tc>
          <w:tcPr>
            <w:tcW w:w="935" w:type="pct"/>
          </w:tcPr>
          <w:p w14:paraId="59344AE0" w14:textId="77777777" w:rsidR="00404BE0" w:rsidRPr="00BD2EF1" w:rsidRDefault="00404BE0" w:rsidP="00854FF9">
            <w:pPr>
              <w:pStyle w:val="Standaard-Tabellen"/>
              <w:rPr>
                <w:rFonts w:eastAsia="Calibri"/>
              </w:rPr>
            </w:pPr>
            <w:r>
              <w:rPr>
                <w:rFonts w:eastAsia="Calibri"/>
              </w:rPr>
              <w:t>-</w:t>
            </w:r>
          </w:p>
        </w:tc>
      </w:tr>
      <w:tr w:rsidR="00404BE0" w:rsidRPr="00BD2EF1" w14:paraId="0B690E97" w14:textId="7D769E67" w:rsidTr="005946A1">
        <w:trPr>
          <w:trHeight w:val="662"/>
        </w:trPr>
        <w:tc>
          <w:tcPr>
            <w:tcW w:w="804" w:type="pct"/>
          </w:tcPr>
          <w:p w14:paraId="3A615EB2" w14:textId="77777777" w:rsidR="00404BE0" w:rsidRPr="00BD2EF1" w:rsidRDefault="00404BE0" w:rsidP="00854FF9">
            <w:pPr>
              <w:pStyle w:val="Standaard-Tabellen"/>
              <w:rPr>
                <w:rFonts w:eastAsia="Calibri"/>
              </w:rPr>
            </w:pPr>
            <w:r w:rsidRPr="00BD2EF1">
              <w:rPr>
                <w:rFonts w:eastAsia="Calibri"/>
              </w:rPr>
              <w:t>Organic peroxides</w:t>
            </w:r>
          </w:p>
        </w:tc>
        <w:tc>
          <w:tcPr>
            <w:tcW w:w="571" w:type="pct"/>
          </w:tcPr>
          <w:p w14:paraId="447AA1A3"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2F97D54A" w14:textId="77777777" w:rsidR="00404BE0" w:rsidRPr="00BD2EF1" w:rsidRDefault="00404BE0" w:rsidP="00854FF9">
            <w:pPr>
              <w:pStyle w:val="Standaard-Tabellen"/>
              <w:rPr>
                <w:rFonts w:eastAsia="Calibri"/>
              </w:rPr>
            </w:pPr>
            <w:r>
              <w:rPr>
                <w:rFonts w:eastAsia="Calibri"/>
              </w:rPr>
              <w:t>-</w:t>
            </w:r>
          </w:p>
        </w:tc>
        <w:tc>
          <w:tcPr>
            <w:tcW w:w="1474" w:type="pct"/>
          </w:tcPr>
          <w:p w14:paraId="6EDE4103"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does not contain any organic peroxide.</w:t>
            </w:r>
          </w:p>
        </w:tc>
        <w:tc>
          <w:tcPr>
            <w:tcW w:w="935" w:type="pct"/>
          </w:tcPr>
          <w:p w14:paraId="5F70F4B8" w14:textId="77777777" w:rsidR="00404BE0" w:rsidRPr="00BD2EF1" w:rsidRDefault="00404BE0" w:rsidP="00854FF9">
            <w:pPr>
              <w:pStyle w:val="Standaard-Tabellen"/>
              <w:rPr>
                <w:rFonts w:eastAsia="Calibri"/>
              </w:rPr>
            </w:pPr>
            <w:r>
              <w:rPr>
                <w:rFonts w:eastAsia="Calibri"/>
              </w:rPr>
              <w:t>-</w:t>
            </w:r>
          </w:p>
        </w:tc>
      </w:tr>
      <w:tr w:rsidR="00404BE0" w:rsidRPr="00BD2EF1" w14:paraId="4F49D503" w14:textId="38885A5D" w:rsidTr="005946A1">
        <w:trPr>
          <w:trHeight w:val="647"/>
        </w:trPr>
        <w:tc>
          <w:tcPr>
            <w:tcW w:w="804" w:type="pct"/>
          </w:tcPr>
          <w:p w14:paraId="58615EDE" w14:textId="77777777" w:rsidR="00404BE0" w:rsidRPr="00BD2EF1" w:rsidRDefault="00404BE0" w:rsidP="00854FF9">
            <w:pPr>
              <w:pStyle w:val="Standaard-Tabellen"/>
              <w:rPr>
                <w:rFonts w:eastAsia="Calibri"/>
              </w:rPr>
            </w:pPr>
            <w:r w:rsidRPr="00BD2EF1">
              <w:rPr>
                <w:rFonts w:eastAsia="Calibri"/>
              </w:rPr>
              <w:t>Corrosive to metals</w:t>
            </w:r>
          </w:p>
        </w:tc>
        <w:tc>
          <w:tcPr>
            <w:tcW w:w="571" w:type="pct"/>
          </w:tcPr>
          <w:p w14:paraId="2A814457"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3C278157" w14:textId="77777777" w:rsidR="00404BE0" w:rsidRPr="00BD2EF1" w:rsidRDefault="00404BE0" w:rsidP="00854FF9">
            <w:pPr>
              <w:pStyle w:val="Standaard-Tabellen"/>
              <w:rPr>
                <w:rFonts w:eastAsia="Calibri"/>
              </w:rPr>
            </w:pPr>
            <w:r>
              <w:rPr>
                <w:rFonts w:eastAsia="Calibri"/>
              </w:rPr>
              <w:t>-</w:t>
            </w:r>
          </w:p>
        </w:tc>
        <w:tc>
          <w:tcPr>
            <w:tcW w:w="1474" w:type="pct"/>
          </w:tcPr>
          <w:p w14:paraId="5299C83C" w14:textId="77777777" w:rsidR="00404BE0" w:rsidRPr="00BD2EF1" w:rsidRDefault="00404BE0" w:rsidP="00854FF9">
            <w:pPr>
              <w:pStyle w:val="Standaard-Tabellen"/>
              <w:rPr>
                <w:rFonts w:eastAsia="Calibri"/>
              </w:rPr>
            </w:pPr>
            <w:r w:rsidRPr="0011451C">
              <w:rPr>
                <w:rFonts w:eastAsia="Calibri"/>
              </w:rPr>
              <w:t>None of the ingredients in the mixture is classified as corrosive or suspected from a chemical point of view to be able to react with metals and thus, the mixture is also not corrosive to metal.</w:t>
            </w:r>
          </w:p>
        </w:tc>
        <w:tc>
          <w:tcPr>
            <w:tcW w:w="935" w:type="pct"/>
          </w:tcPr>
          <w:p w14:paraId="70A399A2" w14:textId="77777777" w:rsidR="00404BE0" w:rsidRPr="00BD2EF1" w:rsidRDefault="00404BE0" w:rsidP="00854FF9">
            <w:pPr>
              <w:pStyle w:val="Standaard-Tabellen"/>
              <w:rPr>
                <w:rFonts w:eastAsia="Calibri"/>
              </w:rPr>
            </w:pPr>
            <w:r>
              <w:rPr>
                <w:rFonts w:eastAsia="Calibri"/>
              </w:rPr>
              <w:t>-</w:t>
            </w:r>
          </w:p>
        </w:tc>
      </w:tr>
      <w:tr w:rsidR="00404BE0" w:rsidRPr="0089119C" w14:paraId="2B227461" w14:textId="52D52F6C" w:rsidTr="005946A1">
        <w:trPr>
          <w:trHeight w:val="1099"/>
        </w:trPr>
        <w:tc>
          <w:tcPr>
            <w:tcW w:w="804" w:type="pct"/>
          </w:tcPr>
          <w:p w14:paraId="5E7DA2FD" w14:textId="77777777" w:rsidR="00404BE0" w:rsidRPr="00BD2EF1" w:rsidRDefault="00404BE0" w:rsidP="00854FF9">
            <w:pPr>
              <w:pStyle w:val="Standaard-Tabellen"/>
              <w:rPr>
                <w:rFonts w:eastAsia="Calibri"/>
              </w:rPr>
            </w:pPr>
            <w:r w:rsidRPr="00BD2EF1">
              <w:rPr>
                <w:rFonts w:eastAsia="Calibri"/>
              </w:rPr>
              <w:lastRenderedPageBreak/>
              <w:t>Auto-ignition temperatures of products (liquids and gases)</w:t>
            </w:r>
          </w:p>
        </w:tc>
        <w:tc>
          <w:tcPr>
            <w:tcW w:w="571" w:type="pct"/>
          </w:tcPr>
          <w:p w14:paraId="14E2A804" w14:textId="77777777" w:rsidR="00404BE0" w:rsidRPr="00BD2EF1" w:rsidRDefault="00404BE0" w:rsidP="00854FF9">
            <w:pPr>
              <w:pStyle w:val="Standaard-Tabellen"/>
              <w:rPr>
                <w:rFonts w:eastAsia="Calibri"/>
              </w:rPr>
            </w:pPr>
            <w:r>
              <w:rPr>
                <w:rFonts w:eastAsia="Calibri"/>
              </w:rPr>
              <w:t>EC A.15, under GLP</w:t>
            </w:r>
          </w:p>
        </w:tc>
        <w:tc>
          <w:tcPr>
            <w:tcW w:w="1216" w:type="pct"/>
          </w:tcPr>
          <w:p w14:paraId="56546EB4" w14:textId="77777777" w:rsidR="00404BE0" w:rsidRDefault="00404BE0" w:rsidP="00854FF9">
            <w:pPr>
              <w:pStyle w:val="Standaard-Tabellen"/>
              <w:rPr>
                <w:rFonts w:eastAsia="Calibri"/>
              </w:rPr>
            </w:pPr>
            <w:r w:rsidRPr="00F07537">
              <w:rPr>
                <w:rFonts w:eastAsia="Calibri"/>
              </w:rPr>
              <w:t>READ-ACROSS</w:t>
            </w:r>
          </w:p>
          <w:p w14:paraId="0027D3A6" w14:textId="77777777" w:rsidR="00404BE0" w:rsidRDefault="00404BE0" w:rsidP="00854FF9">
            <w:pPr>
              <w:pStyle w:val="Standaard-Tabellen"/>
              <w:rPr>
                <w:rFonts w:eastAsia="Calibri"/>
              </w:rPr>
            </w:pPr>
          </w:p>
          <w:p w14:paraId="12EF3C22" w14:textId="491F1030" w:rsidR="00404BE0" w:rsidRPr="00BD2EF1" w:rsidRDefault="00404BE0" w:rsidP="00854FF9">
            <w:pPr>
              <w:pStyle w:val="Standaard-Tabellen"/>
              <w:rPr>
                <w:rFonts w:eastAsia="Calibri"/>
              </w:rPr>
            </w:pPr>
            <w:r w:rsidRPr="005E5F5C">
              <w:rPr>
                <w:rFonts w:eastAsia="Calibri"/>
              </w:rPr>
              <w:t>I</w:t>
            </w:r>
            <w:r>
              <w:rPr>
                <w:rFonts w:eastAsia="Calibri"/>
              </w:rPr>
              <w:t xml:space="preserve">nsect Repellent Pump Spray </w:t>
            </w:r>
            <w:r w:rsidRPr="005E5F5C">
              <w:rPr>
                <w:rFonts w:eastAsia="Calibri"/>
              </w:rPr>
              <w:t>IR3535</w:t>
            </w:r>
            <w:r w:rsidRPr="005E5F5C">
              <w:rPr>
                <w:rFonts w:eastAsia="Calibri"/>
                <w:vertAlign w:val="superscript"/>
              </w:rPr>
              <w:t>®</w:t>
            </w:r>
            <w:r w:rsidRPr="005E5F5C">
              <w:rPr>
                <w:rFonts w:eastAsia="Calibri"/>
              </w:rPr>
              <w:t xml:space="preserve"> 20</w:t>
            </w:r>
            <w:r>
              <w:rPr>
                <w:rFonts w:eastAsia="Calibri"/>
                <w:bCs w:val="0"/>
              </w:rPr>
              <w:t>% without Bitrex</w:t>
            </w:r>
          </w:p>
        </w:tc>
        <w:tc>
          <w:tcPr>
            <w:tcW w:w="1474" w:type="pct"/>
          </w:tcPr>
          <w:p w14:paraId="7EE29A00" w14:textId="77777777" w:rsidR="00404BE0" w:rsidRPr="00BD2EF1" w:rsidRDefault="00404BE0" w:rsidP="00854FF9">
            <w:pPr>
              <w:pStyle w:val="Standaard-Tabellen"/>
              <w:rPr>
                <w:rFonts w:eastAsia="Calibri"/>
              </w:rPr>
            </w:pPr>
            <w:r>
              <w:rPr>
                <w:rFonts w:eastAsia="Calibri"/>
              </w:rPr>
              <w:t>Auto-ignition temperature: 440°C</w:t>
            </w:r>
          </w:p>
        </w:tc>
        <w:tc>
          <w:tcPr>
            <w:tcW w:w="935" w:type="pct"/>
          </w:tcPr>
          <w:p w14:paraId="563ADC4E" w14:textId="77777777" w:rsidR="00404BE0" w:rsidRPr="00F07537" w:rsidRDefault="00404BE0" w:rsidP="00854FF9">
            <w:pPr>
              <w:pStyle w:val="Standaard-Tabellen"/>
              <w:rPr>
                <w:rFonts w:eastAsia="Calibri"/>
              </w:rPr>
            </w:pPr>
            <w:r w:rsidRPr="00F07537">
              <w:rPr>
                <w:rFonts w:eastAsia="Calibri"/>
              </w:rPr>
              <w:t>20110103.01, Dornhagen, J., 2011. Siemens AG Prozess-Sicherheit, Frankfurt am Main, Germany</w:t>
            </w:r>
          </w:p>
        </w:tc>
      </w:tr>
      <w:tr w:rsidR="00404BE0" w:rsidRPr="00BD2EF1" w14:paraId="19A41EF0" w14:textId="6A4F63FD" w:rsidTr="005946A1">
        <w:trPr>
          <w:trHeight w:val="873"/>
        </w:trPr>
        <w:tc>
          <w:tcPr>
            <w:tcW w:w="804" w:type="pct"/>
          </w:tcPr>
          <w:p w14:paraId="63D7711F" w14:textId="77777777" w:rsidR="00404BE0" w:rsidRPr="00BD2EF1" w:rsidRDefault="00404BE0" w:rsidP="00854FF9">
            <w:pPr>
              <w:pStyle w:val="Standaard-Tabellen"/>
              <w:rPr>
                <w:rFonts w:eastAsia="Calibri"/>
              </w:rPr>
            </w:pPr>
            <w:r w:rsidRPr="00BD2EF1">
              <w:rPr>
                <w:rFonts w:eastAsia="Calibri"/>
              </w:rPr>
              <w:t>Relative self-ignition temperature for solids</w:t>
            </w:r>
          </w:p>
        </w:tc>
        <w:tc>
          <w:tcPr>
            <w:tcW w:w="571" w:type="pct"/>
          </w:tcPr>
          <w:p w14:paraId="5B1BA1D4"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4E1C2D9D" w14:textId="77777777" w:rsidR="00404BE0" w:rsidRPr="00BD2EF1" w:rsidRDefault="00404BE0" w:rsidP="00854FF9">
            <w:pPr>
              <w:pStyle w:val="Standaard-Tabellen"/>
              <w:rPr>
                <w:rFonts w:eastAsia="Calibri"/>
              </w:rPr>
            </w:pPr>
            <w:r>
              <w:rPr>
                <w:rFonts w:eastAsia="Calibri"/>
              </w:rPr>
              <w:t>-</w:t>
            </w:r>
          </w:p>
        </w:tc>
        <w:tc>
          <w:tcPr>
            <w:tcW w:w="1474" w:type="pct"/>
          </w:tcPr>
          <w:p w14:paraId="2A0EB395"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is a liquid.</w:t>
            </w:r>
          </w:p>
        </w:tc>
        <w:tc>
          <w:tcPr>
            <w:tcW w:w="935" w:type="pct"/>
          </w:tcPr>
          <w:p w14:paraId="110C22EA" w14:textId="77777777" w:rsidR="00404BE0" w:rsidRPr="00BD2EF1" w:rsidRDefault="00404BE0" w:rsidP="00854FF9">
            <w:pPr>
              <w:pStyle w:val="Standaard-Tabellen"/>
              <w:rPr>
                <w:rFonts w:eastAsia="Calibri"/>
              </w:rPr>
            </w:pPr>
            <w:r>
              <w:rPr>
                <w:rFonts w:eastAsia="Calibri"/>
              </w:rPr>
              <w:t>-</w:t>
            </w:r>
          </w:p>
        </w:tc>
      </w:tr>
      <w:tr w:rsidR="00404BE0" w:rsidRPr="00BD2EF1" w14:paraId="0E874349" w14:textId="75E63794" w:rsidTr="005946A1">
        <w:trPr>
          <w:trHeight w:val="421"/>
        </w:trPr>
        <w:tc>
          <w:tcPr>
            <w:tcW w:w="804" w:type="pct"/>
          </w:tcPr>
          <w:p w14:paraId="48438BF1" w14:textId="77777777" w:rsidR="00404BE0" w:rsidRPr="00BD2EF1" w:rsidRDefault="00404BE0" w:rsidP="00854FF9">
            <w:pPr>
              <w:pStyle w:val="Standaard-Tabellen"/>
              <w:rPr>
                <w:rFonts w:eastAsia="Calibri"/>
              </w:rPr>
            </w:pPr>
            <w:r w:rsidRPr="00BD2EF1">
              <w:rPr>
                <w:rFonts w:eastAsia="Calibri"/>
              </w:rPr>
              <w:t>Dust explosion hazard</w:t>
            </w:r>
          </w:p>
        </w:tc>
        <w:tc>
          <w:tcPr>
            <w:tcW w:w="571" w:type="pct"/>
          </w:tcPr>
          <w:p w14:paraId="625C8393" w14:textId="77777777" w:rsidR="00404BE0" w:rsidRPr="00BD2EF1" w:rsidRDefault="00404BE0" w:rsidP="00854FF9">
            <w:pPr>
              <w:pStyle w:val="Standaard-Tabellen"/>
              <w:rPr>
                <w:rFonts w:eastAsia="Calibri"/>
              </w:rPr>
            </w:pPr>
            <w:r w:rsidRPr="00F07537">
              <w:rPr>
                <w:rFonts w:eastAsia="Calibri"/>
              </w:rPr>
              <w:t>Waived</w:t>
            </w:r>
          </w:p>
        </w:tc>
        <w:tc>
          <w:tcPr>
            <w:tcW w:w="1216" w:type="pct"/>
          </w:tcPr>
          <w:p w14:paraId="1230953E" w14:textId="77777777" w:rsidR="00404BE0" w:rsidRPr="00BD2EF1" w:rsidRDefault="00404BE0" w:rsidP="00854FF9">
            <w:pPr>
              <w:pStyle w:val="Standaard-Tabellen"/>
              <w:rPr>
                <w:rFonts w:eastAsia="Calibri"/>
              </w:rPr>
            </w:pPr>
            <w:r>
              <w:rPr>
                <w:rFonts w:eastAsia="Calibri"/>
              </w:rPr>
              <w:t>-</w:t>
            </w:r>
          </w:p>
        </w:tc>
        <w:tc>
          <w:tcPr>
            <w:tcW w:w="1474" w:type="pct"/>
          </w:tcPr>
          <w:p w14:paraId="6CDA2225" w14:textId="77777777" w:rsidR="00404BE0" w:rsidRPr="00BD2EF1" w:rsidRDefault="00404BE0" w:rsidP="00854FF9">
            <w:pPr>
              <w:pStyle w:val="Standaard-Tabellen"/>
              <w:rPr>
                <w:rFonts w:eastAsia="Calibri"/>
              </w:rPr>
            </w:pPr>
            <w:r w:rsidRPr="00C34EB6">
              <w:rPr>
                <w:rFonts w:eastAsia="Calibri"/>
              </w:rPr>
              <w:t xml:space="preserve">Not applicable since biocidal product </w:t>
            </w:r>
            <w:r>
              <w:rPr>
                <w:rFonts w:eastAsia="Calibri"/>
              </w:rPr>
              <w:t>is a liquid.</w:t>
            </w:r>
          </w:p>
        </w:tc>
        <w:tc>
          <w:tcPr>
            <w:tcW w:w="935" w:type="pct"/>
          </w:tcPr>
          <w:p w14:paraId="075CCF3E" w14:textId="62F6FC65" w:rsidR="00404BE0" w:rsidRPr="00BD2EF1" w:rsidRDefault="00404BE0" w:rsidP="00854FF9">
            <w:pPr>
              <w:pStyle w:val="Standaard-Tabellen"/>
              <w:rPr>
                <w:rFonts w:eastAsia="Calibri"/>
              </w:rPr>
            </w:pPr>
            <w:r>
              <w:rPr>
                <w:rFonts w:eastAsia="Calibri"/>
              </w:rPr>
              <w:t>-</w:t>
            </w:r>
          </w:p>
        </w:tc>
      </w:tr>
    </w:tbl>
    <w:p w14:paraId="762CFF1D" w14:textId="77777777" w:rsidR="00AD0B64" w:rsidRPr="00BD2EF1" w:rsidRDefault="00AD0B64" w:rsidP="00FF76D2">
      <w:pPr>
        <w:rPr>
          <w:lang w:eastAsia="en-US"/>
        </w:rPr>
      </w:pPr>
    </w:p>
    <w:tbl>
      <w:tblPr>
        <w:tblW w:w="53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197"/>
      </w:tblGrid>
      <w:tr w:rsidR="005A5761" w:rsidRPr="00BD2EF1" w14:paraId="44D5A226" w14:textId="77777777" w:rsidTr="00F07537">
        <w:trPr>
          <w:trHeight w:val="384"/>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3743F332" w14:textId="77777777" w:rsidR="005A5761" w:rsidRPr="00854FF9" w:rsidRDefault="005A5761" w:rsidP="00FF76D2">
            <w:pPr>
              <w:rPr>
                <w:rFonts w:eastAsia="Calibri"/>
                <w:b/>
              </w:rPr>
            </w:pPr>
            <w:r w:rsidRPr="00854FF9">
              <w:rPr>
                <w:rFonts w:eastAsia="Calibri"/>
                <w:b/>
              </w:rPr>
              <w:t>Conclusion on the physical hazards and respective characteristics of the product</w:t>
            </w:r>
          </w:p>
        </w:tc>
      </w:tr>
      <w:tr w:rsidR="005A5761" w:rsidRPr="00BD2EF1" w14:paraId="36EA4723" w14:textId="77777777" w:rsidTr="00F07537">
        <w:trPr>
          <w:trHeight w:val="31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93E4842" w14:textId="77777777" w:rsidR="00A12E9F" w:rsidRPr="00E2756B" w:rsidRDefault="00A12E9F" w:rsidP="00A12E9F">
            <w:pPr>
              <w:rPr>
                <w:rFonts w:eastAsia="Calibri"/>
                <w:lang w:eastAsia="en-US"/>
              </w:rPr>
            </w:pPr>
            <w:r w:rsidRPr="00E2756B">
              <w:rPr>
                <w:rFonts w:eastAsia="Calibri"/>
                <w:lang w:eastAsia="en-US"/>
              </w:rPr>
              <w:t>Based on read-across from the Pump Spray IR3535</w:t>
            </w:r>
            <w:r w:rsidRPr="00854FF9">
              <w:rPr>
                <w:rFonts w:eastAsia="Calibri"/>
                <w:vertAlign w:val="superscript"/>
                <w:lang w:eastAsia="en-US"/>
              </w:rPr>
              <w:t>®</w:t>
            </w:r>
            <w:r w:rsidRPr="00E2756B">
              <w:rPr>
                <w:rFonts w:eastAsia="Calibri"/>
                <w:lang w:eastAsia="en-US"/>
              </w:rPr>
              <w:t xml:space="preserve"> 20%, the auto-ignition temperature of the product is 440°C and the flashpoint is 28.7°C. The product contains no ingredients that are classified as explosive, has no self-reacting properties, does not react with air, and is not self-heating since it is a liquid at room temperature. It is not able to react with metals and is not corrosive. </w:t>
            </w:r>
          </w:p>
          <w:p w14:paraId="563E8111" w14:textId="29CE9A55" w:rsidR="005A5761" w:rsidRPr="00BD2EF1" w:rsidRDefault="00A12E9F" w:rsidP="00854FF9">
            <w:pPr>
              <w:rPr>
                <w:rFonts w:eastAsia="Calibri"/>
              </w:rPr>
            </w:pPr>
            <w:r w:rsidRPr="00E2756B">
              <w:rPr>
                <w:rFonts w:eastAsia="Calibri"/>
                <w:lang w:eastAsia="en-US"/>
              </w:rPr>
              <w:t>The product is not oxidizing nor explosive yet, given the flashpoint results, must be classified as flammable liquid, category 3.</w:t>
            </w:r>
          </w:p>
        </w:tc>
      </w:tr>
    </w:tbl>
    <w:p w14:paraId="54B7DB03" w14:textId="77777777" w:rsidR="005A5761" w:rsidRPr="00BD2EF1" w:rsidRDefault="005A5761" w:rsidP="00FF76D2">
      <w:pPr>
        <w:rPr>
          <w:lang w:eastAsia="en-US"/>
        </w:rPr>
      </w:pPr>
    </w:p>
    <w:p w14:paraId="6A44A578" w14:textId="77777777" w:rsidR="00FD5106" w:rsidRPr="008D7EDC" w:rsidRDefault="00FD5106" w:rsidP="00FD5106">
      <w:pPr>
        <w:pStyle w:val="Paragraphedeliste"/>
        <w:numPr>
          <w:ilvl w:val="0"/>
          <w:numId w:val="68"/>
        </w:numPr>
        <w:rPr>
          <w:rFonts w:eastAsia="Calibri"/>
          <w:b/>
          <w:lang w:eastAsia="en-US"/>
        </w:rPr>
      </w:pPr>
      <w:r w:rsidRPr="008D7EDC">
        <w:rPr>
          <w:rFonts w:eastAsia="Calibri"/>
          <w:b/>
          <w:lang w:eastAsia="en-US"/>
        </w:rPr>
        <w:t>MAJOR CHANGE FOR SPRAY REPULSIF IR200 – 2019 (FR CA)</w:t>
      </w:r>
    </w:p>
    <w:tbl>
      <w:tblPr>
        <w:tblW w:w="53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197"/>
      </w:tblGrid>
      <w:tr w:rsidR="00404BE0" w:rsidRPr="00BD2EF1" w14:paraId="340F50FB" w14:textId="77777777" w:rsidTr="00404BE0">
        <w:trPr>
          <w:trHeight w:val="384"/>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0944EB9B" w14:textId="77777777" w:rsidR="00404BE0" w:rsidRPr="00854FF9" w:rsidRDefault="00404BE0" w:rsidP="00404BE0">
            <w:pPr>
              <w:rPr>
                <w:rFonts w:eastAsia="Calibri"/>
                <w:b/>
              </w:rPr>
            </w:pPr>
            <w:r w:rsidRPr="00854FF9">
              <w:rPr>
                <w:rFonts w:eastAsia="Calibri"/>
                <w:b/>
              </w:rPr>
              <w:t>Conclusion on the physical hazards and respective characteristics of the product</w:t>
            </w:r>
          </w:p>
        </w:tc>
      </w:tr>
      <w:tr w:rsidR="00404BE0" w:rsidRPr="00BD2EF1" w14:paraId="3CD34EE2" w14:textId="77777777" w:rsidTr="008D7EDC">
        <w:trPr>
          <w:trHeight w:val="31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7E66591" w14:textId="11CE9320" w:rsidR="00404BE0" w:rsidRPr="00BD2EF1" w:rsidRDefault="00404BE0" w:rsidP="00404BE0">
            <w:pPr>
              <w:rPr>
                <w:rFonts w:eastAsia="Calibri"/>
              </w:rPr>
            </w:pPr>
            <w:r>
              <w:rPr>
                <w:rFonts w:eastAsia="Calibri"/>
                <w:lang w:eastAsia="en-US"/>
              </w:rPr>
              <w:t>No modification of physical hazard conclusions.</w:t>
            </w:r>
          </w:p>
        </w:tc>
      </w:tr>
    </w:tbl>
    <w:p w14:paraId="745A6AF4" w14:textId="26B687D7" w:rsidR="00404BE0" w:rsidRDefault="00404BE0">
      <w:pPr>
        <w:spacing w:before="0" w:after="160" w:line="259" w:lineRule="auto"/>
        <w:rPr>
          <w:b/>
          <w:lang w:eastAsia="en-US"/>
        </w:rPr>
      </w:pPr>
    </w:p>
    <w:p w14:paraId="3FB373FD" w14:textId="77777777" w:rsidR="002971AD" w:rsidRPr="00290195" w:rsidRDefault="002971AD" w:rsidP="008D7EDC">
      <w:pPr>
        <w:pStyle w:val="Paragraphedeliste"/>
        <w:numPr>
          <w:ilvl w:val="0"/>
          <w:numId w:val="65"/>
        </w:numPr>
        <w:shd w:val="clear" w:color="auto" w:fill="D9D9D9" w:themeFill="background1" w:themeFillShade="D9"/>
        <w:rPr>
          <w:rFonts w:eastAsia="Calibri"/>
          <w:b/>
          <w:lang w:eastAsia="en-US"/>
        </w:rPr>
      </w:pPr>
      <w:r>
        <w:rPr>
          <w:rFonts w:eastAsia="Calibri"/>
          <w:b/>
          <w:lang w:eastAsia="en-US"/>
        </w:rPr>
        <w:t>MINOR</w:t>
      </w:r>
      <w:r w:rsidRPr="00290195">
        <w:rPr>
          <w:rFonts w:eastAsia="Calibri"/>
          <w:b/>
          <w:lang w:eastAsia="en-US"/>
        </w:rPr>
        <w:t xml:space="preserve"> CHANGE FOR SPRAY REPULSIF IR200 – </w:t>
      </w:r>
      <w:r>
        <w:rPr>
          <w:rFonts w:eastAsia="Calibri"/>
          <w:b/>
          <w:lang w:eastAsia="en-US"/>
        </w:rPr>
        <w:t>2021</w:t>
      </w:r>
      <w:r w:rsidRPr="00290195">
        <w:rPr>
          <w:rFonts w:eastAsia="Calibri"/>
          <w:b/>
          <w:lang w:eastAsia="en-US"/>
        </w:rPr>
        <w:t xml:space="preserve"> (FR CA)</w:t>
      </w:r>
    </w:p>
    <w:tbl>
      <w:tblPr>
        <w:tblW w:w="53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197"/>
      </w:tblGrid>
      <w:tr w:rsidR="00C825A4" w:rsidRPr="009A0438" w14:paraId="10ADED37" w14:textId="77777777" w:rsidTr="008D7EDC">
        <w:trPr>
          <w:trHeight w:val="384"/>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79CB8B5A" w14:textId="77777777" w:rsidR="00C825A4" w:rsidRPr="00C825A4" w:rsidRDefault="00C825A4" w:rsidP="008D7EDC">
            <w:pPr>
              <w:rPr>
                <w:rFonts w:eastAsia="Calibri"/>
                <w:b/>
                <w:highlight w:val="lightGray"/>
              </w:rPr>
            </w:pPr>
            <w:r w:rsidRPr="00C825A4">
              <w:rPr>
                <w:rFonts w:eastAsia="Calibri"/>
                <w:b/>
                <w:highlight w:val="lightGray"/>
              </w:rPr>
              <w:t>Conclusion on the physical hazards and respective characteristics of the product</w:t>
            </w:r>
          </w:p>
        </w:tc>
      </w:tr>
      <w:tr w:rsidR="00C825A4" w:rsidRPr="009A0438" w14:paraId="621BEFC2" w14:textId="77777777" w:rsidTr="008D7EDC">
        <w:trPr>
          <w:trHeight w:val="31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B7211A5" w14:textId="77777777" w:rsidR="00C825A4" w:rsidRPr="00C825A4" w:rsidRDefault="00C825A4" w:rsidP="008D7EDC">
            <w:pPr>
              <w:rPr>
                <w:rFonts w:eastAsia="Calibri"/>
                <w:highlight w:val="lightGray"/>
              </w:rPr>
            </w:pPr>
            <w:r w:rsidRPr="00C825A4">
              <w:rPr>
                <w:rFonts w:eastAsia="Calibri"/>
                <w:highlight w:val="lightGray"/>
                <w:lang w:eastAsia="en-US"/>
              </w:rPr>
              <w:t xml:space="preserve">No modification of physical hazard conclusions. </w:t>
            </w:r>
          </w:p>
        </w:tc>
      </w:tr>
    </w:tbl>
    <w:p w14:paraId="4385FDC6" w14:textId="77777777" w:rsidR="002971AD" w:rsidRPr="00FD5106" w:rsidRDefault="002971AD">
      <w:pPr>
        <w:spacing w:before="0" w:after="160" w:line="259" w:lineRule="auto"/>
        <w:rPr>
          <w:b/>
          <w:lang w:eastAsia="en-US"/>
        </w:rPr>
      </w:pPr>
    </w:p>
    <w:p w14:paraId="278D1440" w14:textId="32CB2AE1" w:rsidR="00672D8A" w:rsidRDefault="009823CF" w:rsidP="00672D8A">
      <w:pPr>
        <w:pStyle w:val="Titre3"/>
      </w:pPr>
      <w:bookmarkStart w:id="126" w:name="_Toc93326535"/>
      <w:r w:rsidRPr="00BD2EF1">
        <w:t>Methods for detection and identification</w:t>
      </w:r>
      <w:bookmarkEnd w:id="126"/>
    </w:p>
    <w:p w14:paraId="3F8A4440" w14:textId="77777777" w:rsidR="00FD5106" w:rsidRPr="009461FB" w:rsidRDefault="00FD5106" w:rsidP="00FD5106">
      <w:pPr>
        <w:pStyle w:val="Paragraphedeliste"/>
        <w:numPr>
          <w:ilvl w:val="0"/>
          <w:numId w:val="68"/>
        </w:numPr>
        <w:rPr>
          <w:b/>
        </w:rPr>
      </w:pPr>
      <w:r w:rsidRPr="009461FB">
        <w:rPr>
          <w:b/>
        </w:rPr>
        <w:t>FIRST AUTHORISATION – 2017 (BE CA)</w:t>
      </w:r>
    </w:p>
    <w:p w14:paraId="3738CF62" w14:textId="50F6E9C2" w:rsidR="00672D8A" w:rsidRPr="00672D8A" w:rsidRDefault="00672D8A" w:rsidP="00F07537">
      <w:pPr>
        <w:pStyle w:val="Titre3"/>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13"/>
        <w:gridCol w:w="1757"/>
        <w:gridCol w:w="1780"/>
        <w:gridCol w:w="1224"/>
        <w:gridCol w:w="1448"/>
        <w:gridCol w:w="751"/>
        <w:gridCol w:w="720"/>
        <w:gridCol w:w="1144"/>
        <w:gridCol w:w="1643"/>
        <w:gridCol w:w="1554"/>
      </w:tblGrid>
      <w:tr w:rsidR="00854FF9" w:rsidRPr="00854FF9" w14:paraId="5C234F90" w14:textId="77777777" w:rsidTr="00854FF9">
        <w:trPr>
          <w:cantSplit/>
          <w:trHeight w:val="439"/>
        </w:trPr>
        <w:tc>
          <w:tcPr>
            <w:tcW w:w="5000" w:type="pct"/>
            <w:gridSpan w:val="10"/>
            <w:shd w:val="clear" w:color="auto" w:fill="FFFFCC"/>
            <w:vAlign w:val="center"/>
          </w:tcPr>
          <w:p w14:paraId="6599E642" w14:textId="77777777" w:rsidR="00854FF9" w:rsidRPr="00854FF9" w:rsidRDefault="00854FF9" w:rsidP="00854FF9">
            <w:pPr>
              <w:pStyle w:val="Standaard-Tabellen"/>
              <w:jc w:val="center"/>
              <w:rPr>
                <w:rFonts w:eastAsia="Calibri"/>
                <w:b/>
              </w:rPr>
            </w:pPr>
            <w:r w:rsidRPr="00854FF9">
              <w:rPr>
                <w:rFonts w:eastAsia="Calibri"/>
                <w:b/>
              </w:rPr>
              <w:t>Analytical methods for the analysis of the product as such including the active substance, impurities and residues</w:t>
            </w:r>
          </w:p>
        </w:tc>
      </w:tr>
      <w:tr w:rsidR="00854FF9" w:rsidRPr="00854FF9" w14:paraId="59D3E74F" w14:textId="77777777" w:rsidTr="00854FF9">
        <w:trPr>
          <w:cantSplit/>
          <w:trHeight w:val="352"/>
        </w:trPr>
        <w:tc>
          <w:tcPr>
            <w:tcW w:w="807" w:type="pct"/>
            <w:vMerge w:val="restart"/>
            <w:shd w:val="clear" w:color="auto" w:fill="BFBFBF" w:themeFill="background1" w:themeFillShade="BF"/>
          </w:tcPr>
          <w:p w14:paraId="51B01C21" w14:textId="77777777" w:rsidR="00854FF9" w:rsidRPr="00854FF9" w:rsidRDefault="00854FF9" w:rsidP="00854FF9">
            <w:pPr>
              <w:pStyle w:val="Standaard-Tabellen"/>
              <w:rPr>
                <w:b/>
              </w:rPr>
            </w:pPr>
            <w:r w:rsidRPr="00854FF9">
              <w:rPr>
                <w:b/>
              </w:rPr>
              <w:t>Analyte (type of analyte e.g. active substance)</w:t>
            </w:r>
          </w:p>
        </w:tc>
        <w:tc>
          <w:tcPr>
            <w:tcW w:w="613" w:type="pct"/>
            <w:vMerge w:val="restart"/>
            <w:shd w:val="clear" w:color="auto" w:fill="BFBFBF" w:themeFill="background1" w:themeFillShade="BF"/>
          </w:tcPr>
          <w:p w14:paraId="6C340F81" w14:textId="77777777" w:rsidR="00854FF9" w:rsidRPr="00854FF9" w:rsidRDefault="00854FF9" w:rsidP="00854FF9">
            <w:pPr>
              <w:pStyle w:val="Standaard-Tabellen"/>
              <w:rPr>
                <w:b/>
              </w:rPr>
            </w:pPr>
            <w:r w:rsidRPr="00854FF9">
              <w:rPr>
                <w:b/>
              </w:rPr>
              <w:t>Analytical method</w:t>
            </w:r>
          </w:p>
        </w:tc>
        <w:tc>
          <w:tcPr>
            <w:tcW w:w="621" w:type="pct"/>
            <w:vMerge w:val="restart"/>
            <w:shd w:val="clear" w:color="auto" w:fill="BFBFBF" w:themeFill="background1" w:themeFillShade="BF"/>
          </w:tcPr>
          <w:p w14:paraId="2443A8D3" w14:textId="77777777" w:rsidR="00854FF9" w:rsidRPr="00854FF9" w:rsidRDefault="00854FF9" w:rsidP="00854FF9">
            <w:pPr>
              <w:pStyle w:val="Standaard-Tabellen"/>
              <w:rPr>
                <w:b/>
              </w:rPr>
            </w:pPr>
            <w:r w:rsidRPr="00854FF9">
              <w:rPr>
                <w:b/>
              </w:rPr>
              <w:t>Fortification range / Number of measurements</w:t>
            </w:r>
          </w:p>
        </w:tc>
        <w:tc>
          <w:tcPr>
            <w:tcW w:w="427" w:type="pct"/>
            <w:vMerge w:val="restart"/>
            <w:shd w:val="clear" w:color="auto" w:fill="BFBFBF" w:themeFill="background1" w:themeFillShade="BF"/>
          </w:tcPr>
          <w:p w14:paraId="52B05BED" w14:textId="77777777" w:rsidR="00854FF9" w:rsidRPr="00854FF9" w:rsidRDefault="00854FF9" w:rsidP="00854FF9">
            <w:pPr>
              <w:pStyle w:val="Standaard-Tabellen"/>
              <w:rPr>
                <w:b/>
              </w:rPr>
            </w:pPr>
            <w:r w:rsidRPr="00854FF9">
              <w:rPr>
                <w:b/>
              </w:rPr>
              <w:t>Linearity</w:t>
            </w:r>
          </w:p>
        </w:tc>
        <w:tc>
          <w:tcPr>
            <w:tcW w:w="505" w:type="pct"/>
            <w:vMerge w:val="restart"/>
            <w:shd w:val="clear" w:color="auto" w:fill="BFBFBF" w:themeFill="background1" w:themeFillShade="BF"/>
          </w:tcPr>
          <w:p w14:paraId="52C3728E" w14:textId="77777777" w:rsidR="00854FF9" w:rsidRPr="00854FF9" w:rsidRDefault="00854FF9" w:rsidP="00854FF9">
            <w:pPr>
              <w:pStyle w:val="Standaard-Tabellen"/>
              <w:rPr>
                <w:b/>
              </w:rPr>
            </w:pPr>
            <w:r w:rsidRPr="00854FF9">
              <w:rPr>
                <w:b/>
              </w:rPr>
              <w:t>Specificity</w:t>
            </w:r>
          </w:p>
        </w:tc>
        <w:tc>
          <w:tcPr>
            <w:tcW w:w="912" w:type="pct"/>
            <w:gridSpan w:val="3"/>
            <w:shd w:val="clear" w:color="auto" w:fill="BFBFBF" w:themeFill="background1" w:themeFillShade="BF"/>
          </w:tcPr>
          <w:p w14:paraId="2F0E9B29" w14:textId="77777777" w:rsidR="00854FF9" w:rsidRPr="00854FF9" w:rsidRDefault="00854FF9" w:rsidP="00854FF9">
            <w:pPr>
              <w:pStyle w:val="Standaard-Tabellen"/>
              <w:rPr>
                <w:b/>
              </w:rPr>
            </w:pPr>
            <w:r w:rsidRPr="00854FF9">
              <w:rPr>
                <w:b/>
              </w:rPr>
              <w:t>Recovery rate (%)</w:t>
            </w:r>
          </w:p>
        </w:tc>
        <w:tc>
          <w:tcPr>
            <w:tcW w:w="573" w:type="pct"/>
            <w:vMerge w:val="restart"/>
            <w:shd w:val="clear" w:color="auto" w:fill="BFBFBF" w:themeFill="background1" w:themeFillShade="BF"/>
          </w:tcPr>
          <w:p w14:paraId="5E634B1C" w14:textId="77777777" w:rsidR="00854FF9" w:rsidRPr="00854FF9" w:rsidRDefault="00854FF9" w:rsidP="00854FF9">
            <w:pPr>
              <w:pStyle w:val="Standaard-Tabellen"/>
              <w:rPr>
                <w:b/>
              </w:rPr>
            </w:pPr>
            <w:r w:rsidRPr="00854FF9">
              <w:rPr>
                <w:b/>
              </w:rPr>
              <w:t>Limit of quantification (LOQ) or other limits</w:t>
            </w:r>
          </w:p>
        </w:tc>
        <w:tc>
          <w:tcPr>
            <w:tcW w:w="542" w:type="pct"/>
            <w:vMerge w:val="restart"/>
            <w:shd w:val="clear" w:color="auto" w:fill="BFBFBF" w:themeFill="background1" w:themeFillShade="BF"/>
          </w:tcPr>
          <w:p w14:paraId="22455B7F" w14:textId="77777777" w:rsidR="00854FF9" w:rsidRPr="00854FF9" w:rsidRDefault="00854FF9" w:rsidP="00854FF9">
            <w:pPr>
              <w:pStyle w:val="Standaard-Tabellen"/>
              <w:rPr>
                <w:b/>
              </w:rPr>
            </w:pPr>
            <w:r w:rsidRPr="00854FF9">
              <w:rPr>
                <w:b/>
              </w:rPr>
              <w:t>Reference</w:t>
            </w:r>
          </w:p>
        </w:tc>
      </w:tr>
      <w:tr w:rsidR="00854FF9" w:rsidRPr="00FD2055" w14:paraId="3AE6B5DD" w14:textId="77777777" w:rsidTr="00854FF9">
        <w:tc>
          <w:tcPr>
            <w:tcW w:w="807" w:type="pct"/>
            <w:vMerge/>
            <w:shd w:val="clear" w:color="auto" w:fill="auto"/>
          </w:tcPr>
          <w:p w14:paraId="315DA92D" w14:textId="77777777" w:rsidR="00854FF9" w:rsidRPr="00FD2055" w:rsidRDefault="00854FF9" w:rsidP="00854FF9">
            <w:pPr>
              <w:pStyle w:val="Standaard-Tabellen"/>
              <w:rPr>
                <w:i/>
                <w:color w:val="000000"/>
                <w:szCs w:val="18"/>
              </w:rPr>
            </w:pPr>
          </w:p>
        </w:tc>
        <w:tc>
          <w:tcPr>
            <w:tcW w:w="613" w:type="pct"/>
            <w:vMerge/>
          </w:tcPr>
          <w:p w14:paraId="712FF744" w14:textId="77777777" w:rsidR="00854FF9" w:rsidRPr="00FD2055" w:rsidRDefault="00854FF9" w:rsidP="00854FF9">
            <w:pPr>
              <w:pStyle w:val="Standaard-Tabellen"/>
              <w:rPr>
                <w:color w:val="000000"/>
                <w:szCs w:val="18"/>
              </w:rPr>
            </w:pPr>
          </w:p>
        </w:tc>
        <w:tc>
          <w:tcPr>
            <w:tcW w:w="621" w:type="pct"/>
            <w:vMerge/>
          </w:tcPr>
          <w:p w14:paraId="582DD653" w14:textId="77777777" w:rsidR="00854FF9" w:rsidRPr="00FD2055" w:rsidRDefault="00854FF9" w:rsidP="00854FF9">
            <w:pPr>
              <w:pStyle w:val="Standaard-Tabellen"/>
              <w:rPr>
                <w:color w:val="000000"/>
                <w:szCs w:val="18"/>
              </w:rPr>
            </w:pPr>
          </w:p>
        </w:tc>
        <w:tc>
          <w:tcPr>
            <w:tcW w:w="427" w:type="pct"/>
            <w:vMerge/>
          </w:tcPr>
          <w:p w14:paraId="71841A45" w14:textId="77777777" w:rsidR="00854FF9" w:rsidRPr="00FD2055" w:rsidRDefault="00854FF9" w:rsidP="00854FF9">
            <w:pPr>
              <w:pStyle w:val="Standaard-Tabellen"/>
              <w:rPr>
                <w:color w:val="000000"/>
                <w:szCs w:val="18"/>
              </w:rPr>
            </w:pPr>
          </w:p>
        </w:tc>
        <w:tc>
          <w:tcPr>
            <w:tcW w:w="505" w:type="pct"/>
            <w:vMerge/>
          </w:tcPr>
          <w:p w14:paraId="73F0CD63" w14:textId="77777777" w:rsidR="00854FF9" w:rsidRPr="00FD2055" w:rsidRDefault="00854FF9" w:rsidP="00854FF9">
            <w:pPr>
              <w:pStyle w:val="Standaard-Tabellen"/>
              <w:rPr>
                <w:color w:val="000000"/>
                <w:szCs w:val="18"/>
              </w:rPr>
            </w:pPr>
          </w:p>
        </w:tc>
        <w:tc>
          <w:tcPr>
            <w:tcW w:w="262" w:type="pct"/>
            <w:shd w:val="clear" w:color="auto" w:fill="BFBFBF" w:themeFill="background1" w:themeFillShade="BF"/>
          </w:tcPr>
          <w:p w14:paraId="780446C6" w14:textId="77777777" w:rsidR="00854FF9" w:rsidRPr="00FD2055" w:rsidRDefault="00854FF9" w:rsidP="00854FF9">
            <w:pPr>
              <w:pStyle w:val="Standaard-Tabellen"/>
              <w:rPr>
                <w:color w:val="000000"/>
                <w:szCs w:val="18"/>
              </w:rPr>
            </w:pPr>
            <w:r w:rsidRPr="00FD2055">
              <w:rPr>
                <w:color w:val="000000"/>
                <w:szCs w:val="18"/>
              </w:rPr>
              <w:t>Range</w:t>
            </w:r>
          </w:p>
        </w:tc>
        <w:tc>
          <w:tcPr>
            <w:tcW w:w="251" w:type="pct"/>
            <w:shd w:val="clear" w:color="auto" w:fill="BFBFBF" w:themeFill="background1" w:themeFillShade="BF"/>
          </w:tcPr>
          <w:p w14:paraId="571C04DA" w14:textId="77777777" w:rsidR="00854FF9" w:rsidRPr="00FD2055" w:rsidRDefault="00854FF9" w:rsidP="00854FF9">
            <w:pPr>
              <w:pStyle w:val="Standaard-Tabellen"/>
              <w:rPr>
                <w:color w:val="000000"/>
                <w:szCs w:val="18"/>
              </w:rPr>
            </w:pPr>
            <w:r w:rsidRPr="00FD2055">
              <w:rPr>
                <w:color w:val="000000"/>
                <w:szCs w:val="18"/>
              </w:rPr>
              <w:t>Mean</w:t>
            </w:r>
          </w:p>
        </w:tc>
        <w:tc>
          <w:tcPr>
            <w:tcW w:w="399" w:type="pct"/>
            <w:shd w:val="clear" w:color="auto" w:fill="BFBFBF" w:themeFill="background1" w:themeFillShade="BF"/>
          </w:tcPr>
          <w:p w14:paraId="68F300D3" w14:textId="77777777" w:rsidR="00854FF9" w:rsidRPr="00FD2055" w:rsidRDefault="00854FF9" w:rsidP="00854FF9">
            <w:pPr>
              <w:pStyle w:val="Standaard-Tabellen"/>
              <w:rPr>
                <w:color w:val="000000"/>
                <w:szCs w:val="18"/>
              </w:rPr>
            </w:pPr>
            <w:r w:rsidRPr="00FD2055">
              <w:rPr>
                <w:color w:val="000000"/>
                <w:szCs w:val="18"/>
              </w:rPr>
              <w:t>RSD</w:t>
            </w:r>
          </w:p>
        </w:tc>
        <w:tc>
          <w:tcPr>
            <w:tcW w:w="573" w:type="pct"/>
            <w:vMerge/>
          </w:tcPr>
          <w:p w14:paraId="4D73927E" w14:textId="77777777" w:rsidR="00854FF9" w:rsidRPr="00FD2055" w:rsidRDefault="00854FF9" w:rsidP="00854FF9">
            <w:pPr>
              <w:pStyle w:val="Standaard-Tabellen"/>
              <w:rPr>
                <w:color w:val="000000"/>
                <w:szCs w:val="18"/>
              </w:rPr>
            </w:pPr>
          </w:p>
        </w:tc>
        <w:tc>
          <w:tcPr>
            <w:tcW w:w="542" w:type="pct"/>
            <w:vMerge/>
          </w:tcPr>
          <w:p w14:paraId="65C7BE91" w14:textId="77777777" w:rsidR="00854FF9" w:rsidRPr="00FD2055" w:rsidRDefault="00854FF9" w:rsidP="00854FF9">
            <w:pPr>
              <w:pStyle w:val="Standaard-Tabellen"/>
              <w:rPr>
                <w:color w:val="000000"/>
                <w:szCs w:val="18"/>
              </w:rPr>
            </w:pPr>
          </w:p>
        </w:tc>
      </w:tr>
      <w:tr w:rsidR="00C32207" w:rsidRPr="0089119C" w14:paraId="3A15AC52" w14:textId="77777777" w:rsidTr="00854FF9">
        <w:tc>
          <w:tcPr>
            <w:tcW w:w="807" w:type="pct"/>
            <w:shd w:val="clear" w:color="auto" w:fill="auto"/>
          </w:tcPr>
          <w:p w14:paraId="3FDBBC6C" w14:textId="77777777" w:rsidR="00C32207" w:rsidRPr="005F6907" w:rsidRDefault="00C32207" w:rsidP="00C32207">
            <w:pPr>
              <w:pStyle w:val="Standaard-Tabellen"/>
              <w:rPr>
                <w:i/>
                <w:color w:val="000000"/>
                <w:szCs w:val="18"/>
              </w:rPr>
            </w:pPr>
            <w:r w:rsidRPr="005F6907">
              <w:rPr>
                <w:i/>
                <w:color w:val="000000"/>
                <w:szCs w:val="18"/>
              </w:rPr>
              <w:t>IR3535 – Lice Spray</w:t>
            </w:r>
          </w:p>
        </w:tc>
        <w:tc>
          <w:tcPr>
            <w:tcW w:w="613" w:type="pct"/>
            <w:vMerge w:val="restart"/>
          </w:tcPr>
          <w:p w14:paraId="6BD84C9B" w14:textId="77777777" w:rsidR="00C32207" w:rsidRPr="005F6907" w:rsidRDefault="00C32207" w:rsidP="00C32207">
            <w:pPr>
              <w:pStyle w:val="Standaard-Tabellen"/>
              <w:rPr>
                <w:color w:val="000000"/>
                <w:szCs w:val="18"/>
              </w:rPr>
            </w:pPr>
            <w:r w:rsidRPr="005F6907">
              <w:rPr>
                <w:color w:val="000000"/>
                <w:szCs w:val="18"/>
              </w:rPr>
              <w:t>HPLC-UV (*)</w:t>
            </w:r>
          </w:p>
          <w:p w14:paraId="63FFBA30" w14:textId="77777777" w:rsidR="00C32207" w:rsidRPr="005F6907" w:rsidRDefault="00C32207" w:rsidP="00C32207">
            <w:pPr>
              <w:pStyle w:val="Standaard-Tabellen"/>
              <w:rPr>
                <w:color w:val="000000"/>
                <w:szCs w:val="18"/>
              </w:rPr>
            </w:pPr>
            <w:r w:rsidRPr="005F6907">
              <w:rPr>
                <w:color w:val="000000"/>
                <w:szCs w:val="18"/>
              </w:rPr>
              <w:t>SANGO/3030/99 rev. 4 guideline</w:t>
            </w:r>
          </w:p>
          <w:p w14:paraId="6496A238" w14:textId="77777777" w:rsidR="00C32207" w:rsidRPr="005F6907" w:rsidRDefault="00C32207" w:rsidP="00C32207">
            <w:pPr>
              <w:pStyle w:val="Standaard-Tabellen"/>
              <w:rPr>
                <w:color w:val="000000"/>
                <w:szCs w:val="18"/>
              </w:rPr>
            </w:pPr>
          </w:p>
          <w:p w14:paraId="01DA35EF" w14:textId="77777777" w:rsidR="00C32207" w:rsidRPr="00854FF9" w:rsidRDefault="00C32207" w:rsidP="00C32207">
            <w:pPr>
              <w:pStyle w:val="Standaard-Tabellen"/>
              <w:rPr>
                <w:color w:val="000000"/>
                <w:szCs w:val="18"/>
                <w:lang w:val="de-DE"/>
              </w:rPr>
            </w:pPr>
            <w:r w:rsidRPr="005F6907">
              <w:rPr>
                <w:color w:val="000000"/>
                <w:szCs w:val="18"/>
              </w:rPr>
              <w:t xml:space="preserve">(*) Method previously validated in 3121101, Meinerling, M., 2007. </w:t>
            </w:r>
            <w:r w:rsidRPr="005F6907">
              <w:rPr>
                <w:color w:val="000000"/>
                <w:szCs w:val="18"/>
                <w:lang w:val="de-DE"/>
              </w:rPr>
              <w:t>Institut für Biologische Analytik und Consulting IBACON GmbH</w:t>
            </w:r>
          </w:p>
          <w:p w14:paraId="2B53C168" w14:textId="77777777" w:rsidR="00C32207" w:rsidRPr="00854FF9" w:rsidRDefault="00C32207" w:rsidP="00C32207">
            <w:pPr>
              <w:pStyle w:val="Standaard-Tabellen"/>
              <w:rPr>
                <w:color w:val="000000"/>
                <w:szCs w:val="18"/>
                <w:lang w:val="de-DE"/>
              </w:rPr>
            </w:pPr>
            <w:r w:rsidRPr="00854FF9">
              <w:rPr>
                <w:color w:val="000000"/>
                <w:szCs w:val="18"/>
                <w:lang w:val="de-DE"/>
              </w:rPr>
              <w:t>HPLC-UV (*)</w:t>
            </w:r>
          </w:p>
          <w:p w14:paraId="472F735F" w14:textId="77777777" w:rsidR="00C32207" w:rsidRPr="005F6907" w:rsidRDefault="00C32207" w:rsidP="00C32207">
            <w:pPr>
              <w:pStyle w:val="Standaard-Tabellen"/>
              <w:rPr>
                <w:color w:val="000000"/>
                <w:szCs w:val="18"/>
              </w:rPr>
            </w:pPr>
            <w:r w:rsidRPr="005F6907">
              <w:rPr>
                <w:color w:val="000000"/>
                <w:szCs w:val="18"/>
              </w:rPr>
              <w:t>SANGO/3030/99 rev. 4 guideline</w:t>
            </w:r>
          </w:p>
        </w:tc>
        <w:tc>
          <w:tcPr>
            <w:tcW w:w="621" w:type="pct"/>
            <w:vMerge w:val="restart"/>
          </w:tcPr>
          <w:p w14:paraId="0269E406" w14:textId="77777777" w:rsidR="00C32207" w:rsidRDefault="00C32207" w:rsidP="00C32207">
            <w:pPr>
              <w:pStyle w:val="Standaard-Tabellen"/>
              <w:rPr>
                <w:color w:val="000000"/>
                <w:szCs w:val="18"/>
              </w:rPr>
            </w:pPr>
            <w:r>
              <w:rPr>
                <w:color w:val="000000"/>
                <w:szCs w:val="18"/>
              </w:rPr>
              <w:t>2</w:t>
            </w:r>
            <w:r w:rsidRPr="005F6907">
              <w:rPr>
                <w:color w:val="000000"/>
                <w:szCs w:val="18"/>
              </w:rPr>
              <w:t xml:space="preserve"> levels</w:t>
            </w:r>
          </w:p>
          <w:p w14:paraId="335D6BDC" w14:textId="77777777" w:rsidR="00C32207" w:rsidRPr="005F6907" w:rsidRDefault="00C32207" w:rsidP="00C32207">
            <w:pPr>
              <w:pStyle w:val="Standaard-Tabellen"/>
              <w:rPr>
                <w:color w:val="000000"/>
                <w:szCs w:val="18"/>
              </w:rPr>
            </w:pPr>
            <w:r>
              <w:rPr>
                <w:color w:val="000000"/>
                <w:szCs w:val="18"/>
              </w:rPr>
              <w:t>(90% and 110%)</w:t>
            </w:r>
          </w:p>
          <w:p w14:paraId="21FF9AD0" w14:textId="77777777" w:rsidR="00C32207" w:rsidRPr="005F6907" w:rsidRDefault="00C32207" w:rsidP="00C32207">
            <w:pPr>
              <w:pStyle w:val="Standaard-Tabellen"/>
              <w:rPr>
                <w:color w:val="000000"/>
                <w:szCs w:val="18"/>
              </w:rPr>
            </w:pPr>
            <w:r w:rsidRPr="005F6907">
              <w:rPr>
                <w:color w:val="000000"/>
                <w:szCs w:val="18"/>
              </w:rPr>
              <w:t>5 replicates</w:t>
            </w:r>
          </w:p>
        </w:tc>
        <w:tc>
          <w:tcPr>
            <w:tcW w:w="427" w:type="pct"/>
          </w:tcPr>
          <w:p w14:paraId="4A6E9350" w14:textId="7294A50D" w:rsidR="00C32207" w:rsidRPr="005F6907" w:rsidRDefault="00C32207" w:rsidP="00C32207">
            <w:pPr>
              <w:pStyle w:val="Standaard-Tabellen"/>
              <w:rPr>
                <w:color w:val="000000"/>
                <w:szCs w:val="18"/>
              </w:rPr>
            </w:pPr>
            <w:r w:rsidRPr="005F6907">
              <w:rPr>
                <w:color w:val="000000"/>
                <w:szCs w:val="18"/>
              </w:rPr>
              <w:t>Calibration curve between 5 and 1750 mg/L</w:t>
            </w:r>
            <w:r w:rsidR="00323827">
              <w:rPr>
                <w:color w:val="000000"/>
                <w:szCs w:val="18"/>
              </w:rPr>
              <w:t xml:space="preserve">, based on 10 data points, </w:t>
            </w:r>
            <w:r w:rsidRPr="005F6907">
              <w:rPr>
                <w:color w:val="000000"/>
                <w:szCs w:val="18"/>
              </w:rPr>
              <w:t>r2 = 0.9999</w:t>
            </w:r>
          </w:p>
        </w:tc>
        <w:tc>
          <w:tcPr>
            <w:tcW w:w="505" w:type="pct"/>
            <w:vMerge w:val="restart"/>
          </w:tcPr>
          <w:p w14:paraId="0F16386F" w14:textId="77777777" w:rsidR="00C32207" w:rsidRPr="005F6907" w:rsidRDefault="00C32207" w:rsidP="00C32207">
            <w:pPr>
              <w:pStyle w:val="Standaard-Tabellen"/>
              <w:rPr>
                <w:color w:val="000000"/>
                <w:szCs w:val="18"/>
              </w:rPr>
            </w:pPr>
            <w:r w:rsidRPr="005F6907">
              <w:rPr>
                <w:color w:val="000000"/>
                <w:szCs w:val="18"/>
              </w:rPr>
              <w:t>Comparison of UV-spectra with fortified sample solutions, no difference by more than 1%</w:t>
            </w:r>
          </w:p>
          <w:p w14:paraId="627FC207" w14:textId="77777777" w:rsidR="00C32207" w:rsidRPr="005F6907" w:rsidRDefault="00C32207" w:rsidP="00C32207">
            <w:pPr>
              <w:pStyle w:val="Standaard-Tabellen"/>
              <w:rPr>
                <w:color w:val="000000"/>
                <w:szCs w:val="18"/>
              </w:rPr>
            </w:pPr>
          </w:p>
        </w:tc>
        <w:tc>
          <w:tcPr>
            <w:tcW w:w="262" w:type="pct"/>
          </w:tcPr>
          <w:p w14:paraId="5A43803A" w14:textId="77777777" w:rsidR="00C32207" w:rsidRPr="00A232B2" w:rsidRDefault="00C32207" w:rsidP="00C32207">
            <w:pPr>
              <w:pStyle w:val="Standaard-Tabellen"/>
              <w:rPr>
                <w:color w:val="000000"/>
                <w:szCs w:val="18"/>
                <w:u w:val="single"/>
              </w:rPr>
            </w:pPr>
            <w:r>
              <w:rPr>
                <w:color w:val="000000"/>
                <w:szCs w:val="18"/>
                <w:u w:val="single"/>
              </w:rPr>
              <w:t>90%</w:t>
            </w:r>
          </w:p>
          <w:p w14:paraId="6A9B0A4F" w14:textId="77777777" w:rsidR="00C32207" w:rsidRDefault="00C32207" w:rsidP="00C32207">
            <w:pPr>
              <w:pStyle w:val="Standaard-Tabellen"/>
              <w:rPr>
                <w:color w:val="000000"/>
                <w:szCs w:val="18"/>
              </w:rPr>
            </w:pPr>
            <w:r w:rsidRPr="005F6907">
              <w:rPr>
                <w:color w:val="000000"/>
                <w:szCs w:val="18"/>
              </w:rPr>
              <w:t>9</w:t>
            </w:r>
            <w:r>
              <w:rPr>
                <w:color w:val="000000"/>
                <w:szCs w:val="18"/>
              </w:rPr>
              <w:t>9</w:t>
            </w:r>
            <w:r w:rsidRPr="005F6907">
              <w:rPr>
                <w:color w:val="000000"/>
                <w:szCs w:val="18"/>
              </w:rPr>
              <w:t>-102</w:t>
            </w:r>
          </w:p>
          <w:p w14:paraId="58E75F5A" w14:textId="77777777" w:rsidR="00C32207" w:rsidRPr="00A232B2" w:rsidRDefault="00C32207" w:rsidP="00C32207">
            <w:pPr>
              <w:pStyle w:val="Standaard-Tabellen"/>
              <w:rPr>
                <w:color w:val="000000"/>
                <w:szCs w:val="18"/>
                <w:u w:val="single"/>
              </w:rPr>
            </w:pPr>
            <w:r>
              <w:rPr>
                <w:color w:val="000000"/>
                <w:szCs w:val="18"/>
                <w:u w:val="single"/>
              </w:rPr>
              <w:t>110%</w:t>
            </w:r>
          </w:p>
          <w:p w14:paraId="3F41D3B1" w14:textId="77777777" w:rsidR="00C32207" w:rsidRPr="005F6907" w:rsidRDefault="00C32207" w:rsidP="00C32207">
            <w:pPr>
              <w:pStyle w:val="Standaard-Tabellen"/>
              <w:rPr>
                <w:color w:val="000000"/>
                <w:szCs w:val="18"/>
              </w:rPr>
            </w:pPr>
            <w:r w:rsidRPr="005F6907">
              <w:rPr>
                <w:color w:val="000000"/>
                <w:szCs w:val="18"/>
              </w:rPr>
              <w:t>9</w:t>
            </w:r>
            <w:r>
              <w:rPr>
                <w:color w:val="000000"/>
                <w:szCs w:val="18"/>
              </w:rPr>
              <w:t>9</w:t>
            </w:r>
            <w:r w:rsidRPr="005F6907">
              <w:rPr>
                <w:color w:val="000000"/>
                <w:szCs w:val="18"/>
              </w:rPr>
              <w:t>-10</w:t>
            </w:r>
            <w:r>
              <w:rPr>
                <w:color w:val="000000"/>
                <w:szCs w:val="18"/>
              </w:rPr>
              <w:t>0</w:t>
            </w:r>
          </w:p>
        </w:tc>
        <w:tc>
          <w:tcPr>
            <w:tcW w:w="251" w:type="pct"/>
          </w:tcPr>
          <w:p w14:paraId="5B62F887" w14:textId="77777777" w:rsidR="00C32207" w:rsidRPr="00A232B2" w:rsidRDefault="00C32207" w:rsidP="00C32207">
            <w:pPr>
              <w:pStyle w:val="Standaard-Tabellen"/>
              <w:rPr>
                <w:color w:val="000000"/>
                <w:szCs w:val="18"/>
                <w:u w:val="single"/>
              </w:rPr>
            </w:pPr>
            <w:r>
              <w:rPr>
                <w:color w:val="000000"/>
                <w:szCs w:val="18"/>
                <w:u w:val="single"/>
              </w:rPr>
              <w:t>90%</w:t>
            </w:r>
          </w:p>
          <w:p w14:paraId="7EE53AF7" w14:textId="77777777" w:rsidR="00C32207" w:rsidRDefault="00C32207" w:rsidP="00C32207">
            <w:pPr>
              <w:pStyle w:val="Standaard-Tabellen"/>
              <w:rPr>
                <w:color w:val="000000"/>
                <w:szCs w:val="18"/>
              </w:rPr>
            </w:pPr>
            <w:r>
              <w:rPr>
                <w:color w:val="000000"/>
                <w:szCs w:val="18"/>
              </w:rPr>
              <w:t>100</w:t>
            </w:r>
          </w:p>
          <w:p w14:paraId="3B141376" w14:textId="77777777" w:rsidR="00C32207" w:rsidRPr="00A232B2" w:rsidRDefault="00C32207" w:rsidP="00C32207">
            <w:pPr>
              <w:pStyle w:val="Standaard-Tabellen"/>
              <w:rPr>
                <w:color w:val="000000"/>
                <w:szCs w:val="18"/>
                <w:u w:val="single"/>
              </w:rPr>
            </w:pPr>
            <w:r>
              <w:rPr>
                <w:color w:val="000000"/>
                <w:szCs w:val="18"/>
                <w:u w:val="single"/>
              </w:rPr>
              <w:t>110%</w:t>
            </w:r>
          </w:p>
          <w:p w14:paraId="0C3B67EB" w14:textId="77777777" w:rsidR="00C32207" w:rsidRPr="005F6907" w:rsidRDefault="00C32207" w:rsidP="00C32207">
            <w:pPr>
              <w:pStyle w:val="Standaard-Tabellen"/>
              <w:rPr>
                <w:color w:val="000000"/>
                <w:szCs w:val="18"/>
              </w:rPr>
            </w:pPr>
            <w:r w:rsidRPr="005F6907">
              <w:rPr>
                <w:color w:val="000000"/>
                <w:szCs w:val="18"/>
              </w:rPr>
              <w:t>10</w:t>
            </w:r>
            <w:r>
              <w:rPr>
                <w:color w:val="000000"/>
                <w:szCs w:val="18"/>
              </w:rPr>
              <w:t>0</w:t>
            </w:r>
          </w:p>
        </w:tc>
        <w:tc>
          <w:tcPr>
            <w:tcW w:w="399" w:type="pct"/>
          </w:tcPr>
          <w:p w14:paraId="5E0E51E0" w14:textId="77777777" w:rsidR="00C32207" w:rsidRPr="00A232B2" w:rsidRDefault="00C32207" w:rsidP="00C32207">
            <w:pPr>
              <w:pStyle w:val="Standaard-Tabellen"/>
              <w:rPr>
                <w:color w:val="000000"/>
                <w:szCs w:val="18"/>
                <w:u w:val="single"/>
              </w:rPr>
            </w:pPr>
            <w:r>
              <w:rPr>
                <w:color w:val="000000"/>
                <w:szCs w:val="18"/>
                <w:u w:val="single"/>
              </w:rPr>
              <w:t>90%</w:t>
            </w:r>
          </w:p>
          <w:p w14:paraId="6667DE5B" w14:textId="77777777" w:rsidR="00C32207" w:rsidRDefault="00C32207" w:rsidP="00C32207">
            <w:pPr>
              <w:pStyle w:val="Standaard-Tabellen"/>
              <w:rPr>
                <w:color w:val="000000"/>
                <w:szCs w:val="18"/>
              </w:rPr>
            </w:pPr>
            <w:r>
              <w:rPr>
                <w:color w:val="000000"/>
                <w:szCs w:val="18"/>
              </w:rPr>
              <w:t>1.</w:t>
            </w:r>
            <w:r w:rsidRPr="005F6907">
              <w:rPr>
                <w:color w:val="000000"/>
                <w:szCs w:val="18"/>
              </w:rPr>
              <w:t>2</w:t>
            </w:r>
          </w:p>
          <w:p w14:paraId="39CA3D0C" w14:textId="77777777" w:rsidR="00C32207" w:rsidRDefault="00C32207" w:rsidP="00C32207">
            <w:pPr>
              <w:pStyle w:val="Standaard-Tabellen"/>
              <w:rPr>
                <w:color w:val="000000"/>
                <w:szCs w:val="18"/>
                <w:u w:val="single"/>
              </w:rPr>
            </w:pPr>
            <w:r>
              <w:rPr>
                <w:color w:val="000000"/>
                <w:szCs w:val="18"/>
                <w:u w:val="single"/>
              </w:rPr>
              <w:t>110%</w:t>
            </w:r>
          </w:p>
          <w:p w14:paraId="1E94D618" w14:textId="77777777" w:rsidR="00C32207" w:rsidRPr="00A232B2" w:rsidRDefault="00C32207" w:rsidP="00C32207">
            <w:pPr>
              <w:pStyle w:val="Standaard-Tabellen"/>
              <w:rPr>
                <w:color w:val="000000"/>
                <w:szCs w:val="18"/>
              </w:rPr>
            </w:pPr>
            <w:r>
              <w:rPr>
                <w:color w:val="000000"/>
                <w:szCs w:val="18"/>
              </w:rPr>
              <w:t>0.5</w:t>
            </w:r>
          </w:p>
        </w:tc>
        <w:tc>
          <w:tcPr>
            <w:tcW w:w="573" w:type="pct"/>
          </w:tcPr>
          <w:p w14:paraId="4EE61D4D" w14:textId="77777777" w:rsidR="00C32207" w:rsidRPr="005F6907" w:rsidRDefault="00C32207" w:rsidP="00C32207">
            <w:pPr>
              <w:pStyle w:val="Standaard-Tabellen"/>
              <w:rPr>
                <w:color w:val="000000"/>
                <w:szCs w:val="18"/>
              </w:rPr>
            </w:pPr>
            <w:r w:rsidRPr="005F6907">
              <w:rPr>
                <w:color w:val="000000"/>
                <w:szCs w:val="18"/>
              </w:rPr>
              <w:t>5% w/w (=250 mg/L)</w:t>
            </w:r>
          </w:p>
          <w:p w14:paraId="6CFEF0DB" w14:textId="77777777" w:rsidR="00C32207" w:rsidRPr="005F6907" w:rsidRDefault="00C32207" w:rsidP="00C32207">
            <w:pPr>
              <w:pStyle w:val="Standaard-Tabellen"/>
              <w:rPr>
                <w:color w:val="000000"/>
                <w:szCs w:val="18"/>
              </w:rPr>
            </w:pPr>
          </w:p>
          <w:p w14:paraId="0B6AF241" w14:textId="77777777" w:rsidR="00C32207" w:rsidRPr="005F6907" w:rsidRDefault="00C32207" w:rsidP="00C32207">
            <w:pPr>
              <w:pStyle w:val="Standaard-Tabellen"/>
              <w:rPr>
                <w:color w:val="000000"/>
                <w:szCs w:val="18"/>
              </w:rPr>
            </w:pPr>
            <w:r w:rsidRPr="005F6907">
              <w:rPr>
                <w:color w:val="000000"/>
                <w:szCs w:val="18"/>
              </w:rPr>
              <w:t>7mg/L LOD</w:t>
            </w:r>
          </w:p>
        </w:tc>
        <w:tc>
          <w:tcPr>
            <w:tcW w:w="542" w:type="pct"/>
            <w:vMerge w:val="restart"/>
          </w:tcPr>
          <w:p w14:paraId="20DC6249" w14:textId="77777777" w:rsidR="00C32207" w:rsidRDefault="00C32207" w:rsidP="00C32207">
            <w:pPr>
              <w:pStyle w:val="Standaard-Tabellen"/>
              <w:rPr>
                <w:rFonts w:eastAsia="Calibri"/>
                <w:szCs w:val="18"/>
                <w:lang w:val="de-DE"/>
              </w:rPr>
            </w:pPr>
            <w:r w:rsidRPr="005F6907">
              <w:rPr>
                <w:rFonts w:eastAsia="Calibri"/>
                <w:szCs w:val="18"/>
                <w:lang w:val="de-DE"/>
              </w:rPr>
              <w:t xml:space="preserve">63172204, Meinerling, M. and Herrmann, S., 2011. </w:t>
            </w:r>
            <w:r w:rsidRPr="00CF07DF">
              <w:rPr>
                <w:rFonts w:eastAsia="Calibri"/>
                <w:szCs w:val="18"/>
                <w:lang w:val="de-DE"/>
              </w:rPr>
              <w:t>Institut für Biologische Analytik und Consulting IBACON GmbH</w:t>
            </w:r>
          </w:p>
          <w:p w14:paraId="41B3469D" w14:textId="77777777" w:rsidR="00C32207" w:rsidRDefault="00C32207" w:rsidP="00C32207">
            <w:pPr>
              <w:pStyle w:val="Standaard-Tabellen"/>
              <w:rPr>
                <w:rFonts w:eastAsia="Calibri"/>
                <w:szCs w:val="18"/>
                <w:lang w:val="de-DE"/>
              </w:rPr>
            </w:pPr>
          </w:p>
          <w:p w14:paraId="15A8C270" w14:textId="77777777" w:rsidR="00C32207" w:rsidRPr="008303FE" w:rsidRDefault="00C32207" w:rsidP="00C32207">
            <w:pPr>
              <w:pStyle w:val="Standaard-Tabellen"/>
              <w:rPr>
                <w:rFonts w:eastAsia="Calibri"/>
                <w:szCs w:val="18"/>
                <w:lang w:val="de-DE"/>
              </w:rPr>
            </w:pPr>
            <w:r w:rsidRPr="008303FE">
              <w:rPr>
                <w:rFonts w:eastAsia="Calibri"/>
                <w:szCs w:val="18"/>
                <w:lang w:val="de-DE"/>
              </w:rPr>
              <w:t>Meinerling, M. and Fieseler, A., 2016</w:t>
            </w:r>
          </w:p>
          <w:p w14:paraId="06380E85" w14:textId="77777777" w:rsidR="00C32207" w:rsidRDefault="00C32207" w:rsidP="00C32207">
            <w:pPr>
              <w:pStyle w:val="Standaard-Tabellen"/>
              <w:rPr>
                <w:rFonts w:eastAsia="Calibri"/>
                <w:szCs w:val="18"/>
                <w:lang w:val="de-DE"/>
              </w:rPr>
            </w:pPr>
          </w:p>
          <w:p w14:paraId="2F91B0E6" w14:textId="77777777" w:rsidR="00C32207" w:rsidRDefault="00C32207" w:rsidP="00C32207">
            <w:pPr>
              <w:pStyle w:val="Standaard-Tabellen"/>
              <w:rPr>
                <w:rFonts w:eastAsia="Calibri"/>
                <w:szCs w:val="18"/>
                <w:lang w:val="en-US"/>
              </w:rPr>
            </w:pPr>
            <w:r w:rsidRPr="00F07537">
              <w:rPr>
                <w:rFonts w:eastAsia="Calibri"/>
                <w:szCs w:val="18"/>
                <w:lang w:val="en-US"/>
              </w:rPr>
              <w:t>READ-ACROSS</w:t>
            </w:r>
            <w:r>
              <w:rPr>
                <w:rFonts w:eastAsia="Calibri"/>
                <w:szCs w:val="18"/>
                <w:lang w:val="en-US"/>
              </w:rPr>
              <w:t xml:space="preserve"> from </w:t>
            </w:r>
          </w:p>
          <w:p w14:paraId="033C4452" w14:textId="77777777" w:rsidR="00C32207" w:rsidRPr="00CF07DF" w:rsidRDefault="00C32207" w:rsidP="00C32207">
            <w:pPr>
              <w:pStyle w:val="Standaard-Tabellen"/>
              <w:rPr>
                <w:rFonts w:eastAsia="Calibri"/>
                <w:szCs w:val="18"/>
                <w:lang w:val="de-DE"/>
              </w:rPr>
            </w:pPr>
            <w:r w:rsidRPr="005E5F5C">
              <w:rPr>
                <w:rFonts w:eastAsia="Calibri"/>
                <w:szCs w:val="18"/>
                <w:lang w:val="en-US"/>
              </w:rPr>
              <w:t xml:space="preserve">98322204, Fieseler, A. 2015. </w:t>
            </w:r>
            <w:r w:rsidRPr="00CF07DF">
              <w:rPr>
                <w:rFonts w:eastAsia="Calibri"/>
                <w:szCs w:val="18"/>
                <w:lang w:val="de-DE"/>
              </w:rPr>
              <w:t>Institut für Biologische Analytik und Consulting IBACON GmbH</w:t>
            </w:r>
          </w:p>
        </w:tc>
      </w:tr>
      <w:tr w:rsidR="00C32207" w:rsidRPr="005D3853" w14:paraId="75FA4230" w14:textId="77777777" w:rsidTr="00854FF9">
        <w:trPr>
          <w:trHeight w:val="300"/>
        </w:trPr>
        <w:tc>
          <w:tcPr>
            <w:tcW w:w="807" w:type="pct"/>
            <w:shd w:val="clear" w:color="auto" w:fill="auto"/>
          </w:tcPr>
          <w:p w14:paraId="6C8097E9" w14:textId="77777777" w:rsidR="00C32207" w:rsidRPr="005F6907" w:rsidRDefault="00C32207" w:rsidP="00C32207">
            <w:pPr>
              <w:pStyle w:val="Standaard-Tabellen"/>
              <w:rPr>
                <w:i/>
                <w:color w:val="000000"/>
                <w:szCs w:val="18"/>
              </w:rPr>
            </w:pPr>
            <w:r>
              <w:rPr>
                <w:i/>
                <w:color w:val="000000"/>
                <w:szCs w:val="18"/>
              </w:rPr>
              <w:t>Free acid</w:t>
            </w:r>
            <w:r w:rsidRPr="005F6907">
              <w:rPr>
                <w:i/>
                <w:color w:val="000000"/>
                <w:szCs w:val="18"/>
              </w:rPr>
              <w:t xml:space="preserve"> – Lice Spray</w:t>
            </w:r>
          </w:p>
          <w:p w14:paraId="1C50B97C" w14:textId="77777777" w:rsidR="00C32207" w:rsidRPr="005F6907" w:rsidRDefault="00C32207" w:rsidP="00C32207">
            <w:pPr>
              <w:pStyle w:val="Standaard-Tabellen"/>
              <w:rPr>
                <w:i/>
                <w:color w:val="000000"/>
                <w:szCs w:val="18"/>
              </w:rPr>
            </w:pPr>
          </w:p>
        </w:tc>
        <w:tc>
          <w:tcPr>
            <w:tcW w:w="613" w:type="pct"/>
            <w:vMerge/>
          </w:tcPr>
          <w:p w14:paraId="5FE89CFE" w14:textId="77777777" w:rsidR="00C32207" w:rsidRPr="005F6907" w:rsidRDefault="00C32207" w:rsidP="00C32207">
            <w:pPr>
              <w:pStyle w:val="Standaard-Tabellen"/>
              <w:rPr>
                <w:color w:val="000000"/>
                <w:szCs w:val="18"/>
                <w:lang w:val="de-DE"/>
              </w:rPr>
            </w:pPr>
          </w:p>
        </w:tc>
        <w:tc>
          <w:tcPr>
            <w:tcW w:w="621" w:type="pct"/>
            <w:vMerge/>
          </w:tcPr>
          <w:p w14:paraId="79DB9908" w14:textId="77777777" w:rsidR="00C32207" w:rsidRPr="005F6907" w:rsidRDefault="00C32207" w:rsidP="00C32207">
            <w:pPr>
              <w:pStyle w:val="Standaard-Tabellen"/>
              <w:rPr>
                <w:color w:val="000000"/>
                <w:szCs w:val="18"/>
              </w:rPr>
            </w:pPr>
          </w:p>
        </w:tc>
        <w:tc>
          <w:tcPr>
            <w:tcW w:w="427" w:type="pct"/>
          </w:tcPr>
          <w:p w14:paraId="788AC329" w14:textId="353B68D4" w:rsidR="00C32207" w:rsidRPr="005F6907" w:rsidRDefault="00C32207" w:rsidP="00C32207">
            <w:pPr>
              <w:pStyle w:val="Standaard-Tabellen"/>
              <w:rPr>
                <w:color w:val="000000"/>
                <w:szCs w:val="18"/>
              </w:rPr>
            </w:pPr>
            <w:r w:rsidRPr="005F6907">
              <w:rPr>
                <w:color w:val="000000"/>
                <w:szCs w:val="18"/>
              </w:rPr>
              <w:t>Calibration curve between 5 and 300 mg/L</w:t>
            </w:r>
            <w:r w:rsidR="00323827">
              <w:rPr>
                <w:color w:val="000000"/>
                <w:szCs w:val="18"/>
              </w:rPr>
              <w:t>, based on at least 8 data points,</w:t>
            </w:r>
          </w:p>
          <w:p w14:paraId="7E6DF473" w14:textId="77777777" w:rsidR="00C32207" w:rsidRPr="005F6907" w:rsidRDefault="00C32207" w:rsidP="00C32207">
            <w:pPr>
              <w:pStyle w:val="Standaard-Tabellen"/>
              <w:rPr>
                <w:color w:val="000000"/>
                <w:szCs w:val="18"/>
              </w:rPr>
            </w:pPr>
            <w:r w:rsidRPr="005F6907">
              <w:rPr>
                <w:color w:val="000000"/>
                <w:szCs w:val="18"/>
              </w:rPr>
              <w:t>r2 =0.9999</w:t>
            </w:r>
          </w:p>
        </w:tc>
        <w:tc>
          <w:tcPr>
            <w:tcW w:w="505" w:type="pct"/>
            <w:vMerge/>
          </w:tcPr>
          <w:p w14:paraId="5B47EA05" w14:textId="77777777" w:rsidR="00C32207" w:rsidRPr="005F6907" w:rsidRDefault="00C32207" w:rsidP="00C32207">
            <w:pPr>
              <w:pStyle w:val="Standaard-Tabellen"/>
              <w:rPr>
                <w:color w:val="000000"/>
                <w:szCs w:val="18"/>
              </w:rPr>
            </w:pPr>
          </w:p>
        </w:tc>
        <w:tc>
          <w:tcPr>
            <w:tcW w:w="262" w:type="pct"/>
          </w:tcPr>
          <w:p w14:paraId="70E9A099" w14:textId="77777777" w:rsidR="00C32207" w:rsidRPr="00A232B2" w:rsidRDefault="00C32207" w:rsidP="00C32207">
            <w:pPr>
              <w:pStyle w:val="Standaard-Tabellen"/>
              <w:rPr>
                <w:color w:val="000000"/>
                <w:szCs w:val="18"/>
                <w:u w:val="single"/>
              </w:rPr>
            </w:pPr>
            <w:r>
              <w:rPr>
                <w:color w:val="000000"/>
                <w:szCs w:val="18"/>
                <w:u w:val="single"/>
              </w:rPr>
              <w:t>90%</w:t>
            </w:r>
          </w:p>
          <w:p w14:paraId="4DC3052B" w14:textId="77777777" w:rsidR="00C32207" w:rsidRDefault="00C32207" w:rsidP="00C32207">
            <w:pPr>
              <w:pStyle w:val="Standaard-Tabellen"/>
              <w:rPr>
                <w:color w:val="000000"/>
                <w:szCs w:val="18"/>
              </w:rPr>
            </w:pPr>
            <w:r>
              <w:rPr>
                <w:color w:val="000000"/>
                <w:szCs w:val="18"/>
              </w:rPr>
              <w:t>107-114</w:t>
            </w:r>
          </w:p>
          <w:p w14:paraId="4DAA1890" w14:textId="77777777" w:rsidR="00C32207" w:rsidRPr="00A232B2" w:rsidRDefault="00C32207" w:rsidP="00C32207">
            <w:pPr>
              <w:pStyle w:val="Standaard-Tabellen"/>
              <w:rPr>
                <w:color w:val="000000"/>
                <w:szCs w:val="18"/>
                <w:u w:val="single"/>
              </w:rPr>
            </w:pPr>
            <w:r>
              <w:rPr>
                <w:color w:val="000000"/>
                <w:szCs w:val="18"/>
                <w:u w:val="single"/>
              </w:rPr>
              <w:t>110%</w:t>
            </w:r>
          </w:p>
          <w:p w14:paraId="117D3344" w14:textId="77777777" w:rsidR="00C32207" w:rsidRPr="005F6907" w:rsidRDefault="00C32207" w:rsidP="00C32207">
            <w:pPr>
              <w:pStyle w:val="Standaard-Tabellen"/>
              <w:rPr>
                <w:color w:val="000000"/>
                <w:szCs w:val="18"/>
              </w:rPr>
            </w:pPr>
            <w:r>
              <w:rPr>
                <w:color w:val="000000"/>
                <w:szCs w:val="18"/>
              </w:rPr>
              <w:t>101-103</w:t>
            </w:r>
          </w:p>
        </w:tc>
        <w:tc>
          <w:tcPr>
            <w:tcW w:w="251" w:type="pct"/>
          </w:tcPr>
          <w:p w14:paraId="0B248136" w14:textId="77777777" w:rsidR="00C32207" w:rsidRPr="00A232B2" w:rsidRDefault="00C32207" w:rsidP="00C32207">
            <w:pPr>
              <w:pStyle w:val="Standaard-Tabellen"/>
              <w:rPr>
                <w:color w:val="000000"/>
                <w:szCs w:val="18"/>
                <w:u w:val="single"/>
              </w:rPr>
            </w:pPr>
            <w:r>
              <w:rPr>
                <w:color w:val="000000"/>
                <w:szCs w:val="18"/>
                <w:u w:val="single"/>
              </w:rPr>
              <w:t>90%</w:t>
            </w:r>
          </w:p>
          <w:p w14:paraId="127DAF5D" w14:textId="77777777" w:rsidR="00C32207" w:rsidRDefault="00C32207" w:rsidP="00C32207">
            <w:pPr>
              <w:pStyle w:val="Standaard-Tabellen"/>
              <w:rPr>
                <w:color w:val="000000"/>
                <w:szCs w:val="18"/>
              </w:rPr>
            </w:pPr>
            <w:r>
              <w:rPr>
                <w:color w:val="000000"/>
                <w:szCs w:val="18"/>
              </w:rPr>
              <w:t>111</w:t>
            </w:r>
          </w:p>
          <w:p w14:paraId="7ABD45D8" w14:textId="77777777" w:rsidR="00C32207" w:rsidRPr="00A232B2" w:rsidRDefault="00C32207" w:rsidP="00C32207">
            <w:pPr>
              <w:pStyle w:val="Standaard-Tabellen"/>
              <w:rPr>
                <w:color w:val="000000"/>
                <w:szCs w:val="18"/>
                <w:u w:val="single"/>
              </w:rPr>
            </w:pPr>
            <w:r>
              <w:rPr>
                <w:color w:val="000000"/>
                <w:szCs w:val="18"/>
                <w:u w:val="single"/>
              </w:rPr>
              <w:t>110%</w:t>
            </w:r>
          </w:p>
          <w:p w14:paraId="4A2D5F1D" w14:textId="77777777" w:rsidR="00C32207" w:rsidRPr="005F6907" w:rsidRDefault="00C32207" w:rsidP="00C32207">
            <w:pPr>
              <w:pStyle w:val="Standaard-Tabellen"/>
              <w:rPr>
                <w:color w:val="000000"/>
                <w:szCs w:val="18"/>
              </w:rPr>
            </w:pPr>
            <w:r w:rsidRPr="005F6907">
              <w:rPr>
                <w:color w:val="000000"/>
                <w:szCs w:val="18"/>
              </w:rPr>
              <w:t>10</w:t>
            </w:r>
            <w:r>
              <w:rPr>
                <w:color w:val="000000"/>
                <w:szCs w:val="18"/>
              </w:rPr>
              <w:t>2</w:t>
            </w:r>
          </w:p>
        </w:tc>
        <w:tc>
          <w:tcPr>
            <w:tcW w:w="399" w:type="pct"/>
          </w:tcPr>
          <w:p w14:paraId="49A6A7E3" w14:textId="77777777" w:rsidR="00C32207" w:rsidRPr="00A232B2" w:rsidRDefault="00C32207" w:rsidP="00C32207">
            <w:pPr>
              <w:pStyle w:val="Standaard-Tabellen"/>
              <w:rPr>
                <w:color w:val="000000"/>
                <w:szCs w:val="18"/>
                <w:u w:val="single"/>
              </w:rPr>
            </w:pPr>
            <w:r>
              <w:rPr>
                <w:color w:val="000000"/>
                <w:szCs w:val="18"/>
                <w:u w:val="single"/>
              </w:rPr>
              <w:t>90%</w:t>
            </w:r>
          </w:p>
          <w:p w14:paraId="19838CD4" w14:textId="77777777" w:rsidR="00C32207" w:rsidRDefault="00C32207" w:rsidP="00C32207">
            <w:pPr>
              <w:pStyle w:val="Standaard-Tabellen"/>
              <w:rPr>
                <w:color w:val="000000"/>
                <w:szCs w:val="18"/>
              </w:rPr>
            </w:pPr>
            <w:r>
              <w:rPr>
                <w:color w:val="000000"/>
                <w:szCs w:val="18"/>
              </w:rPr>
              <w:t>2.5</w:t>
            </w:r>
          </w:p>
          <w:p w14:paraId="66BE60ED" w14:textId="77777777" w:rsidR="00C32207" w:rsidRDefault="00C32207" w:rsidP="00C32207">
            <w:pPr>
              <w:pStyle w:val="Standaard-Tabellen"/>
              <w:rPr>
                <w:color w:val="000000"/>
                <w:szCs w:val="18"/>
                <w:u w:val="single"/>
              </w:rPr>
            </w:pPr>
            <w:r>
              <w:rPr>
                <w:color w:val="000000"/>
                <w:szCs w:val="18"/>
                <w:u w:val="single"/>
              </w:rPr>
              <w:t>110%</w:t>
            </w:r>
          </w:p>
          <w:p w14:paraId="309961FA" w14:textId="77777777" w:rsidR="00C32207" w:rsidRPr="00A232B2" w:rsidRDefault="00C32207" w:rsidP="00C32207">
            <w:pPr>
              <w:pStyle w:val="Standaard-Tabellen"/>
              <w:rPr>
                <w:color w:val="000000"/>
                <w:szCs w:val="18"/>
              </w:rPr>
            </w:pPr>
            <w:r>
              <w:rPr>
                <w:color w:val="000000"/>
                <w:szCs w:val="18"/>
              </w:rPr>
              <w:t>0.9</w:t>
            </w:r>
          </w:p>
        </w:tc>
        <w:tc>
          <w:tcPr>
            <w:tcW w:w="573" w:type="pct"/>
          </w:tcPr>
          <w:p w14:paraId="075093A8" w14:textId="77777777" w:rsidR="00C32207" w:rsidRPr="005F6907" w:rsidRDefault="00C32207" w:rsidP="00C32207">
            <w:pPr>
              <w:pStyle w:val="Standaard-Tabellen"/>
              <w:rPr>
                <w:color w:val="000000"/>
                <w:szCs w:val="18"/>
              </w:rPr>
            </w:pPr>
            <w:r>
              <w:rPr>
                <w:color w:val="000000"/>
                <w:szCs w:val="18"/>
              </w:rPr>
              <w:t>0.</w:t>
            </w:r>
            <w:r w:rsidRPr="005F6907">
              <w:rPr>
                <w:color w:val="000000"/>
                <w:szCs w:val="18"/>
              </w:rPr>
              <w:t>1% w/w (=5 mg/L)</w:t>
            </w:r>
          </w:p>
          <w:p w14:paraId="393D53B9" w14:textId="77777777" w:rsidR="00C32207" w:rsidRPr="005F6907" w:rsidRDefault="00C32207" w:rsidP="00C32207">
            <w:pPr>
              <w:pStyle w:val="Standaard-Tabellen"/>
              <w:rPr>
                <w:color w:val="000000"/>
                <w:szCs w:val="18"/>
              </w:rPr>
            </w:pPr>
          </w:p>
          <w:p w14:paraId="00C1A2D3" w14:textId="77777777" w:rsidR="00C32207" w:rsidRPr="005F6907" w:rsidRDefault="00C32207" w:rsidP="00C32207">
            <w:pPr>
              <w:pStyle w:val="Standaard-Tabellen"/>
              <w:rPr>
                <w:color w:val="000000"/>
                <w:szCs w:val="18"/>
              </w:rPr>
            </w:pPr>
            <w:r w:rsidRPr="005F6907">
              <w:rPr>
                <w:color w:val="000000"/>
                <w:szCs w:val="18"/>
              </w:rPr>
              <w:t>3mg/L LOD</w:t>
            </w:r>
          </w:p>
        </w:tc>
        <w:tc>
          <w:tcPr>
            <w:tcW w:w="542" w:type="pct"/>
            <w:vMerge/>
          </w:tcPr>
          <w:p w14:paraId="1F901820" w14:textId="77777777" w:rsidR="00C32207" w:rsidRPr="00567238" w:rsidRDefault="00C32207" w:rsidP="00C32207">
            <w:pPr>
              <w:pStyle w:val="Standaard-Tabellen"/>
              <w:rPr>
                <w:rFonts w:eastAsia="Calibri"/>
                <w:szCs w:val="18"/>
                <w:lang w:val="en-US"/>
              </w:rPr>
            </w:pPr>
          </w:p>
        </w:tc>
      </w:tr>
    </w:tbl>
    <w:p w14:paraId="1CCA2A7B" w14:textId="77777777" w:rsidR="00854FF9" w:rsidRDefault="00854FF9" w:rsidP="009823CF">
      <w:pPr>
        <w:pStyle w:val="Explanatorynotes"/>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72135A" w:rsidRPr="00BD2EF1" w14:paraId="48E2EB45" w14:textId="77777777" w:rsidTr="00EF0FF2">
        <w:tc>
          <w:tcPr>
            <w:tcW w:w="5000" w:type="pct"/>
            <w:tcBorders>
              <w:top w:val="single" w:sz="4" w:space="0" w:color="auto"/>
              <w:left w:val="single" w:sz="4" w:space="0" w:color="auto"/>
              <w:bottom w:val="single" w:sz="6" w:space="0" w:color="auto"/>
              <w:right w:val="single" w:sz="6" w:space="0" w:color="auto"/>
            </w:tcBorders>
            <w:shd w:val="clear" w:color="auto" w:fill="CCFFCC"/>
          </w:tcPr>
          <w:p w14:paraId="12CC764C" w14:textId="77777777" w:rsidR="0072135A" w:rsidRPr="00BD2EF1" w:rsidRDefault="0072135A" w:rsidP="0072135A">
            <w:pPr>
              <w:rPr>
                <w:rFonts w:eastAsia="Calibri"/>
                <w:b/>
                <w:lang w:eastAsia="en-US"/>
              </w:rPr>
            </w:pPr>
            <w:r w:rsidRPr="00BD2EF1">
              <w:rPr>
                <w:rFonts w:eastAsia="Calibri"/>
                <w:b/>
                <w:lang w:eastAsia="en-US"/>
              </w:rPr>
              <w:t>Conclusion on the methods for detection and identification</w:t>
            </w:r>
            <w:r w:rsidR="00854FF9">
              <w:rPr>
                <w:rFonts w:eastAsia="Calibri"/>
                <w:b/>
                <w:lang w:eastAsia="en-US"/>
              </w:rPr>
              <w:t xml:space="preserve"> </w:t>
            </w:r>
            <w:r w:rsidRPr="00BD2EF1">
              <w:rPr>
                <w:rFonts w:eastAsia="Calibri"/>
                <w:b/>
                <w:lang w:eastAsia="en-US"/>
              </w:rPr>
              <w:t>of the product</w:t>
            </w:r>
          </w:p>
        </w:tc>
      </w:tr>
      <w:tr w:rsidR="0072135A" w:rsidRPr="00BD2EF1" w14:paraId="4BAC0A65" w14:textId="77777777" w:rsidTr="00EF0FF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4688F9B" w14:textId="77777777" w:rsidR="00C32207" w:rsidRDefault="00C32207" w:rsidP="00C32207">
            <w:pPr>
              <w:rPr>
                <w:rFonts w:eastAsia="Calibri"/>
                <w:lang w:eastAsia="en-US"/>
              </w:rPr>
            </w:pPr>
            <w:r w:rsidRPr="0055134E">
              <w:rPr>
                <w:rFonts w:eastAsia="Calibri"/>
                <w:lang w:eastAsia="en-US"/>
              </w:rPr>
              <w:t xml:space="preserve">IR3535 and its metabolite IR3535 free acid (hydrolysis product) can both be determined in the </w:t>
            </w:r>
            <w:r>
              <w:rPr>
                <w:rFonts w:eastAsia="Calibri"/>
                <w:lang w:eastAsia="en-US"/>
              </w:rPr>
              <w:t xml:space="preserve">Pump Spray Lice </w:t>
            </w:r>
            <w:r w:rsidRPr="0055134E">
              <w:rPr>
                <w:rFonts w:eastAsia="Calibri"/>
                <w:lang w:eastAsia="en-US"/>
              </w:rPr>
              <w:t>product with an HPLC-Diode Array Detector/UV-VIS detector (at 220nm</w:t>
            </w:r>
            <w:r>
              <w:rPr>
                <w:rFonts w:eastAsia="Calibri"/>
                <w:lang w:eastAsia="en-US"/>
              </w:rPr>
              <w:t xml:space="preserve">) and a RP18 (250*4 mm) column. </w:t>
            </w:r>
            <w:r w:rsidRPr="0055134E">
              <w:rPr>
                <w:rFonts w:eastAsia="Calibri"/>
                <w:lang w:eastAsia="en-US"/>
              </w:rPr>
              <w:t>The identity of the analyte is confirmed by comparison of the retention times. The standard regression is linear. The method is repeatable. The mean recovery rates at each spi</w:t>
            </w:r>
            <w:r>
              <w:rPr>
                <w:rFonts w:eastAsia="Calibri"/>
                <w:lang w:eastAsia="en-US"/>
              </w:rPr>
              <w:t>king level are in the range of 100-111</w:t>
            </w:r>
            <w:r w:rsidRPr="0055134E">
              <w:rPr>
                <w:rFonts w:eastAsia="Calibri"/>
                <w:lang w:eastAsia="en-US"/>
              </w:rPr>
              <w:t xml:space="preserve">%. Repeated injection of the </w:t>
            </w:r>
            <w:r>
              <w:rPr>
                <w:rFonts w:eastAsia="Calibri"/>
                <w:lang w:eastAsia="en-US"/>
              </w:rPr>
              <w:t xml:space="preserve">Pump Spray Lice </w:t>
            </w:r>
            <w:r w:rsidRPr="0055134E">
              <w:rPr>
                <w:rFonts w:eastAsia="Calibri"/>
                <w:lang w:eastAsia="en-US"/>
              </w:rPr>
              <w:t xml:space="preserve">samples resulted in a coefficient of </w:t>
            </w:r>
            <w:r>
              <w:rPr>
                <w:rFonts w:eastAsia="Calibri"/>
                <w:lang w:eastAsia="en-US"/>
              </w:rPr>
              <w:t>variation which was less than 1.7 </w:t>
            </w:r>
            <w:r w:rsidRPr="0055134E">
              <w:rPr>
                <w:rFonts w:eastAsia="Calibri"/>
                <w:lang w:eastAsia="en-US"/>
              </w:rPr>
              <w:t>%. The limit of quantification (LOQ) is 5% for IR3535 corresponding to 250</w:t>
            </w:r>
            <w:r>
              <w:rPr>
                <w:rFonts w:eastAsia="Calibri"/>
                <w:lang w:eastAsia="en-US"/>
              </w:rPr>
              <w:t> </w:t>
            </w:r>
            <w:r w:rsidRPr="0055134E">
              <w:rPr>
                <w:rFonts w:eastAsia="Calibri"/>
                <w:lang w:eastAsia="en-US"/>
              </w:rPr>
              <w:t>mg/L and the limit of detection (LOD) is 7</w:t>
            </w:r>
            <w:r>
              <w:rPr>
                <w:rFonts w:eastAsia="Calibri"/>
                <w:lang w:eastAsia="en-US"/>
              </w:rPr>
              <w:t> </w:t>
            </w:r>
            <w:r w:rsidRPr="0055134E">
              <w:rPr>
                <w:rFonts w:eastAsia="Calibri"/>
                <w:lang w:eastAsia="en-US"/>
              </w:rPr>
              <w:t xml:space="preserve">mg/L for </w:t>
            </w:r>
            <w:r w:rsidRPr="0055134E">
              <w:rPr>
                <w:rFonts w:eastAsia="Calibri"/>
                <w:lang w:eastAsia="en-US"/>
              </w:rPr>
              <w:lastRenderedPageBreak/>
              <w:t xml:space="preserve">IR3535. The limit of quantification (LOQ) is </w:t>
            </w:r>
            <w:r>
              <w:rPr>
                <w:rFonts w:eastAsia="Calibri"/>
                <w:lang w:eastAsia="en-US"/>
              </w:rPr>
              <w:t>0.</w:t>
            </w:r>
            <w:r w:rsidRPr="0055134E">
              <w:rPr>
                <w:rFonts w:eastAsia="Calibri"/>
                <w:lang w:eastAsia="en-US"/>
              </w:rPr>
              <w:t>1% for IR3535 free acid corresponding to 5</w:t>
            </w:r>
            <w:r>
              <w:rPr>
                <w:rFonts w:eastAsia="Calibri"/>
                <w:lang w:eastAsia="en-US"/>
              </w:rPr>
              <w:t> </w:t>
            </w:r>
            <w:r w:rsidRPr="0055134E">
              <w:rPr>
                <w:rFonts w:eastAsia="Calibri"/>
                <w:lang w:eastAsia="en-US"/>
              </w:rPr>
              <w:t>mg/L and the limit of detection (LOD) is 3</w:t>
            </w:r>
            <w:r>
              <w:rPr>
                <w:rFonts w:eastAsia="Calibri"/>
                <w:lang w:eastAsia="en-US"/>
              </w:rPr>
              <w:t> </w:t>
            </w:r>
            <w:r w:rsidRPr="0055134E">
              <w:rPr>
                <w:rFonts w:eastAsia="Calibri"/>
                <w:lang w:eastAsia="en-US"/>
              </w:rPr>
              <w:t>mg/L for IR3535 free acid.</w:t>
            </w:r>
            <w:r>
              <w:rPr>
                <w:rFonts w:eastAsia="Calibri"/>
                <w:lang w:eastAsia="en-US"/>
              </w:rPr>
              <w:t xml:space="preserve"> </w:t>
            </w:r>
          </w:p>
          <w:p w14:paraId="7A5A0978" w14:textId="77777777" w:rsidR="00C32207" w:rsidRDefault="00C32207" w:rsidP="00C32207">
            <w:pPr>
              <w:rPr>
                <w:rFonts w:eastAsia="Calibri"/>
                <w:lang w:eastAsia="en-US"/>
              </w:rPr>
            </w:pPr>
          </w:p>
          <w:p w14:paraId="6B2A2A77" w14:textId="22DB3D8C" w:rsidR="00404BE0" w:rsidRPr="00404BE0" w:rsidRDefault="00C32207" w:rsidP="00C32207">
            <w:pPr>
              <w:rPr>
                <w:rFonts w:eastAsia="Calibri"/>
                <w:lang w:eastAsia="en-US"/>
              </w:rPr>
            </w:pPr>
            <w:r w:rsidRPr="00152EF4">
              <w:rPr>
                <w:rFonts w:eastAsia="Calibri"/>
                <w:lang w:val="en-US" w:eastAsia="en-US"/>
              </w:rPr>
              <w:t>F</w:t>
            </w:r>
            <w:r>
              <w:rPr>
                <w:rFonts w:eastAsia="Calibri"/>
                <w:lang w:val="en-US" w:eastAsia="en-US"/>
              </w:rPr>
              <w:t>or other analytical methods</w:t>
            </w:r>
            <w:r w:rsidRPr="00152EF4">
              <w:rPr>
                <w:rFonts w:eastAsia="Calibri"/>
                <w:lang w:val="en-US" w:eastAsia="en-US"/>
              </w:rPr>
              <w:t xml:space="preserve"> refer to the CAR of active substance</w:t>
            </w:r>
            <w:r>
              <w:rPr>
                <w:rFonts w:eastAsia="Calibri"/>
                <w:lang w:val="en-US" w:eastAsia="en-US"/>
              </w:rPr>
              <w:t>.</w:t>
            </w:r>
          </w:p>
        </w:tc>
      </w:tr>
    </w:tbl>
    <w:p w14:paraId="2082BB33" w14:textId="24DAF289" w:rsidR="00FD5106" w:rsidRDefault="00FD5106" w:rsidP="00FD5106">
      <w:pPr>
        <w:rPr>
          <w:lang w:eastAsia="en-US"/>
        </w:rPr>
      </w:pPr>
    </w:p>
    <w:p w14:paraId="7E974024" w14:textId="5C06E4AE" w:rsidR="00FD5106" w:rsidRPr="00762A41" w:rsidRDefault="00FD5106" w:rsidP="00FD5106">
      <w:pPr>
        <w:pStyle w:val="Paragraphedeliste"/>
        <w:numPr>
          <w:ilvl w:val="0"/>
          <w:numId w:val="68"/>
        </w:numPr>
        <w:rPr>
          <w:rFonts w:eastAsia="Calibri"/>
          <w:b/>
          <w:lang w:eastAsia="en-US"/>
        </w:rPr>
      </w:pPr>
      <w:r>
        <w:rPr>
          <w:lang w:eastAsia="en-US"/>
        </w:rPr>
        <w:tab/>
      </w:r>
      <w:r w:rsidRPr="00762A41">
        <w:rPr>
          <w:rFonts w:eastAsia="Calibri"/>
          <w:b/>
          <w:lang w:eastAsia="en-US"/>
        </w:rPr>
        <w:t>MAJOR CHANGE FOR SPRAY REPULSIF IR200 – 2019 (FR CA)</w:t>
      </w:r>
    </w:p>
    <w:p w14:paraId="7E8209C2" w14:textId="1FBF14F7" w:rsidR="00900DBB" w:rsidRDefault="00900DBB" w:rsidP="00FD5106">
      <w:pPr>
        <w:tabs>
          <w:tab w:val="left" w:pos="2733"/>
        </w:tabs>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FD5106" w:rsidRPr="00BD2EF1" w14:paraId="2C6B0244" w14:textId="77777777" w:rsidTr="00B24C59">
        <w:tc>
          <w:tcPr>
            <w:tcW w:w="5000" w:type="pct"/>
            <w:tcBorders>
              <w:top w:val="single" w:sz="4" w:space="0" w:color="auto"/>
              <w:left w:val="single" w:sz="4" w:space="0" w:color="auto"/>
              <w:bottom w:val="single" w:sz="6" w:space="0" w:color="auto"/>
              <w:right w:val="single" w:sz="6" w:space="0" w:color="auto"/>
            </w:tcBorders>
            <w:shd w:val="clear" w:color="auto" w:fill="CCFFCC"/>
          </w:tcPr>
          <w:p w14:paraId="458C24C2" w14:textId="77777777" w:rsidR="00FD5106" w:rsidRPr="00BD2EF1" w:rsidRDefault="00FD5106" w:rsidP="00B24C59">
            <w:pPr>
              <w:rPr>
                <w:rFonts w:eastAsia="Calibri"/>
                <w:b/>
                <w:lang w:eastAsia="en-US"/>
              </w:rPr>
            </w:pPr>
            <w:r w:rsidRPr="00BD2EF1">
              <w:rPr>
                <w:rFonts w:eastAsia="Calibri"/>
                <w:b/>
                <w:lang w:eastAsia="en-US"/>
              </w:rPr>
              <w:t>Conclusion on the methods for detection and identification</w:t>
            </w:r>
            <w:r>
              <w:rPr>
                <w:rFonts w:eastAsia="Calibri"/>
                <w:b/>
                <w:lang w:eastAsia="en-US"/>
              </w:rPr>
              <w:t xml:space="preserve"> </w:t>
            </w:r>
            <w:r w:rsidRPr="00BD2EF1">
              <w:rPr>
                <w:rFonts w:eastAsia="Calibri"/>
                <w:b/>
                <w:lang w:eastAsia="en-US"/>
              </w:rPr>
              <w:t>of the product</w:t>
            </w:r>
          </w:p>
        </w:tc>
      </w:tr>
      <w:tr w:rsidR="00FD5106" w:rsidRPr="00404BE0" w14:paraId="44E7C30D" w14:textId="77777777" w:rsidTr="00762A4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8B8642C" w14:textId="77777777" w:rsidR="00FD5106" w:rsidRPr="00404BE0" w:rsidRDefault="00FD5106" w:rsidP="00B24C59">
            <w:pPr>
              <w:rPr>
                <w:rFonts w:eastAsia="Calibri"/>
                <w:lang w:eastAsia="en-US"/>
              </w:rPr>
            </w:pPr>
            <w:r w:rsidRPr="00FD5106">
              <w:t>No modification of the conclusion on the methods for detection and identification of the product.</w:t>
            </w:r>
          </w:p>
        </w:tc>
      </w:tr>
    </w:tbl>
    <w:p w14:paraId="00940F11" w14:textId="77777777" w:rsidR="00FD5106" w:rsidRPr="00FD5106" w:rsidRDefault="00FD5106" w:rsidP="00FD5106">
      <w:pPr>
        <w:tabs>
          <w:tab w:val="left" w:pos="2733"/>
        </w:tabs>
        <w:rPr>
          <w:lang w:eastAsia="en-US"/>
        </w:rPr>
        <w:sectPr w:rsidR="00FD5106" w:rsidRPr="00FD5106" w:rsidSect="00F07537">
          <w:pgSz w:w="16838" w:h="11906" w:orient="landscape"/>
          <w:pgMar w:top="1247" w:right="1247" w:bottom="1247" w:left="1247" w:header="709" w:footer="709" w:gutter="0"/>
          <w:cols w:space="708"/>
          <w:docGrid w:linePitch="360"/>
        </w:sectPr>
      </w:pPr>
    </w:p>
    <w:p w14:paraId="77BD4F60" w14:textId="77777777" w:rsidR="00900DBB" w:rsidRPr="00BD2EF1" w:rsidRDefault="00900DBB" w:rsidP="00900DBB">
      <w:pPr>
        <w:pStyle w:val="Titre3"/>
        <w:rPr>
          <w:lang w:eastAsia="en-US"/>
        </w:rPr>
      </w:pPr>
      <w:bookmarkStart w:id="127" w:name="_Toc93326536"/>
      <w:r w:rsidRPr="00BD2EF1">
        <w:rPr>
          <w:lang w:eastAsia="en-US"/>
        </w:rPr>
        <w:lastRenderedPageBreak/>
        <w:t>Efficacy against target organisms</w:t>
      </w:r>
      <w:bookmarkEnd w:id="127"/>
    </w:p>
    <w:p w14:paraId="349B0752" w14:textId="77777777" w:rsidR="003839E7" w:rsidRPr="00BD2EF1" w:rsidRDefault="003839E7" w:rsidP="003839E7">
      <w:pPr>
        <w:pStyle w:val="Titre4"/>
      </w:pPr>
      <w:bookmarkStart w:id="128" w:name="_Toc93326537"/>
      <w:r w:rsidRPr="00BD2EF1">
        <w:t>Function and field of use</w:t>
      </w:r>
      <w:bookmarkEnd w:id="128"/>
    </w:p>
    <w:p w14:paraId="2AD56729" w14:textId="77777777" w:rsidR="00805040" w:rsidRPr="009461FB" w:rsidRDefault="00805040" w:rsidP="00805040">
      <w:pPr>
        <w:pStyle w:val="Paragraphedeliste"/>
        <w:numPr>
          <w:ilvl w:val="0"/>
          <w:numId w:val="68"/>
        </w:numPr>
        <w:rPr>
          <w:b/>
        </w:rPr>
      </w:pPr>
      <w:bookmarkStart w:id="129" w:name="_Toc389729036"/>
      <w:bookmarkStart w:id="130" w:name="_Toc403472745"/>
      <w:bookmarkStart w:id="131" w:name="_Toc403566566"/>
      <w:bookmarkStart w:id="132" w:name="_Toc425344107"/>
      <w:r w:rsidRPr="009461FB">
        <w:rPr>
          <w:b/>
        </w:rPr>
        <w:t>FIRST AUTHORISATION – 2017 (BE CA)</w:t>
      </w:r>
    </w:p>
    <w:p w14:paraId="3A7496CD" w14:textId="379309B6" w:rsidR="00851685" w:rsidRPr="00EA31AA" w:rsidRDefault="00AA169E" w:rsidP="00851685">
      <w:pPr>
        <w:rPr>
          <w:lang w:val="en-US"/>
        </w:rPr>
      </w:pPr>
      <w:r>
        <w:rPr>
          <w:lang w:val="en-US"/>
        </w:rPr>
        <w:t>Main Group 03</w:t>
      </w:r>
      <w:r w:rsidR="00851685" w:rsidRPr="00EA31AA">
        <w:rPr>
          <w:lang w:val="en-US"/>
        </w:rPr>
        <w:t>: Pest Control</w:t>
      </w:r>
    </w:p>
    <w:p w14:paraId="25CA114A" w14:textId="41E12BBA" w:rsidR="00851685" w:rsidRDefault="00851685" w:rsidP="00851685">
      <w:pPr>
        <w:rPr>
          <w:lang w:val="en-US"/>
        </w:rPr>
      </w:pPr>
      <w:r w:rsidRPr="00EA31AA">
        <w:rPr>
          <w:lang w:val="en-US"/>
        </w:rPr>
        <w:t>Product Type 19: Repellents and attractants</w:t>
      </w:r>
    </w:p>
    <w:p w14:paraId="5405FD0D" w14:textId="77777777" w:rsidR="00851685" w:rsidRPr="00EA31AA" w:rsidRDefault="00851685" w:rsidP="00851685">
      <w:pPr>
        <w:rPr>
          <w:lang w:val="en-US"/>
        </w:rPr>
      </w:pPr>
    </w:p>
    <w:p w14:paraId="04C9CC45" w14:textId="39E0AA4E" w:rsidR="00851685" w:rsidRDefault="00851685" w:rsidP="00851685">
      <w:pPr>
        <w:rPr>
          <w:lang w:val="en-US"/>
        </w:rPr>
      </w:pPr>
      <w:r w:rsidRPr="00E06579">
        <w:rPr>
          <w:lang w:val="en-US"/>
        </w:rPr>
        <w:t>The product</w:t>
      </w:r>
      <w:r>
        <w:rPr>
          <w:b/>
          <w:i/>
          <w:lang w:val="en-US"/>
        </w:rPr>
        <w:t xml:space="preserve"> </w:t>
      </w:r>
      <w:r w:rsidRPr="00EA31AA">
        <w:rPr>
          <w:b/>
          <w:i/>
          <w:lang w:val="en-US"/>
        </w:rPr>
        <w:t>Insect Repellent Pump Spray Lice IR3535</w:t>
      </w:r>
      <w:r w:rsidRPr="00851685">
        <w:rPr>
          <w:b/>
          <w:i/>
          <w:vertAlign w:val="superscript"/>
          <w:lang w:val="en-US"/>
        </w:rPr>
        <w:t>®</w:t>
      </w:r>
      <w:r w:rsidRPr="00EA31AA">
        <w:rPr>
          <w:b/>
          <w:i/>
          <w:lang w:val="en-US"/>
        </w:rPr>
        <w:t xml:space="preserve"> 20%</w:t>
      </w:r>
      <w:r w:rsidRPr="00EA31AA">
        <w:rPr>
          <w:lang w:val="en-US"/>
        </w:rPr>
        <w:t xml:space="preserve"> is presented as a ready-to-use leave-on pump spray to be applied on </w:t>
      </w:r>
      <w:r>
        <w:rPr>
          <w:lang w:val="en-US"/>
        </w:rPr>
        <w:t xml:space="preserve">clean &amp; dried </w:t>
      </w:r>
      <w:r w:rsidRPr="00EA31AA">
        <w:rPr>
          <w:lang w:val="en-US"/>
        </w:rPr>
        <w:t>human</w:t>
      </w:r>
      <w:r w:rsidR="006A1C73">
        <w:rPr>
          <w:lang w:val="en-US"/>
        </w:rPr>
        <w:t xml:space="preserve"> hair, the nape of the neck and behind the ears;</w:t>
      </w:r>
      <w:r w:rsidRPr="00EA31AA">
        <w:rPr>
          <w:lang w:val="en-US"/>
        </w:rPr>
        <w:t xml:space="preserve"> and </w:t>
      </w:r>
      <w:r>
        <w:rPr>
          <w:lang w:val="en-US"/>
        </w:rPr>
        <w:t xml:space="preserve">is </w:t>
      </w:r>
      <w:r w:rsidRPr="00EA31AA">
        <w:rPr>
          <w:lang w:val="en-US"/>
        </w:rPr>
        <w:t>intended</w:t>
      </w:r>
      <w:r>
        <w:rPr>
          <w:lang w:val="en-US"/>
        </w:rPr>
        <w:t xml:space="preserve"> to be used to repel human head-lice</w:t>
      </w:r>
      <w:r w:rsidR="00BF62E5">
        <w:rPr>
          <w:lang w:val="en-US"/>
        </w:rPr>
        <w:t xml:space="preserve"> (</w:t>
      </w:r>
      <w:r w:rsidR="00BF62E5" w:rsidRPr="00750927">
        <w:rPr>
          <w:i/>
          <w:lang w:val="en-US"/>
        </w:rPr>
        <w:t>Pediculus humanus capitis</w:t>
      </w:r>
      <w:r w:rsidR="00BF62E5">
        <w:rPr>
          <w:i/>
          <w:lang w:val="en-US"/>
        </w:rPr>
        <w:t>)</w:t>
      </w:r>
      <w:r w:rsidR="00BF62E5" w:rsidRPr="00F84A66">
        <w:rPr>
          <w:lang w:val="en-US"/>
        </w:rPr>
        <w:t xml:space="preserve"> only</w:t>
      </w:r>
      <w:r>
        <w:rPr>
          <w:lang w:val="en-US"/>
        </w:rPr>
        <w:t xml:space="preserve">, after a </w:t>
      </w:r>
      <w:r w:rsidRPr="00EA31AA">
        <w:rPr>
          <w:lang w:val="en-US"/>
        </w:rPr>
        <w:t>pediculicidal</w:t>
      </w:r>
      <w:r>
        <w:rPr>
          <w:lang w:val="en-US"/>
        </w:rPr>
        <w:t xml:space="preserve"> treatment.</w:t>
      </w:r>
    </w:p>
    <w:p w14:paraId="7AF23FF5" w14:textId="7F2D03F5" w:rsidR="00403721" w:rsidRPr="00403721" w:rsidRDefault="00403721" w:rsidP="00851685">
      <w:pPr>
        <w:rPr>
          <w:lang w:val="en-US"/>
        </w:rPr>
      </w:pPr>
    </w:p>
    <w:p w14:paraId="310ABA7C" w14:textId="77777777" w:rsidR="00805040" w:rsidRPr="008D7EDC" w:rsidRDefault="00805040" w:rsidP="008D7EDC">
      <w:pPr>
        <w:pStyle w:val="Paragraphedeliste"/>
        <w:numPr>
          <w:ilvl w:val="0"/>
          <w:numId w:val="68"/>
        </w:numPr>
        <w:shd w:val="clear" w:color="auto" w:fill="FFFFFF" w:themeFill="background1"/>
        <w:rPr>
          <w:rFonts w:eastAsia="Calibri"/>
          <w:b/>
          <w:lang w:eastAsia="en-US"/>
        </w:rPr>
      </w:pPr>
      <w:r>
        <w:rPr>
          <w:lang w:eastAsia="en-US"/>
        </w:rPr>
        <w:tab/>
      </w:r>
      <w:r w:rsidRPr="008D7EDC">
        <w:rPr>
          <w:rFonts w:eastAsia="Calibri"/>
          <w:b/>
          <w:lang w:eastAsia="en-US"/>
        </w:rPr>
        <w:t>MAJOR CHANGE FOR SPRAY REPULSIF IR200 – 2019 (FR CA)</w:t>
      </w:r>
    </w:p>
    <w:p w14:paraId="4EAE4DBB" w14:textId="7476FA88" w:rsidR="00697881" w:rsidRPr="00E624A9" w:rsidRDefault="00697881" w:rsidP="008D7EDC">
      <w:pPr>
        <w:shd w:val="clear" w:color="auto" w:fill="FFFFFF" w:themeFill="background1"/>
        <w:jc w:val="both"/>
        <w:rPr>
          <w:lang w:eastAsia="en-US"/>
        </w:rPr>
      </w:pPr>
      <w:r w:rsidRPr="00E624A9">
        <w:rPr>
          <w:lang w:eastAsia="en-US"/>
        </w:rPr>
        <w:t>The product SPRAY REPULSIF IR200</w:t>
      </w:r>
      <w:r>
        <w:rPr>
          <w:lang w:eastAsia="en-US"/>
        </w:rPr>
        <w:t xml:space="preserve"> (same as </w:t>
      </w:r>
      <w:r w:rsidR="007C683E" w:rsidRPr="00E624A9">
        <w:rPr>
          <w:lang w:eastAsia="en-US"/>
        </w:rPr>
        <w:t xml:space="preserve">INSECT REPELLENT PUMP SPRAY LICE </w:t>
      </w:r>
      <w:r w:rsidRPr="00E624A9">
        <w:rPr>
          <w:lang w:eastAsia="en-US"/>
        </w:rPr>
        <w:t>IR3535® 20%</w:t>
      </w:r>
      <w:r>
        <w:rPr>
          <w:lang w:eastAsia="en-US"/>
        </w:rPr>
        <w:t>)</w:t>
      </w:r>
      <w:r w:rsidRPr="00E624A9">
        <w:rPr>
          <w:lang w:eastAsia="en-US"/>
        </w:rPr>
        <w:t xml:space="preserve">, was </w:t>
      </w:r>
      <w:r>
        <w:rPr>
          <w:lang w:eastAsia="en-US"/>
        </w:rPr>
        <w:t xml:space="preserve">initially </w:t>
      </w:r>
      <w:r w:rsidRPr="00E624A9">
        <w:rPr>
          <w:lang w:eastAsia="en-US"/>
        </w:rPr>
        <w:t>authorized to be used to repel human head-lice (</w:t>
      </w:r>
      <w:r w:rsidRPr="00E624A9">
        <w:rPr>
          <w:i/>
          <w:lang w:eastAsia="en-US"/>
        </w:rPr>
        <w:t>Pediculus humanus capitis</w:t>
      </w:r>
      <w:r w:rsidRPr="00E624A9">
        <w:rPr>
          <w:lang w:eastAsia="en-US"/>
        </w:rPr>
        <w:t xml:space="preserve">) only, after a pediculicidal treatment. </w:t>
      </w:r>
    </w:p>
    <w:p w14:paraId="0FE8D76D" w14:textId="77777777" w:rsidR="00697881" w:rsidRPr="00E624A9" w:rsidRDefault="00697881" w:rsidP="008D7EDC">
      <w:pPr>
        <w:shd w:val="clear" w:color="auto" w:fill="FFFFFF" w:themeFill="background1"/>
        <w:jc w:val="both"/>
        <w:rPr>
          <w:lang w:eastAsia="en-US"/>
        </w:rPr>
      </w:pPr>
    </w:p>
    <w:p w14:paraId="43E1B822" w14:textId="51C8D958" w:rsidR="00697881" w:rsidRPr="00697881" w:rsidRDefault="00697881" w:rsidP="008D7EDC">
      <w:pPr>
        <w:shd w:val="clear" w:color="auto" w:fill="FFFFFF" w:themeFill="background1"/>
        <w:jc w:val="both"/>
        <w:rPr>
          <w:lang w:eastAsia="en-US"/>
        </w:rPr>
      </w:pPr>
      <w:r>
        <w:rPr>
          <w:lang w:eastAsia="en-US"/>
        </w:rPr>
        <w:t>The applicant requires a major</w:t>
      </w:r>
      <w:r w:rsidRPr="00E624A9">
        <w:rPr>
          <w:lang w:eastAsia="en-US"/>
        </w:rPr>
        <w:t xml:space="preserve"> change </w:t>
      </w:r>
      <w:r>
        <w:rPr>
          <w:lang w:eastAsia="en-US"/>
        </w:rPr>
        <w:t xml:space="preserve">application </w:t>
      </w:r>
      <w:r w:rsidRPr="007D7667">
        <w:rPr>
          <w:lang w:eastAsia="en-US"/>
        </w:rPr>
        <w:t>consist</w:t>
      </w:r>
      <w:r>
        <w:rPr>
          <w:lang w:eastAsia="en-US"/>
        </w:rPr>
        <w:t>ing of the</w:t>
      </w:r>
      <w:r w:rsidRPr="007D7667">
        <w:rPr>
          <w:lang w:eastAsia="en-US"/>
        </w:rPr>
        <w:t xml:space="preserve"> addition of</w:t>
      </w:r>
      <w:r>
        <w:rPr>
          <w:lang w:eastAsia="en-US"/>
        </w:rPr>
        <w:t xml:space="preserve"> uses </w:t>
      </w:r>
      <w:r w:rsidRPr="007D7667">
        <w:rPr>
          <w:lang w:eastAsia="en-US"/>
        </w:rPr>
        <w:t>by application on skin or on b</w:t>
      </w:r>
      <w:r>
        <w:rPr>
          <w:lang w:eastAsia="en-US"/>
        </w:rPr>
        <w:t>ed linen and/or cloth's surface and the</w:t>
      </w:r>
      <w:r w:rsidRPr="007D7667">
        <w:rPr>
          <w:lang w:eastAsia="en-US"/>
        </w:rPr>
        <w:t xml:space="preserve"> addition of target organisms</w:t>
      </w:r>
      <w:r>
        <w:rPr>
          <w:lang w:eastAsia="en-US"/>
        </w:rPr>
        <w:t>: mosquitoes (</w:t>
      </w:r>
      <w:r w:rsidRPr="007D7667">
        <w:rPr>
          <w:i/>
          <w:lang w:eastAsia="en-US"/>
        </w:rPr>
        <w:t>Aedes spp</w:t>
      </w:r>
      <w:r>
        <w:rPr>
          <w:i/>
          <w:lang w:eastAsia="en-US"/>
        </w:rPr>
        <w:t>.</w:t>
      </w:r>
      <w:r w:rsidRPr="007D7667">
        <w:rPr>
          <w:i/>
          <w:lang w:eastAsia="en-US"/>
        </w:rPr>
        <w:t>, Culex spp</w:t>
      </w:r>
      <w:r>
        <w:rPr>
          <w:i/>
          <w:lang w:eastAsia="en-US"/>
        </w:rPr>
        <w:t>.</w:t>
      </w:r>
      <w:r w:rsidRPr="007D7667">
        <w:rPr>
          <w:i/>
          <w:lang w:eastAsia="en-US"/>
        </w:rPr>
        <w:t xml:space="preserve"> </w:t>
      </w:r>
      <w:r w:rsidRPr="007D7667">
        <w:rPr>
          <w:lang w:eastAsia="en-US"/>
        </w:rPr>
        <w:t>and</w:t>
      </w:r>
      <w:r w:rsidRPr="007D7667">
        <w:rPr>
          <w:i/>
          <w:lang w:eastAsia="en-US"/>
        </w:rPr>
        <w:t xml:space="preserve"> Anopheles spp</w:t>
      </w:r>
      <w:r>
        <w:rPr>
          <w:i/>
          <w:lang w:eastAsia="en-US"/>
        </w:rPr>
        <w:t>.</w:t>
      </w:r>
      <w:r>
        <w:rPr>
          <w:lang w:eastAsia="en-US"/>
        </w:rPr>
        <w:t>), h</w:t>
      </w:r>
      <w:r w:rsidRPr="00C75DD6">
        <w:rPr>
          <w:lang w:eastAsia="en-US"/>
        </w:rPr>
        <w:t>ard ticks (</w:t>
      </w:r>
      <w:r w:rsidRPr="00C75DD6">
        <w:rPr>
          <w:i/>
          <w:lang w:eastAsia="en-US"/>
        </w:rPr>
        <w:t>Ixodes Ricinus</w:t>
      </w:r>
      <w:r w:rsidRPr="00C75DD6">
        <w:rPr>
          <w:lang w:eastAsia="en-US"/>
        </w:rPr>
        <w:t>)</w:t>
      </w:r>
      <w:r w:rsidRPr="00C75DD6">
        <w:rPr>
          <w:lang w:val="en-US"/>
        </w:rPr>
        <w:t xml:space="preserve"> </w:t>
      </w:r>
      <w:r>
        <w:rPr>
          <w:lang w:eastAsia="en-US"/>
        </w:rPr>
        <w:t>and house dust mites (</w:t>
      </w:r>
      <w:r>
        <w:rPr>
          <w:i/>
          <w:lang w:eastAsia="en-US"/>
        </w:rPr>
        <w:t xml:space="preserve">Dermatophagoïdes </w:t>
      </w:r>
      <w:r w:rsidRPr="007D7667">
        <w:rPr>
          <w:i/>
          <w:lang w:eastAsia="en-US"/>
        </w:rPr>
        <w:t>pteronyssinus</w:t>
      </w:r>
      <w:r w:rsidRPr="007D7667">
        <w:rPr>
          <w:lang w:eastAsia="en-US"/>
        </w:rPr>
        <w:t>)</w:t>
      </w:r>
      <w:r>
        <w:rPr>
          <w:lang w:eastAsia="en-US"/>
        </w:rPr>
        <w:t>.</w:t>
      </w:r>
    </w:p>
    <w:p w14:paraId="7CFDCCDB" w14:textId="77777777" w:rsidR="00403721" w:rsidRPr="00E06579" w:rsidRDefault="00403721" w:rsidP="00851685">
      <w:pPr>
        <w:rPr>
          <w:lang w:val="en-US"/>
        </w:rPr>
      </w:pPr>
    </w:p>
    <w:p w14:paraId="4CAE1FCC" w14:textId="77777777" w:rsidR="003839E7" w:rsidRPr="00BD2EF1" w:rsidRDefault="003839E7" w:rsidP="003839E7">
      <w:pPr>
        <w:pStyle w:val="Titre4"/>
      </w:pPr>
      <w:bookmarkStart w:id="133" w:name="_Toc93326538"/>
      <w:r w:rsidRPr="00BD2EF1">
        <w:t>Organisms to be controlled and products, organisms or objects to be protected</w:t>
      </w:r>
      <w:bookmarkEnd w:id="129"/>
      <w:bookmarkEnd w:id="130"/>
      <w:bookmarkEnd w:id="131"/>
      <w:bookmarkEnd w:id="132"/>
      <w:bookmarkEnd w:id="133"/>
    </w:p>
    <w:p w14:paraId="0D1528A9" w14:textId="77777777" w:rsidR="00805040" w:rsidRPr="009461FB" w:rsidRDefault="00805040" w:rsidP="00805040">
      <w:pPr>
        <w:pStyle w:val="Paragraphedeliste"/>
        <w:numPr>
          <w:ilvl w:val="0"/>
          <w:numId w:val="68"/>
        </w:numPr>
        <w:rPr>
          <w:b/>
        </w:rPr>
      </w:pPr>
      <w:bookmarkStart w:id="134" w:name="_Toc389729037"/>
      <w:bookmarkStart w:id="135" w:name="_Toc403472746"/>
      <w:bookmarkStart w:id="136" w:name="_Toc403566567"/>
      <w:bookmarkStart w:id="137" w:name="_Toc425344108"/>
      <w:r w:rsidRPr="009461FB">
        <w:rPr>
          <w:b/>
        </w:rPr>
        <w:t>FIRST AUTHORISATION – 2017 (BE CA)</w:t>
      </w:r>
    </w:p>
    <w:p w14:paraId="4F06BFCF" w14:textId="31A37D77" w:rsidR="00851685" w:rsidRDefault="00403721" w:rsidP="00403721">
      <w:pPr>
        <w:rPr>
          <w:lang w:val="en-US"/>
        </w:rPr>
      </w:pPr>
      <w:r w:rsidRPr="00EA31AA">
        <w:rPr>
          <w:lang w:val="en-US"/>
        </w:rPr>
        <w:t xml:space="preserve"> </w:t>
      </w:r>
      <w:r w:rsidR="00851685" w:rsidRPr="00EA31AA">
        <w:rPr>
          <w:lang w:val="en-US"/>
        </w:rPr>
        <w:t>According to the use claimed by the Applicant :</w:t>
      </w:r>
    </w:p>
    <w:p w14:paraId="50F934DA" w14:textId="77777777" w:rsidR="00851685" w:rsidRPr="00EA31AA" w:rsidRDefault="00851685" w:rsidP="00851685">
      <w:pPr>
        <w:rPr>
          <w:lang w:val="en-US"/>
        </w:rPr>
      </w:pPr>
    </w:p>
    <w:p w14:paraId="036D6212" w14:textId="77777777" w:rsidR="00851685" w:rsidRDefault="00851685" w:rsidP="00D471B6">
      <w:pPr>
        <w:pStyle w:val="Paragraphedeliste"/>
        <w:numPr>
          <w:ilvl w:val="0"/>
          <w:numId w:val="13"/>
        </w:numPr>
        <w:rPr>
          <w:lang w:val="en-US"/>
        </w:rPr>
      </w:pPr>
      <w:r w:rsidRPr="00EA31AA">
        <w:rPr>
          <w:lang w:val="en-US"/>
        </w:rPr>
        <w:t xml:space="preserve">The product </w:t>
      </w:r>
      <w:r w:rsidRPr="00B77104">
        <w:rPr>
          <w:b/>
          <w:i/>
          <w:lang w:val="en-US"/>
        </w:rPr>
        <w:t>Insect Repellent Pump Spray Lice IR3535</w:t>
      </w:r>
      <w:r w:rsidR="00B77104" w:rsidRPr="00B77104">
        <w:rPr>
          <w:vertAlign w:val="superscript"/>
          <w:lang w:val="en-US"/>
        </w:rPr>
        <w:t>®</w:t>
      </w:r>
      <w:r w:rsidRPr="00B77104">
        <w:rPr>
          <w:b/>
          <w:i/>
          <w:lang w:val="en-US"/>
        </w:rPr>
        <w:t xml:space="preserve"> 20%</w:t>
      </w:r>
      <w:r w:rsidRPr="00EA31AA">
        <w:rPr>
          <w:lang w:val="en-US"/>
        </w:rPr>
        <w:t xml:space="preserve"> is intended to be used to repel arthropods</w:t>
      </w:r>
      <w:r>
        <w:rPr>
          <w:lang w:val="en-US"/>
        </w:rPr>
        <w:t xml:space="preserve"> (PT19)</w:t>
      </w:r>
      <w:r w:rsidRPr="00EA31AA">
        <w:rPr>
          <w:lang w:val="en-US"/>
        </w:rPr>
        <w:t>.</w:t>
      </w:r>
    </w:p>
    <w:p w14:paraId="1657FBF9" w14:textId="77777777" w:rsidR="00851685" w:rsidRPr="00EA31AA" w:rsidRDefault="00851685" w:rsidP="00851685">
      <w:pPr>
        <w:pStyle w:val="Paragraphedeliste"/>
        <w:ind w:left="360" w:hanging="360"/>
        <w:rPr>
          <w:lang w:val="en-US"/>
        </w:rPr>
      </w:pPr>
    </w:p>
    <w:p w14:paraId="486A321C" w14:textId="77C5E4C5" w:rsidR="00851685" w:rsidRDefault="00851685" w:rsidP="00D471B6">
      <w:pPr>
        <w:pStyle w:val="Paragraphedeliste"/>
        <w:numPr>
          <w:ilvl w:val="0"/>
          <w:numId w:val="13"/>
        </w:numPr>
        <w:rPr>
          <w:lang w:val="en-US"/>
        </w:rPr>
      </w:pPr>
      <w:r w:rsidRPr="00EA31AA">
        <w:rPr>
          <w:lang w:val="en-US"/>
        </w:rPr>
        <w:t xml:space="preserve">The target organisms to be control are </w:t>
      </w:r>
      <w:r>
        <w:rPr>
          <w:lang w:val="en-US"/>
        </w:rPr>
        <w:t xml:space="preserve">human </w:t>
      </w:r>
      <w:r w:rsidRPr="00EA31AA">
        <w:rPr>
          <w:lang w:val="en-US"/>
        </w:rPr>
        <w:t>head-lice</w:t>
      </w:r>
      <w:r>
        <w:rPr>
          <w:lang w:val="en-US"/>
        </w:rPr>
        <w:t xml:space="preserve"> </w:t>
      </w:r>
      <w:r w:rsidR="00BF62E5">
        <w:rPr>
          <w:lang w:val="en-US"/>
        </w:rPr>
        <w:t>(</w:t>
      </w:r>
      <w:r w:rsidRPr="00750927">
        <w:rPr>
          <w:i/>
          <w:lang w:val="en-US"/>
        </w:rPr>
        <w:t>Pediculus humanus capitis</w:t>
      </w:r>
      <w:r w:rsidR="00BF62E5">
        <w:rPr>
          <w:i/>
          <w:lang w:val="en-US"/>
        </w:rPr>
        <w:t>)</w:t>
      </w:r>
      <w:r w:rsidR="00BF62E5">
        <w:rPr>
          <w:lang w:val="en-US"/>
        </w:rPr>
        <w:t xml:space="preserve"> only</w:t>
      </w:r>
      <w:r w:rsidRPr="00EA31AA">
        <w:rPr>
          <w:lang w:val="en-US"/>
        </w:rPr>
        <w:t>.</w:t>
      </w:r>
    </w:p>
    <w:p w14:paraId="2D112DEC" w14:textId="77777777" w:rsidR="00851685" w:rsidRPr="00851685" w:rsidRDefault="00851685" w:rsidP="00851685">
      <w:pPr>
        <w:rPr>
          <w:lang w:val="en-US"/>
        </w:rPr>
      </w:pPr>
    </w:p>
    <w:p w14:paraId="742023D6" w14:textId="281C08C6" w:rsidR="00403721" w:rsidRDefault="00851685" w:rsidP="00403721">
      <w:pPr>
        <w:pStyle w:val="Paragraphedeliste"/>
        <w:numPr>
          <w:ilvl w:val="0"/>
          <w:numId w:val="13"/>
        </w:numPr>
        <w:rPr>
          <w:lang w:val="en-US"/>
        </w:rPr>
      </w:pPr>
      <w:r w:rsidRPr="00EA31AA">
        <w:rPr>
          <w:lang w:val="en-US"/>
        </w:rPr>
        <w:t>The organisms to be protected are humans.</w:t>
      </w:r>
    </w:p>
    <w:p w14:paraId="3A0559AC" w14:textId="77777777" w:rsidR="00403721" w:rsidRPr="00403721" w:rsidRDefault="00403721" w:rsidP="00403721">
      <w:pPr>
        <w:pStyle w:val="Paragraphedeliste"/>
        <w:rPr>
          <w:lang w:val="en-US"/>
        </w:rPr>
      </w:pPr>
    </w:p>
    <w:p w14:paraId="5CB1E861" w14:textId="77777777" w:rsidR="00805040" w:rsidRPr="008D7EDC" w:rsidRDefault="00805040" w:rsidP="00805040">
      <w:pPr>
        <w:pStyle w:val="Paragraphedeliste"/>
        <w:numPr>
          <w:ilvl w:val="0"/>
          <w:numId w:val="68"/>
        </w:numPr>
        <w:rPr>
          <w:rFonts w:eastAsia="Calibri"/>
          <w:b/>
          <w:lang w:eastAsia="en-US"/>
        </w:rPr>
      </w:pPr>
      <w:r>
        <w:rPr>
          <w:lang w:eastAsia="en-US"/>
        </w:rPr>
        <w:tab/>
      </w:r>
      <w:r w:rsidRPr="008D7EDC">
        <w:rPr>
          <w:rFonts w:eastAsia="Calibri"/>
          <w:b/>
          <w:lang w:eastAsia="en-US"/>
        </w:rPr>
        <w:t>MAJOR CHANGE FOR SPRAY REPULSIF IR200 – 2019 (FR CA)</w:t>
      </w:r>
    </w:p>
    <w:p w14:paraId="78E0A88D" w14:textId="77777777" w:rsidR="009B2E88" w:rsidRPr="008D7EDC" w:rsidRDefault="009B2E88" w:rsidP="008D7EDC">
      <w:pPr>
        <w:shd w:val="clear" w:color="auto" w:fill="FFFFFF" w:themeFill="background1"/>
        <w:rPr>
          <w:iCs/>
          <w:lang w:eastAsia="en-US"/>
        </w:rPr>
      </w:pPr>
      <w:r w:rsidRPr="008D7EDC">
        <w:rPr>
          <w:iCs/>
          <w:lang w:eastAsia="en-US"/>
        </w:rPr>
        <w:t>According to the new uses claimed by the applicant, in the frame of the major change application, the new target organisms to be control are:</w:t>
      </w:r>
    </w:p>
    <w:p w14:paraId="5DAF1C9C" w14:textId="77777777" w:rsidR="009B2E88" w:rsidRPr="008D7EDC" w:rsidRDefault="009B2E88" w:rsidP="008D7EDC">
      <w:pPr>
        <w:pStyle w:val="Paragraphedeliste"/>
        <w:numPr>
          <w:ilvl w:val="0"/>
          <w:numId w:val="46"/>
        </w:numPr>
        <w:shd w:val="clear" w:color="auto" w:fill="FFFFFF" w:themeFill="background1"/>
        <w:rPr>
          <w:lang w:val="en-US"/>
        </w:rPr>
      </w:pPr>
      <w:r w:rsidRPr="008D7EDC">
        <w:rPr>
          <w:lang w:val="en-US"/>
        </w:rPr>
        <w:t>Mosquitoes (</w:t>
      </w:r>
      <w:r w:rsidRPr="008D7EDC">
        <w:rPr>
          <w:i/>
          <w:lang w:val="en-US"/>
        </w:rPr>
        <w:t>Aedes aegypti, Culex quinquefasciatus, Aedes albopictus and Anopheles gambiae</w:t>
      </w:r>
      <w:r w:rsidRPr="008D7EDC">
        <w:rPr>
          <w:lang w:val="en-US"/>
        </w:rPr>
        <w:t>) by application on skin and cloth's surface (cotton and polyester) in temperate and tropical conditions.</w:t>
      </w:r>
    </w:p>
    <w:p w14:paraId="21E98263" w14:textId="77777777" w:rsidR="009B2E88" w:rsidRPr="008D7EDC" w:rsidRDefault="009B2E88" w:rsidP="008D7EDC">
      <w:pPr>
        <w:pStyle w:val="Paragraphedeliste"/>
        <w:numPr>
          <w:ilvl w:val="0"/>
          <w:numId w:val="46"/>
        </w:numPr>
        <w:shd w:val="clear" w:color="auto" w:fill="FFFFFF" w:themeFill="background1"/>
        <w:rPr>
          <w:lang w:val="en-US"/>
        </w:rPr>
      </w:pPr>
      <w:r w:rsidRPr="008D7EDC">
        <w:rPr>
          <w:lang w:eastAsia="en-US"/>
        </w:rPr>
        <w:t>Hard ticks (</w:t>
      </w:r>
      <w:r w:rsidRPr="008D7EDC">
        <w:rPr>
          <w:i/>
          <w:lang w:eastAsia="en-US"/>
        </w:rPr>
        <w:t>Ixodes Ricinus</w:t>
      </w:r>
      <w:r w:rsidRPr="008D7EDC">
        <w:rPr>
          <w:lang w:eastAsia="en-US"/>
        </w:rPr>
        <w:t>)</w:t>
      </w:r>
      <w:r w:rsidRPr="008D7EDC">
        <w:rPr>
          <w:lang w:val="en-US"/>
        </w:rPr>
        <w:t xml:space="preserve"> by application on skin and cloth's surface (cotton and polyester) in temperate conditions.</w:t>
      </w:r>
    </w:p>
    <w:p w14:paraId="163BD128" w14:textId="3DDD4698" w:rsidR="009B2E88" w:rsidRPr="008D7EDC" w:rsidRDefault="009B2E88" w:rsidP="008D7EDC">
      <w:pPr>
        <w:pStyle w:val="Paragraphedeliste"/>
        <w:numPr>
          <w:ilvl w:val="0"/>
          <w:numId w:val="46"/>
        </w:numPr>
        <w:shd w:val="clear" w:color="auto" w:fill="FFFFFF" w:themeFill="background1"/>
        <w:rPr>
          <w:lang w:val="en-US"/>
        </w:rPr>
      </w:pPr>
      <w:r w:rsidRPr="008D7EDC">
        <w:rPr>
          <w:lang w:eastAsia="en-US"/>
        </w:rPr>
        <w:t>Human head lice (</w:t>
      </w:r>
      <w:r w:rsidRPr="008D7EDC">
        <w:rPr>
          <w:i/>
          <w:lang w:eastAsia="en-US"/>
        </w:rPr>
        <w:t xml:space="preserve">Pediculus </w:t>
      </w:r>
      <w:r w:rsidR="00375850" w:rsidRPr="008D7EDC">
        <w:rPr>
          <w:i/>
          <w:lang w:eastAsia="en-US"/>
        </w:rPr>
        <w:t>humanus</w:t>
      </w:r>
      <w:r w:rsidRPr="008D7EDC">
        <w:rPr>
          <w:i/>
          <w:lang w:eastAsia="en-US"/>
        </w:rPr>
        <w:t xml:space="preserve"> capitis</w:t>
      </w:r>
      <w:r w:rsidRPr="008D7EDC">
        <w:rPr>
          <w:lang w:eastAsia="en-US"/>
        </w:rPr>
        <w:t xml:space="preserve">) </w:t>
      </w:r>
      <w:r w:rsidRPr="008D7EDC">
        <w:rPr>
          <w:lang w:val="en-US"/>
        </w:rPr>
        <w:t>by application on skin and cloth's surface (cotton and polyester).</w:t>
      </w:r>
    </w:p>
    <w:p w14:paraId="01702ECE" w14:textId="162FEE09" w:rsidR="009B2E88" w:rsidRPr="008D7EDC" w:rsidRDefault="009B2E88" w:rsidP="008D7EDC">
      <w:pPr>
        <w:pStyle w:val="Paragraphedeliste"/>
        <w:numPr>
          <w:ilvl w:val="0"/>
          <w:numId w:val="46"/>
        </w:numPr>
        <w:shd w:val="clear" w:color="auto" w:fill="FFFFFF" w:themeFill="background1"/>
      </w:pPr>
      <w:r w:rsidRPr="008D7EDC">
        <w:rPr>
          <w:lang w:eastAsia="en-US"/>
        </w:rPr>
        <w:t>House dust mites (</w:t>
      </w:r>
      <w:r w:rsidRPr="008D7EDC">
        <w:rPr>
          <w:i/>
          <w:lang w:eastAsia="en-US"/>
        </w:rPr>
        <w:t>Dermatophagoïdes pteronyssinus</w:t>
      </w:r>
      <w:r w:rsidRPr="008D7EDC">
        <w:rPr>
          <w:lang w:eastAsia="en-US"/>
        </w:rPr>
        <w:t>)</w:t>
      </w:r>
      <w:r w:rsidRPr="008D7EDC">
        <w:rPr>
          <w:lang w:val="en-US"/>
        </w:rPr>
        <w:t xml:space="preserve"> by application on bed linen/cloth's surface (cotton).</w:t>
      </w:r>
    </w:p>
    <w:p w14:paraId="56895232" w14:textId="77777777" w:rsidR="00403721" w:rsidRPr="00403721" w:rsidRDefault="00403721" w:rsidP="00403721">
      <w:pPr>
        <w:rPr>
          <w:lang w:val="en-US"/>
        </w:rPr>
      </w:pPr>
    </w:p>
    <w:p w14:paraId="1621C04C" w14:textId="77777777" w:rsidR="003839E7" w:rsidRPr="00BD2EF1" w:rsidRDefault="003839E7" w:rsidP="003839E7">
      <w:pPr>
        <w:pStyle w:val="Titre4"/>
      </w:pPr>
      <w:bookmarkStart w:id="138" w:name="_Toc93326539"/>
      <w:r w:rsidRPr="00BD2EF1">
        <w:lastRenderedPageBreak/>
        <w:t>Effects on target organisms, including unacceptable suffering</w:t>
      </w:r>
      <w:bookmarkEnd w:id="134"/>
      <w:bookmarkEnd w:id="135"/>
      <w:bookmarkEnd w:id="136"/>
      <w:bookmarkEnd w:id="137"/>
      <w:bookmarkEnd w:id="138"/>
    </w:p>
    <w:p w14:paraId="5891749E" w14:textId="77777777" w:rsidR="00805040" w:rsidRPr="009461FB" w:rsidRDefault="00805040" w:rsidP="00805040">
      <w:pPr>
        <w:pStyle w:val="Paragraphedeliste"/>
        <w:numPr>
          <w:ilvl w:val="0"/>
          <w:numId w:val="68"/>
        </w:numPr>
        <w:rPr>
          <w:b/>
        </w:rPr>
      </w:pPr>
      <w:bookmarkStart w:id="139" w:name="_Toc389729038"/>
      <w:bookmarkStart w:id="140" w:name="_Toc403472747"/>
      <w:bookmarkStart w:id="141" w:name="_Toc403566568"/>
      <w:bookmarkStart w:id="142" w:name="_Toc425344109"/>
      <w:r w:rsidRPr="009461FB">
        <w:rPr>
          <w:b/>
        </w:rPr>
        <w:t>FIRST AUTHORISATION – 2017 (BE CA)</w:t>
      </w:r>
    </w:p>
    <w:p w14:paraId="27DAEFF7" w14:textId="092E9329" w:rsidR="00851685" w:rsidRPr="00851685" w:rsidRDefault="00851685" w:rsidP="00851685">
      <w:pPr>
        <w:rPr>
          <w:b/>
          <w:u w:val="single"/>
        </w:rPr>
      </w:pPr>
      <w:r w:rsidRPr="00851685">
        <w:rPr>
          <w:b/>
          <w:u w:val="single"/>
          <w:lang w:val="en-US"/>
        </w:rPr>
        <w:t>Important n</w:t>
      </w:r>
      <w:r w:rsidRPr="00851685">
        <w:rPr>
          <w:b/>
          <w:u w:val="single"/>
        </w:rPr>
        <w:t xml:space="preserve">ote from the eCA : </w:t>
      </w:r>
    </w:p>
    <w:p w14:paraId="15348DBB" w14:textId="77777777" w:rsidR="00851685" w:rsidRPr="00BF2D10" w:rsidRDefault="00851685" w:rsidP="00851685">
      <w:r w:rsidRPr="00BF2D10">
        <w:rPr>
          <w:lang w:val="en-US"/>
        </w:rPr>
        <w:t>R</w:t>
      </w:r>
      <w:r>
        <w:t>equire</w:t>
      </w:r>
      <w:r w:rsidRPr="00BF2D10">
        <w:t>ments and pass criteria for repellents used against lice are not currently mentioned in the TNsG on Product Evaluation-PT18&amp;19.</w:t>
      </w:r>
    </w:p>
    <w:p w14:paraId="26172959" w14:textId="77777777" w:rsidR="00BF62E5" w:rsidRPr="00BF2D10" w:rsidRDefault="00851685" w:rsidP="00BF62E5">
      <w:r w:rsidRPr="00BF2D10">
        <w:t>Lice are irritating, not highly dangerous but they might spread diseases. Lice are most common in children in a school or day care setting and may be consi</w:t>
      </w:r>
      <w:r>
        <w:t xml:space="preserve">dered as a public health issue. So, </w:t>
      </w:r>
      <w:r w:rsidRPr="00BF2D10">
        <w:t>BE eCA is of the opinion that a repellent against lice might be considered to be sufficiently “effective” if more than 90% repellence can be achieved in lab conditions and more than 80% repellence in field conditions</w:t>
      </w:r>
      <w:r w:rsidR="00BF62E5">
        <w:t>*</w:t>
      </w:r>
      <w:r w:rsidR="00BF62E5" w:rsidRPr="00BF2D10">
        <w:t>.</w:t>
      </w:r>
    </w:p>
    <w:p w14:paraId="619A0150" w14:textId="77777777" w:rsidR="00BF62E5" w:rsidRPr="00851685" w:rsidRDefault="00BF62E5" w:rsidP="00BF62E5">
      <w:pPr>
        <w:rPr>
          <w:rFonts w:eastAsia="Calibri"/>
          <w:lang w:val="en-US"/>
        </w:rPr>
      </w:pPr>
    </w:p>
    <w:p w14:paraId="6C314CED" w14:textId="77777777" w:rsidR="00BF62E5" w:rsidRDefault="00BF62E5" w:rsidP="00BF62E5">
      <w:pPr>
        <w:spacing w:before="0" w:after="0" w:line="276" w:lineRule="auto"/>
        <w:rPr>
          <w:rFonts w:eastAsia="Calibri"/>
          <w:lang w:val="en-US"/>
        </w:rPr>
      </w:pPr>
      <w:r w:rsidRPr="00255B47">
        <w:rPr>
          <w:rFonts w:eastAsia="Calibri"/>
          <w:lang w:val="en-US"/>
        </w:rPr>
        <w:t>*</w:t>
      </w:r>
      <w:r>
        <w:rPr>
          <w:rFonts w:eastAsia="Calibri"/>
          <w:lang w:val="en-US"/>
        </w:rPr>
        <w:t xml:space="preserve"> Please note that other MSs </w:t>
      </w:r>
      <w:r>
        <w:t>are rather in favour of an efficacy criteria of 90 % for field test</w:t>
      </w:r>
    </w:p>
    <w:p w14:paraId="3A610B65" w14:textId="77777777" w:rsidR="00BF62E5" w:rsidRDefault="00BF62E5" w:rsidP="00BF62E5">
      <w:pPr>
        <w:spacing w:before="0" w:after="0" w:line="276" w:lineRule="auto"/>
        <w:rPr>
          <w:lang w:val="en-US"/>
        </w:rPr>
      </w:pPr>
      <w:r>
        <w:t xml:space="preserve">(same efficacy criteria than ticks for field test). </w:t>
      </w:r>
      <w:r w:rsidRPr="00BD0F09">
        <w:rPr>
          <w:lang w:val="en-US"/>
        </w:rPr>
        <w:t xml:space="preserve">This </w:t>
      </w:r>
      <w:r>
        <w:rPr>
          <w:lang w:val="en-US"/>
        </w:rPr>
        <w:t xml:space="preserve">issue about </w:t>
      </w:r>
      <w:r w:rsidRPr="00BD0F09">
        <w:rPr>
          <w:lang w:val="en-US"/>
        </w:rPr>
        <w:t>pass criteria must be</w:t>
      </w:r>
      <w:r>
        <w:rPr>
          <w:lang w:val="en-US"/>
        </w:rPr>
        <w:t xml:space="preserve"> discussed &amp;</w:t>
      </w:r>
      <w:r w:rsidRPr="00BD0F09">
        <w:rPr>
          <w:lang w:val="en-US"/>
        </w:rPr>
        <w:t xml:space="preserve"> confirmed by the WG</w:t>
      </w:r>
      <w:r>
        <w:rPr>
          <w:lang w:val="en-US"/>
        </w:rPr>
        <w:t xml:space="preserve"> and then applied for all other similar products.</w:t>
      </w:r>
    </w:p>
    <w:p w14:paraId="37FEFFBA" w14:textId="77777777" w:rsidR="00BF62E5" w:rsidRDefault="00BF62E5" w:rsidP="00BF62E5">
      <w:pPr>
        <w:spacing w:before="0" w:after="0" w:line="276" w:lineRule="auto"/>
      </w:pPr>
      <w:r>
        <w:rPr>
          <w:lang w:val="en-US"/>
        </w:rPr>
        <w:t xml:space="preserve">However, since </w:t>
      </w:r>
      <w:r w:rsidRPr="00B83463">
        <w:rPr>
          <w:lang w:val="en-US"/>
        </w:rPr>
        <w:t>the claim should read “limits the infestation with head lice“</w:t>
      </w:r>
      <w:r>
        <w:rPr>
          <w:lang w:val="en-US"/>
        </w:rPr>
        <w:t xml:space="preserve"> </w:t>
      </w:r>
      <w:r w:rsidRPr="00B83463">
        <w:rPr>
          <w:lang w:val="en-US"/>
        </w:rPr>
        <w:t xml:space="preserve">and not “prevents... </w:t>
      </w:r>
      <w:r>
        <w:t>“, we’re of the opinion that a 80% pass criteria could be acceptable and sufficient.</w:t>
      </w:r>
    </w:p>
    <w:p w14:paraId="2B96A25A" w14:textId="77777777" w:rsidR="00851685" w:rsidRPr="00851685" w:rsidRDefault="00851685" w:rsidP="00851685">
      <w:pPr>
        <w:rPr>
          <w:rFonts w:eastAsia="Calibri"/>
          <w:lang w:val="en-US"/>
        </w:rPr>
      </w:pPr>
    </w:p>
    <w:p w14:paraId="4CDF102A" w14:textId="6DA04E5F" w:rsidR="00851685" w:rsidRPr="00851685" w:rsidRDefault="00851685" w:rsidP="00851685">
      <w:pPr>
        <w:rPr>
          <w:rFonts w:eastAsia="Calibri"/>
          <w:lang w:val="en-US"/>
        </w:rPr>
      </w:pPr>
      <w:r w:rsidRPr="00851685">
        <w:rPr>
          <w:rFonts w:eastAsia="Calibri"/>
          <w:lang w:val="en-US"/>
        </w:rPr>
        <w:t>The applicant submitted 2 following field studies:</w:t>
      </w:r>
    </w:p>
    <w:p w14:paraId="247C0150" w14:textId="5F90C4F2" w:rsidR="00851685" w:rsidRPr="0053704B" w:rsidRDefault="00851685" w:rsidP="005240CE">
      <w:pPr>
        <w:pStyle w:val="Paragraphedeliste"/>
        <w:numPr>
          <w:ilvl w:val="0"/>
          <w:numId w:val="14"/>
        </w:numPr>
        <w:spacing w:before="360" w:after="0"/>
        <w:rPr>
          <w:rFonts w:eastAsia="Calibri"/>
          <w:i/>
          <w:lang w:val="en-US"/>
        </w:rPr>
      </w:pPr>
      <w:r w:rsidRPr="0053704B">
        <w:rPr>
          <w:rFonts w:eastAsia="Calibri"/>
          <w:i/>
          <w:lang w:val="en-US"/>
        </w:rPr>
        <w:t>A randomised comparative bio-clinical in vivo trial to demonstrate the efficacy of a repellent lotion (20% w/w IR3535 in an ethanol excipient a 95%) versus a negative control formulation and a reference product (20% w/w DEET) in order to evaluate its efficacy to prevent re-infestation of adult lice on children living in a very infested environment, after treatment with an anti-lice shampoo.</w:t>
      </w:r>
    </w:p>
    <w:p w14:paraId="0C73F09D" w14:textId="77777777" w:rsidR="00BF62E5" w:rsidRDefault="00BF62E5" w:rsidP="004D6630">
      <w:pPr>
        <w:ind w:left="360"/>
        <w:rPr>
          <w:rFonts w:eastAsia="Calibri"/>
          <w:iCs/>
          <w:lang w:val="en-US"/>
        </w:rPr>
      </w:pPr>
    </w:p>
    <w:p w14:paraId="444B1CAC" w14:textId="77777777" w:rsidR="00851685" w:rsidRPr="00BF2D10" w:rsidRDefault="00851685" w:rsidP="004D6630">
      <w:pPr>
        <w:ind w:left="360"/>
        <w:rPr>
          <w:i/>
          <w:lang w:val="en-US"/>
        </w:rPr>
      </w:pPr>
      <w:r w:rsidRPr="00BF2D10">
        <w:rPr>
          <w:rFonts w:eastAsia="Calibri"/>
          <w:iCs/>
          <w:lang w:val="en-US"/>
        </w:rPr>
        <w:t xml:space="preserve">The duration of efficacy of the product </w:t>
      </w:r>
      <w:r w:rsidRPr="00BF2D10">
        <w:rPr>
          <w:b/>
          <w:i/>
          <w:lang w:val="en-US"/>
        </w:rPr>
        <w:t>Insect Repellent Pump Spray Lice IR3535</w:t>
      </w:r>
      <w:r w:rsidR="00407AC3" w:rsidRPr="00407AC3">
        <w:rPr>
          <w:b/>
          <w:i/>
          <w:vertAlign w:val="superscript"/>
          <w:lang w:val="en-US"/>
        </w:rPr>
        <w:t>®</w:t>
      </w:r>
      <w:r w:rsidRPr="00BF2D10">
        <w:rPr>
          <w:b/>
          <w:i/>
          <w:lang w:val="en-US"/>
        </w:rPr>
        <w:t xml:space="preserve"> 20% </w:t>
      </w:r>
      <w:r w:rsidRPr="00BF2D10">
        <w:rPr>
          <w:lang w:val="en-US"/>
        </w:rPr>
        <w:t>(hydroalcoholic solution, 20% IR3535</w:t>
      </w:r>
      <w:r>
        <w:rPr>
          <w:lang w:val="en-US"/>
        </w:rPr>
        <w:t xml:space="preserve"> - </w:t>
      </w:r>
      <w:r w:rsidRPr="00B92962">
        <w:rPr>
          <w:rFonts w:eastAsia="Calibri"/>
          <w:iCs/>
          <w:lang w:val="en-US"/>
        </w:rPr>
        <w:t xml:space="preserve">composition reported in the test report </w:t>
      </w:r>
      <w:r>
        <w:rPr>
          <w:rFonts w:eastAsia="Calibri"/>
          <w:iCs/>
          <w:lang w:val="en-US"/>
        </w:rPr>
        <w:t>&amp; validated</w:t>
      </w:r>
      <w:r w:rsidRPr="00BF2D10">
        <w:rPr>
          <w:lang w:val="en-US"/>
        </w:rPr>
        <w:t>) was tested under field conditions (</w:t>
      </w:r>
      <w:r w:rsidRPr="00BF2D10">
        <w:rPr>
          <w:rFonts w:eastAsia="Calibri"/>
          <w:iCs/>
          <w:lang w:val="en-US"/>
        </w:rPr>
        <w:t xml:space="preserve">Doc N° 336-1905/1993) </w:t>
      </w:r>
      <w:r w:rsidRPr="00BF2D10">
        <w:rPr>
          <w:lang w:val="en-US"/>
        </w:rPr>
        <w:t xml:space="preserve">against head-lice </w:t>
      </w:r>
      <w:r w:rsidRPr="00BF2D10">
        <w:rPr>
          <w:i/>
          <w:lang w:val="en-US"/>
        </w:rPr>
        <w:t>Pediculus humanus</w:t>
      </w:r>
      <w:r w:rsidRPr="00BF2D10">
        <w:rPr>
          <w:lang w:val="en-US"/>
        </w:rPr>
        <w:t xml:space="preserve"> </w:t>
      </w:r>
      <w:r w:rsidRPr="00BF2D10">
        <w:rPr>
          <w:i/>
          <w:lang w:val="en-US"/>
        </w:rPr>
        <w:t xml:space="preserve">capitis </w:t>
      </w:r>
      <w:r w:rsidRPr="00BF2D10">
        <w:rPr>
          <w:lang w:val="en-US"/>
        </w:rPr>
        <w:t>by 60 volunteers.</w:t>
      </w:r>
      <w:r w:rsidRPr="00BF2D10">
        <w:rPr>
          <w:i/>
          <w:lang w:val="en-US"/>
        </w:rPr>
        <w:t xml:space="preserve"> </w:t>
      </w:r>
    </w:p>
    <w:p w14:paraId="1097DEAF" w14:textId="77777777" w:rsidR="00851685" w:rsidRDefault="00851685" w:rsidP="004D6630">
      <w:pPr>
        <w:ind w:left="360"/>
        <w:rPr>
          <w:i/>
          <w:lang w:val="en-US"/>
        </w:rPr>
      </w:pPr>
    </w:p>
    <w:p w14:paraId="2D469E24" w14:textId="77777777" w:rsidR="004D6630" w:rsidRPr="00BF2D10" w:rsidRDefault="004D6630" w:rsidP="004D6630">
      <w:pPr>
        <w:ind w:left="360"/>
        <w:rPr>
          <w:i/>
          <w:lang w:val="en-US"/>
        </w:rPr>
      </w:pPr>
    </w:p>
    <w:p w14:paraId="092D9842" w14:textId="77777777" w:rsidR="00851685" w:rsidRPr="00BF2D10" w:rsidRDefault="00851685" w:rsidP="004D6630">
      <w:pPr>
        <w:ind w:left="360"/>
        <w:rPr>
          <w:i/>
          <w:lang w:val="en-US"/>
        </w:rPr>
      </w:pPr>
      <w:r w:rsidRPr="00BF2D10">
        <w:rPr>
          <w:u w:val="single"/>
          <w:lang w:val="en-US"/>
        </w:rPr>
        <w:t>Study centre :</w:t>
      </w:r>
    </w:p>
    <w:p w14:paraId="3536D2E6" w14:textId="77777777" w:rsidR="00851685" w:rsidRPr="00BF2D10" w:rsidRDefault="00851685" w:rsidP="004D6630">
      <w:pPr>
        <w:ind w:left="360"/>
        <w:rPr>
          <w:lang w:val="en-US"/>
        </w:rPr>
      </w:pPr>
      <w:r w:rsidRPr="00BF2D10">
        <w:rPr>
          <w:lang w:val="en-US"/>
        </w:rPr>
        <w:t>A school in Madagascar where the prevalence of the pediculosis is very high.</w:t>
      </w:r>
    </w:p>
    <w:p w14:paraId="1345A0DE" w14:textId="77777777" w:rsidR="00851685" w:rsidRPr="00BF2D10" w:rsidRDefault="00851685" w:rsidP="004D6630">
      <w:pPr>
        <w:ind w:left="360"/>
        <w:rPr>
          <w:lang w:val="en-US"/>
        </w:rPr>
      </w:pPr>
    </w:p>
    <w:p w14:paraId="713919EB" w14:textId="77777777" w:rsidR="00851685" w:rsidRPr="00BF2D10" w:rsidRDefault="00851685" w:rsidP="004D6630">
      <w:pPr>
        <w:ind w:left="360"/>
        <w:rPr>
          <w:lang w:val="en-US"/>
        </w:rPr>
      </w:pPr>
      <w:r w:rsidRPr="00BF2D10">
        <w:rPr>
          <w:u w:val="single"/>
          <w:lang w:val="en-US"/>
        </w:rPr>
        <w:t>Duration of the study :</w:t>
      </w:r>
      <w:r w:rsidRPr="00BF2D10">
        <w:rPr>
          <w:lang w:val="en-US"/>
        </w:rPr>
        <w:t xml:space="preserve"> 7 days</w:t>
      </w:r>
    </w:p>
    <w:p w14:paraId="36A45232" w14:textId="77777777" w:rsidR="00851685" w:rsidRPr="00BF2D10" w:rsidRDefault="00851685" w:rsidP="004D6630">
      <w:pPr>
        <w:ind w:left="360"/>
        <w:rPr>
          <w:lang w:val="en-US"/>
        </w:rPr>
      </w:pPr>
    </w:p>
    <w:p w14:paraId="58F20B86" w14:textId="77777777" w:rsidR="00851685" w:rsidRPr="00BF2D10" w:rsidRDefault="00851685" w:rsidP="004D6630">
      <w:pPr>
        <w:ind w:left="360"/>
        <w:rPr>
          <w:u w:val="single"/>
          <w:lang w:val="en-US"/>
        </w:rPr>
      </w:pPr>
      <w:r w:rsidRPr="00BF2D10">
        <w:rPr>
          <w:u w:val="single"/>
          <w:lang w:val="en-US"/>
        </w:rPr>
        <w:t>Methodology :</w:t>
      </w:r>
    </w:p>
    <w:p w14:paraId="58B0F8D5" w14:textId="2CE1B1F1" w:rsidR="00851685" w:rsidRPr="00BF2D10" w:rsidRDefault="00851685" w:rsidP="004D6630">
      <w:pPr>
        <w:ind w:left="360"/>
        <w:rPr>
          <w:lang w:val="en-US"/>
        </w:rPr>
      </w:pPr>
      <w:r w:rsidRPr="00BF2D10">
        <w:rPr>
          <w:lang w:val="en-US"/>
        </w:rPr>
        <w:t xml:space="preserve">After treatment with a </w:t>
      </w:r>
      <w:r w:rsidRPr="00EA31AA">
        <w:rPr>
          <w:lang w:val="en-US"/>
        </w:rPr>
        <w:t>pediculicidal</w:t>
      </w:r>
      <w:r w:rsidRPr="00BF2D10">
        <w:rPr>
          <w:lang w:val="en-US"/>
        </w:rPr>
        <w:t xml:space="preserve"> shampoo, the 60 highly lice infected (26 adult lice per subject) volunteers are separated into 3 groups : one group treated with </w:t>
      </w:r>
      <w:r w:rsidR="00BF62E5">
        <w:rPr>
          <w:lang w:val="en-US"/>
        </w:rPr>
        <w:t xml:space="preserve">0.5 mL of </w:t>
      </w:r>
      <w:r w:rsidRPr="00BF2D10">
        <w:rPr>
          <w:lang w:val="en-US"/>
        </w:rPr>
        <w:t>the lotion containing 20% w/w IR3535; one group treated with a spray containing 20% w/w DEET (reference product) and one group untreated.</w:t>
      </w:r>
    </w:p>
    <w:p w14:paraId="1846E576" w14:textId="77777777" w:rsidR="00851685" w:rsidRPr="00BF2D10" w:rsidRDefault="00851685" w:rsidP="004D6630">
      <w:pPr>
        <w:ind w:left="360"/>
        <w:rPr>
          <w:lang w:val="en-US"/>
        </w:rPr>
      </w:pPr>
      <w:r w:rsidRPr="00BF2D10">
        <w:rPr>
          <w:lang w:val="en-US"/>
        </w:rPr>
        <w:t>The subjects in the tested groups were sent to the investigating doctors who moistened the hair with repellent lotion, making sure to include behind the ears and the nape of the neck, lifting up the hair in the case of long or mid-length hair.</w:t>
      </w:r>
    </w:p>
    <w:p w14:paraId="72DDB0C9" w14:textId="77777777" w:rsidR="00851685" w:rsidRPr="00BF2D10" w:rsidRDefault="00851685" w:rsidP="004D6630">
      <w:pPr>
        <w:ind w:left="360"/>
        <w:rPr>
          <w:lang w:val="en-US"/>
        </w:rPr>
      </w:pPr>
      <w:r w:rsidRPr="00BF2D10">
        <w:rPr>
          <w:lang w:val="en-US"/>
        </w:rPr>
        <w:t xml:space="preserve">The repellent was applied a second time four days later. </w:t>
      </w:r>
    </w:p>
    <w:p w14:paraId="3DD415D1" w14:textId="77777777" w:rsidR="00851685" w:rsidRPr="00BF2D10" w:rsidRDefault="00851685" w:rsidP="004D6630">
      <w:pPr>
        <w:ind w:left="360"/>
        <w:rPr>
          <w:lang w:val="en-US"/>
        </w:rPr>
      </w:pPr>
      <w:r w:rsidRPr="00BF2D10">
        <w:rPr>
          <w:lang w:val="en-US"/>
        </w:rPr>
        <w:t>At Day 7, the children were then combed out with a fine toothcomb to note the attendance/absence of alive adult lice.</w:t>
      </w:r>
    </w:p>
    <w:p w14:paraId="0C55C414" w14:textId="77777777" w:rsidR="00851685" w:rsidRPr="00BF2D10" w:rsidRDefault="00851685" w:rsidP="004D6630">
      <w:pPr>
        <w:ind w:left="360"/>
        <w:rPr>
          <w:lang w:val="en-US"/>
        </w:rPr>
      </w:pPr>
    </w:p>
    <w:p w14:paraId="514FDBE0" w14:textId="77777777" w:rsidR="00851685" w:rsidRPr="00BF2D10" w:rsidRDefault="00851685" w:rsidP="004D6630">
      <w:pPr>
        <w:ind w:left="360"/>
        <w:rPr>
          <w:u w:val="single"/>
          <w:lang w:val="en-US"/>
        </w:rPr>
      </w:pPr>
      <w:r w:rsidRPr="00BF2D10">
        <w:rPr>
          <w:u w:val="single"/>
          <w:lang w:val="en-US"/>
        </w:rPr>
        <w:t>Results :</w:t>
      </w:r>
    </w:p>
    <w:tbl>
      <w:tblPr>
        <w:tblStyle w:val="Grilledutableau"/>
        <w:tblW w:w="0" w:type="auto"/>
        <w:jc w:val="center"/>
        <w:tblLook w:val="04A0" w:firstRow="1" w:lastRow="0" w:firstColumn="1" w:lastColumn="0" w:noHBand="0" w:noVBand="1"/>
      </w:tblPr>
      <w:tblGrid>
        <w:gridCol w:w="2747"/>
        <w:gridCol w:w="2758"/>
        <w:gridCol w:w="2674"/>
      </w:tblGrid>
      <w:tr w:rsidR="00851685" w:rsidRPr="00BF2D10" w14:paraId="6E0C254F" w14:textId="77777777" w:rsidTr="004D6630">
        <w:trPr>
          <w:jc w:val="center"/>
        </w:trPr>
        <w:tc>
          <w:tcPr>
            <w:tcW w:w="0" w:type="auto"/>
            <w:shd w:val="clear" w:color="auto" w:fill="BFBFBF" w:themeFill="background1" w:themeFillShade="BF"/>
          </w:tcPr>
          <w:p w14:paraId="7FB30B72" w14:textId="77777777" w:rsidR="00851685" w:rsidRPr="00BF2D10" w:rsidRDefault="00851685" w:rsidP="004D6630">
            <w:pPr>
              <w:pStyle w:val="Standaard-Tabellen"/>
              <w:rPr>
                <w:lang w:val="en-US"/>
              </w:rPr>
            </w:pPr>
          </w:p>
        </w:tc>
        <w:tc>
          <w:tcPr>
            <w:tcW w:w="0" w:type="auto"/>
            <w:shd w:val="clear" w:color="auto" w:fill="BFBFBF" w:themeFill="background1" w:themeFillShade="BF"/>
          </w:tcPr>
          <w:p w14:paraId="12CB03E9" w14:textId="77777777" w:rsidR="00851685" w:rsidRPr="00BF2D10" w:rsidRDefault="00851685" w:rsidP="004D6630">
            <w:pPr>
              <w:pStyle w:val="Standaard-Tabellen"/>
              <w:rPr>
                <w:b/>
                <w:lang w:val="en-US"/>
              </w:rPr>
            </w:pPr>
            <w:r w:rsidRPr="00BF2D10">
              <w:rPr>
                <w:b/>
                <w:lang w:val="en-US"/>
              </w:rPr>
              <w:t>Infestation Day 0</w:t>
            </w:r>
          </w:p>
        </w:tc>
        <w:tc>
          <w:tcPr>
            <w:tcW w:w="0" w:type="auto"/>
            <w:shd w:val="clear" w:color="auto" w:fill="BFBFBF" w:themeFill="background1" w:themeFillShade="BF"/>
          </w:tcPr>
          <w:p w14:paraId="1161BFEA" w14:textId="77777777" w:rsidR="00851685" w:rsidRPr="00BF2D10" w:rsidRDefault="00851685" w:rsidP="004D6630">
            <w:pPr>
              <w:pStyle w:val="Standaard-Tabellen"/>
              <w:rPr>
                <w:b/>
                <w:lang w:val="en-US"/>
              </w:rPr>
            </w:pPr>
            <w:r w:rsidRPr="00BF2D10">
              <w:rPr>
                <w:b/>
                <w:lang w:val="en-US"/>
              </w:rPr>
              <w:t>Infestation Day 7</w:t>
            </w:r>
          </w:p>
        </w:tc>
      </w:tr>
      <w:tr w:rsidR="00851685" w:rsidRPr="00BF2D10" w14:paraId="57B1731F" w14:textId="77777777" w:rsidTr="004D6630">
        <w:trPr>
          <w:jc w:val="center"/>
        </w:trPr>
        <w:tc>
          <w:tcPr>
            <w:tcW w:w="0" w:type="auto"/>
          </w:tcPr>
          <w:p w14:paraId="63003578" w14:textId="77777777" w:rsidR="00851685" w:rsidRPr="00BF2D10" w:rsidRDefault="00851685" w:rsidP="004D6630">
            <w:pPr>
              <w:pStyle w:val="Standaard-Tabellen"/>
              <w:rPr>
                <w:b/>
                <w:lang w:val="en-US"/>
              </w:rPr>
            </w:pPr>
            <w:r w:rsidRPr="00BF2D10">
              <w:rPr>
                <w:b/>
                <w:lang w:val="en-US"/>
              </w:rPr>
              <w:t>20% w/w IR3535 Lotion</w:t>
            </w:r>
          </w:p>
        </w:tc>
        <w:tc>
          <w:tcPr>
            <w:tcW w:w="0" w:type="auto"/>
          </w:tcPr>
          <w:p w14:paraId="1A101A7B" w14:textId="77777777" w:rsidR="00851685" w:rsidRPr="00BF2D10" w:rsidRDefault="00851685" w:rsidP="004D6630">
            <w:pPr>
              <w:pStyle w:val="Standaard-Tabellen"/>
              <w:rPr>
                <w:lang w:val="en-US"/>
              </w:rPr>
            </w:pPr>
            <w:r w:rsidRPr="00BF2D10">
              <w:rPr>
                <w:lang w:val="en-US"/>
              </w:rPr>
              <w:t>520 (26 adult lice / subject)</w:t>
            </w:r>
          </w:p>
        </w:tc>
        <w:tc>
          <w:tcPr>
            <w:tcW w:w="0" w:type="auto"/>
          </w:tcPr>
          <w:p w14:paraId="76D4AB02" w14:textId="77777777" w:rsidR="00851685" w:rsidRPr="00BF2D10" w:rsidRDefault="00851685" w:rsidP="004D6630">
            <w:pPr>
              <w:pStyle w:val="Standaard-Tabellen"/>
              <w:rPr>
                <w:lang w:val="en-US"/>
              </w:rPr>
            </w:pPr>
            <w:r w:rsidRPr="00BF2D10">
              <w:rPr>
                <w:lang w:val="en-US"/>
              </w:rPr>
              <w:t>3 =&gt; &gt; 97% less adult lice</w:t>
            </w:r>
          </w:p>
        </w:tc>
      </w:tr>
      <w:tr w:rsidR="00851685" w:rsidRPr="00BF2D10" w14:paraId="5EF741A1" w14:textId="77777777" w:rsidTr="004D6630">
        <w:trPr>
          <w:jc w:val="center"/>
        </w:trPr>
        <w:tc>
          <w:tcPr>
            <w:tcW w:w="0" w:type="auto"/>
          </w:tcPr>
          <w:p w14:paraId="4D9A4ECB" w14:textId="77777777" w:rsidR="00851685" w:rsidRPr="00BF2D10" w:rsidRDefault="00851685" w:rsidP="004D6630">
            <w:pPr>
              <w:pStyle w:val="Standaard-Tabellen"/>
              <w:rPr>
                <w:b/>
                <w:lang w:val="en-US"/>
              </w:rPr>
            </w:pPr>
            <w:r w:rsidRPr="00BF2D10">
              <w:rPr>
                <w:b/>
                <w:lang w:val="en-US"/>
              </w:rPr>
              <w:t>20% w/w DEET spray</w:t>
            </w:r>
          </w:p>
        </w:tc>
        <w:tc>
          <w:tcPr>
            <w:tcW w:w="0" w:type="auto"/>
          </w:tcPr>
          <w:p w14:paraId="33CD961E" w14:textId="77777777" w:rsidR="00851685" w:rsidRPr="00BF2D10" w:rsidRDefault="00851685" w:rsidP="004D6630">
            <w:pPr>
              <w:pStyle w:val="Standaard-Tabellen"/>
              <w:rPr>
                <w:lang w:val="en-US"/>
              </w:rPr>
            </w:pPr>
            <w:r w:rsidRPr="00BF2D10">
              <w:rPr>
                <w:lang w:val="en-US"/>
              </w:rPr>
              <w:t>531 (27 adult lice / subject)</w:t>
            </w:r>
          </w:p>
        </w:tc>
        <w:tc>
          <w:tcPr>
            <w:tcW w:w="0" w:type="auto"/>
          </w:tcPr>
          <w:p w14:paraId="7104C49A" w14:textId="77777777" w:rsidR="00851685" w:rsidRPr="00BF2D10" w:rsidRDefault="00851685" w:rsidP="004D6630">
            <w:pPr>
              <w:pStyle w:val="Standaard-Tabellen"/>
              <w:rPr>
                <w:lang w:val="en-US"/>
              </w:rPr>
            </w:pPr>
            <w:r w:rsidRPr="00BF2D10">
              <w:rPr>
                <w:lang w:val="en-US"/>
              </w:rPr>
              <w:t>8 =&gt; &gt; 93% less adult lice</w:t>
            </w:r>
          </w:p>
        </w:tc>
      </w:tr>
      <w:tr w:rsidR="00851685" w:rsidRPr="00BF2D10" w14:paraId="0D544E9F" w14:textId="77777777" w:rsidTr="004D6630">
        <w:trPr>
          <w:jc w:val="center"/>
        </w:trPr>
        <w:tc>
          <w:tcPr>
            <w:tcW w:w="0" w:type="auto"/>
          </w:tcPr>
          <w:p w14:paraId="4E9D96BA" w14:textId="77777777" w:rsidR="00851685" w:rsidRPr="00BF2D10" w:rsidRDefault="00851685" w:rsidP="004D6630">
            <w:pPr>
              <w:pStyle w:val="Standaard-Tabellen"/>
              <w:rPr>
                <w:b/>
                <w:lang w:val="en-US"/>
              </w:rPr>
            </w:pPr>
            <w:r w:rsidRPr="00BF2D10">
              <w:rPr>
                <w:b/>
                <w:lang w:val="en-US"/>
              </w:rPr>
              <w:t>Control – untreated</w:t>
            </w:r>
          </w:p>
        </w:tc>
        <w:tc>
          <w:tcPr>
            <w:tcW w:w="0" w:type="auto"/>
          </w:tcPr>
          <w:p w14:paraId="0EAC443A" w14:textId="77777777" w:rsidR="00851685" w:rsidRPr="00BF2D10" w:rsidRDefault="00851685" w:rsidP="004D6630">
            <w:pPr>
              <w:pStyle w:val="Standaard-Tabellen"/>
              <w:rPr>
                <w:lang w:val="en-US"/>
              </w:rPr>
            </w:pPr>
            <w:r w:rsidRPr="00BF2D10">
              <w:rPr>
                <w:lang w:val="en-US"/>
              </w:rPr>
              <w:t>493 (25 adult lice / subject)</w:t>
            </w:r>
          </w:p>
        </w:tc>
        <w:tc>
          <w:tcPr>
            <w:tcW w:w="0" w:type="auto"/>
          </w:tcPr>
          <w:p w14:paraId="01C212B5" w14:textId="77777777" w:rsidR="00851685" w:rsidRPr="00BF2D10" w:rsidRDefault="00851685" w:rsidP="004D6630">
            <w:pPr>
              <w:pStyle w:val="Standaard-Tabellen"/>
              <w:rPr>
                <w:lang w:val="en-US"/>
              </w:rPr>
            </w:pPr>
            <w:r w:rsidRPr="00BF2D10">
              <w:rPr>
                <w:lang w:val="en-US"/>
              </w:rPr>
              <w:t>116</w:t>
            </w:r>
          </w:p>
        </w:tc>
      </w:tr>
    </w:tbl>
    <w:p w14:paraId="7658EB53" w14:textId="77777777" w:rsidR="00851685" w:rsidRPr="00BF2D10" w:rsidRDefault="00851685" w:rsidP="004D6630">
      <w:pPr>
        <w:ind w:left="360"/>
        <w:rPr>
          <w:lang w:val="en-US"/>
        </w:rPr>
      </w:pPr>
    </w:p>
    <w:p w14:paraId="4C48BD83" w14:textId="77777777" w:rsidR="00851685" w:rsidRPr="00BF2D10" w:rsidRDefault="00851685" w:rsidP="004D6630">
      <w:pPr>
        <w:ind w:left="360"/>
        <w:rPr>
          <w:lang w:val="en-US"/>
        </w:rPr>
      </w:pPr>
      <w:r w:rsidRPr="00BF2D10">
        <w:rPr>
          <w:lang w:val="en-US"/>
        </w:rPr>
        <w:t>On D7, the study showed that the group treated with a repellent spray (20% w/w IR3535 or 20% w/w DEET) has 90% less more adult lice than the untreated group.</w:t>
      </w:r>
    </w:p>
    <w:p w14:paraId="1D9B2A93" w14:textId="77777777" w:rsidR="00851685" w:rsidRPr="00BF2D10" w:rsidRDefault="00851685" w:rsidP="004D6630">
      <w:pPr>
        <w:ind w:left="360"/>
        <w:rPr>
          <w:lang w:val="en-US"/>
        </w:rPr>
      </w:pPr>
    </w:p>
    <w:p w14:paraId="64BD1707" w14:textId="77777777" w:rsidR="00851685" w:rsidRPr="00BF2D10" w:rsidRDefault="00851685" w:rsidP="004D6630">
      <w:pPr>
        <w:rPr>
          <w:u w:val="single"/>
        </w:rPr>
      </w:pPr>
      <w:r w:rsidRPr="00BF2D10">
        <w:rPr>
          <w:u w:val="single"/>
        </w:rPr>
        <w:t xml:space="preserve">Conclusion </w:t>
      </w:r>
      <w:r w:rsidRPr="00BF2D10">
        <w:t>: Reliability 2 – Old study</w:t>
      </w:r>
    </w:p>
    <w:p w14:paraId="45294847" w14:textId="69743DCB" w:rsidR="00851685" w:rsidRPr="00BF2D10" w:rsidRDefault="00851685" w:rsidP="004D6630">
      <w:pPr>
        <w:rPr>
          <w:lang w:val="en-US"/>
        </w:rPr>
      </w:pPr>
      <w:r w:rsidRPr="00BF2D10">
        <w:t xml:space="preserve">Based on these efficacy data, </w:t>
      </w:r>
      <w:r w:rsidRPr="00BF2D10">
        <w:rPr>
          <w:rFonts w:eastAsia="Calibri"/>
          <w:iCs/>
          <w:lang w:val="en-US"/>
        </w:rPr>
        <w:t xml:space="preserve">the product </w:t>
      </w:r>
      <w:r w:rsidRPr="00BF2D10">
        <w:rPr>
          <w:b/>
          <w:i/>
          <w:lang w:val="en-US"/>
        </w:rPr>
        <w:t>Insect Repellent Pump Spray Lice IR3535</w:t>
      </w:r>
      <w:r w:rsidR="00407AC3" w:rsidRPr="00407AC3">
        <w:rPr>
          <w:b/>
          <w:i/>
          <w:vertAlign w:val="superscript"/>
          <w:lang w:val="en-US"/>
        </w:rPr>
        <w:t>®</w:t>
      </w:r>
      <w:r w:rsidRPr="00BF2D10">
        <w:rPr>
          <w:b/>
          <w:i/>
          <w:lang w:val="en-US"/>
        </w:rPr>
        <w:t xml:space="preserve"> 20%</w:t>
      </w:r>
      <w:r w:rsidRPr="00BF2D10">
        <w:rPr>
          <w:lang w:val="en-US"/>
        </w:rPr>
        <w:t xml:space="preserve">  (hydroalcoholic solution, 20% IR3535), used </w:t>
      </w:r>
      <w:r w:rsidR="00BF62E5">
        <w:rPr>
          <w:lang w:val="en-US"/>
        </w:rPr>
        <w:t xml:space="preserve">at a rate of 0.5 mL </w:t>
      </w:r>
      <w:r w:rsidRPr="00BF2D10">
        <w:rPr>
          <w:lang w:val="en-US"/>
        </w:rPr>
        <w:t xml:space="preserve">after treatment with an anti-lice shampoo and applied every 4 days, does </w:t>
      </w:r>
      <w:r w:rsidR="00BF62E5">
        <w:rPr>
          <w:lang w:val="en-US"/>
        </w:rPr>
        <w:t xml:space="preserve">limit (&gt; 90 % repellency) </w:t>
      </w:r>
      <w:r w:rsidR="00BF62E5" w:rsidRPr="00BF2D10">
        <w:rPr>
          <w:lang w:val="en-US"/>
        </w:rPr>
        <w:t xml:space="preserve"> </w:t>
      </w:r>
      <w:r w:rsidRPr="00BF2D10">
        <w:rPr>
          <w:lang w:val="en-US"/>
        </w:rPr>
        <w:t>adult lice re-infestation</w:t>
      </w:r>
      <w:r w:rsidR="00BF62E5">
        <w:rPr>
          <w:lang w:val="en-US"/>
        </w:rPr>
        <w:t xml:space="preserve"> up to 7 days</w:t>
      </w:r>
      <w:r w:rsidRPr="00BF2D10">
        <w:rPr>
          <w:lang w:val="en-US"/>
        </w:rPr>
        <w:t>.</w:t>
      </w:r>
    </w:p>
    <w:p w14:paraId="5BC69260" w14:textId="77777777" w:rsidR="00851685" w:rsidRPr="00BF2D10" w:rsidRDefault="00851685" w:rsidP="00851685">
      <w:pPr>
        <w:rPr>
          <w:lang w:val="en-US"/>
        </w:rPr>
      </w:pPr>
    </w:p>
    <w:p w14:paraId="6BEA4AC2" w14:textId="2F2290F6" w:rsidR="00851685" w:rsidRPr="0053704B" w:rsidRDefault="00851685" w:rsidP="0053704B">
      <w:pPr>
        <w:pStyle w:val="Paragraphedeliste"/>
        <w:numPr>
          <w:ilvl w:val="0"/>
          <w:numId w:val="14"/>
        </w:numPr>
        <w:spacing w:before="360" w:after="0"/>
        <w:rPr>
          <w:rFonts w:eastAsia="Calibri"/>
          <w:i/>
          <w:lang w:val="en-US"/>
        </w:rPr>
      </w:pPr>
      <w:r w:rsidRPr="0053704B">
        <w:rPr>
          <w:rFonts w:eastAsia="Calibri"/>
          <w:i/>
          <w:lang w:val="en-US"/>
        </w:rPr>
        <w:t>A randomised comparative  bio-clinical in vivo trial to demonstrate the efficacy of a repellent spray (20% w/w IR3535 in an ethanol excipient at 95%) versus a negative control formulation in order to evaluate its efficacy to prevent re-infestation of lice on children living in a very infested environment,  after treatment with a pediculicidal lotion.</w:t>
      </w:r>
    </w:p>
    <w:p w14:paraId="1642E52C" w14:textId="77777777" w:rsidR="00851685" w:rsidRPr="00BF2D10" w:rsidRDefault="00851685" w:rsidP="004D6630">
      <w:pPr>
        <w:ind w:left="360"/>
        <w:rPr>
          <w:i/>
          <w:lang w:val="en-US"/>
        </w:rPr>
      </w:pPr>
      <w:r w:rsidRPr="00BF2D10">
        <w:rPr>
          <w:rFonts w:eastAsia="Calibri"/>
          <w:iCs/>
          <w:lang w:val="en-US"/>
        </w:rPr>
        <w:t xml:space="preserve">The duration of efficacy of the product </w:t>
      </w:r>
      <w:r w:rsidRPr="00BF2D10">
        <w:rPr>
          <w:b/>
          <w:i/>
          <w:lang w:val="en-US"/>
        </w:rPr>
        <w:t>Insect Repellent Pump Spray Lice IR3535</w:t>
      </w:r>
      <w:r w:rsidR="00407AC3" w:rsidRPr="00407AC3">
        <w:rPr>
          <w:b/>
          <w:i/>
          <w:vertAlign w:val="superscript"/>
          <w:lang w:val="en-US"/>
        </w:rPr>
        <w:t>®</w:t>
      </w:r>
      <w:r w:rsidRPr="00BF2D10">
        <w:rPr>
          <w:b/>
          <w:i/>
          <w:lang w:val="en-US"/>
        </w:rPr>
        <w:t xml:space="preserve"> 20%</w:t>
      </w:r>
      <w:r w:rsidRPr="00BF2D10">
        <w:rPr>
          <w:lang w:val="en-US"/>
        </w:rPr>
        <w:t xml:space="preserve"> (hydroalcoholic solution, 20% IR3535</w:t>
      </w:r>
      <w:r>
        <w:rPr>
          <w:lang w:val="en-US"/>
        </w:rPr>
        <w:t xml:space="preserve"> - </w:t>
      </w:r>
      <w:r w:rsidRPr="00B92962">
        <w:rPr>
          <w:rFonts w:eastAsia="Calibri"/>
          <w:iCs/>
          <w:lang w:val="en-US"/>
        </w:rPr>
        <w:t xml:space="preserve">composition reported in the test report </w:t>
      </w:r>
      <w:r>
        <w:rPr>
          <w:rFonts w:eastAsia="Calibri"/>
          <w:iCs/>
          <w:lang w:val="en-US"/>
        </w:rPr>
        <w:t>&amp; validated</w:t>
      </w:r>
      <w:r w:rsidRPr="00BF2D10">
        <w:rPr>
          <w:lang w:val="en-US"/>
        </w:rPr>
        <w:t>) was tested under field conditions (</w:t>
      </w:r>
      <w:r w:rsidRPr="00BF2D10">
        <w:rPr>
          <w:rFonts w:eastAsia="Calibri"/>
          <w:iCs/>
          <w:lang w:val="en-US"/>
        </w:rPr>
        <w:t xml:space="preserve">Doc N° 336-1920/2009) </w:t>
      </w:r>
      <w:r w:rsidRPr="00BF2D10">
        <w:rPr>
          <w:lang w:val="en-US"/>
        </w:rPr>
        <w:t xml:space="preserve">against head-lice </w:t>
      </w:r>
      <w:r w:rsidRPr="00BF2D10">
        <w:rPr>
          <w:i/>
          <w:lang w:val="en-US"/>
        </w:rPr>
        <w:t>Pediculus humanus</w:t>
      </w:r>
      <w:r w:rsidRPr="00BF2D10">
        <w:rPr>
          <w:lang w:val="en-US"/>
        </w:rPr>
        <w:t xml:space="preserve"> capitis</w:t>
      </w:r>
      <w:r w:rsidRPr="00BF2D10">
        <w:rPr>
          <w:i/>
          <w:lang w:val="en-US"/>
        </w:rPr>
        <w:t xml:space="preserve"> </w:t>
      </w:r>
      <w:r w:rsidRPr="00BF2D10">
        <w:rPr>
          <w:lang w:val="en-US"/>
        </w:rPr>
        <w:t>by 80 volunteers.</w:t>
      </w:r>
      <w:r w:rsidRPr="00BF2D10">
        <w:rPr>
          <w:i/>
          <w:lang w:val="en-US"/>
        </w:rPr>
        <w:t xml:space="preserve"> </w:t>
      </w:r>
    </w:p>
    <w:p w14:paraId="1F5E83A8" w14:textId="77777777" w:rsidR="00851685" w:rsidRPr="00BF2D10" w:rsidRDefault="00851685" w:rsidP="004D6630">
      <w:pPr>
        <w:ind w:left="360"/>
        <w:rPr>
          <w:i/>
          <w:lang w:val="en-US"/>
        </w:rPr>
      </w:pPr>
    </w:p>
    <w:p w14:paraId="07ED8021" w14:textId="77777777" w:rsidR="00851685" w:rsidRPr="00BF2D10" w:rsidRDefault="00851685" w:rsidP="004D6630">
      <w:pPr>
        <w:ind w:left="360"/>
        <w:rPr>
          <w:u w:val="single"/>
          <w:lang w:val="en-US"/>
        </w:rPr>
      </w:pPr>
      <w:r w:rsidRPr="00BF2D10">
        <w:rPr>
          <w:u w:val="single"/>
          <w:lang w:val="en-US"/>
        </w:rPr>
        <w:t>Study centre :</w:t>
      </w:r>
    </w:p>
    <w:p w14:paraId="3D591907" w14:textId="77777777" w:rsidR="00851685" w:rsidRPr="00BF2D10" w:rsidRDefault="00851685" w:rsidP="004D6630">
      <w:pPr>
        <w:ind w:left="360"/>
        <w:rPr>
          <w:lang w:val="en-US"/>
        </w:rPr>
      </w:pPr>
      <w:r w:rsidRPr="00BF2D10">
        <w:rPr>
          <w:lang w:val="en-US"/>
        </w:rPr>
        <w:t>A school in Brazil where the prevalence of the pediculosis is very high.</w:t>
      </w:r>
    </w:p>
    <w:p w14:paraId="1E21ED5F" w14:textId="77777777" w:rsidR="00851685" w:rsidRPr="00BF2D10" w:rsidRDefault="00851685" w:rsidP="004D6630">
      <w:pPr>
        <w:ind w:left="360"/>
        <w:rPr>
          <w:lang w:val="en-US"/>
        </w:rPr>
      </w:pPr>
    </w:p>
    <w:p w14:paraId="169C2876" w14:textId="77777777" w:rsidR="00851685" w:rsidRPr="00BF2D10" w:rsidRDefault="00851685" w:rsidP="004D6630">
      <w:pPr>
        <w:ind w:left="360"/>
        <w:rPr>
          <w:lang w:val="en-US"/>
        </w:rPr>
      </w:pPr>
      <w:r w:rsidRPr="00BF2D10">
        <w:rPr>
          <w:u w:val="single"/>
          <w:lang w:val="en-US"/>
        </w:rPr>
        <w:t>Duration of the study :</w:t>
      </w:r>
      <w:r w:rsidRPr="00BF2D10">
        <w:rPr>
          <w:lang w:val="en-US"/>
        </w:rPr>
        <w:t xml:space="preserve"> 9 days</w:t>
      </w:r>
    </w:p>
    <w:p w14:paraId="7FC8ED43" w14:textId="77777777" w:rsidR="00851685" w:rsidRPr="00BF2D10" w:rsidRDefault="00851685" w:rsidP="004D6630">
      <w:pPr>
        <w:ind w:left="360"/>
        <w:rPr>
          <w:lang w:val="en-US"/>
        </w:rPr>
      </w:pPr>
    </w:p>
    <w:p w14:paraId="5A431E98" w14:textId="77777777" w:rsidR="00851685" w:rsidRPr="00BF2D10" w:rsidRDefault="00851685" w:rsidP="004D6630">
      <w:pPr>
        <w:ind w:left="360"/>
        <w:rPr>
          <w:u w:val="single"/>
          <w:lang w:val="en-US"/>
        </w:rPr>
      </w:pPr>
      <w:r w:rsidRPr="00BF2D10">
        <w:rPr>
          <w:u w:val="single"/>
          <w:lang w:val="en-US"/>
        </w:rPr>
        <w:t>Methodology :</w:t>
      </w:r>
    </w:p>
    <w:p w14:paraId="5BF9A5C7" w14:textId="42C37672" w:rsidR="00851685" w:rsidRPr="00BF2D10" w:rsidRDefault="00851685" w:rsidP="004D6630">
      <w:pPr>
        <w:ind w:left="360"/>
        <w:rPr>
          <w:lang w:val="en-US"/>
        </w:rPr>
      </w:pPr>
      <w:r w:rsidRPr="00BF2D10">
        <w:rPr>
          <w:lang w:val="en-US"/>
        </w:rPr>
        <w:t xml:space="preserve">After treatment with a </w:t>
      </w:r>
      <w:r w:rsidRPr="00EA31AA">
        <w:rPr>
          <w:lang w:val="en-US"/>
        </w:rPr>
        <w:t>pediculicidal</w:t>
      </w:r>
      <w:r w:rsidRPr="00BF2D10">
        <w:rPr>
          <w:lang w:val="en-US"/>
        </w:rPr>
        <w:t xml:space="preserve"> lotion (containing oxyphthirine – 8h contact time) and a washing with an ordinary shampoo, the 80 highly lice infected (10 adult lice per subject) volunteers are separated into 2 groups : one group treated with the lotion containing 20% w/w IR3535</w:t>
      </w:r>
      <w:r w:rsidR="00430CE2">
        <w:rPr>
          <w:lang w:val="en-US"/>
        </w:rPr>
        <w:t xml:space="preserve"> (Insect Repellent Pump Spray Lice IR3535</w:t>
      </w:r>
      <w:r w:rsidR="00430CE2" w:rsidRPr="0008732C">
        <w:rPr>
          <w:vertAlign w:val="superscript"/>
          <w:lang w:val="en-US"/>
        </w:rPr>
        <w:t>®</w:t>
      </w:r>
      <w:r w:rsidR="00430CE2">
        <w:rPr>
          <w:lang w:val="en-US"/>
        </w:rPr>
        <w:t xml:space="preserve"> 20% without Bitrex</w:t>
      </w:r>
      <w:r w:rsidR="00470EF7">
        <w:rPr>
          <w:lang w:val="en-US"/>
        </w:rPr>
        <w:t xml:space="preserve"> – at a rate of 0.5 mL per treatment</w:t>
      </w:r>
      <w:r w:rsidR="00430CE2">
        <w:rPr>
          <w:lang w:val="en-US"/>
        </w:rPr>
        <w:t>)</w:t>
      </w:r>
      <w:r w:rsidRPr="00BF2D10">
        <w:rPr>
          <w:lang w:val="en-US"/>
        </w:rPr>
        <w:t xml:space="preserve"> and the other group with the negative control formulation (same co-formulants but IR3535 replaced by water). The subjects in the tested groups were sent to the investigating doctors who applied the product i.e. on hair closed to the scalp and specially behind the ears and the nape of the neck, then sprayed on the totality of hair like a lacquer and lifting up the hair in the case of long or mid-length hair. The repellent spray or the negative control formulation was applied every 2 days (on D1; 3; 5 and 7 - 4 times treatment). The children were then combed out with a fine toothcomb to note the attendance/absence of alive adult and/or immature lice.</w:t>
      </w:r>
    </w:p>
    <w:p w14:paraId="1359A71A" w14:textId="77777777" w:rsidR="00851685" w:rsidRPr="00BF2D10" w:rsidRDefault="00851685" w:rsidP="004D6630">
      <w:pPr>
        <w:ind w:left="360"/>
        <w:rPr>
          <w:lang w:val="en-US"/>
        </w:rPr>
      </w:pPr>
    </w:p>
    <w:p w14:paraId="716C41D2" w14:textId="77777777" w:rsidR="00851685" w:rsidRPr="00BF2D10" w:rsidRDefault="00851685" w:rsidP="004D6630">
      <w:pPr>
        <w:ind w:left="360"/>
        <w:rPr>
          <w:u w:val="single"/>
          <w:lang w:val="en-US"/>
        </w:rPr>
      </w:pPr>
      <w:r w:rsidRPr="00BF2D10">
        <w:rPr>
          <w:u w:val="single"/>
          <w:lang w:val="en-US"/>
        </w:rPr>
        <w:t>Results :</w:t>
      </w:r>
    </w:p>
    <w:tbl>
      <w:tblPr>
        <w:tblStyle w:val="Grilledutableau"/>
        <w:tblW w:w="0" w:type="auto"/>
        <w:jc w:val="center"/>
        <w:tblLook w:val="04A0" w:firstRow="1" w:lastRow="0" w:firstColumn="1" w:lastColumn="0" w:noHBand="0" w:noVBand="1"/>
      </w:tblPr>
      <w:tblGrid>
        <w:gridCol w:w="2747"/>
        <w:gridCol w:w="1981"/>
        <w:gridCol w:w="1981"/>
        <w:gridCol w:w="1981"/>
      </w:tblGrid>
      <w:tr w:rsidR="00851685" w:rsidRPr="00BF2D10" w14:paraId="12497584" w14:textId="77777777" w:rsidTr="004D6630">
        <w:trPr>
          <w:jc w:val="center"/>
        </w:trPr>
        <w:tc>
          <w:tcPr>
            <w:tcW w:w="0" w:type="auto"/>
            <w:shd w:val="clear" w:color="auto" w:fill="BFBFBF" w:themeFill="background1" w:themeFillShade="BF"/>
          </w:tcPr>
          <w:p w14:paraId="61260A07" w14:textId="77777777" w:rsidR="00851685" w:rsidRPr="00BF2D10" w:rsidRDefault="00851685" w:rsidP="004D6630">
            <w:pPr>
              <w:pStyle w:val="Standaard-Tabellen"/>
              <w:rPr>
                <w:lang w:val="en-US"/>
              </w:rPr>
            </w:pPr>
          </w:p>
        </w:tc>
        <w:tc>
          <w:tcPr>
            <w:tcW w:w="0" w:type="auto"/>
            <w:shd w:val="clear" w:color="auto" w:fill="BFBFBF" w:themeFill="background1" w:themeFillShade="BF"/>
          </w:tcPr>
          <w:p w14:paraId="0B5B8863" w14:textId="77777777" w:rsidR="00851685" w:rsidRPr="00BF2D10" w:rsidRDefault="00851685" w:rsidP="004D6630">
            <w:pPr>
              <w:pStyle w:val="Standaard-Tabellen"/>
              <w:rPr>
                <w:b/>
                <w:lang w:val="en-US"/>
              </w:rPr>
            </w:pPr>
            <w:r w:rsidRPr="00BF2D10">
              <w:rPr>
                <w:b/>
                <w:lang w:val="en-US"/>
              </w:rPr>
              <w:t>Infestation Day 0</w:t>
            </w:r>
          </w:p>
        </w:tc>
        <w:tc>
          <w:tcPr>
            <w:tcW w:w="0" w:type="auto"/>
            <w:shd w:val="clear" w:color="auto" w:fill="BFBFBF" w:themeFill="background1" w:themeFillShade="BF"/>
          </w:tcPr>
          <w:p w14:paraId="518BE946" w14:textId="77777777" w:rsidR="00851685" w:rsidRPr="00BF2D10" w:rsidRDefault="00851685" w:rsidP="004D6630">
            <w:pPr>
              <w:pStyle w:val="Standaard-Tabellen"/>
              <w:rPr>
                <w:b/>
                <w:lang w:val="en-US"/>
              </w:rPr>
            </w:pPr>
            <w:r w:rsidRPr="00BF2D10">
              <w:rPr>
                <w:b/>
                <w:lang w:val="en-US"/>
              </w:rPr>
              <w:t>Infestation Day 5</w:t>
            </w:r>
          </w:p>
        </w:tc>
        <w:tc>
          <w:tcPr>
            <w:tcW w:w="0" w:type="auto"/>
            <w:shd w:val="clear" w:color="auto" w:fill="BFBFBF" w:themeFill="background1" w:themeFillShade="BF"/>
          </w:tcPr>
          <w:p w14:paraId="7F80FBD1" w14:textId="77777777" w:rsidR="00851685" w:rsidRPr="00BF2D10" w:rsidRDefault="00851685" w:rsidP="004D6630">
            <w:pPr>
              <w:pStyle w:val="Standaard-Tabellen"/>
              <w:rPr>
                <w:b/>
                <w:lang w:val="en-US"/>
              </w:rPr>
            </w:pPr>
            <w:r w:rsidRPr="00BF2D10">
              <w:rPr>
                <w:b/>
                <w:lang w:val="en-US"/>
              </w:rPr>
              <w:t>Infestation Day 9</w:t>
            </w:r>
          </w:p>
        </w:tc>
      </w:tr>
      <w:tr w:rsidR="00851685" w:rsidRPr="00BF2D10" w14:paraId="15C03A0F" w14:textId="77777777" w:rsidTr="004D6630">
        <w:trPr>
          <w:jc w:val="center"/>
        </w:trPr>
        <w:tc>
          <w:tcPr>
            <w:tcW w:w="0" w:type="auto"/>
          </w:tcPr>
          <w:p w14:paraId="272E14B5" w14:textId="77777777" w:rsidR="00851685" w:rsidRPr="00BF2D10" w:rsidRDefault="00851685" w:rsidP="004D6630">
            <w:pPr>
              <w:pStyle w:val="Standaard-Tabellen"/>
              <w:rPr>
                <w:b/>
                <w:lang w:val="en-US"/>
              </w:rPr>
            </w:pPr>
            <w:r w:rsidRPr="00BF2D10">
              <w:rPr>
                <w:b/>
                <w:lang w:val="en-US"/>
              </w:rPr>
              <w:t>20% w/w IR3535 Lotion</w:t>
            </w:r>
          </w:p>
        </w:tc>
        <w:tc>
          <w:tcPr>
            <w:tcW w:w="0" w:type="auto"/>
          </w:tcPr>
          <w:p w14:paraId="2DDD2FBC" w14:textId="77777777" w:rsidR="00851685" w:rsidRPr="00BF2D10" w:rsidRDefault="00851685" w:rsidP="004D6630">
            <w:pPr>
              <w:pStyle w:val="Standaard-Tabellen"/>
              <w:rPr>
                <w:lang w:val="en-US"/>
              </w:rPr>
            </w:pPr>
            <w:r w:rsidRPr="00BF2D10">
              <w:rPr>
                <w:lang w:val="en-US"/>
              </w:rPr>
              <w:t>7.9</w:t>
            </w:r>
            <w:r w:rsidRPr="00BF2D10">
              <w:rPr>
                <w:vertAlign w:val="superscript"/>
                <w:lang w:val="en-US"/>
              </w:rPr>
              <w:t xml:space="preserve"> a</w:t>
            </w:r>
          </w:p>
        </w:tc>
        <w:tc>
          <w:tcPr>
            <w:tcW w:w="0" w:type="auto"/>
          </w:tcPr>
          <w:p w14:paraId="197CF9D2" w14:textId="77777777" w:rsidR="00851685" w:rsidRPr="00BF2D10" w:rsidRDefault="00851685" w:rsidP="004D6630">
            <w:pPr>
              <w:pStyle w:val="Standaard-Tabellen"/>
              <w:rPr>
                <w:lang w:val="en-US"/>
              </w:rPr>
            </w:pPr>
            <w:r w:rsidRPr="00BF2D10">
              <w:rPr>
                <w:lang w:val="en-US"/>
              </w:rPr>
              <w:t>0.27</w:t>
            </w:r>
            <w:r w:rsidRPr="00BF2D10">
              <w:rPr>
                <w:vertAlign w:val="superscript"/>
                <w:lang w:val="en-US"/>
              </w:rPr>
              <w:t xml:space="preserve"> a</w:t>
            </w:r>
          </w:p>
        </w:tc>
        <w:tc>
          <w:tcPr>
            <w:tcW w:w="0" w:type="auto"/>
          </w:tcPr>
          <w:p w14:paraId="6A889B71" w14:textId="77777777" w:rsidR="00851685" w:rsidRPr="00BF2D10" w:rsidRDefault="00851685" w:rsidP="004D6630">
            <w:pPr>
              <w:pStyle w:val="Standaard-Tabellen"/>
              <w:rPr>
                <w:lang w:val="en-US"/>
              </w:rPr>
            </w:pPr>
            <w:r w:rsidRPr="00BF2D10">
              <w:rPr>
                <w:lang w:val="en-US"/>
              </w:rPr>
              <w:t>0.42</w:t>
            </w:r>
            <w:r w:rsidRPr="00BF2D10">
              <w:rPr>
                <w:vertAlign w:val="superscript"/>
                <w:lang w:val="en-US"/>
              </w:rPr>
              <w:t xml:space="preserve"> a*</w:t>
            </w:r>
          </w:p>
        </w:tc>
      </w:tr>
      <w:tr w:rsidR="00851685" w:rsidRPr="00BF2D10" w14:paraId="28DCB06C" w14:textId="77777777" w:rsidTr="004D6630">
        <w:trPr>
          <w:jc w:val="center"/>
        </w:trPr>
        <w:tc>
          <w:tcPr>
            <w:tcW w:w="0" w:type="auto"/>
          </w:tcPr>
          <w:p w14:paraId="0A801C88" w14:textId="77777777" w:rsidR="00851685" w:rsidRPr="00BF2D10" w:rsidRDefault="00851685" w:rsidP="004D6630">
            <w:pPr>
              <w:pStyle w:val="Standaard-Tabellen"/>
              <w:rPr>
                <w:b/>
                <w:lang w:val="en-US"/>
              </w:rPr>
            </w:pPr>
            <w:r w:rsidRPr="00BF2D10">
              <w:rPr>
                <w:b/>
                <w:lang w:val="en-US"/>
              </w:rPr>
              <w:t>Control – untreated</w:t>
            </w:r>
          </w:p>
        </w:tc>
        <w:tc>
          <w:tcPr>
            <w:tcW w:w="0" w:type="auto"/>
          </w:tcPr>
          <w:p w14:paraId="6FD34107" w14:textId="77777777" w:rsidR="00851685" w:rsidRPr="00BF2D10" w:rsidRDefault="00851685" w:rsidP="004D6630">
            <w:pPr>
              <w:pStyle w:val="Standaard-Tabellen"/>
              <w:rPr>
                <w:lang w:val="en-US"/>
              </w:rPr>
            </w:pPr>
            <w:r w:rsidRPr="00BF2D10">
              <w:rPr>
                <w:lang w:val="en-US"/>
              </w:rPr>
              <w:t>10.23</w:t>
            </w:r>
            <w:r w:rsidRPr="00BF2D10">
              <w:rPr>
                <w:vertAlign w:val="superscript"/>
                <w:lang w:val="en-US"/>
              </w:rPr>
              <w:t>a</w:t>
            </w:r>
          </w:p>
        </w:tc>
        <w:tc>
          <w:tcPr>
            <w:tcW w:w="0" w:type="auto"/>
          </w:tcPr>
          <w:p w14:paraId="1672AF85" w14:textId="77777777" w:rsidR="00851685" w:rsidRPr="00BF2D10" w:rsidRDefault="00851685" w:rsidP="004D6630">
            <w:pPr>
              <w:pStyle w:val="Standaard-Tabellen"/>
              <w:rPr>
                <w:lang w:val="en-US"/>
              </w:rPr>
            </w:pPr>
            <w:r w:rsidRPr="00BF2D10">
              <w:rPr>
                <w:lang w:val="en-US"/>
              </w:rPr>
              <w:t>0.52</w:t>
            </w:r>
            <w:r w:rsidRPr="00BF2D10">
              <w:rPr>
                <w:vertAlign w:val="superscript"/>
                <w:lang w:val="en-US"/>
              </w:rPr>
              <w:t xml:space="preserve"> a</w:t>
            </w:r>
          </w:p>
        </w:tc>
        <w:tc>
          <w:tcPr>
            <w:tcW w:w="0" w:type="auto"/>
          </w:tcPr>
          <w:p w14:paraId="48C42C1A" w14:textId="77777777" w:rsidR="00851685" w:rsidRPr="00BF2D10" w:rsidRDefault="00851685" w:rsidP="004D6630">
            <w:pPr>
              <w:pStyle w:val="Standaard-Tabellen"/>
              <w:rPr>
                <w:lang w:val="en-US"/>
              </w:rPr>
            </w:pPr>
            <w:r w:rsidRPr="00BF2D10">
              <w:rPr>
                <w:lang w:val="en-US"/>
              </w:rPr>
              <w:t>1.72</w:t>
            </w:r>
            <w:r w:rsidRPr="00BF2D10">
              <w:rPr>
                <w:vertAlign w:val="superscript"/>
                <w:lang w:val="en-US"/>
              </w:rPr>
              <w:t xml:space="preserve"> a*</w:t>
            </w:r>
          </w:p>
        </w:tc>
      </w:tr>
    </w:tbl>
    <w:p w14:paraId="3568E3F2" w14:textId="77777777" w:rsidR="00851685" w:rsidRPr="00BF2D10" w:rsidRDefault="00851685" w:rsidP="004D6630">
      <w:pPr>
        <w:ind w:left="360"/>
        <w:rPr>
          <w:lang w:val="en-US"/>
        </w:rPr>
      </w:pPr>
      <w:r w:rsidRPr="00BF2D10">
        <w:rPr>
          <w:vertAlign w:val="superscript"/>
          <w:lang w:val="en-US"/>
        </w:rPr>
        <w:t xml:space="preserve">a </w:t>
      </w:r>
      <w:r w:rsidRPr="00BF2D10">
        <w:rPr>
          <w:lang w:val="en-US"/>
        </w:rPr>
        <w:t>total infestation (mean lice per subject)</w:t>
      </w:r>
    </w:p>
    <w:p w14:paraId="13FD840C" w14:textId="77777777" w:rsidR="00851685" w:rsidRPr="00BF2D10" w:rsidRDefault="00851685" w:rsidP="004D6630">
      <w:pPr>
        <w:ind w:left="360"/>
        <w:rPr>
          <w:lang w:val="en-US"/>
        </w:rPr>
      </w:pPr>
      <w:r w:rsidRPr="00BF2D10">
        <w:rPr>
          <w:vertAlign w:val="superscript"/>
          <w:lang w:val="en-US"/>
        </w:rPr>
        <w:t xml:space="preserve">* </w:t>
      </w:r>
      <w:r w:rsidRPr="00BF2D10">
        <w:rPr>
          <w:lang w:val="en-US"/>
        </w:rPr>
        <w:t>significant difference (t-test P = 0.0447)</w:t>
      </w:r>
    </w:p>
    <w:p w14:paraId="7FBF7E9F" w14:textId="77777777" w:rsidR="00851685" w:rsidRPr="00BF2D10" w:rsidRDefault="00851685" w:rsidP="004D6630">
      <w:pPr>
        <w:ind w:left="360"/>
        <w:rPr>
          <w:lang w:val="en-US"/>
        </w:rPr>
      </w:pPr>
    </w:p>
    <w:p w14:paraId="706997CA" w14:textId="77777777" w:rsidR="00851685" w:rsidRPr="00BF2D10" w:rsidRDefault="00851685" w:rsidP="004D6630">
      <w:pPr>
        <w:ind w:left="360"/>
        <w:rPr>
          <w:lang w:val="en-US"/>
        </w:rPr>
      </w:pPr>
      <w:r w:rsidRPr="00BF2D10">
        <w:rPr>
          <w:lang w:val="en-US"/>
        </w:rPr>
        <w:t>On D5, the difference between both groups was not significant.</w:t>
      </w:r>
    </w:p>
    <w:p w14:paraId="1DF10E4E" w14:textId="6C62B1DE" w:rsidR="00851685" w:rsidRPr="00BF2D10" w:rsidRDefault="00851685" w:rsidP="004D6630">
      <w:pPr>
        <w:ind w:left="360"/>
        <w:rPr>
          <w:lang w:val="en-US"/>
        </w:rPr>
      </w:pPr>
      <w:r w:rsidRPr="00BF2D10">
        <w:rPr>
          <w:lang w:val="en-US"/>
        </w:rPr>
        <w:lastRenderedPageBreak/>
        <w:t>In contrast, on D9, the study showed that the group treated</w:t>
      </w:r>
      <w:r w:rsidR="00D87E9A">
        <w:rPr>
          <w:lang w:val="en-US"/>
        </w:rPr>
        <w:t xml:space="preserve"> with the negative control formulation</w:t>
      </w:r>
      <w:r w:rsidRPr="00BF2D10">
        <w:rPr>
          <w:lang w:val="en-US"/>
        </w:rPr>
        <w:t xml:space="preserve"> has 4 times more lice than the group treated with the </w:t>
      </w:r>
      <w:r w:rsidR="00D87E9A">
        <w:rPr>
          <w:lang w:val="en-US"/>
        </w:rPr>
        <w:t>Insect Repellent Pump Spray Lice IR3535</w:t>
      </w:r>
      <w:r w:rsidR="00D87E9A" w:rsidRPr="005A28CB">
        <w:rPr>
          <w:vertAlign w:val="superscript"/>
          <w:lang w:val="en-US"/>
        </w:rPr>
        <w:t>®</w:t>
      </w:r>
      <w:r w:rsidR="00D87E9A" w:rsidRPr="00D87E9A">
        <w:rPr>
          <w:lang w:val="en-US"/>
        </w:rPr>
        <w:t xml:space="preserve"> </w:t>
      </w:r>
      <w:r w:rsidR="00D87E9A">
        <w:rPr>
          <w:lang w:val="en-US"/>
        </w:rPr>
        <w:t xml:space="preserve">20% </w:t>
      </w:r>
      <w:r w:rsidRPr="00BF2D10">
        <w:rPr>
          <w:lang w:val="en-US"/>
        </w:rPr>
        <w:t>i.e. 80%</w:t>
      </w:r>
      <w:r w:rsidR="00BF62E5">
        <w:rPr>
          <w:lang w:val="en-US"/>
        </w:rPr>
        <w:t>*</w:t>
      </w:r>
      <w:r w:rsidRPr="00BF2D10">
        <w:rPr>
          <w:lang w:val="en-US"/>
        </w:rPr>
        <w:t xml:space="preserve"> repellency.</w:t>
      </w:r>
    </w:p>
    <w:p w14:paraId="7449EF61" w14:textId="77777777" w:rsidR="00BF62E5" w:rsidRDefault="00BF62E5" w:rsidP="00BF62E5">
      <w:pPr>
        <w:ind w:left="360"/>
        <w:rPr>
          <w:lang w:val="en-US"/>
        </w:rPr>
      </w:pPr>
    </w:p>
    <w:p w14:paraId="537160C9" w14:textId="77777777" w:rsidR="00BF62E5" w:rsidRDefault="00BF62E5" w:rsidP="00BF62E5">
      <w:pPr>
        <w:ind w:left="360"/>
        <w:rPr>
          <w:lang w:val="en-US"/>
        </w:rPr>
      </w:pPr>
      <w:r w:rsidRPr="00C74C1A">
        <w:rPr>
          <w:lang w:val="en-US"/>
        </w:rPr>
        <w:t>*</w:t>
      </w:r>
      <w:r>
        <w:rPr>
          <w:lang w:val="en-US"/>
        </w:rPr>
        <w:t xml:space="preserve"> Please note that the 80% value has been determined taking into account some practical deviations.  </w:t>
      </w:r>
    </w:p>
    <w:p w14:paraId="3F9AE54C" w14:textId="77777777" w:rsidR="00BF62E5" w:rsidRDefault="00BF62E5" w:rsidP="00BF62E5">
      <w:pPr>
        <w:ind w:left="360"/>
        <w:rPr>
          <w:color w:val="002060"/>
          <w:lang w:val="en-US"/>
        </w:rPr>
      </w:pPr>
      <w:r w:rsidRPr="00F84A66">
        <w:rPr>
          <w:color w:val="002060"/>
          <w:u w:val="single"/>
          <w:lang w:val="en-US"/>
        </w:rPr>
        <w:t>Justification :</w:t>
      </w:r>
      <w:r>
        <w:rPr>
          <w:color w:val="002060"/>
          <w:lang w:val="en-US"/>
        </w:rPr>
        <w:t xml:space="preserve"> </w:t>
      </w:r>
      <w:r w:rsidRPr="00211EB0">
        <w:rPr>
          <w:color w:val="002060"/>
          <w:lang w:val="en-US"/>
        </w:rPr>
        <w:t>Some children were not present for treatment on day 5 (Saturday, school was closed). They have been included into the results as they received a treatment on day7. Further, the number of alive lice differ even more between the treatment groups indicative of repellence &gt; 80% on day 9. Further evaluation shows that the number of children without lice in the treatment group is higher and the number of lice on the remaining affected children is reduced too.</w:t>
      </w:r>
    </w:p>
    <w:p w14:paraId="43BE8BCB" w14:textId="77777777" w:rsidR="00851685" w:rsidRPr="00BF2D10" w:rsidRDefault="00851685" w:rsidP="004D6630">
      <w:pPr>
        <w:ind w:left="360"/>
        <w:rPr>
          <w:lang w:val="en-US"/>
        </w:rPr>
      </w:pPr>
    </w:p>
    <w:p w14:paraId="0005D333" w14:textId="77777777" w:rsidR="00851685" w:rsidRPr="00BF2D10" w:rsidRDefault="00851685" w:rsidP="004D6630">
      <w:pPr>
        <w:rPr>
          <w:u w:val="single"/>
        </w:rPr>
      </w:pPr>
      <w:r w:rsidRPr="00BF2D10">
        <w:rPr>
          <w:u w:val="single"/>
        </w:rPr>
        <w:t xml:space="preserve">Conclusion </w:t>
      </w:r>
      <w:r w:rsidRPr="00BF2D10">
        <w:t>: Reliability 1</w:t>
      </w:r>
    </w:p>
    <w:p w14:paraId="7A8406F1" w14:textId="2B738D62" w:rsidR="00851685" w:rsidRPr="00BF2D10" w:rsidRDefault="00851685" w:rsidP="004D6630">
      <w:pPr>
        <w:rPr>
          <w:lang w:val="en-US"/>
        </w:rPr>
      </w:pPr>
      <w:r w:rsidRPr="00BF2D10">
        <w:t xml:space="preserve">Based on these efficacy data, </w:t>
      </w:r>
      <w:r w:rsidRPr="00BF2D10">
        <w:rPr>
          <w:rFonts w:eastAsia="Calibri"/>
          <w:iCs/>
          <w:lang w:val="en-US"/>
        </w:rPr>
        <w:t xml:space="preserve">the product </w:t>
      </w:r>
      <w:r w:rsidRPr="00BF2D10">
        <w:rPr>
          <w:b/>
          <w:i/>
          <w:lang w:val="en-US"/>
        </w:rPr>
        <w:t>Insect Repellent Pump Spray Lice IR3535</w:t>
      </w:r>
      <w:r w:rsidR="00407AC3" w:rsidRPr="00407AC3">
        <w:rPr>
          <w:b/>
          <w:i/>
          <w:vertAlign w:val="superscript"/>
          <w:lang w:val="en-US"/>
        </w:rPr>
        <w:t>®</w:t>
      </w:r>
      <w:r w:rsidRPr="00BF2D10">
        <w:rPr>
          <w:b/>
          <w:i/>
          <w:lang w:val="en-US"/>
        </w:rPr>
        <w:t xml:space="preserve"> 20%</w:t>
      </w:r>
      <w:r w:rsidRPr="00BF2D10">
        <w:rPr>
          <w:lang w:val="en-US"/>
        </w:rPr>
        <w:t xml:space="preserve"> (hydroalcoholic solution, 20% IR3535), used </w:t>
      </w:r>
      <w:r w:rsidR="00470EF7">
        <w:rPr>
          <w:lang w:val="en-US"/>
        </w:rPr>
        <w:t xml:space="preserve">at a rate of 0.5 mL per treatment </w:t>
      </w:r>
      <w:r w:rsidRPr="00BF2D10">
        <w:rPr>
          <w:lang w:val="en-US"/>
        </w:rPr>
        <w:t xml:space="preserve">after a </w:t>
      </w:r>
      <w:r w:rsidRPr="00EA31AA">
        <w:rPr>
          <w:lang w:val="en-US"/>
        </w:rPr>
        <w:t>pediculicidal</w:t>
      </w:r>
      <w:r w:rsidRPr="00BF2D10">
        <w:rPr>
          <w:lang w:val="en-US"/>
        </w:rPr>
        <w:t xml:space="preserve"> treatment and applied every 2 days, does </w:t>
      </w:r>
      <w:r w:rsidR="00BF62E5">
        <w:rPr>
          <w:lang w:val="en-US"/>
        </w:rPr>
        <w:t>limit</w:t>
      </w:r>
      <w:r w:rsidR="00BF62E5" w:rsidRPr="00BF2D10">
        <w:rPr>
          <w:lang w:val="en-US"/>
        </w:rPr>
        <w:t xml:space="preserve"> </w:t>
      </w:r>
      <w:r w:rsidRPr="00BF2D10">
        <w:rPr>
          <w:lang w:val="en-US"/>
        </w:rPr>
        <w:t>adult lice re-</w:t>
      </w:r>
      <w:r w:rsidR="005A28CB" w:rsidRPr="00BF2D10">
        <w:rPr>
          <w:lang w:val="en-US"/>
        </w:rPr>
        <w:t>infestation</w:t>
      </w:r>
      <w:r w:rsidR="00BF62E5">
        <w:rPr>
          <w:lang w:val="en-US"/>
        </w:rPr>
        <w:t xml:space="preserve"> (80 % up to 9 days)</w:t>
      </w:r>
      <w:r w:rsidRPr="00BF2D10">
        <w:rPr>
          <w:lang w:val="en-US"/>
        </w:rPr>
        <w:t>.</w:t>
      </w:r>
    </w:p>
    <w:p w14:paraId="360B4D54" w14:textId="77777777" w:rsidR="003839E7" w:rsidRPr="00BD2EF1" w:rsidRDefault="003839E7" w:rsidP="003839E7">
      <w:pPr>
        <w:pStyle w:val="Titre4"/>
      </w:pPr>
      <w:bookmarkStart w:id="143" w:name="_Toc93326540"/>
      <w:r w:rsidRPr="00BD2EF1">
        <w:t>Mode of action, including time delay</w:t>
      </w:r>
      <w:bookmarkEnd w:id="139"/>
      <w:bookmarkEnd w:id="140"/>
      <w:bookmarkEnd w:id="141"/>
      <w:bookmarkEnd w:id="142"/>
      <w:bookmarkEnd w:id="143"/>
    </w:p>
    <w:p w14:paraId="6AA26801" w14:textId="77777777" w:rsidR="003839E7" w:rsidRDefault="004D6630" w:rsidP="004D6630">
      <w:pPr>
        <w:rPr>
          <w:lang w:val="en-US"/>
        </w:rPr>
      </w:pPr>
      <w:r w:rsidRPr="0008732C">
        <w:rPr>
          <w:lang w:val="en-US"/>
        </w:rPr>
        <w:t>The mode of action of IR3535</w:t>
      </w:r>
      <w:r w:rsidRPr="0008732C">
        <w:rPr>
          <w:vertAlign w:val="superscript"/>
          <w:lang w:val="en-US"/>
        </w:rPr>
        <w:t>®</w:t>
      </w:r>
      <w:r w:rsidRPr="0008732C">
        <w:rPr>
          <w:lang w:val="en-US"/>
        </w:rPr>
        <w:t xml:space="preserve"> is not a passive masking of an attracting odour of a victim, but an active repellent effect as insects avoid entering regions with IR3535</w:t>
      </w:r>
      <w:r w:rsidRPr="0008732C">
        <w:rPr>
          <w:vertAlign w:val="superscript"/>
          <w:lang w:val="en-US"/>
        </w:rPr>
        <w:t>®</w:t>
      </w:r>
      <w:r w:rsidRPr="0008732C">
        <w:rPr>
          <w:lang w:val="en-US"/>
        </w:rPr>
        <w:t xml:space="preserve"> vapours. The exact biochemical mode of action of IR3535</w:t>
      </w:r>
      <w:r w:rsidRPr="0008732C">
        <w:rPr>
          <w:vertAlign w:val="superscript"/>
          <w:lang w:val="en-US"/>
        </w:rPr>
        <w:t>®</w:t>
      </w:r>
      <w:r w:rsidRPr="0008732C">
        <w:rPr>
          <w:lang w:val="en-US"/>
        </w:rPr>
        <w:t xml:space="preserve"> on insects is not well known yet, but it is most self-evident to assume that IR3535</w:t>
      </w:r>
      <w:r w:rsidRPr="0008732C">
        <w:rPr>
          <w:vertAlign w:val="superscript"/>
          <w:lang w:val="en-US"/>
        </w:rPr>
        <w:t>®</w:t>
      </w:r>
      <w:r w:rsidRPr="0008732C">
        <w:rPr>
          <w:lang w:val="en-US"/>
        </w:rPr>
        <w:t xml:space="preserve"> has an olfactory-based effect.</w:t>
      </w:r>
    </w:p>
    <w:p w14:paraId="737CDC0E" w14:textId="77777777" w:rsidR="004D6630" w:rsidRDefault="004D6630" w:rsidP="004D6630">
      <w:pPr>
        <w:rPr>
          <w:lang w:val="en-US"/>
        </w:rPr>
      </w:pPr>
    </w:p>
    <w:p w14:paraId="1813024B" w14:textId="77777777" w:rsidR="004D6630" w:rsidRDefault="004D6630" w:rsidP="004D6630">
      <w:pPr>
        <w:rPr>
          <w:lang w:val="en-US"/>
        </w:rPr>
        <w:sectPr w:rsidR="004D6630" w:rsidSect="006456DE">
          <w:pgSz w:w="11906" w:h="16838"/>
          <w:pgMar w:top="1247" w:right="1247" w:bottom="1247" w:left="1247" w:header="709" w:footer="709" w:gutter="0"/>
          <w:cols w:space="708"/>
          <w:docGrid w:linePitch="360"/>
        </w:sectPr>
      </w:pPr>
    </w:p>
    <w:p w14:paraId="0A985133" w14:textId="7FD19B33" w:rsidR="00403721" w:rsidRDefault="003839E7" w:rsidP="00403721">
      <w:pPr>
        <w:pStyle w:val="Titre4"/>
      </w:pPr>
      <w:bookmarkStart w:id="144" w:name="_Toc389729039"/>
      <w:bookmarkStart w:id="145" w:name="_Toc403472748"/>
      <w:bookmarkStart w:id="146" w:name="_Toc403566569"/>
      <w:bookmarkStart w:id="147" w:name="_Toc425344110"/>
      <w:bookmarkStart w:id="148" w:name="_Toc93326541"/>
      <w:r w:rsidRPr="00BD2EF1">
        <w:lastRenderedPageBreak/>
        <w:t>Efficacy data</w:t>
      </w:r>
      <w:bookmarkEnd w:id="144"/>
      <w:bookmarkEnd w:id="145"/>
      <w:bookmarkEnd w:id="146"/>
      <w:bookmarkEnd w:id="147"/>
      <w:bookmarkEnd w:id="148"/>
      <w:r w:rsidRPr="00BD2EF1">
        <w:t xml:space="preserve"> </w:t>
      </w:r>
    </w:p>
    <w:p w14:paraId="28CFD3CA" w14:textId="77777777" w:rsidR="00805040" w:rsidRPr="009461FB" w:rsidRDefault="00805040" w:rsidP="00805040">
      <w:pPr>
        <w:pStyle w:val="Paragraphedeliste"/>
        <w:numPr>
          <w:ilvl w:val="0"/>
          <w:numId w:val="68"/>
        </w:numPr>
        <w:rPr>
          <w:b/>
        </w:rPr>
      </w:pPr>
      <w:r w:rsidRPr="009461FB">
        <w:rPr>
          <w:b/>
        </w:rPr>
        <w:t>FIRST AUTHORISATION – 2017 (BE CA)</w:t>
      </w:r>
    </w:p>
    <w:p w14:paraId="273BFA40" w14:textId="77777777" w:rsidR="00403721" w:rsidRPr="00403721" w:rsidRDefault="00403721" w:rsidP="0040372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50"/>
        <w:gridCol w:w="2411"/>
        <w:gridCol w:w="1780"/>
        <w:gridCol w:w="1780"/>
        <w:gridCol w:w="1780"/>
        <w:gridCol w:w="2096"/>
        <w:gridCol w:w="1560"/>
        <w:gridCol w:w="1777"/>
      </w:tblGrid>
      <w:tr w:rsidR="004D6630" w:rsidRPr="004D6630" w14:paraId="690607D3" w14:textId="77777777" w:rsidTr="00224DD4">
        <w:trPr>
          <w:trHeight w:val="303"/>
        </w:trPr>
        <w:tc>
          <w:tcPr>
            <w:tcW w:w="5000" w:type="pct"/>
            <w:gridSpan w:val="8"/>
            <w:tcBorders>
              <w:top w:val="single" w:sz="4" w:space="0" w:color="auto"/>
              <w:left w:val="single" w:sz="4" w:space="0" w:color="auto"/>
              <w:bottom w:val="single" w:sz="6" w:space="0" w:color="auto"/>
              <w:right w:val="single" w:sz="4" w:space="0" w:color="auto"/>
            </w:tcBorders>
            <w:shd w:val="clear" w:color="auto" w:fill="FFFFCC"/>
            <w:vAlign w:val="center"/>
            <w:hideMark/>
          </w:tcPr>
          <w:p w14:paraId="70E3AA38" w14:textId="77777777" w:rsidR="004D6630" w:rsidRPr="004D6630" w:rsidRDefault="004D6630" w:rsidP="004D6630">
            <w:pPr>
              <w:pStyle w:val="Standaard-Tabellen"/>
              <w:jc w:val="center"/>
              <w:rPr>
                <w:b/>
              </w:rPr>
            </w:pPr>
            <w:r w:rsidRPr="004D6630">
              <w:rPr>
                <w:b/>
              </w:rPr>
              <w:t>Experimental data on the efficacy of the biocidal product against target organism(s)</w:t>
            </w:r>
          </w:p>
        </w:tc>
      </w:tr>
      <w:tr w:rsidR="004D6630" w:rsidRPr="004D6630" w14:paraId="75F06C01" w14:textId="77777777" w:rsidTr="004D6630">
        <w:tc>
          <w:tcPr>
            <w:tcW w:w="401" w:type="pct"/>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hideMark/>
          </w:tcPr>
          <w:p w14:paraId="27670FA2" w14:textId="77777777" w:rsidR="004D6630" w:rsidRPr="004D6630" w:rsidRDefault="004D6630" w:rsidP="004D6630">
            <w:pPr>
              <w:pStyle w:val="Standaard-Tabellen"/>
              <w:rPr>
                <w:b/>
              </w:rPr>
            </w:pPr>
            <w:r w:rsidRPr="004D6630">
              <w:rPr>
                <w:b/>
              </w:rPr>
              <w:t>Function</w:t>
            </w:r>
          </w:p>
        </w:tc>
        <w:tc>
          <w:tcPr>
            <w:tcW w:w="84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7CF757F" w14:textId="77777777" w:rsidR="004D6630" w:rsidRPr="004D6630" w:rsidRDefault="004D6630" w:rsidP="004D6630">
            <w:pPr>
              <w:pStyle w:val="Standaard-Tabellen"/>
              <w:rPr>
                <w:b/>
              </w:rPr>
            </w:pPr>
            <w:r w:rsidRPr="004D6630">
              <w:rPr>
                <w:b/>
              </w:rPr>
              <w:t>Field of use envisaged</w:t>
            </w:r>
          </w:p>
        </w:tc>
        <w:tc>
          <w:tcPr>
            <w:tcW w:w="62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CDB5318" w14:textId="77777777" w:rsidR="004D6630" w:rsidRPr="004D6630" w:rsidRDefault="004D6630" w:rsidP="004D6630">
            <w:pPr>
              <w:pStyle w:val="Standaard-Tabellen"/>
              <w:rPr>
                <w:b/>
              </w:rPr>
            </w:pPr>
            <w:r w:rsidRPr="004D6630">
              <w:rPr>
                <w:b/>
              </w:rPr>
              <w:t>Test substance</w:t>
            </w:r>
          </w:p>
        </w:tc>
        <w:tc>
          <w:tcPr>
            <w:tcW w:w="62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50F7DE8" w14:textId="77777777" w:rsidR="004D6630" w:rsidRPr="004D6630" w:rsidRDefault="004D6630" w:rsidP="004D6630">
            <w:pPr>
              <w:pStyle w:val="Standaard-Tabellen"/>
              <w:rPr>
                <w:b/>
              </w:rPr>
            </w:pPr>
            <w:r w:rsidRPr="004D6630">
              <w:rPr>
                <w:b/>
              </w:rPr>
              <w:t>Test organism(s)</w:t>
            </w:r>
          </w:p>
        </w:tc>
        <w:tc>
          <w:tcPr>
            <w:tcW w:w="62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E5E2457" w14:textId="77777777" w:rsidR="004D6630" w:rsidRPr="004D6630" w:rsidRDefault="004D6630" w:rsidP="004D6630">
            <w:pPr>
              <w:pStyle w:val="Standaard-Tabellen"/>
              <w:rPr>
                <w:b/>
              </w:rPr>
            </w:pPr>
            <w:r w:rsidRPr="004D6630">
              <w:rPr>
                <w:b/>
              </w:rPr>
              <w:t>Test method</w:t>
            </w:r>
          </w:p>
        </w:tc>
        <w:tc>
          <w:tcPr>
            <w:tcW w:w="73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CA50F93" w14:textId="77777777" w:rsidR="004D6630" w:rsidRPr="004D6630" w:rsidRDefault="004D6630" w:rsidP="004D6630">
            <w:pPr>
              <w:pStyle w:val="Standaard-Tabellen"/>
              <w:rPr>
                <w:b/>
              </w:rPr>
            </w:pPr>
            <w:r w:rsidRPr="004D6630">
              <w:rPr>
                <w:b/>
              </w:rPr>
              <w:t>Test system / concentrations applied / exposure time</w:t>
            </w:r>
          </w:p>
        </w:tc>
        <w:tc>
          <w:tcPr>
            <w:tcW w:w="5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3533884" w14:textId="77777777" w:rsidR="004D6630" w:rsidRPr="004D6630" w:rsidRDefault="004D6630" w:rsidP="004D6630">
            <w:pPr>
              <w:pStyle w:val="Standaard-Tabellen"/>
              <w:rPr>
                <w:b/>
              </w:rPr>
            </w:pPr>
            <w:r w:rsidRPr="004D6630">
              <w:rPr>
                <w:b/>
              </w:rPr>
              <w:t>Test results: effects</w:t>
            </w:r>
          </w:p>
        </w:tc>
        <w:tc>
          <w:tcPr>
            <w:tcW w:w="621"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hideMark/>
          </w:tcPr>
          <w:p w14:paraId="3AAC100C" w14:textId="77777777" w:rsidR="004D6630" w:rsidRPr="004D6630" w:rsidRDefault="004D6630" w:rsidP="004D6630">
            <w:pPr>
              <w:pStyle w:val="Standaard-Tabellen"/>
              <w:rPr>
                <w:b/>
              </w:rPr>
            </w:pPr>
            <w:r w:rsidRPr="004D6630">
              <w:rPr>
                <w:b/>
              </w:rPr>
              <w:t>Reference</w:t>
            </w:r>
          </w:p>
        </w:tc>
      </w:tr>
      <w:tr w:rsidR="004D6630" w:rsidRPr="005A170E" w14:paraId="31B215FA" w14:textId="77777777" w:rsidTr="00224DD4">
        <w:tc>
          <w:tcPr>
            <w:tcW w:w="401" w:type="pct"/>
            <w:tcBorders>
              <w:top w:val="single" w:sz="6" w:space="0" w:color="auto"/>
              <w:left w:val="single" w:sz="4" w:space="0" w:color="auto"/>
              <w:bottom w:val="single" w:sz="6" w:space="0" w:color="auto"/>
              <w:right w:val="single" w:sz="6" w:space="0" w:color="auto"/>
            </w:tcBorders>
            <w:shd w:val="clear" w:color="auto" w:fill="FFFFFF"/>
            <w:vAlign w:val="center"/>
          </w:tcPr>
          <w:p w14:paraId="236C65CA" w14:textId="77777777" w:rsidR="004D6630" w:rsidRPr="004D6630" w:rsidRDefault="004D6630" w:rsidP="004D6630">
            <w:pPr>
              <w:pStyle w:val="Standaard-Tabellen"/>
              <w:rPr>
                <w:i/>
              </w:rPr>
            </w:pPr>
            <w:r w:rsidRPr="004D6630">
              <w:rPr>
                <w:i/>
              </w:rPr>
              <w:t>PT19</w:t>
            </w:r>
          </w:p>
          <w:p w14:paraId="1089C0F1" w14:textId="77777777" w:rsidR="004D6630" w:rsidRPr="004D6630" w:rsidRDefault="004D6630" w:rsidP="004D6630">
            <w:pPr>
              <w:pStyle w:val="Standaard-Tabellen"/>
            </w:pPr>
            <w:r w:rsidRPr="004D6630">
              <w:rPr>
                <w:i/>
              </w:rPr>
              <w:t>Repellent</w:t>
            </w:r>
          </w:p>
          <w:p w14:paraId="0FBB86C4" w14:textId="77777777" w:rsidR="004D6630" w:rsidRPr="004D6630" w:rsidRDefault="004D6630" w:rsidP="004D6630">
            <w:pPr>
              <w:pStyle w:val="Standaard-Tabellen"/>
            </w:pPr>
          </w:p>
        </w:tc>
        <w:tc>
          <w:tcPr>
            <w:tcW w:w="8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82DBCEF" w14:textId="77777777" w:rsidR="004D6630" w:rsidRPr="004D6630" w:rsidRDefault="004D6630" w:rsidP="004D6630">
            <w:pPr>
              <w:pStyle w:val="Standaard-Tabellen"/>
              <w:rPr>
                <w:lang w:val="en-US"/>
              </w:rPr>
            </w:pPr>
            <w:r w:rsidRPr="004D6630">
              <w:rPr>
                <w:lang w:val="en-US"/>
              </w:rPr>
              <w:t>- Anti-lice repellent pump spray to prevent lice re-infection – RTU leave-on product</w:t>
            </w:r>
          </w:p>
          <w:p w14:paraId="7DB5EB58" w14:textId="77777777" w:rsidR="004D6630" w:rsidRPr="004D6630" w:rsidRDefault="004D6630" w:rsidP="004D6630">
            <w:pPr>
              <w:pStyle w:val="Standaard-Tabellen"/>
              <w:rPr>
                <w:lang w:val="en-US"/>
              </w:rPr>
            </w:pPr>
            <w:r w:rsidRPr="004D6630">
              <w:rPr>
                <w:lang w:val="en-US"/>
              </w:rPr>
              <w:t>- After the use of a pediculicidal shampoo</w:t>
            </w:r>
          </w:p>
          <w:p w14:paraId="47129CF5" w14:textId="77777777" w:rsidR="004D6630" w:rsidRPr="004D6630" w:rsidRDefault="004D6630" w:rsidP="004D6630">
            <w:pPr>
              <w:pStyle w:val="Standaard-Tabellen"/>
              <w:rPr>
                <w:lang w:val="en-US"/>
              </w:rPr>
            </w:pPr>
            <w:r w:rsidRPr="004D6630">
              <w:rPr>
                <w:lang w:val="en-US"/>
              </w:rPr>
              <w:t xml:space="preserve">- RTU pump spray </w:t>
            </w:r>
          </w:p>
          <w:p w14:paraId="301C44F0" w14:textId="77777777" w:rsidR="004D6630" w:rsidRPr="004D6630" w:rsidRDefault="004D6630" w:rsidP="004D6630">
            <w:pPr>
              <w:pStyle w:val="Standaard-Tabellen"/>
              <w:rPr>
                <w:lang w:val="en-US"/>
              </w:rPr>
            </w:pPr>
            <w:r w:rsidRPr="004D6630">
              <w:rPr>
                <w:lang w:val="en-US"/>
              </w:rPr>
              <w:t>- Applied on human scalp and hair</w:t>
            </w:r>
          </w:p>
          <w:p w14:paraId="478D6E2C" w14:textId="77777777" w:rsidR="004D6630" w:rsidRPr="004D6630" w:rsidRDefault="004D6630" w:rsidP="004D6630">
            <w:pPr>
              <w:pStyle w:val="Standaard-Tabellen"/>
              <w:rPr>
                <w:lang w:val="en-US"/>
              </w:rPr>
            </w:pPr>
            <w:r w:rsidRPr="004D6630">
              <w:rPr>
                <w:lang w:val="en-US"/>
              </w:rPr>
              <w:t>- For consumers</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14:paraId="17C876A9" w14:textId="27E9A09A" w:rsidR="004D6630" w:rsidRPr="004D6630" w:rsidRDefault="004D6630" w:rsidP="004D6630">
            <w:pPr>
              <w:pStyle w:val="Standaard-Tabellen"/>
              <w:rPr>
                <w:iCs/>
                <w:lang w:val="en-US"/>
              </w:rPr>
            </w:pPr>
            <w:r w:rsidRPr="004D6630">
              <w:t>IR3535</w:t>
            </w:r>
            <w:r w:rsidR="00DE5D51" w:rsidRPr="001F024A">
              <w:rPr>
                <w:vertAlign w:val="superscript"/>
              </w:rPr>
              <w:t>®</w:t>
            </w:r>
            <w:r w:rsidRPr="004D6630">
              <w:t xml:space="preserve"> 20%</w:t>
            </w:r>
          </w:p>
          <w:p w14:paraId="007D01B9" w14:textId="48C2EE77" w:rsidR="004D6630" w:rsidRPr="004D6630" w:rsidRDefault="00D6195F" w:rsidP="004D6630">
            <w:pPr>
              <w:pStyle w:val="Standaard-Tabellen"/>
            </w:pPr>
            <w:r>
              <w:rPr>
                <w:iCs/>
                <w:lang w:val="en-US"/>
              </w:rPr>
              <w:t>a</w:t>
            </w:r>
            <w:r w:rsidR="004D6630" w:rsidRPr="004D6630">
              <w:rPr>
                <w:iCs/>
                <w:lang w:val="en-US"/>
              </w:rPr>
              <w:t>lcoholic solution</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B7BEE4" w14:textId="77777777" w:rsidR="004D6630" w:rsidRPr="004D6630" w:rsidRDefault="004D6630" w:rsidP="004D6630">
            <w:pPr>
              <w:pStyle w:val="Standaard-Tabellen"/>
            </w:pPr>
            <w:r w:rsidRPr="004D6630">
              <w:rPr>
                <w:lang w:val="en-US"/>
              </w:rPr>
              <w:t xml:space="preserve">HEAD LICE </w:t>
            </w:r>
            <w:r w:rsidRPr="004D6630">
              <w:rPr>
                <w:i/>
                <w:lang w:val="en-US"/>
              </w:rPr>
              <w:t>Pediculus humanus</w:t>
            </w:r>
            <w:r w:rsidRPr="004D6630">
              <w:rPr>
                <w:lang w:val="en-US"/>
              </w:rPr>
              <w:t xml:space="preserve"> </w:t>
            </w:r>
            <w:r w:rsidRPr="004D6630">
              <w:rPr>
                <w:i/>
                <w:lang w:val="en-US"/>
              </w:rPr>
              <w:t>capitis</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14:paraId="622322DE" w14:textId="77777777" w:rsidR="004D6630" w:rsidRPr="004D6630" w:rsidRDefault="004D6630" w:rsidP="004D6630">
            <w:pPr>
              <w:pStyle w:val="Standaard-Tabellen"/>
            </w:pPr>
            <w:r w:rsidRPr="004D6630">
              <w:rPr>
                <w:iCs/>
                <w:lang w:val="en-US"/>
              </w:rPr>
              <w:t>Comparative  bio-clinical</w:t>
            </w:r>
            <w:r w:rsidRPr="004D6630">
              <w:rPr>
                <w:i/>
                <w:iCs/>
                <w:lang w:val="en-US"/>
              </w:rPr>
              <w:t xml:space="preserve"> in vivo </w:t>
            </w:r>
            <w:r w:rsidRPr="004D6630">
              <w:rPr>
                <w:iCs/>
                <w:lang w:val="en-US"/>
              </w:rPr>
              <w:t xml:space="preserve">trial </w:t>
            </w: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859CF8E" w14:textId="77777777" w:rsidR="007141E5" w:rsidRDefault="004D6630" w:rsidP="007141E5">
            <w:pPr>
              <w:pStyle w:val="Standaard-Tabellen"/>
            </w:pPr>
            <w:r w:rsidRPr="004D6630">
              <w:t>- with 60 volunteers</w:t>
            </w:r>
          </w:p>
          <w:p w14:paraId="78FD957B" w14:textId="187C4EF5" w:rsidR="004D6630" w:rsidRPr="004D6630" w:rsidRDefault="007141E5" w:rsidP="007141E5">
            <w:pPr>
              <w:pStyle w:val="Standaard-Tabellen"/>
            </w:pPr>
            <w:r>
              <w:t>- 0.5 mL /application</w:t>
            </w:r>
          </w:p>
          <w:p w14:paraId="335C9309" w14:textId="77777777" w:rsidR="004D6630" w:rsidRPr="004D6630" w:rsidRDefault="004D6630" w:rsidP="004D6630">
            <w:pPr>
              <w:pStyle w:val="Standaard-Tabellen"/>
            </w:pPr>
            <w:r w:rsidRPr="004D6630">
              <w:t>- Every 4 days application, like a lacquer on dried hair/scalp</w:t>
            </w:r>
          </w:p>
          <w:p w14:paraId="018183C9" w14:textId="77777777" w:rsidR="004D6630" w:rsidRPr="004D6630" w:rsidRDefault="004D6630" w:rsidP="004D6630">
            <w:pPr>
              <w:pStyle w:val="Standaard-Tabellen"/>
            </w:pPr>
            <w:r w:rsidRPr="004D6630">
              <w:t>- Up to 7 days</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A95C62" w14:textId="77777777" w:rsidR="004D6630" w:rsidRPr="004D6630" w:rsidRDefault="004D6630" w:rsidP="004D6630">
            <w:pPr>
              <w:pStyle w:val="Standaard-Tabellen"/>
            </w:pPr>
            <w:r w:rsidRPr="004D6630">
              <w:t>&gt; 90% less adult lice than the untreated group</w:t>
            </w:r>
          </w:p>
        </w:tc>
        <w:tc>
          <w:tcPr>
            <w:tcW w:w="621" w:type="pct"/>
            <w:tcBorders>
              <w:top w:val="single" w:sz="6" w:space="0" w:color="auto"/>
              <w:left w:val="single" w:sz="6" w:space="0" w:color="auto"/>
              <w:bottom w:val="single" w:sz="6" w:space="0" w:color="auto"/>
              <w:right w:val="single" w:sz="4" w:space="0" w:color="auto"/>
            </w:tcBorders>
            <w:shd w:val="clear" w:color="auto" w:fill="FFFFFF"/>
            <w:vAlign w:val="center"/>
          </w:tcPr>
          <w:p w14:paraId="5C49F571" w14:textId="77777777" w:rsidR="004D6630" w:rsidRPr="004D6630" w:rsidRDefault="004D6630" w:rsidP="004D6630">
            <w:pPr>
              <w:pStyle w:val="Standaard-Tabellen"/>
              <w:rPr>
                <w:iCs/>
                <w:lang w:val="en-US"/>
              </w:rPr>
            </w:pPr>
            <w:r w:rsidRPr="004D6630">
              <w:rPr>
                <w:iCs/>
                <w:lang w:val="en-US"/>
              </w:rPr>
              <w:t>Doc N° 336-1905/1993</w:t>
            </w:r>
          </w:p>
          <w:p w14:paraId="1C59CD30" w14:textId="77777777" w:rsidR="004D6630" w:rsidRPr="004D6630" w:rsidRDefault="004D6630" w:rsidP="004D6630">
            <w:pPr>
              <w:pStyle w:val="Standaard-Tabellen"/>
              <w:rPr>
                <w:iCs/>
                <w:lang w:val="en-US"/>
              </w:rPr>
            </w:pPr>
          </w:p>
          <w:p w14:paraId="3C217BCF" w14:textId="77777777" w:rsidR="004D6630" w:rsidRPr="004D6630" w:rsidRDefault="004D6630" w:rsidP="004D6630">
            <w:pPr>
              <w:pStyle w:val="Standaard-Tabellen"/>
            </w:pPr>
            <w:r w:rsidRPr="004D6630">
              <w:t>Reliability 2</w:t>
            </w:r>
          </w:p>
          <w:p w14:paraId="6B979814" w14:textId="77777777" w:rsidR="004D6630" w:rsidRPr="004D6630" w:rsidRDefault="004D6630" w:rsidP="004D6630">
            <w:pPr>
              <w:pStyle w:val="Standaard-Tabellen"/>
            </w:pPr>
            <w:r w:rsidRPr="004D6630">
              <w:t>(old study)</w:t>
            </w:r>
          </w:p>
        </w:tc>
      </w:tr>
      <w:tr w:rsidR="004D6630" w:rsidRPr="005A170E" w14:paraId="3736FA8E" w14:textId="77777777" w:rsidTr="00224DD4">
        <w:tc>
          <w:tcPr>
            <w:tcW w:w="401" w:type="pct"/>
            <w:tcBorders>
              <w:top w:val="single" w:sz="6" w:space="0" w:color="auto"/>
              <w:left w:val="single" w:sz="4" w:space="0" w:color="auto"/>
              <w:bottom w:val="single" w:sz="6" w:space="0" w:color="auto"/>
              <w:right w:val="single" w:sz="6" w:space="0" w:color="auto"/>
            </w:tcBorders>
            <w:vAlign w:val="center"/>
            <w:hideMark/>
          </w:tcPr>
          <w:p w14:paraId="1801E214" w14:textId="77777777" w:rsidR="004D6630" w:rsidRPr="004D6630" w:rsidRDefault="004D6630" w:rsidP="004D6630">
            <w:pPr>
              <w:pStyle w:val="Standaard-Tabellen"/>
              <w:rPr>
                <w:i/>
              </w:rPr>
            </w:pPr>
            <w:r w:rsidRPr="004D6630">
              <w:rPr>
                <w:i/>
              </w:rPr>
              <w:t>PT19</w:t>
            </w:r>
          </w:p>
          <w:p w14:paraId="1B4ACCF8" w14:textId="77777777" w:rsidR="004D6630" w:rsidRPr="004D6630" w:rsidRDefault="004D6630" w:rsidP="004D6630">
            <w:pPr>
              <w:pStyle w:val="Standaard-Tabellen"/>
            </w:pPr>
            <w:r w:rsidRPr="004D6630">
              <w:rPr>
                <w:i/>
              </w:rPr>
              <w:t>Repellent</w:t>
            </w:r>
          </w:p>
          <w:p w14:paraId="1FA6064F" w14:textId="77777777" w:rsidR="004D6630" w:rsidRPr="004D6630" w:rsidRDefault="004D6630" w:rsidP="004D6630">
            <w:pPr>
              <w:pStyle w:val="Standaard-Tabellen"/>
            </w:pPr>
          </w:p>
        </w:tc>
        <w:tc>
          <w:tcPr>
            <w:tcW w:w="841" w:type="pct"/>
            <w:tcBorders>
              <w:top w:val="single" w:sz="6" w:space="0" w:color="auto"/>
              <w:left w:val="single" w:sz="6" w:space="0" w:color="auto"/>
              <w:bottom w:val="single" w:sz="6" w:space="0" w:color="auto"/>
              <w:right w:val="single" w:sz="6" w:space="0" w:color="auto"/>
            </w:tcBorders>
            <w:vAlign w:val="center"/>
            <w:hideMark/>
          </w:tcPr>
          <w:p w14:paraId="3F4CD1BA" w14:textId="77777777" w:rsidR="004D6630" w:rsidRPr="004D6630" w:rsidRDefault="004D6630" w:rsidP="004D6630">
            <w:pPr>
              <w:pStyle w:val="Standaard-Tabellen"/>
              <w:rPr>
                <w:lang w:val="en-US"/>
              </w:rPr>
            </w:pPr>
            <w:r w:rsidRPr="004D6630">
              <w:rPr>
                <w:lang w:val="en-US"/>
              </w:rPr>
              <w:t>- Anti-lice repellent pump spray to prevent lice re-infection – RTU leave-on product</w:t>
            </w:r>
          </w:p>
          <w:p w14:paraId="01169BEC" w14:textId="77777777" w:rsidR="004D6630" w:rsidRPr="004D6630" w:rsidRDefault="004D6630" w:rsidP="004D6630">
            <w:pPr>
              <w:pStyle w:val="Standaard-Tabellen"/>
              <w:rPr>
                <w:lang w:val="en-US"/>
              </w:rPr>
            </w:pPr>
            <w:r w:rsidRPr="004D6630">
              <w:rPr>
                <w:lang w:val="en-US"/>
              </w:rPr>
              <w:t>- After the use of a pediculicidal lotion</w:t>
            </w:r>
          </w:p>
          <w:p w14:paraId="5B686DEC" w14:textId="77777777" w:rsidR="004D6630" w:rsidRPr="004D6630" w:rsidRDefault="004D6630" w:rsidP="004D6630">
            <w:pPr>
              <w:pStyle w:val="Standaard-Tabellen"/>
              <w:rPr>
                <w:lang w:val="en-US"/>
              </w:rPr>
            </w:pPr>
            <w:r w:rsidRPr="004D6630">
              <w:rPr>
                <w:lang w:val="en-US"/>
              </w:rPr>
              <w:t xml:space="preserve">- RTU pump spray </w:t>
            </w:r>
          </w:p>
          <w:p w14:paraId="504DD19F" w14:textId="77777777" w:rsidR="004D6630" w:rsidRPr="004D6630" w:rsidRDefault="004D6630" w:rsidP="004D6630">
            <w:pPr>
              <w:pStyle w:val="Standaard-Tabellen"/>
              <w:rPr>
                <w:lang w:val="en-US"/>
              </w:rPr>
            </w:pPr>
            <w:r w:rsidRPr="004D6630">
              <w:rPr>
                <w:lang w:val="en-US"/>
              </w:rPr>
              <w:t>- Applied on human scalp and hair</w:t>
            </w:r>
          </w:p>
          <w:p w14:paraId="546FB2BA" w14:textId="77777777" w:rsidR="004D6630" w:rsidRPr="004D6630" w:rsidRDefault="004D6630" w:rsidP="004D6630">
            <w:pPr>
              <w:pStyle w:val="Standaard-Tabellen"/>
              <w:rPr>
                <w:lang w:val="en-US"/>
              </w:rPr>
            </w:pPr>
            <w:r w:rsidRPr="004D6630">
              <w:rPr>
                <w:lang w:val="en-US"/>
              </w:rPr>
              <w:t>- For consumers</w:t>
            </w:r>
          </w:p>
        </w:tc>
        <w:tc>
          <w:tcPr>
            <w:tcW w:w="621" w:type="pct"/>
            <w:tcBorders>
              <w:top w:val="single" w:sz="6" w:space="0" w:color="auto"/>
              <w:left w:val="single" w:sz="6" w:space="0" w:color="auto"/>
              <w:bottom w:val="single" w:sz="6" w:space="0" w:color="auto"/>
              <w:right w:val="single" w:sz="6" w:space="0" w:color="auto"/>
            </w:tcBorders>
            <w:vAlign w:val="center"/>
          </w:tcPr>
          <w:p w14:paraId="160FD296" w14:textId="1F25DE65" w:rsidR="004D6630" w:rsidRPr="004D6630" w:rsidRDefault="004D6630" w:rsidP="004D6630">
            <w:pPr>
              <w:pStyle w:val="Standaard-Tabellen"/>
            </w:pPr>
            <w:r w:rsidRPr="004D6630">
              <w:t>Insect Repellent Pump Spray Lice IR3535</w:t>
            </w:r>
            <w:r w:rsidR="005E5F5C" w:rsidRPr="005E5F5C">
              <w:rPr>
                <w:vertAlign w:val="superscript"/>
              </w:rPr>
              <w:t>®</w:t>
            </w:r>
            <w:r w:rsidRPr="004D6630">
              <w:t xml:space="preserve"> 20%</w:t>
            </w:r>
            <w:r w:rsidR="005E5F5C">
              <w:rPr>
                <w:iCs/>
                <w:lang w:val="en-US"/>
              </w:rPr>
              <w:t xml:space="preserve"> without Bitrex</w:t>
            </w:r>
          </w:p>
        </w:tc>
        <w:tc>
          <w:tcPr>
            <w:tcW w:w="621" w:type="pct"/>
            <w:tcBorders>
              <w:top w:val="single" w:sz="6" w:space="0" w:color="auto"/>
              <w:left w:val="single" w:sz="6" w:space="0" w:color="auto"/>
              <w:bottom w:val="single" w:sz="6" w:space="0" w:color="auto"/>
              <w:right w:val="single" w:sz="6" w:space="0" w:color="auto"/>
            </w:tcBorders>
            <w:vAlign w:val="center"/>
          </w:tcPr>
          <w:p w14:paraId="780E71E5" w14:textId="77777777" w:rsidR="004D6630" w:rsidRPr="004D6630" w:rsidRDefault="004D6630" w:rsidP="004D6630">
            <w:pPr>
              <w:pStyle w:val="Standaard-Tabellen"/>
            </w:pPr>
            <w:r w:rsidRPr="004D6630">
              <w:rPr>
                <w:lang w:val="en-US"/>
              </w:rPr>
              <w:t xml:space="preserve">HEAD LICE </w:t>
            </w:r>
            <w:r w:rsidRPr="004D6630">
              <w:rPr>
                <w:i/>
                <w:lang w:val="en-US"/>
              </w:rPr>
              <w:t>Pediculus humanus</w:t>
            </w:r>
            <w:r w:rsidRPr="004D6630">
              <w:rPr>
                <w:lang w:val="en-US"/>
              </w:rPr>
              <w:t xml:space="preserve"> </w:t>
            </w:r>
            <w:r w:rsidRPr="004D6630">
              <w:rPr>
                <w:i/>
                <w:lang w:val="en-US"/>
              </w:rPr>
              <w:t>capitis</w:t>
            </w:r>
          </w:p>
        </w:tc>
        <w:tc>
          <w:tcPr>
            <w:tcW w:w="621" w:type="pct"/>
            <w:tcBorders>
              <w:top w:val="single" w:sz="6" w:space="0" w:color="auto"/>
              <w:left w:val="single" w:sz="6" w:space="0" w:color="auto"/>
              <w:bottom w:val="single" w:sz="6" w:space="0" w:color="auto"/>
              <w:right w:val="single" w:sz="6" w:space="0" w:color="auto"/>
            </w:tcBorders>
            <w:vAlign w:val="center"/>
            <w:hideMark/>
          </w:tcPr>
          <w:p w14:paraId="5D34613D" w14:textId="77777777" w:rsidR="004D6630" w:rsidRPr="004D6630" w:rsidRDefault="004D6630" w:rsidP="004D6630">
            <w:pPr>
              <w:pStyle w:val="Standaard-Tabellen"/>
            </w:pPr>
            <w:r w:rsidRPr="004D6630">
              <w:rPr>
                <w:iCs/>
                <w:lang w:val="en-US"/>
              </w:rPr>
              <w:t>Comparative  bio-clinical</w:t>
            </w:r>
            <w:r w:rsidRPr="004D6630">
              <w:rPr>
                <w:i/>
                <w:iCs/>
                <w:lang w:val="en-US"/>
              </w:rPr>
              <w:t xml:space="preserve"> in vivo </w:t>
            </w:r>
            <w:r w:rsidRPr="004D6630">
              <w:rPr>
                <w:iCs/>
                <w:lang w:val="en-US"/>
              </w:rPr>
              <w:t xml:space="preserve">trial </w:t>
            </w:r>
          </w:p>
        </w:tc>
        <w:tc>
          <w:tcPr>
            <w:tcW w:w="731" w:type="pct"/>
            <w:tcBorders>
              <w:top w:val="single" w:sz="6" w:space="0" w:color="auto"/>
              <w:left w:val="single" w:sz="6" w:space="0" w:color="auto"/>
              <w:bottom w:val="single" w:sz="6" w:space="0" w:color="auto"/>
              <w:right w:val="single" w:sz="6" w:space="0" w:color="auto"/>
            </w:tcBorders>
            <w:vAlign w:val="center"/>
            <w:hideMark/>
          </w:tcPr>
          <w:p w14:paraId="3C0FACC0" w14:textId="77777777" w:rsidR="007141E5" w:rsidRDefault="004D6630" w:rsidP="007141E5">
            <w:pPr>
              <w:pStyle w:val="Standaard-Tabellen"/>
            </w:pPr>
            <w:r w:rsidRPr="004D6630">
              <w:t>- with 80 volunteers</w:t>
            </w:r>
          </w:p>
          <w:p w14:paraId="3D835586" w14:textId="406315BF" w:rsidR="004D6630" w:rsidRPr="004D6630" w:rsidRDefault="007141E5" w:rsidP="007141E5">
            <w:pPr>
              <w:pStyle w:val="Standaard-Tabellen"/>
            </w:pPr>
            <w:r>
              <w:t>- 0.5 mL /application</w:t>
            </w:r>
          </w:p>
          <w:p w14:paraId="7274D2E3" w14:textId="77777777" w:rsidR="004D6630" w:rsidRPr="004D6630" w:rsidRDefault="004D6630" w:rsidP="004D6630">
            <w:pPr>
              <w:pStyle w:val="Standaard-Tabellen"/>
            </w:pPr>
            <w:r w:rsidRPr="004D6630">
              <w:t>- Every 2 days application, like a lacquer on dried hair/scalp</w:t>
            </w:r>
          </w:p>
          <w:p w14:paraId="06CB4D2C" w14:textId="77777777" w:rsidR="004D6630" w:rsidRPr="004D6630" w:rsidRDefault="004D6630" w:rsidP="004D6630">
            <w:pPr>
              <w:pStyle w:val="Standaard-Tabellen"/>
            </w:pPr>
            <w:r w:rsidRPr="004D6630">
              <w:t>- Up to 9 days</w:t>
            </w:r>
          </w:p>
        </w:tc>
        <w:tc>
          <w:tcPr>
            <w:tcW w:w="544" w:type="pct"/>
            <w:tcBorders>
              <w:top w:val="single" w:sz="6" w:space="0" w:color="auto"/>
              <w:left w:val="single" w:sz="6" w:space="0" w:color="auto"/>
              <w:bottom w:val="single" w:sz="6" w:space="0" w:color="auto"/>
              <w:right w:val="single" w:sz="6" w:space="0" w:color="auto"/>
            </w:tcBorders>
            <w:vAlign w:val="center"/>
            <w:hideMark/>
          </w:tcPr>
          <w:p w14:paraId="405C4A74" w14:textId="77777777" w:rsidR="004D6630" w:rsidRPr="004D6630" w:rsidRDefault="004D6630" w:rsidP="004D6630">
            <w:pPr>
              <w:pStyle w:val="Standaard-Tabellen"/>
            </w:pPr>
            <w:r w:rsidRPr="004D6630">
              <w:t>&gt; 80% less adult lice than the untreated group</w:t>
            </w:r>
          </w:p>
        </w:tc>
        <w:tc>
          <w:tcPr>
            <w:tcW w:w="621" w:type="pct"/>
            <w:tcBorders>
              <w:top w:val="single" w:sz="6" w:space="0" w:color="auto"/>
              <w:left w:val="single" w:sz="6" w:space="0" w:color="auto"/>
              <w:bottom w:val="single" w:sz="6" w:space="0" w:color="auto"/>
              <w:right w:val="single" w:sz="4" w:space="0" w:color="auto"/>
            </w:tcBorders>
            <w:vAlign w:val="center"/>
          </w:tcPr>
          <w:p w14:paraId="2FA12A32" w14:textId="77777777" w:rsidR="004D6630" w:rsidRPr="004D6630" w:rsidRDefault="004D6630" w:rsidP="004D6630">
            <w:pPr>
              <w:pStyle w:val="Standaard-Tabellen"/>
              <w:rPr>
                <w:iCs/>
                <w:lang w:val="en-US"/>
              </w:rPr>
            </w:pPr>
            <w:r w:rsidRPr="004D6630">
              <w:rPr>
                <w:iCs/>
                <w:lang w:val="en-US"/>
              </w:rPr>
              <w:t>Doc N° 336-1920/2009</w:t>
            </w:r>
          </w:p>
          <w:p w14:paraId="54DC82C6" w14:textId="77777777" w:rsidR="004D6630" w:rsidRPr="004D6630" w:rsidRDefault="004D6630" w:rsidP="004D6630">
            <w:pPr>
              <w:pStyle w:val="Standaard-Tabellen"/>
            </w:pPr>
          </w:p>
          <w:p w14:paraId="2A91D221" w14:textId="77777777" w:rsidR="004D6630" w:rsidRPr="004D6630" w:rsidRDefault="004D6630" w:rsidP="004D6630">
            <w:pPr>
              <w:pStyle w:val="Standaard-Tabellen"/>
            </w:pPr>
            <w:r w:rsidRPr="004D6630">
              <w:t>Reliability 1</w:t>
            </w:r>
          </w:p>
        </w:tc>
      </w:tr>
    </w:tbl>
    <w:p w14:paraId="5336E6C3" w14:textId="77777777" w:rsidR="003839E7" w:rsidRDefault="003839E7" w:rsidP="003839E7">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3839E7" w:rsidRPr="00BD2EF1" w14:paraId="30883EEF" w14:textId="77777777" w:rsidTr="00EF0FF2">
        <w:tc>
          <w:tcPr>
            <w:tcW w:w="5000" w:type="pct"/>
            <w:tcBorders>
              <w:top w:val="single" w:sz="4" w:space="0" w:color="auto"/>
              <w:left w:val="single" w:sz="4" w:space="0" w:color="auto"/>
              <w:bottom w:val="single" w:sz="6" w:space="0" w:color="auto"/>
              <w:right w:val="single" w:sz="6" w:space="0" w:color="auto"/>
            </w:tcBorders>
            <w:shd w:val="clear" w:color="auto" w:fill="CCFFCC"/>
          </w:tcPr>
          <w:p w14:paraId="7C3FA41F" w14:textId="77777777" w:rsidR="003839E7" w:rsidRPr="00BD2EF1" w:rsidRDefault="003839E7" w:rsidP="003839E7">
            <w:pPr>
              <w:rPr>
                <w:rFonts w:eastAsia="Calibri"/>
                <w:b/>
                <w:lang w:eastAsia="en-US"/>
              </w:rPr>
            </w:pPr>
            <w:r w:rsidRPr="00BD2EF1">
              <w:rPr>
                <w:rFonts w:eastAsia="Calibri"/>
                <w:b/>
                <w:lang w:eastAsia="en-US"/>
              </w:rPr>
              <w:t>Conclusion on the efficacy of the product</w:t>
            </w:r>
          </w:p>
        </w:tc>
      </w:tr>
      <w:tr w:rsidR="003839E7" w:rsidRPr="00BD2EF1" w14:paraId="2813B854" w14:textId="77777777" w:rsidTr="00EF0FF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5E33275" w14:textId="0B03AD04" w:rsidR="003839E7" w:rsidRPr="00BD2EF1" w:rsidRDefault="004D6630" w:rsidP="007141E5">
            <w:pPr>
              <w:rPr>
                <w:rFonts w:eastAsia="Calibri"/>
                <w:lang w:eastAsia="en-US"/>
              </w:rPr>
            </w:pPr>
            <w:r w:rsidRPr="008F2D0D">
              <w:rPr>
                <w:rFonts w:eastAsia="Calibri"/>
                <w:lang w:eastAsia="en-US"/>
              </w:rPr>
              <w:t xml:space="preserve">The RTU leave-on product </w:t>
            </w:r>
            <w:r w:rsidRPr="008F2D0D">
              <w:rPr>
                <w:rFonts w:eastAsia="Calibri"/>
                <w:b/>
                <w:i/>
                <w:lang w:eastAsia="en-US"/>
              </w:rPr>
              <w:t>Insect Repellent Pump Spray Lice IR3535</w:t>
            </w:r>
            <w:r w:rsidR="00407AC3" w:rsidRPr="00407AC3">
              <w:rPr>
                <w:rFonts w:eastAsia="Calibri"/>
                <w:b/>
                <w:i/>
                <w:vertAlign w:val="superscript"/>
                <w:lang w:eastAsia="en-US"/>
              </w:rPr>
              <w:t>®</w:t>
            </w:r>
            <w:r w:rsidRPr="008F2D0D">
              <w:rPr>
                <w:rFonts w:eastAsia="Calibri"/>
                <w:b/>
                <w:i/>
                <w:lang w:eastAsia="en-US"/>
              </w:rPr>
              <w:t xml:space="preserve"> 20%</w:t>
            </w:r>
            <w:r w:rsidRPr="008F2D0D">
              <w:rPr>
                <w:rFonts w:eastAsia="Calibri"/>
                <w:lang w:eastAsia="en-US"/>
              </w:rPr>
              <w:t xml:space="preserve"> (hydroalcoholic solution, 20% IR3535), used after a </w:t>
            </w:r>
            <w:r w:rsidRPr="00EA31AA">
              <w:rPr>
                <w:lang w:val="en-US"/>
              </w:rPr>
              <w:t>pediculicidal</w:t>
            </w:r>
            <w:r w:rsidRPr="008F2D0D">
              <w:rPr>
                <w:rFonts w:eastAsia="Calibri"/>
                <w:lang w:eastAsia="en-US"/>
              </w:rPr>
              <w:t xml:space="preserve"> treatment and applied every 2 days</w:t>
            </w:r>
            <w:r w:rsidR="00470EF7">
              <w:rPr>
                <w:rFonts w:eastAsia="Calibri"/>
                <w:lang w:eastAsia="en-US"/>
              </w:rPr>
              <w:t xml:space="preserve"> at a rate of 0.5 mL</w:t>
            </w:r>
            <w:r w:rsidRPr="008F2D0D">
              <w:rPr>
                <w:rFonts w:eastAsia="Calibri"/>
                <w:lang w:eastAsia="en-US"/>
              </w:rPr>
              <w:t xml:space="preserve">, does limit adult </w:t>
            </w:r>
            <w:r w:rsidR="007141E5">
              <w:rPr>
                <w:rFonts w:eastAsia="Calibri"/>
                <w:lang w:eastAsia="en-US"/>
              </w:rPr>
              <w:t xml:space="preserve">head </w:t>
            </w:r>
            <w:r w:rsidRPr="008F2D0D">
              <w:rPr>
                <w:rFonts w:eastAsia="Calibri"/>
                <w:lang w:eastAsia="en-US"/>
              </w:rPr>
              <w:t>lice</w:t>
            </w:r>
            <w:r w:rsidR="007141E5">
              <w:rPr>
                <w:rFonts w:eastAsia="Calibri"/>
                <w:lang w:eastAsia="en-US"/>
              </w:rPr>
              <w:t xml:space="preserve"> </w:t>
            </w:r>
            <w:r w:rsidR="007141E5">
              <w:t>(</w:t>
            </w:r>
            <w:r w:rsidR="007141E5" w:rsidRPr="0056273E">
              <w:rPr>
                <w:i/>
              </w:rPr>
              <w:t>Pediculus humanus capitis</w:t>
            </w:r>
            <w:r w:rsidR="007141E5">
              <w:t>)</w:t>
            </w:r>
            <w:r w:rsidRPr="008F2D0D">
              <w:rPr>
                <w:rFonts w:eastAsia="Calibri"/>
                <w:lang w:eastAsia="en-US"/>
              </w:rPr>
              <w:t xml:space="preserve"> re-infestation</w:t>
            </w:r>
            <w:r w:rsidR="007141E5">
              <w:rPr>
                <w:rFonts w:eastAsia="Calibri"/>
                <w:lang w:eastAsia="en-US"/>
              </w:rPr>
              <w:t xml:space="preserve"> only</w:t>
            </w:r>
            <w:r w:rsidRPr="008F2D0D">
              <w:rPr>
                <w:rFonts w:eastAsia="Calibri"/>
                <w:lang w:eastAsia="en-US"/>
              </w:rPr>
              <w:t>.</w:t>
            </w:r>
          </w:p>
        </w:tc>
      </w:tr>
    </w:tbl>
    <w:p w14:paraId="3B273DFF" w14:textId="7D53DF13" w:rsidR="00805040" w:rsidRPr="00805040" w:rsidRDefault="00805040" w:rsidP="00805040">
      <w:pPr>
        <w:pStyle w:val="Paragraphedeliste"/>
        <w:rPr>
          <w:rFonts w:eastAsia="Calibri"/>
          <w:b/>
          <w:highlight w:val="lightGray"/>
          <w:lang w:eastAsia="en-US"/>
        </w:rPr>
      </w:pPr>
      <w:bookmarkStart w:id="149" w:name="_Toc389729040"/>
      <w:bookmarkStart w:id="150" w:name="_Toc403472749"/>
      <w:bookmarkStart w:id="151" w:name="_Toc403566570"/>
      <w:bookmarkStart w:id="152" w:name="_Toc425344111"/>
    </w:p>
    <w:p w14:paraId="759DB6B7" w14:textId="77777777" w:rsidR="00805040" w:rsidRPr="00805040" w:rsidRDefault="00805040" w:rsidP="00805040">
      <w:pPr>
        <w:pStyle w:val="Paragraphedeliste"/>
        <w:rPr>
          <w:rFonts w:eastAsia="Calibri"/>
          <w:b/>
          <w:highlight w:val="lightGray"/>
          <w:lang w:eastAsia="en-US"/>
        </w:rPr>
      </w:pPr>
    </w:p>
    <w:p w14:paraId="15A61D98" w14:textId="77777777" w:rsidR="00805040" w:rsidRPr="00805040" w:rsidRDefault="00805040" w:rsidP="008D7EDC">
      <w:pPr>
        <w:pStyle w:val="Paragraphedeliste"/>
        <w:shd w:val="clear" w:color="auto" w:fill="FFFFFF" w:themeFill="background1"/>
        <w:rPr>
          <w:rFonts w:eastAsia="Calibri"/>
          <w:b/>
          <w:highlight w:val="lightGray"/>
          <w:lang w:eastAsia="en-US"/>
        </w:rPr>
      </w:pPr>
    </w:p>
    <w:p w14:paraId="26084E2C" w14:textId="37821D2D" w:rsidR="00805040" w:rsidRPr="008D7EDC" w:rsidRDefault="00805040" w:rsidP="008D7EDC">
      <w:pPr>
        <w:pStyle w:val="Paragraphedeliste"/>
        <w:numPr>
          <w:ilvl w:val="0"/>
          <w:numId w:val="68"/>
        </w:numPr>
        <w:shd w:val="clear" w:color="auto" w:fill="FFFFFF" w:themeFill="background1"/>
        <w:rPr>
          <w:rFonts w:eastAsia="Calibri"/>
          <w:b/>
          <w:lang w:eastAsia="en-US"/>
        </w:rPr>
      </w:pPr>
      <w:r w:rsidRPr="008D7EDC">
        <w:rPr>
          <w:rFonts w:eastAsia="Calibri"/>
          <w:b/>
          <w:lang w:eastAsia="en-US"/>
        </w:rPr>
        <w:t>MAJOR CHANGE FOR SPRAY REPULSIF IR200 – 2019 (FR CA)</w:t>
      </w:r>
    </w:p>
    <w:p w14:paraId="184F174E" w14:textId="77777777" w:rsidR="00403721" w:rsidRPr="00403721" w:rsidRDefault="00403721" w:rsidP="008D7EDC">
      <w:pPr>
        <w:shd w:val="clear" w:color="auto" w:fill="FFFFFF" w:themeFill="background1"/>
        <w:spacing w:line="260" w:lineRule="atLeast"/>
        <w:jc w:val="both"/>
        <w:rPr>
          <w:rFonts w:eastAsia="Calibri"/>
          <w:bCs/>
          <w:lang w:eastAsia="en-US"/>
        </w:rPr>
      </w:pPr>
    </w:p>
    <w:p w14:paraId="2D3DD36B" w14:textId="35BC7676" w:rsidR="00403721" w:rsidRPr="00403721" w:rsidRDefault="00403721" w:rsidP="008D7EDC">
      <w:pPr>
        <w:shd w:val="clear" w:color="auto" w:fill="FFFFFF" w:themeFill="background1"/>
        <w:jc w:val="both"/>
        <w:rPr>
          <w:rFonts w:eastAsia="Calibri"/>
          <w:bCs/>
          <w:lang w:eastAsia="en-US"/>
        </w:rPr>
      </w:pPr>
      <w:r w:rsidRPr="00403721">
        <w:rPr>
          <w:rFonts w:eastAsia="Calibri"/>
          <w:bCs/>
          <w:lang w:eastAsia="en-US"/>
        </w:rPr>
        <w:t xml:space="preserve">To support the efficacy of the product </w:t>
      </w:r>
      <w:r>
        <w:rPr>
          <w:rFonts w:eastAsia="Calibri"/>
          <w:bCs/>
          <w:lang w:eastAsia="en-US"/>
        </w:rPr>
        <w:t>SPRAY REPULSIF IR200</w:t>
      </w:r>
      <w:r w:rsidR="008E495F">
        <w:rPr>
          <w:rFonts w:eastAsia="Calibri"/>
          <w:bCs/>
          <w:lang w:eastAsia="en-US"/>
        </w:rPr>
        <w:t xml:space="preserve"> </w:t>
      </w:r>
      <w:r w:rsidR="008E495F">
        <w:rPr>
          <w:bCs/>
          <w:lang w:eastAsia="en-US"/>
        </w:rPr>
        <w:t xml:space="preserve">by application on skin or </w:t>
      </w:r>
      <w:r w:rsidR="008E495F" w:rsidRPr="001D0D99">
        <w:rPr>
          <w:bCs/>
          <w:lang w:eastAsia="en-US"/>
        </w:rPr>
        <w:t>on bed linen and/or cloth's surface,</w:t>
      </w:r>
      <w:r w:rsidR="008E495F">
        <w:rPr>
          <w:bCs/>
          <w:lang w:eastAsia="en-US"/>
        </w:rPr>
        <w:t xml:space="preserve"> </w:t>
      </w:r>
      <w:r w:rsidR="008E495F" w:rsidRPr="00382014">
        <w:rPr>
          <w:bCs/>
          <w:lang w:eastAsia="en-US"/>
        </w:rPr>
        <w:t>the applicant has submitted</w:t>
      </w:r>
      <w:r w:rsidR="008E495F">
        <w:rPr>
          <w:bCs/>
          <w:lang w:eastAsia="en-US"/>
        </w:rPr>
        <w:t xml:space="preserve"> the following studies:</w:t>
      </w:r>
    </w:p>
    <w:p w14:paraId="18D979F9" w14:textId="77777777" w:rsidR="008E495F" w:rsidRPr="00403721" w:rsidRDefault="008E495F" w:rsidP="008D7EDC">
      <w:pPr>
        <w:shd w:val="clear" w:color="auto" w:fill="FFFFFF" w:themeFill="background1"/>
        <w:spacing w:line="260" w:lineRule="atLeast"/>
        <w:jc w:val="both"/>
        <w:rPr>
          <w:rFonts w:eastAsia="Calibri"/>
          <w:bCs/>
          <w:lang w:eastAsia="en-US"/>
        </w:rPr>
      </w:pPr>
    </w:p>
    <w:tbl>
      <w:tblPr>
        <w:tblW w:w="5050" w:type="pct"/>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9"/>
        <w:gridCol w:w="1280"/>
        <w:gridCol w:w="1500"/>
        <w:gridCol w:w="1905"/>
        <w:gridCol w:w="1500"/>
        <w:gridCol w:w="3848"/>
        <w:gridCol w:w="1923"/>
        <w:gridCol w:w="1422"/>
      </w:tblGrid>
      <w:tr w:rsidR="00D76FD4" w:rsidRPr="00D76FD4" w14:paraId="6673E25D" w14:textId="77777777" w:rsidTr="008A6DF9">
        <w:trPr>
          <w:trHeight w:val="303"/>
        </w:trPr>
        <w:tc>
          <w:tcPr>
            <w:tcW w:w="5000" w:type="pct"/>
            <w:gridSpan w:val="8"/>
            <w:shd w:val="clear" w:color="auto" w:fill="FFFFCC"/>
            <w:vAlign w:val="center"/>
          </w:tcPr>
          <w:p w14:paraId="1C5E3DC1" w14:textId="77777777" w:rsidR="00D76FD4" w:rsidRPr="00D76FD4" w:rsidRDefault="00D76FD4" w:rsidP="008D7EDC">
            <w:pPr>
              <w:shd w:val="clear" w:color="auto" w:fill="FFFFFF" w:themeFill="background1"/>
              <w:spacing w:before="0" w:after="0" w:line="260" w:lineRule="atLeast"/>
              <w:jc w:val="center"/>
              <w:rPr>
                <w:rFonts w:eastAsia="Calibri"/>
                <w:b/>
                <w:color w:val="000000"/>
                <w:sz w:val="18"/>
                <w:szCs w:val="18"/>
                <w:lang w:val="sv-SE" w:eastAsia="sv-SE"/>
              </w:rPr>
            </w:pPr>
            <w:r w:rsidRPr="00D76FD4">
              <w:rPr>
                <w:rFonts w:eastAsia="Calibri"/>
                <w:b/>
                <w:color w:val="000000"/>
                <w:sz w:val="18"/>
                <w:szCs w:val="18"/>
                <w:lang w:val="sv-SE" w:eastAsia="sv-SE"/>
              </w:rPr>
              <w:t>Experimental data on the efficacy of the biocidal product against target organism(s)</w:t>
            </w:r>
          </w:p>
        </w:tc>
      </w:tr>
      <w:tr w:rsidR="00D76FD4" w:rsidRPr="00D76FD4" w14:paraId="51D8B1F2" w14:textId="77777777" w:rsidTr="008D7EDC">
        <w:tc>
          <w:tcPr>
            <w:tcW w:w="380" w:type="pct"/>
            <w:shd w:val="clear" w:color="auto" w:fill="FFFFFF" w:themeFill="background1"/>
          </w:tcPr>
          <w:p w14:paraId="06BFEE0B" w14:textId="77777777" w:rsidR="00D76FD4" w:rsidRPr="00D76FD4" w:rsidRDefault="00D76FD4" w:rsidP="008D7EDC">
            <w:pPr>
              <w:shd w:val="clear" w:color="auto" w:fill="FFFFFF" w:themeFill="background1"/>
              <w:spacing w:before="0" w:after="0" w:line="260" w:lineRule="atLeast"/>
              <w:jc w:val="center"/>
              <w:rPr>
                <w:rFonts w:eastAsia="Calibri"/>
                <w:b/>
                <w:color w:val="000000"/>
                <w:sz w:val="18"/>
                <w:szCs w:val="18"/>
                <w:lang w:val="sv-SE" w:eastAsia="sv-SE"/>
              </w:rPr>
            </w:pPr>
            <w:r w:rsidRPr="00D76FD4">
              <w:rPr>
                <w:rFonts w:eastAsia="Calibri"/>
                <w:b/>
                <w:color w:val="000000"/>
                <w:sz w:val="18"/>
                <w:szCs w:val="18"/>
                <w:lang w:val="sv-SE" w:eastAsia="sv-SE"/>
              </w:rPr>
              <w:t>Function</w:t>
            </w:r>
          </w:p>
        </w:tc>
        <w:tc>
          <w:tcPr>
            <w:tcW w:w="442" w:type="pct"/>
            <w:shd w:val="clear" w:color="auto" w:fill="FFFFFF" w:themeFill="background1"/>
          </w:tcPr>
          <w:p w14:paraId="0C1BD0D3" w14:textId="77777777" w:rsidR="00D76FD4" w:rsidRPr="00D76FD4" w:rsidRDefault="00D76FD4" w:rsidP="008D7EDC">
            <w:pPr>
              <w:shd w:val="clear" w:color="auto" w:fill="FFFFFF" w:themeFill="background1"/>
              <w:spacing w:before="0" w:after="0" w:line="260" w:lineRule="atLeast"/>
              <w:rPr>
                <w:rFonts w:eastAsia="Calibri"/>
                <w:b/>
                <w:color w:val="000000"/>
                <w:sz w:val="18"/>
                <w:szCs w:val="18"/>
                <w:lang w:val="sv-SE" w:eastAsia="sv-SE"/>
              </w:rPr>
            </w:pPr>
            <w:r w:rsidRPr="00D76FD4">
              <w:rPr>
                <w:rFonts w:eastAsia="Calibri"/>
                <w:b/>
                <w:color w:val="000000"/>
                <w:sz w:val="18"/>
                <w:szCs w:val="18"/>
                <w:lang w:val="sv-SE" w:eastAsia="sv-SE"/>
              </w:rPr>
              <w:t>Field of use envisaged</w:t>
            </w:r>
          </w:p>
        </w:tc>
        <w:tc>
          <w:tcPr>
            <w:tcW w:w="518" w:type="pct"/>
            <w:shd w:val="clear" w:color="auto" w:fill="FFFFFF" w:themeFill="background1"/>
          </w:tcPr>
          <w:p w14:paraId="2226E44E" w14:textId="77777777" w:rsidR="00D76FD4" w:rsidRPr="00D76FD4" w:rsidRDefault="00D76FD4" w:rsidP="008D7EDC">
            <w:pPr>
              <w:shd w:val="clear" w:color="auto" w:fill="FFFFFF" w:themeFill="background1"/>
              <w:spacing w:before="0" w:after="0" w:line="260" w:lineRule="atLeast"/>
              <w:rPr>
                <w:rFonts w:eastAsia="Calibri"/>
                <w:b/>
                <w:i/>
                <w:color w:val="000000"/>
                <w:sz w:val="18"/>
                <w:szCs w:val="18"/>
                <w:lang w:val="sv-SE" w:eastAsia="sv-SE"/>
              </w:rPr>
            </w:pPr>
            <w:r w:rsidRPr="00D76FD4">
              <w:rPr>
                <w:rFonts w:eastAsia="Calibri"/>
                <w:b/>
                <w:color w:val="000000"/>
                <w:sz w:val="18"/>
                <w:szCs w:val="18"/>
                <w:lang w:val="sv-SE" w:eastAsia="sv-SE"/>
              </w:rPr>
              <w:t>Test substance</w:t>
            </w:r>
          </w:p>
        </w:tc>
        <w:tc>
          <w:tcPr>
            <w:tcW w:w="658" w:type="pct"/>
            <w:shd w:val="clear" w:color="auto" w:fill="FFFFFF" w:themeFill="background1"/>
          </w:tcPr>
          <w:p w14:paraId="491139E9" w14:textId="77777777" w:rsidR="00D76FD4" w:rsidRPr="00D76FD4" w:rsidRDefault="00D76FD4" w:rsidP="008D7EDC">
            <w:pPr>
              <w:shd w:val="clear" w:color="auto" w:fill="FFFFFF" w:themeFill="background1"/>
              <w:spacing w:before="0" w:after="0" w:line="260" w:lineRule="atLeast"/>
              <w:rPr>
                <w:rFonts w:eastAsia="Calibri"/>
                <w:b/>
                <w:i/>
                <w:color w:val="000000"/>
                <w:sz w:val="18"/>
                <w:szCs w:val="18"/>
                <w:lang w:val="sv-SE" w:eastAsia="sv-SE"/>
              </w:rPr>
            </w:pPr>
            <w:r w:rsidRPr="00D76FD4">
              <w:rPr>
                <w:rFonts w:eastAsia="Calibri"/>
                <w:b/>
                <w:color w:val="000000"/>
                <w:sz w:val="18"/>
                <w:szCs w:val="18"/>
                <w:lang w:val="sv-SE" w:eastAsia="sv-SE"/>
              </w:rPr>
              <w:t>Test organism(s)</w:t>
            </w:r>
          </w:p>
        </w:tc>
        <w:tc>
          <w:tcPr>
            <w:tcW w:w="518" w:type="pct"/>
            <w:shd w:val="clear" w:color="auto" w:fill="FFFFFF" w:themeFill="background1"/>
          </w:tcPr>
          <w:p w14:paraId="34E7749D" w14:textId="77777777" w:rsidR="00D76FD4" w:rsidRPr="00D76FD4" w:rsidRDefault="00D76FD4" w:rsidP="008D7EDC">
            <w:pPr>
              <w:shd w:val="clear" w:color="auto" w:fill="FFFFFF" w:themeFill="background1"/>
              <w:spacing w:before="0" w:after="0" w:line="260" w:lineRule="atLeast"/>
              <w:rPr>
                <w:rFonts w:eastAsia="Calibri"/>
                <w:b/>
                <w:color w:val="000000"/>
                <w:sz w:val="18"/>
                <w:szCs w:val="18"/>
                <w:lang w:val="sv-SE" w:eastAsia="sv-SE"/>
              </w:rPr>
            </w:pPr>
            <w:r w:rsidRPr="00D76FD4">
              <w:rPr>
                <w:rFonts w:eastAsia="Calibri"/>
                <w:b/>
                <w:color w:val="000000"/>
                <w:sz w:val="18"/>
                <w:szCs w:val="18"/>
                <w:lang w:val="sv-SE" w:eastAsia="sv-SE"/>
              </w:rPr>
              <w:t>Test method</w:t>
            </w:r>
          </w:p>
        </w:tc>
        <w:tc>
          <w:tcPr>
            <w:tcW w:w="1329" w:type="pct"/>
            <w:shd w:val="clear" w:color="auto" w:fill="FFFFFF" w:themeFill="background1"/>
          </w:tcPr>
          <w:p w14:paraId="2E718420" w14:textId="77777777" w:rsidR="00D76FD4" w:rsidRPr="00D76FD4" w:rsidRDefault="00D76FD4" w:rsidP="008D7EDC">
            <w:pPr>
              <w:shd w:val="clear" w:color="auto" w:fill="FFFFFF" w:themeFill="background1"/>
              <w:spacing w:before="0" w:after="0" w:line="260" w:lineRule="atLeast"/>
              <w:rPr>
                <w:rFonts w:eastAsia="Calibri"/>
                <w:b/>
                <w:color w:val="000000"/>
                <w:sz w:val="18"/>
                <w:szCs w:val="18"/>
                <w:lang w:val="sv-SE" w:eastAsia="sv-SE"/>
              </w:rPr>
            </w:pPr>
            <w:r w:rsidRPr="00D76FD4">
              <w:rPr>
                <w:rFonts w:eastAsia="Calibri"/>
                <w:b/>
                <w:color w:val="000000"/>
                <w:sz w:val="18"/>
                <w:szCs w:val="18"/>
                <w:lang w:val="sv-SE" w:eastAsia="sv-SE"/>
              </w:rPr>
              <w:t>Test system / concentrations applied / exposure time</w:t>
            </w:r>
          </w:p>
        </w:tc>
        <w:tc>
          <w:tcPr>
            <w:tcW w:w="664" w:type="pct"/>
            <w:shd w:val="clear" w:color="auto" w:fill="FFFFFF" w:themeFill="background1"/>
          </w:tcPr>
          <w:p w14:paraId="53E69857" w14:textId="77777777" w:rsidR="00D76FD4" w:rsidRPr="00D76FD4" w:rsidRDefault="00D76FD4" w:rsidP="008D7EDC">
            <w:pPr>
              <w:shd w:val="clear" w:color="auto" w:fill="FFFFFF" w:themeFill="background1"/>
              <w:spacing w:before="0" w:after="0" w:line="260" w:lineRule="atLeast"/>
              <w:rPr>
                <w:rFonts w:eastAsia="Calibri"/>
                <w:b/>
                <w:color w:val="000000"/>
                <w:sz w:val="18"/>
                <w:szCs w:val="18"/>
                <w:lang w:val="sv-SE" w:eastAsia="sv-SE"/>
              </w:rPr>
            </w:pPr>
            <w:r w:rsidRPr="00D76FD4">
              <w:rPr>
                <w:rFonts w:eastAsia="Calibri"/>
                <w:b/>
                <w:color w:val="000000"/>
                <w:sz w:val="18"/>
                <w:szCs w:val="18"/>
                <w:lang w:val="sv-SE" w:eastAsia="sv-SE"/>
              </w:rPr>
              <w:t>Test results: effects</w:t>
            </w:r>
          </w:p>
        </w:tc>
        <w:tc>
          <w:tcPr>
            <w:tcW w:w="491" w:type="pct"/>
            <w:shd w:val="clear" w:color="auto" w:fill="FFFFFF" w:themeFill="background1"/>
          </w:tcPr>
          <w:p w14:paraId="506F1DD7" w14:textId="77777777" w:rsidR="00D76FD4" w:rsidRPr="00D76FD4" w:rsidRDefault="00D76FD4" w:rsidP="008D7EDC">
            <w:pPr>
              <w:shd w:val="clear" w:color="auto" w:fill="FFFFFF" w:themeFill="background1"/>
              <w:spacing w:before="0" w:after="0" w:line="260" w:lineRule="atLeast"/>
              <w:rPr>
                <w:rFonts w:eastAsia="Calibri"/>
                <w:b/>
                <w:color w:val="000000"/>
                <w:sz w:val="18"/>
                <w:szCs w:val="18"/>
                <w:lang w:val="sv-SE" w:eastAsia="sv-SE"/>
              </w:rPr>
            </w:pPr>
            <w:r w:rsidRPr="00D76FD4">
              <w:rPr>
                <w:rFonts w:eastAsia="Calibri"/>
                <w:b/>
                <w:color w:val="000000"/>
                <w:sz w:val="18"/>
                <w:szCs w:val="18"/>
                <w:lang w:val="sv-SE" w:eastAsia="sv-SE"/>
              </w:rPr>
              <w:t>Reference</w:t>
            </w:r>
          </w:p>
        </w:tc>
      </w:tr>
      <w:tr w:rsidR="00D76FD4" w:rsidRPr="00D76FD4" w14:paraId="7F374752" w14:textId="77777777" w:rsidTr="008D7EDC">
        <w:tc>
          <w:tcPr>
            <w:tcW w:w="380" w:type="pct"/>
            <w:shd w:val="clear" w:color="auto" w:fill="FFFFFF" w:themeFill="background1"/>
          </w:tcPr>
          <w:p w14:paraId="012F7FE3"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Repellent</w:t>
            </w:r>
          </w:p>
        </w:tc>
        <w:tc>
          <w:tcPr>
            <w:tcW w:w="442" w:type="pct"/>
            <w:shd w:val="clear" w:color="auto" w:fill="FFFFFF" w:themeFill="background1"/>
          </w:tcPr>
          <w:p w14:paraId="1649DB51"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Skin application</w:t>
            </w:r>
          </w:p>
        </w:tc>
        <w:tc>
          <w:tcPr>
            <w:tcW w:w="518" w:type="pct"/>
            <w:shd w:val="clear" w:color="auto" w:fill="FFFFFF" w:themeFill="background1"/>
          </w:tcPr>
          <w:p w14:paraId="2A6F8094"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SPRAY IR3535 20% ANTI-POUX</w:t>
            </w:r>
          </w:p>
          <w:p w14:paraId="12A47E0E"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p>
          <w:p w14:paraId="4B849778"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Batch No 20180118L1</w:t>
            </w:r>
          </w:p>
        </w:tc>
        <w:tc>
          <w:tcPr>
            <w:tcW w:w="658" w:type="pct"/>
            <w:shd w:val="clear" w:color="auto" w:fill="FFFFFF" w:themeFill="background1"/>
          </w:tcPr>
          <w:p w14:paraId="38B3B784" w14:textId="77777777" w:rsidR="00D76FD4" w:rsidRPr="00D76FD4" w:rsidRDefault="00D76FD4" w:rsidP="008D7EDC">
            <w:pPr>
              <w:shd w:val="clear" w:color="auto" w:fill="FFFFFF" w:themeFill="background1"/>
              <w:spacing w:before="0" w:after="0" w:line="260" w:lineRule="atLeast"/>
              <w:rPr>
                <w:rFonts w:eastAsia="Calibri"/>
                <w:i/>
                <w:color w:val="000000"/>
                <w:sz w:val="18"/>
                <w:szCs w:val="18"/>
                <w:lang w:val="sv-SE" w:eastAsia="sv-SE"/>
              </w:rPr>
            </w:pPr>
            <w:r w:rsidRPr="00D76FD4">
              <w:rPr>
                <w:rFonts w:eastAsia="Calibri"/>
                <w:i/>
                <w:color w:val="000000"/>
                <w:sz w:val="18"/>
                <w:szCs w:val="18"/>
                <w:lang w:val="sv-SE" w:eastAsia="sv-SE"/>
              </w:rPr>
              <w:t>Aedes aegypti</w:t>
            </w:r>
          </w:p>
          <w:p w14:paraId="619407BC" w14:textId="77777777" w:rsidR="00D76FD4" w:rsidRPr="00D76FD4" w:rsidRDefault="00D76FD4" w:rsidP="008D7EDC">
            <w:pPr>
              <w:shd w:val="clear" w:color="auto" w:fill="FFFFFF" w:themeFill="background1"/>
              <w:spacing w:before="0" w:after="0" w:line="260" w:lineRule="atLeast"/>
              <w:rPr>
                <w:rFonts w:eastAsia="Calibri"/>
                <w:i/>
                <w:color w:val="000000"/>
                <w:sz w:val="18"/>
                <w:szCs w:val="18"/>
                <w:lang w:val="sv-SE" w:eastAsia="sv-SE"/>
              </w:rPr>
            </w:pPr>
          </w:p>
          <w:p w14:paraId="06F9ADC3" w14:textId="77777777" w:rsidR="00D76FD4" w:rsidRPr="00D76FD4" w:rsidRDefault="00D76FD4" w:rsidP="008D7EDC">
            <w:pPr>
              <w:shd w:val="clear" w:color="auto" w:fill="FFFFFF" w:themeFill="background1"/>
              <w:spacing w:before="0" w:after="0" w:line="260" w:lineRule="atLeast"/>
              <w:rPr>
                <w:rFonts w:eastAsia="Calibri"/>
                <w:i/>
                <w:color w:val="000000"/>
                <w:sz w:val="18"/>
                <w:szCs w:val="18"/>
                <w:lang w:val="sv-SE" w:eastAsia="sv-SE"/>
              </w:rPr>
            </w:pPr>
            <w:r w:rsidRPr="00D76FD4">
              <w:rPr>
                <w:rFonts w:eastAsia="Calibri"/>
                <w:i/>
                <w:color w:val="000000"/>
                <w:sz w:val="18"/>
                <w:szCs w:val="18"/>
                <w:lang w:val="sv-SE" w:eastAsia="sv-SE"/>
              </w:rPr>
              <w:t>Culex quinquefasciatus</w:t>
            </w:r>
          </w:p>
          <w:p w14:paraId="338BCBFC" w14:textId="77777777" w:rsidR="00D76FD4" w:rsidRPr="00D76FD4" w:rsidRDefault="00D76FD4" w:rsidP="008D7EDC">
            <w:pPr>
              <w:shd w:val="clear" w:color="auto" w:fill="FFFFFF" w:themeFill="background1"/>
              <w:spacing w:before="0" w:after="0" w:line="260" w:lineRule="atLeast"/>
              <w:rPr>
                <w:rFonts w:eastAsia="Calibri"/>
                <w:sz w:val="18"/>
                <w:szCs w:val="18"/>
                <w:lang w:val="sv-SE" w:eastAsia="sv-SE"/>
              </w:rPr>
            </w:pPr>
          </w:p>
          <w:p w14:paraId="151D5A97"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 xml:space="preserve">200 mosquitoes +/- 10 per cage (females between 5 and 7 days old) </w:t>
            </w:r>
          </w:p>
          <w:p w14:paraId="222916BE" w14:textId="77777777" w:rsidR="00D76FD4" w:rsidRPr="00D76FD4" w:rsidRDefault="00D76FD4" w:rsidP="008D7EDC">
            <w:pPr>
              <w:shd w:val="clear" w:color="auto" w:fill="FFFFFF" w:themeFill="background1"/>
              <w:spacing w:before="0" w:after="0" w:line="260" w:lineRule="atLeast"/>
              <w:jc w:val="right"/>
              <w:rPr>
                <w:rFonts w:eastAsia="Calibri"/>
                <w:color w:val="000000"/>
                <w:sz w:val="18"/>
                <w:szCs w:val="18"/>
                <w:lang w:val="sv-SE" w:eastAsia="sv-SE"/>
              </w:rPr>
            </w:pPr>
          </w:p>
          <w:p w14:paraId="1D5A403B" w14:textId="3562E0C1" w:rsidR="00D76FD4" w:rsidRPr="00D76FD4" w:rsidRDefault="00555D34" w:rsidP="008D7EDC">
            <w:pPr>
              <w:shd w:val="clear" w:color="auto" w:fill="FFFFFF" w:themeFill="background1"/>
              <w:spacing w:before="0" w:after="0" w:line="260" w:lineRule="atLeast"/>
              <w:rPr>
                <w:rFonts w:eastAsia="Calibri"/>
                <w:sz w:val="18"/>
                <w:szCs w:val="18"/>
                <w:lang w:val="sv-SE" w:eastAsia="sv-SE"/>
              </w:rPr>
            </w:pPr>
            <w:r>
              <w:rPr>
                <w:rFonts w:eastAsia="Calibri"/>
                <w:color w:val="000000"/>
                <w:sz w:val="18"/>
                <w:szCs w:val="18"/>
                <w:lang w:val="sv-SE" w:eastAsia="sv-SE"/>
              </w:rPr>
              <w:t xml:space="preserve">density: 1 </w:t>
            </w:r>
            <w:r w:rsidR="00D76FD4" w:rsidRPr="00D76FD4">
              <w:rPr>
                <w:rFonts w:eastAsia="Calibri"/>
                <w:color w:val="000000"/>
                <w:sz w:val="18"/>
                <w:szCs w:val="18"/>
                <w:lang w:val="sv-SE" w:eastAsia="sv-SE"/>
              </w:rPr>
              <w:t>mosquito per 320 cm</w:t>
            </w:r>
            <w:r w:rsidR="00D76FD4" w:rsidRPr="00D76FD4">
              <w:rPr>
                <w:rFonts w:eastAsia="Calibri"/>
                <w:color w:val="000000"/>
                <w:sz w:val="18"/>
                <w:szCs w:val="18"/>
                <w:vertAlign w:val="superscript"/>
                <w:lang w:val="sv-SE" w:eastAsia="sv-SE"/>
              </w:rPr>
              <w:t>3</w:t>
            </w:r>
          </w:p>
        </w:tc>
        <w:tc>
          <w:tcPr>
            <w:tcW w:w="518" w:type="pct"/>
            <w:shd w:val="clear" w:color="auto" w:fill="FFFFFF" w:themeFill="background1"/>
          </w:tcPr>
          <w:p w14:paraId="2A5EDCAB"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Based on WHO/HTM/NTD/WHOPES/2009.4</w:t>
            </w:r>
            <w:r w:rsidRPr="00D76FD4">
              <w:rPr>
                <w:rFonts w:eastAsia="Calibri"/>
                <w:sz w:val="18"/>
                <w:szCs w:val="18"/>
                <w:lang w:val="sv-SE" w:eastAsia="sv-SE"/>
              </w:rPr>
              <w:t xml:space="preserve"> </w:t>
            </w:r>
            <w:r w:rsidRPr="00D76FD4">
              <w:rPr>
                <w:rFonts w:eastAsia="Calibri"/>
                <w:color w:val="000000"/>
                <w:sz w:val="18"/>
                <w:szCs w:val="18"/>
                <w:lang w:val="sv-SE" w:eastAsia="sv-SE"/>
              </w:rPr>
              <w:t>Guideline for efficacy testing of mosquito repellents for human skin</w:t>
            </w:r>
          </w:p>
        </w:tc>
        <w:tc>
          <w:tcPr>
            <w:tcW w:w="1329" w:type="pct"/>
            <w:shd w:val="clear" w:color="auto" w:fill="FFFFFF" w:themeFill="background1"/>
          </w:tcPr>
          <w:p w14:paraId="14445FAB"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Arm in cage with 10 human volunteers (five men and five women)</w:t>
            </w:r>
          </w:p>
          <w:p w14:paraId="1E16EAE8"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p>
          <w:p w14:paraId="703E7A34"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Application rate: 6 g.m</w:t>
            </w:r>
            <w:r w:rsidRPr="00D76FD4">
              <w:rPr>
                <w:rFonts w:eastAsia="Calibri"/>
                <w:color w:val="000000"/>
                <w:sz w:val="18"/>
                <w:szCs w:val="18"/>
                <w:vertAlign w:val="superscript"/>
                <w:lang w:val="sv-SE" w:eastAsia="sv-SE"/>
              </w:rPr>
              <w:t>-2</w:t>
            </w:r>
          </w:p>
          <w:p w14:paraId="27E31860"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p>
          <w:p w14:paraId="4E2ADB8A" w14:textId="77777777" w:rsidR="00D76FD4" w:rsidRPr="00D76FD4" w:rsidRDefault="00D76FD4" w:rsidP="008D7EDC">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The control forearm was inserted into the cage for 30 seconds and after validation of this control (10 landings/bites), the treated forearm was inserted into the cage 5 minutes (exposure time).</w:t>
            </w:r>
          </w:p>
          <w:p w14:paraId="5D350D9B" w14:textId="77777777" w:rsidR="00D76FD4" w:rsidRPr="00D76FD4" w:rsidRDefault="00D76FD4" w:rsidP="008D7EDC">
            <w:pPr>
              <w:shd w:val="clear" w:color="auto" w:fill="FFFFFF" w:themeFill="background1"/>
              <w:spacing w:before="0" w:after="0" w:line="260" w:lineRule="atLeast"/>
              <w:jc w:val="both"/>
              <w:rPr>
                <w:rFonts w:eastAsia="Calibri"/>
                <w:color w:val="000000"/>
                <w:sz w:val="18"/>
                <w:szCs w:val="18"/>
                <w:lang w:val="sv-SE" w:eastAsia="sv-SE"/>
              </w:rPr>
            </w:pPr>
          </w:p>
          <w:p w14:paraId="5757D04B" w14:textId="77777777" w:rsidR="00D76FD4" w:rsidRPr="00D76FD4" w:rsidRDefault="00D76FD4" w:rsidP="008D7EDC">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The same procedure was repeated every hour until the first landing and then every 30 minutes until proven inefficacy of the product. </w:t>
            </w:r>
          </w:p>
          <w:p w14:paraId="5EDEB70B" w14:textId="77777777" w:rsidR="00D76FD4" w:rsidRPr="00D76FD4" w:rsidRDefault="00D76FD4" w:rsidP="008D7EDC">
            <w:pPr>
              <w:shd w:val="clear" w:color="auto" w:fill="FFFFFF" w:themeFill="background1"/>
              <w:spacing w:before="0" w:after="0" w:line="260" w:lineRule="atLeast"/>
              <w:jc w:val="both"/>
              <w:rPr>
                <w:rFonts w:eastAsia="Calibri"/>
                <w:color w:val="000000"/>
                <w:sz w:val="18"/>
                <w:szCs w:val="18"/>
                <w:lang w:val="sv-SE" w:eastAsia="sv-SE"/>
              </w:rPr>
            </w:pPr>
          </w:p>
          <w:p w14:paraId="21210D1F" w14:textId="77777777" w:rsidR="00D76FD4" w:rsidRPr="00D76FD4" w:rsidRDefault="00D76FD4" w:rsidP="008D7EDC">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Landings and bites were counted during each exposure time.</w:t>
            </w:r>
          </w:p>
          <w:p w14:paraId="0C0115DD"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p>
          <w:p w14:paraId="20B06A39"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Temperate conditions: 25°C +/- 2°C; 70% RH +/- 5%</w:t>
            </w:r>
          </w:p>
        </w:tc>
        <w:tc>
          <w:tcPr>
            <w:tcW w:w="664" w:type="pct"/>
            <w:shd w:val="clear" w:color="auto" w:fill="FFFFFF" w:themeFill="background1"/>
          </w:tcPr>
          <w:p w14:paraId="2AE7C342"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 xml:space="preserve">After application of the product of skin, complete protection time (CPT) was: </w:t>
            </w:r>
          </w:p>
          <w:p w14:paraId="183A7772"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p>
          <w:p w14:paraId="16051A4C"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 xml:space="preserve">- 4 hours for </w:t>
            </w:r>
            <w:r w:rsidRPr="00D76FD4">
              <w:rPr>
                <w:rFonts w:eastAsia="Calibri"/>
                <w:i/>
                <w:color w:val="000000"/>
                <w:sz w:val="18"/>
                <w:szCs w:val="18"/>
                <w:lang w:val="sv-SE" w:eastAsia="sv-SE"/>
              </w:rPr>
              <w:t xml:space="preserve">A. aegypti </w:t>
            </w:r>
            <w:r w:rsidRPr="00D76FD4">
              <w:rPr>
                <w:rFonts w:eastAsia="Calibri"/>
                <w:color w:val="000000"/>
                <w:sz w:val="18"/>
                <w:szCs w:val="18"/>
                <w:lang w:val="sv-SE" w:eastAsia="sv-SE"/>
              </w:rPr>
              <w:t xml:space="preserve">and </w:t>
            </w:r>
            <w:r w:rsidRPr="00D76FD4">
              <w:rPr>
                <w:rFonts w:eastAsia="Calibri"/>
                <w:i/>
                <w:color w:val="000000"/>
                <w:sz w:val="18"/>
                <w:szCs w:val="18"/>
                <w:lang w:val="sv-SE" w:eastAsia="sv-SE"/>
              </w:rPr>
              <w:t>C. quinquefasciatus</w:t>
            </w:r>
          </w:p>
          <w:p w14:paraId="5CCE8CD5"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p>
          <w:p w14:paraId="7AFD9C32"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p>
          <w:p w14:paraId="6E5E1BAE"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p>
          <w:p w14:paraId="2B58C33F"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 xml:space="preserve"> </w:t>
            </w:r>
          </w:p>
        </w:tc>
        <w:tc>
          <w:tcPr>
            <w:tcW w:w="491" w:type="pct"/>
            <w:shd w:val="clear" w:color="auto" w:fill="FFFFFF" w:themeFill="background1"/>
          </w:tcPr>
          <w:p w14:paraId="0747040F"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it-IT" w:eastAsia="sv-SE"/>
              </w:rPr>
            </w:pPr>
            <w:r w:rsidRPr="00D76FD4">
              <w:rPr>
                <w:rFonts w:eastAsia="Calibri"/>
                <w:color w:val="000000"/>
                <w:sz w:val="18"/>
                <w:szCs w:val="18"/>
                <w:lang w:val="it-IT" w:eastAsia="sv-SE"/>
              </w:rPr>
              <w:t>Serrano, 2018</w:t>
            </w:r>
          </w:p>
          <w:p w14:paraId="4A736174"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it-IT" w:eastAsia="sv-SE"/>
              </w:rPr>
            </w:pPr>
          </w:p>
          <w:p w14:paraId="476E8D36"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it-IT" w:eastAsia="sv-SE"/>
              </w:rPr>
            </w:pPr>
            <w:r w:rsidRPr="00D76FD4">
              <w:rPr>
                <w:rFonts w:eastAsia="Calibri"/>
                <w:color w:val="000000"/>
                <w:sz w:val="18"/>
                <w:szCs w:val="18"/>
                <w:lang w:val="it-IT" w:eastAsia="sv-SE"/>
              </w:rPr>
              <w:t>RI=1</w:t>
            </w:r>
          </w:p>
          <w:p w14:paraId="772C23EF" w14:textId="77777777" w:rsidR="00D76FD4" w:rsidRPr="00D76FD4" w:rsidRDefault="00D76FD4" w:rsidP="008D7EDC">
            <w:pPr>
              <w:shd w:val="clear" w:color="auto" w:fill="FFFFFF" w:themeFill="background1"/>
              <w:spacing w:before="0" w:after="0" w:line="260" w:lineRule="atLeast"/>
              <w:rPr>
                <w:rFonts w:eastAsia="Calibri"/>
                <w:color w:val="000000"/>
                <w:sz w:val="18"/>
                <w:szCs w:val="18"/>
                <w:lang w:val="it-IT" w:eastAsia="sv-SE"/>
              </w:rPr>
            </w:pPr>
          </w:p>
          <w:p w14:paraId="736B876D" w14:textId="77777777" w:rsidR="00D76FD4" w:rsidRPr="00D76FD4" w:rsidRDefault="00D76FD4" w:rsidP="008D7EDC">
            <w:pPr>
              <w:shd w:val="clear" w:color="auto" w:fill="FFFFFF" w:themeFill="background1"/>
              <w:spacing w:before="0" w:after="0" w:line="260" w:lineRule="atLeast"/>
              <w:rPr>
                <w:rFonts w:eastAsia="Calibri"/>
                <w:i/>
                <w:color w:val="000000"/>
                <w:sz w:val="18"/>
                <w:szCs w:val="18"/>
                <w:lang w:val="it-IT" w:eastAsia="sv-SE"/>
              </w:rPr>
            </w:pPr>
            <w:r w:rsidRPr="00D76FD4">
              <w:rPr>
                <w:rFonts w:eastAsia="Calibri"/>
                <w:color w:val="000000"/>
                <w:sz w:val="18"/>
                <w:szCs w:val="18"/>
                <w:lang w:val="it-IT" w:eastAsia="sv-SE"/>
              </w:rPr>
              <w:t>Report 2302-IR353520%-mosq-AIC/0118R</w:t>
            </w:r>
          </w:p>
        </w:tc>
      </w:tr>
      <w:tr w:rsidR="00D76FD4" w:rsidRPr="00D76FD4" w14:paraId="2B308E69" w14:textId="77777777" w:rsidTr="008D7EDC">
        <w:tc>
          <w:tcPr>
            <w:tcW w:w="380" w:type="pct"/>
            <w:shd w:val="clear" w:color="auto" w:fill="FFFFFF" w:themeFill="background1"/>
          </w:tcPr>
          <w:p w14:paraId="06B81632"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Repellent</w:t>
            </w:r>
          </w:p>
        </w:tc>
        <w:tc>
          <w:tcPr>
            <w:tcW w:w="442" w:type="pct"/>
            <w:shd w:val="clear" w:color="auto" w:fill="FFFFFF" w:themeFill="background1"/>
          </w:tcPr>
          <w:p w14:paraId="5F3823F3"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Skin application</w:t>
            </w:r>
          </w:p>
        </w:tc>
        <w:tc>
          <w:tcPr>
            <w:tcW w:w="518" w:type="pct"/>
            <w:shd w:val="clear" w:color="auto" w:fill="FFFFFF" w:themeFill="background1"/>
          </w:tcPr>
          <w:p w14:paraId="07C80C6E"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SPRAY IR3535 20% ANTI-POUX</w:t>
            </w:r>
          </w:p>
          <w:p w14:paraId="209181B3"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p>
          <w:p w14:paraId="09296A2D"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Batch No 20180118L1</w:t>
            </w:r>
          </w:p>
        </w:tc>
        <w:tc>
          <w:tcPr>
            <w:tcW w:w="658" w:type="pct"/>
            <w:shd w:val="clear" w:color="auto" w:fill="FFFFFF" w:themeFill="background1"/>
          </w:tcPr>
          <w:p w14:paraId="14DAF207"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r w:rsidRPr="00762A41">
              <w:rPr>
                <w:rFonts w:eastAsia="Calibri"/>
                <w:color w:val="000000"/>
                <w:sz w:val="18"/>
                <w:szCs w:val="18"/>
                <w:lang w:val="sv-SE" w:eastAsia="sv-SE"/>
              </w:rPr>
              <w:lastRenderedPageBreak/>
              <w:t>Aedes albopictus</w:t>
            </w:r>
          </w:p>
          <w:p w14:paraId="2E83BA6E"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p>
          <w:p w14:paraId="0E93D72B"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r w:rsidRPr="00762A41">
              <w:rPr>
                <w:rFonts w:eastAsia="Calibri"/>
                <w:color w:val="000000"/>
                <w:sz w:val="18"/>
                <w:szCs w:val="18"/>
                <w:lang w:val="sv-SE" w:eastAsia="sv-SE"/>
              </w:rPr>
              <w:lastRenderedPageBreak/>
              <w:t>Anopheles gambiae</w:t>
            </w:r>
          </w:p>
          <w:p w14:paraId="58B251DB"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p>
          <w:p w14:paraId="4BFB121A"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200 mosquitoes +/- 10 per cage</w:t>
            </w:r>
          </w:p>
          <w:p w14:paraId="79F25D96"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 xml:space="preserve">(females between 5 and 7 days old) </w:t>
            </w:r>
          </w:p>
          <w:p w14:paraId="61FD4424"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p>
          <w:p w14:paraId="4C2C14A2"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density: 1 mosquito per 320 cm</w:t>
            </w:r>
            <w:r w:rsidRPr="00762A41">
              <w:rPr>
                <w:rFonts w:eastAsia="Calibri"/>
                <w:color w:val="000000"/>
                <w:sz w:val="18"/>
                <w:szCs w:val="18"/>
                <w:lang w:val="sv-SE" w:eastAsia="sv-SE"/>
              </w:rPr>
              <w:t>3</w:t>
            </w:r>
          </w:p>
        </w:tc>
        <w:tc>
          <w:tcPr>
            <w:tcW w:w="518" w:type="pct"/>
            <w:shd w:val="clear" w:color="auto" w:fill="FFFFFF" w:themeFill="background1"/>
          </w:tcPr>
          <w:p w14:paraId="522078D8"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lastRenderedPageBreak/>
              <w:t>Based on WHO/HTM/NT</w:t>
            </w:r>
            <w:r w:rsidRPr="00D76FD4">
              <w:rPr>
                <w:rFonts w:eastAsia="Calibri"/>
                <w:color w:val="000000"/>
                <w:sz w:val="18"/>
                <w:szCs w:val="18"/>
                <w:lang w:val="sv-SE" w:eastAsia="sv-SE"/>
              </w:rPr>
              <w:lastRenderedPageBreak/>
              <w:t>D/WHOPES/2009.4</w:t>
            </w:r>
          </w:p>
          <w:p w14:paraId="42C8E92F"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Guideline for efficacy testing of mosquito repellents for human skin</w:t>
            </w:r>
          </w:p>
        </w:tc>
        <w:tc>
          <w:tcPr>
            <w:tcW w:w="1329" w:type="pct"/>
            <w:shd w:val="clear" w:color="auto" w:fill="FFFFFF" w:themeFill="background1"/>
          </w:tcPr>
          <w:p w14:paraId="30A68D70"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lastRenderedPageBreak/>
              <w:t>Arm in cage with 10 human volunteers (five men and five women)</w:t>
            </w:r>
          </w:p>
          <w:p w14:paraId="008CC19B"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p>
          <w:p w14:paraId="32EC0876"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lastRenderedPageBreak/>
              <w:t>Application rate: 8 g.m</w:t>
            </w:r>
            <w:r w:rsidRPr="00762A41">
              <w:rPr>
                <w:rFonts w:eastAsia="Calibri"/>
                <w:color w:val="000000"/>
                <w:sz w:val="18"/>
                <w:szCs w:val="18"/>
                <w:lang w:val="sv-SE" w:eastAsia="sv-SE"/>
              </w:rPr>
              <w:t>-2</w:t>
            </w:r>
          </w:p>
          <w:p w14:paraId="240D76B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38FA295"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The control forearm was inserted into the cage for 30 seconds and after validation of this control (10 landings/bites), the treated forearm was inserted into the cage 5 minutes (exposure time).</w:t>
            </w:r>
          </w:p>
          <w:p w14:paraId="285CFF6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2BE659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The same procedure was repeated every hour until the first landing and then every 30 minutes until proven inefficacy of the product. Landings and bites were counted during each exposure time.</w:t>
            </w:r>
          </w:p>
          <w:p w14:paraId="2D4B8A1D"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p>
          <w:p w14:paraId="45FE443A"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t>Tropical conditions : 32°C +/- 2°C; 80% RH +/- 5%</w:t>
            </w:r>
          </w:p>
        </w:tc>
        <w:tc>
          <w:tcPr>
            <w:tcW w:w="664" w:type="pct"/>
            <w:shd w:val="clear" w:color="auto" w:fill="FFFFFF" w:themeFill="background1"/>
          </w:tcPr>
          <w:p w14:paraId="468C446B"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r w:rsidRPr="00D76FD4">
              <w:rPr>
                <w:rFonts w:eastAsia="Calibri"/>
                <w:color w:val="000000"/>
                <w:sz w:val="18"/>
                <w:szCs w:val="18"/>
                <w:lang w:val="sv-SE" w:eastAsia="sv-SE"/>
              </w:rPr>
              <w:lastRenderedPageBreak/>
              <w:t xml:space="preserve">After application of the product of skin, complete </w:t>
            </w:r>
            <w:r w:rsidRPr="00D76FD4">
              <w:rPr>
                <w:rFonts w:eastAsia="Calibri"/>
                <w:color w:val="000000"/>
                <w:sz w:val="18"/>
                <w:szCs w:val="18"/>
                <w:lang w:val="sv-SE" w:eastAsia="sv-SE"/>
              </w:rPr>
              <w:lastRenderedPageBreak/>
              <w:t>protection time (CPT) was:</w:t>
            </w:r>
          </w:p>
          <w:p w14:paraId="0E2988DA" w14:textId="77777777" w:rsidR="00D76FD4" w:rsidRPr="00D76FD4" w:rsidRDefault="00D76FD4" w:rsidP="00762A41">
            <w:pPr>
              <w:shd w:val="clear" w:color="auto" w:fill="FFFFFF" w:themeFill="background1"/>
              <w:spacing w:before="0" w:after="0" w:line="260" w:lineRule="atLeast"/>
              <w:rPr>
                <w:rFonts w:eastAsia="Calibri"/>
                <w:color w:val="000000"/>
                <w:sz w:val="18"/>
                <w:szCs w:val="18"/>
                <w:lang w:val="sv-SE" w:eastAsia="sv-SE"/>
              </w:rPr>
            </w:pPr>
          </w:p>
          <w:p w14:paraId="6A73CDB6" w14:textId="77777777" w:rsidR="00D76FD4" w:rsidRPr="00762A41" w:rsidRDefault="00D76FD4" w:rsidP="00762A41">
            <w:pPr>
              <w:numPr>
                <w:ilvl w:val="0"/>
                <w:numId w:val="37"/>
              </w:numPr>
              <w:shd w:val="clear" w:color="auto" w:fill="FFFFFF" w:themeFill="background1"/>
              <w:spacing w:before="0" w:after="0" w:line="260" w:lineRule="atLeast"/>
              <w:contextualSpacing/>
              <w:rPr>
                <w:rFonts w:eastAsia="Calibri"/>
                <w:color w:val="000000"/>
                <w:sz w:val="18"/>
                <w:szCs w:val="18"/>
                <w:lang w:val="sv-SE" w:eastAsia="sv-SE"/>
              </w:rPr>
            </w:pPr>
            <w:r w:rsidRPr="00762A41">
              <w:rPr>
                <w:rFonts w:eastAsia="Calibri"/>
                <w:color w:val="000000"/>
                <w:sz w:val="18"/>
                <w:szCs w:val="18"/>
                <w:lang w:val="sv-SE" w:eastAsia="sv-SE"/>
              </w:rPr>
              <w:t>3h against A. Albopictus</w:t>
            </w:r>
          </w:p>
          <w:p w14:paraId="77A7B9FF" w14:textId="77777777" w:rsidR="00D76FD4" w:rsidRPr="00D76FD4" w:rsidRDefault="00D76FD4" w:rsidP="00762A41">
            <w:pPr>
              <w:numPr>
                <w:ilvl w:val="0"/>
                <w:numId w:val="37"/>
              </w:numPr>
              <w:shd w:val="clear" w:color="auto" w:fill="FFFFFF" w:themeFill="background1"/>
              <w:spacing w:before="0" w:after="0" w:line="260" w:lineRule="atLeast"/>
              <w:contextualSpacing/>
              <w:rPr>
                <w:rFonts w:eastAsia="Calibri"/>
                <w:color w:val="000000"/>
                <w:sz w:val="18"/>
                <w:szCs w:val="18"/>
                <w:lang w:val="sv-SE" w:eastAsia="sv-SE"/>
              </w:rPr>
            </w:pPr>
            <w:r w:rsidRPr="00D76FD4">
              <w:rPr>
                <w:rFonts w:eastAsia="Calibri"/>
                <w:color w:val="000000"/>
                <w:sz w:val="18"/>
                <w:szCs w:val="18"/>
                <w:lang w:val="sv-SE" w:eastAsia="sv-SE"/>
              </w:rPr>
              <w:t xml:space="preserve">4h against </w:t>
            </w:r>
            <w:r w:rsidRPr="00762A41">
              <w:rPr>
                <w:rFonts w:eastAsia="Calibri"/>
                <w:color w:val="000000"/>
                <w:sz w:val="18"/>
                <w:szCs w:val="18"/>
                <w:lang w:val="sv-SE" w:eastAsia="sv-SE"/>
              </w:rPr>
              <w:t>A. Gambiae</w:t>
            </w:r>
            <w:r w:rsidRPr="00D76FD4">
              <w:rPr>
                <w:rFonts w:eastAsia="Calibri"/>
                <w:color w:val="000000"/>
                <w:sz w:val="18"/>
                <w:szCs w:val="18"/>
                <w:lang w:val="sv-SE" w:eastAsia="sv-SE"/>
              </w:rPr>
              <w:t xml:space="preserve"> </w:t>
            </w:r>
          </w:p>
          <w:p w14:paraId="789767A4"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p>
          <w:p w14:paraId="636FF018"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r w:rsidRPr="00762A41">
              <w:rPr>
                <w:rFonts w:eastAsia="Calibri"/>
                <w:color w:val="000000"/>
                <w:sz w:val="18"/>
                <w:szCs w:val="18"/>
                <w:lang w:val="sv-SE" w:eastAsia="sv-SE"/>
              </w:rPr>
              <w:t>Based on the less sensitive species, the complete protection time of the product is 3 hours when the product is applied on skin under tropical conditions.</w:t>
            </w:r>
          </w:p>
        </w:tc>
        <w:tc>
          <w:tcPr>
            <w:tcW w:w="491" w:type="pct"/>
            <w:shd w:val="clear" w:color="auto" w:fill="FFFFFF" w:themeFill="background1"/>
          </w:tcPr>
          <w:p w14:paraId="585AA9C0"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r w:rsidRPr="00762A41">
              <w:rPr>
                <w:rFonts w:eastAsia="Calibri"/>
                <w:color w:val="000000"/>
                <w:sz w:val="18"/>
                <w:szCs w:val="18"/>
                <w:lang w:val="sv-SE" w:eastAsia="sv-SE"/>
              </w:rPr>
              <w:lastRenderedPageBreak/>
              <w:t>Serrano, 2018</w:t>
            </w:r>
          </w:p>
          <w:p w14:paraId="292F0D35"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p>
          <w:p w14:paraId="0D1A77A9"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r w:rsidRPr="00762A41">
              <w:rPr>
                <w:rFonts w:eastAsia="Calibri"/>
                <w:color w:val="000000"/>
                <w:sz w:val="18"/>
                <w:szCs w:val="18"/>
                <w:lang w:val="sv-SE" w:eastAsia="sv-SE"/>
              </w:rPr>
              <w:lastRenderedPageBreak/>
              <w:t>RI=1</w:t>
            </w:r>
          </w:p>
          <w:p w14:paraId="4B6D33DC"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p>
          <w:p w14:paraId="376B51DE" w14:textId="77777777" w:rsidR="00D76FD4" w:rsidRPr="00762A41" w:rsidRDefault="00D76FD4" w:rsidP="00762A41">
            <w:pPr>
              <w:shd w:val="clear" w:color="auto" w:fill="FFFFFF" w:themeFill="background1"/>
              <w:spacing w:before="0" w:after="0" w:line="260" w:lineRule="atLeast"/>
              <w:rPr>
                <w:rFonts w:eastAsia="Calibri"/>
                <w:color w:val="000000"/>
                <w:sz w:val="18"/>
                <w:szCs w:val="18"/>
                <w:lang w:val="sv-SE" w:eastAsia="sv-SE"/>
              </w:rPr>
            </w:pPr>
            <w:r w:rsidRPr="00762A41">
              <w:rPr>
                <w:rFonts w:eastAsia="Calibri"/>
                <w:color w:val="000000"/>
                <w:sz w:val="18"/>
                <w:szCs w:val="18"/>
                <w:lang w:val="sv-SE" w:eastAsia="sv-SE"/>
              </w:rPr>
              <w:t>Report 2302-IR353520%-mosq2-AIC/0118R</w:t>
            </w:r>
          </w:p>
        </w:tc>
      </w:tr>
      <w:tr w:rsidR="00D76FD4" w:rsidRPr="00D76FD4" w14:paraId="4CB22DB7" w14:textId="77777777" w:rsidTr="008D7EDC">
        <w:tc>
          <w:tcPr>
            <w:tcW w:w="380" w:type="pct"/>
            <w:shd w:val="clear" w:color="auto" w:fill="FFFFFF" w:themeFill="background1"/>
          </w:tcPr>
          <w:p w14:paraId="00D4270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Repellent</w:t>
            </w:r>
          </w:p>
        </w:tc>
        <w:tc>
          <w:tcPr>
            <w:tcW w:w="442" w:type="pct"/>
            <w:shd w:val="clear" w:color="auto" w:fill="FFFFFF" w:themeFill="background1"/>
          </w:tcPr>
          <w:p w14:paraId="65EA7CC1"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fabric (clothes)</w:t>
            </w:r>
          </w:p>
        </w:tc>
        <w:tc>
          <w:tcPr>
            <w:tcW w:w="518" w:type="pct"/>
            <w:shd w:val="clear" w:color="auto" w:fill="FFFFFF" w:themeFill="background1"/>
          </w:tcPr>
          <w:p w14:paraId="6FC0D4F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SPRAY IR3535 20% ANTI-POUX</w:t>
            </w:r>
          </w:p>
          <w:p w14:paraId="53B6559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4FEE15F"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Batch No 20180118L1</w:t>
            </w:r>
          </w:p>
        </w:tc>
        <w:tc>
          <w:tcPr>
            <w:tcW w:w="658" w:type="pct"/>
            <w:shd w:val="clear" w:color="auto" w:fill="FFFFFF" w:themeFill="background1"/>
          </w:tcPr>
          <w:p w14:paraId="1118A69F"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Aedes albopictus</w:t>
            </w:r>
          </w:p>
          <w:p w14:paraId="79BCE292"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5E4CFFCF"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Aedes aegypti</w:t>
            </w:r>
          </w:p>
          <w:p w14:paraId="4AFEA34E"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25CBD1E3"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Culex quinquefasciatus</w:t>
            </w:r>
          </w:p>
          <w:p w14:paraId="173FB02F"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156AFD4"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Anopheles gambiae</w:t>
            </w:r>
          </w:p>
          <w:p w14:paraId="75A406B1"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0A1BAB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200 mosquitoes +/- 10 per cage (females between 5 and 7 days old) </w:t>
            </w:r>
          </w:p>
          <w:p w14:paraId="47852B5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5ADC842B"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density: 1 mosquito per 320 cm</w:t>
            </w:r>
            <w:r w:rsidRPr="00762A41">
              <w:rPr>
                <w:rFonts w:eastAsia="Calibri"/>
                <w:color w:val="000000"/>
                <w:sz w:val="18"/>
                <w:szCs w:val="18"/>
                <w:lang w:val="sv-SE" w:eastAsia="sv-SE"/>
              </w:rPr>
              <w:t>3</w:t>
            </w:r>
          </w:p>
        </w:tc>
        <w:tc>
          <w:tcPr>
            <w:tcW w:w="518" w:type="pct"/>
            <w:shd w:val="clear" w:color="auto" w:fill="FFFFFF" w:themeFill="background1"/>
          </w:tcPr>
          <w:p w14:paraId="58C73E1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Derivated from WHO/HTM/NTD/WHOPES/2009.4</w:t>
            </w:r>
          </w:p>
        </w:tc>
        <w:tc>
          <w:tcPr>
            <w:tcW w:w="1329" w:type="pct"/>
            <w:shd w:val="clear" w:color="auto" w:fill="FFFFFF" w:themeFill="background1"/>
          </w:tcPr>
          <w:p w14:paraId="6EA6A5D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Arm in cage with 10 human volunteers (five men and five women)</w:t>
            </w:r>
          </w:p>
          <w:p w14:paraId="0A360C7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568A0554"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rates: 8.5 g.m</w:t>
            </w:r>
            <w:r w:rsidRPr="00762A41">
              <w:rPr>
                <w:rFonts w:eastAsia="Calibri"/>
                <w:color w:val="000000"/>
                <w:sz w:val="18"/>
                <w:szCs w:val="18"/>
                <w:lang w:val="sv-SE" w:eastAsia="sv-SE"/>
              </w:rPr>
              <w:t>-2</w:t>
            </w:r>
            <w:r w:rsidRPr="00D76FD4">
              <w:rPr>
                <w:rFonts w:eastAsia="Calibri"/>
                <w:color w:val="000000"/>
                <w:sz w:val="18"/>
                <w:szCs w:val="18"/>
                <w:lang w:val="sv-SE" w:eastAsia="sv-SE"/>
              </w:rPr>
              <w:t xml:space="preserve"> and 10 g.m</w:t>
            </w:r>
            <w:r w:rsidRPr="00762A41">
              <w:rPr>
                <w:rFonts w:eastAsia="Calibri"/>
                <w:color w:val="000000"/>
                <w:sz w:val="18"/>
                <w:szCs w:val="18"/>
                <w:lang w:val="sv-SE" w:eastAsia="sv-SE"/>
              </w:rPr>
              <w:t>-2</w:t>
            </w:r>
          </w:p>
          <w:p w14:paraId="07FB534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4FB612D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two types of fabric: cotton (density: 75 g/m</w:t>
            </w:r>
            <w:r w:rsidRPr="00762A41">
              <w:rPr>
                <w:rFonts w:eastAsia="Calibri"/>
                <w:color w:val="000000"/>
                <w:sz w:val="18"/>
                <w:szCs w:val="18"/>
                <w:lang w:val="sv-SE" w:eastAsia="sv-SE"/>
              </w:rPr>
              <w:t>2</w:t>
            </w:r>
            <w:r w:rsidRPr="00D76FD4">
              <w:rPr>
                <w:rFonts w:eastAsia="Calibri"/>
                <w:color w:val="000000"/>
                <w:sz w:val="18"/>
                <w:szCs w:val="18"/>
                <w:lang w:val="sv-SE" w:eastAsia="sv-SE"/>
              </w:rPr>
              <w:t>) and polyester (density: 130g/m</w:t>
            </w:r>
            <w:r w:rsidRPr="00762A41">
              <w:rPr>
                <w:rFonts w:eastAsia="Calibri"/>
                <w:color w:val="000000"/>
                <w:sz w:val="18"/>
                <w:szCs w:val="18"/>
                <w:lang w:val="sv-SE" w:eastAsia="sv-SE"/>
              </w:rPr>
              <w:t>2</w:t>
            </w:r>
            <w:r w:rsidRPr="00D76FD4">
              <w:rPr>
                <w:rFonts w:eastAsia="Calibri"/>
                <w:color w:val="000000"/>
                <w:sz w:val="18"/>
                <w:szCs w:val="18"/>
                <w:lang w:val="sv-SE" w:eastAsia="sv-SE"/>
              </w:rPr>
              <w:t>).</w:t>
            </w:r>
          </w:p>
          <w:p w14:paraId="16FCE83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F647AD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Before the test, the subject's forearms were washed thoroughly with a fragrance-free soap. Each hand was covered with a vinyl glove.</w:t>
            </w:r>
          </w:p>
          <w:p w14:paraId="4CC9582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348C10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For each volunteer, one of the forearm, covered by a fabric not treated with the test product, was used as a control to </w:t>
            </w:r>
            <w:r w:rsidRPr="00D76FD4">
              <w:rPr>
                <w:rFonts w:eastAsia="Calibri"/>
                <w:color w:val="000000"/>
                <w:sz w:val="18"/>
                <w:szCs w:val="18"/>
                <w:lang w:val="sv-SE" w:eastAsia="sv-SE"/>
              </w:rPr>
              <w:lastRenderedPageBreak/>
              <w:t>demonstrate the attractiveness of arthropods to the volunteer's skin.</w:t>
            </w:r>
          </w:p>
          <w:p w14:paraId="79227EC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B66E34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The control forearm was inserted into the cage for 30 seconds and after validation of this control (10 landings or 5 bites), the treated forearm was inserted into the cage 5 minutes (exposure time), 30 days after the product application (flat storage at 32 ° C +/- 2 ° C and 70% relative humidity)</w:t>
            </w:r>
          </w:p>
          <w:p w14:paraId="7529D0D0"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 </w:t>
            </w:r>
          </w:p>
          <w:p w14:paraId="603CBA5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Landings and bites were counted during exposure time.</w:t>
            </w:r>
          </w:p>
          <w:p w14:paraId="14C5825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825D1D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Temperate conditions (i.e. 27°C +/- 2°C; 60% +/- 5% RH), except for A. gambiae (Tropical condition: 32°C +/- 2°C, 80% +/- 5%  RH).</w:t>
            </w:r>
          </w:p>
        </w:tc>
        <w:tc>
          <w:tcPr>
            <w:tcW w:w="664" w:type="pct"/>
            <w:shd w:val="clear" w:color="auto" w:fill="FFFFFF" w:themeFill="background1"/>
          </w:tcPr>
          <w:p w14:paraId="5DF0129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For both application rate and all species: 100% of protection (no bite) 30 days after the product application.</w:t>
            </w:r>
          </w:p>
          <w:p w14:paraId="5E0579C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31DA21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Nevertheless this study has not been used to derive a CPT against mosquitoes when the product is applied on fabric as only one observation has been carried out. </w:t>
            </w:r>
          </w:p>
        </w:tc>
        <w:tc>
          <w:tcPr>
            <w:tcW w:w="491" w:type="pct"/>
            <w:shd w:val="clear" w:color="auto" w:fill="FFFFFF" w:themeFill="background1"/>
          </w:tcPr>
          <w:p w14:paraId="72E0C557"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Serrano, 2018</w:t>
            </w:r>
          </w:p>
          <w:p w14:paraId="33FF8B26"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D8A040C"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RI=3</w:t>
            </w:r>
          </w:p>
          <w:p w14:paraId="62CA38FE"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(supportive data)</w:t>
            </w:r>
          </w:p>
          <w:p w14:paraId="02F9533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1F986B9"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Report 2302-mosq/0118</w:t>
            </w:r>
          </w:p>
        </w:tc>
      </w:tr>
      <w:tr w:rsidR="00D76FD4" w:rsidRPr="00D76FD4" w14:paraId="3FE1C107" w14:textId="77777777" w:rsidTr="008D7EDC">
        <w:tc>
          <w:tcPr>
            <w:tcW w:w="380" w:type="pct"/>
            <w:shd w:val="clear" w:color="auto" w:fill="FFFFFF" w:themeFill="background1"/>
          </w:tcPr>
          <w:p w14:paraId="6A90B36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Repellent</w:t>
            </w:r>
          </w:p>
        </w:tc>
        <w:tc>
          <w:tcPr>
            <w:tcW w:w="442" w:type="pct"/>
            <w:shd w:val="clear" w:color="auto" w:fill="FFFFFF" w:themeFill="background1"/>
          </w:tcPr>
          <w:p w14:paraId="4C3F3BC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fabric (clothes)</w:t>
            </w:r>
          </w:p>
        </w:tc>
        <w:tc>
          <w:tcPr>
            <w:tcW w:w="518" w:type="pct"/>
            <w:shd w:val="clear" w:color="auto" w:fill="FFFFFF" w:themeFill="background1"/>
          </w:tcPr>
          <w:p w14:paraId="30E608F5"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SPRAY IR3535 20% ANTI-POUX</w:t>
            </w:r>
          </w:p>
          <w:p w14:paraId="03F25E8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421D58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Batch No 20180118L1</w:t>
            </w:r>
          </w:p>
        </w:tc>
        <w:tc>
          <w:tcPr>
            <w:tcW w:w="658" w:type="pct"/>
            <w:shd w:val="clear" w:color="auto" w:fill="FFFFFF" w:themeFill="background1"/>
          </w:tcPr>
          <w:p w14:paraId="2109B6D9"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Aedes albopictus</w:t>
            </w:r>
          </w:p>
          <w:p w14:paraId="0CB860A7"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8609487"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Aedes aegypti</w:t>
            </w:r>
          </w:p>
          <w:p w14:paraId="4C2EB8D0"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774DF20"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Culex quinquefasciatus</w:t>
            </w:r>
          </w:p>
          <w:p w14:paraId="19A0A71E"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4337F13B"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Anopheles gambiae</w:t>
            </w:r>
          </w:p>
          <w:p w14:paraId="542E3B46"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CA4DA4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200 mosquitoes +/- 10 per cage (females between 5 and 7 days old) </w:t>
            </w:r>
          </w:p>
          <w:p w14:paraId="2B56943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3809AD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density: 1 mosquito per 320 cm</w:t>
            </w:r>
            <w:r w:rsidRPr="00762A41">
              <w:rPr>
                <w:rFonts w:eastAsia="Calibri"/>
                <w:color w:val="000000"/>
                <w:sz w:val="18"/>
                <w:szCs w:val="18"/>
                <w:lang w:val="sv-SE" w:eastAsia="sv-SE"/>
              </w:rPr>
              <w:t>3</w:t>
            </w:r>
          </w:p>
          <w:p w14:paraId="67C1A916"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tc>
        <w:tc>
          <w:tcPr>
            <w:tcW w:w="518" w:type="pct"/>
            <w:shd w:val="clear" w:color="auto" w:fill="FFFFFF" w:themeFill="background1"/>
          </w:tcPr>
          <w:p w14:paraId="0B808F8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Derivated from WHO/HTM/NTD/WHOPES/2009.4</w:t>
            </w:r>
          </w:p>
        </w:tc>
        <w:tc>
          <w:tcPr>
            <w:tcW w:w="1329" w:type="pct"/>
            <w:shd w:val="clear" w:color="auto" w:fill="FFFFFF" w:themeFill="background1"/>
          </w:tcPr>
          <w:p w14:paraId="5E0FF6E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Arm in cage with 10 human volunteers (five men and five women)</w:t>
            </w:r>
          </w:p>
          <w:p w14:paraId="257FDE3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57D168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rates:</w:t>
            </w:r>
            <w:r w:rsidRPr="00762A41">
              <w:rPr>
                <w:rFonts w:eastAsia="Calibri"/>
                <w:color w:val="000000"/>
                <w:sz w:val="18"/>
                <w:szCs w:val="18"/>
                <w:lang w:val="sv-SE" w:eastAsia="sv-SE"/>
              </w:rPr>
              <w:t xml:space="preserve"> </w:t>
            </w:r>
            <w:r w:rsidRPr="00D76FD4">
              <w:rPr>
                <w:rFonts w:eastAsia="Calibri"/>
                <w:color w:val="000000"/>
                <w:sz w:val="18"/>
                <w:szCs w:val="18"/>
                <w:lang w:val="sv-SE" w:eastAsia="sv-SE"/>
              </w:rPr>
              <w:t>6.0 g.m</w:t>
            </w:r>
            <w:r w:rsidRPr="00762A41">
              <w:rPr>
                <w:rFonts w:eastAsia="Calibri"/>
                <w:color w:val="000000"/>
                <w:sz w:val="18"/>
                <w:szCs w:val="18"/>
                <w:lang w:val="sv-SE" w:eastAsia="sv-SE"/>
              </w:rPr>
              <w:t>-²</w:t>
            </w:r>
            <w:r w:rsidRPr="00D76FD4">
              <w:rPr>
                <w:rFonts w:eastAsia="Calibri"/>
                <w:color w:val="000000"/>
                <w:sz w:val="18"/>
                <w:szCs w:val="18"/>
                <w:lang w:val="sv-SE" w:eastAsia="sv-SE"/>
              </w:rPr>
              <w:t xml:space="preserve"> and 8.5 g.m</w:t>
            </w:r>
            <w:r w:rsidRPr="00762A41">
              <w:rPr>
                <w:rFonts w:eastAsia="Calibri"/>
                <w:color w:val="000000"/>
                <w:sz w:val="18"/>
                <w:szCs w:val="18"/>
                <w:lang w:val="sv-SE" w:eastAsia="sv-SE"/>
              </w:rPr>
              <w:t xml:space="preserve">-2 </w:t>
            </w:r>
          </w:p>
          <w:p w14:paraId="1AD659D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2C415F4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two types of fabric: cotton (fabric density: 75 and 130 g.m</w:t>
            </w:r>
            <w:r w:rsidRPr="00762A41">
              <w:rPr>
                <w:rFonts w:eastAsia="Calibri"/>
                <w:color w:val="000000"/>
                <w:sz w:val="18"/>
                <w:szCs w:val="18"/>
                <w:lang w:val="sv-SE" w:eastAsia="sv-SE"/>
              </w:rPr>
              <w:t>-2</w:t>
            </w:r>
            <w:r w:rsidRPr="00D76FD4">
              <w:rPr>
                <w:rFonts w:eastAsia="Calibri"/>
                <w:color w:val="000000"/>
                <w:sz w:val="18"/>
                <w:szCs w:val="18"/>
                <w:lang w:val="sv-SE" w:eastAsia="sv-SE"/>
              </w:rPr>
              <w:t>) and polyester (fabric density: 100 and 150 g.m</w:t>
            </w:r>
            <w:r w:rsidRPr="00762A41">
              <w:rPr>
                <w:rFonts w:eastAsia="Calibri"/>
                <w:color w:val="000000"/>
                <w:sz w:val="18"/>
                <w:szCs w:val="18"/>
                <w:lang w:val="sv-SE" w:eastAsia="sv-SE"/>
              </w:rPr>
              <w:t>-2</w:t>
            </w:r>
            <w:r w:rsidRPr="00D76FD4">
              <w:rPr>
                <w:rFonts w:eastAsia="Calibri"/>
                <w:color w:val="000000"/>
                <w:sz w:val="18"/>
                <w:szCs w:val="18"/>
                <w:lang w:val="sv-SE" w:eastAsia="sv-SE"/>
              </w:rPr>
              <w:t>).</w:t>
            </w:r>
          </w:p>
          <w:p w14:paraId="62F1F0C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6AEDA0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Before the test, the subject's forearms were washed thoroughly with a fragrance-free soap. Each hand was covered with a vinyl glove.  </w:t>
            </w:r>
          </w:p>
          <w:p w14:paraId="2CEF59A5"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54EE8C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For each volunteer, one of the forearm, covered by a fabric not treated with the test product, was used as a control to demonstrate the attractiveness of arthropods to the volunteer's skin.</w:t>
            </w:r>
          </w:p>
          <w:p w14:paraId="6F45125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47DCFA0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The control forearm was inserted into the cage for 30 secondes and after validation of this control (5 landings and 2 bites), the treated forearm was inserted into the cage 5 minutes (exposure time).</w:t>
            </w:r>
          </w:p>
          <w:p w14:paraId="0371C75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EF885A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The same procedure was repeated every hour until 8 hours or inefficacy of the product (after 0, 15, and 30 days after application on fabric).</w:t>
            </w:r>
          </w:p>
          <w:p w14:paraId="5F2B6075"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E2042B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Landings and bites were counted during each exposure time.</w:t>
            </w:r>
          </w:p>
          <w:p w14:paraId="56AC5AF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2D2BAD6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Temperate conditions (i.e. 27°C+/- 2°C;  60% RH +/- 5%), except for </w:t>
            </w:r>
            <w:r w:rsidRPr="00762A41">
              <w:rPr>
                <w:rFonts w:eastAsia="Calibri"/>
                <w:color w:val="000000"/>
                <w:sz w:val="18"/>
                <w:szCs w:val="18"/>
                <w:lang w:val="sv-SE" w:eastAsia="sv-SE"/>
              </w:rPr>
              <w:t>A. albopictus</w:t>
            </w:r>
            <w:r w:rsidRPr="00D76FD4">
              <w:rPr>
                <w:rFonts w:eastAsia="Calibri"/>
                <w:color w:val="000000"/>
                <w:sz w:val="18"/>
                <w:szCs w:val="18"/>
                <w:lang w:val="sv-SE" w:eastAsia="sv-SE"/>
              </w:rPr>
              <w:t xml:space="preserve"> and </w:t>
            </w:r>
            <w:r w:rsidRPr="00762A41">
              <w:rPr>
                <w:rFonts w:eastAsia="Calibri"/>
                <w:color w:val="000000"/>
                <w:sz w:val="18"/>
                <w:szCs w:val="18"/>
                <w:lang w:val="sv-SE" w:eastAsia="sv-SE"/>
              </w:rPr>
              <w:t>A. gambiae</w:t>
            </w:r>
            <w:r w:rsidRPr="00D76FD4">
              <w:rPr>
                <w:rFonts w:eastAsia="Calibri"/>
                <w:color w:val="000000"/>
                <w:sz w:val="18"/>
                <w:szCs w:val="18"/>
                <w:lang w:val="sv-SE" w:eastAsia="sv-SE"/>
              </w:rPr>
              <w:t xml:space="preserve"> (tropical conditions: 32°C +/- 2°C; 80% RH +/- 5%)</w:t>
            </w:r>
          </w:p>
        </w:tc>
        <w:tc>
          <w:tcPr>
            <w:tcW w:w="664" w:type="pct"/>
            <w:shd w:val="clear" w:color="auto" w:fill="FFFFFF" w:themeFill="background1"/>
          </w:tcPr>
          <w:p w14:paraId="7FA8D85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 xml:space="preserve">For both application rate, all fabrics, and all species: </w:t>
            </w:r>
          </w:p>
          <w:p w14:paraId="0B80156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4BC14F01"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8 hours of complete protection time, after 0, 15, and 30 days of fabric storage post-treatment.</w:t>
            </w:r>
          </w:p>
        </w:tc>
        <w:tc>
          <w:tcPr>
            <w:tcW w:w="491" w:type="pct"/>
            <w:shd w:val="clear" w:color="auto" w:fill="FFFFFF" w:themeFill="background1"/>
          </w:tcPr>
          <w:p w14:paraId="5200C39C"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Serrano, 2019</w:t>
            </w:r>
          </w:p>
          <w:p w14:paraId="025D273F"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4AB73AC2"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RI=1</w:t>
            </w:r>
          </w:p>
          <w:p w14:paraId="7255F805"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718DCF6"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Report 2437-mosq/0319</w:t>
            </w:r>
          </w:p>
        </w:tc>
      </w:tr>
      <w:tr w:rsidR="00D76FD4" w:rsidRPr="00D76FD4" w14:paraId="7B049907" w14:textId="77777777" w:rsidTr="008D7EDC">
        <w:tc>
          <w:tcPr>
            <w:tcW w:w="380" w:type="pct"/>
            <w:shd w:val="clear" w:color="auto" w:fill="FFFFFF" w:themeFill="background1"/>
          </w:tcPr>
          <w:p w14:paraId="52B7067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Repellent</w:t>
            </w:r>
          </w:p>
        </w:tc>
        <w:tc>
          <w:tcPr>
            <w:tcW w:w="442" w:type="pct"/>
            <w:shd w:val="clear" w:color="auto" w:fill="FFFFFF" w:themeFill="background1"/>
          </w:tcPr>
          <w:p w14:paraId="527F72F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fabric (clothes)</w:t>
            </w:r>
          </w:p>
        </w:tc>
        <w:tc>
          <w:tcPr>
            <w:tcW w:w="518" w:type="pct"/>
            <w:shd w:val="clear" w:color="auto" w:fill="FFFFFF" w:themeFill="background1"/>
          </w:tcPr>
          <w:p w14:paraId="7E6A8455"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SPRAY IR3535 20% ANTI-POUX</w:t>
            </w:r>
          </w:p>
          <w:p w14:paraId="5763B4D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271CFDE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Batch No 20180118L1</w:t>
            </w:r>
          </w:p>
        </w:tc>
        <w:tc>
          <w:tcPr>
            <w:tcW w:w="658" w:type="pct"/>
            <w:shd w:val="clear" w:color="auto" w:fill="FFFFFF" w:themeFill="background1"/>
          </w:tcPr>
          <w:p w14:paraId="1E45A5C5"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Ixodes ricinus</w:t>
            </w:r>
          </w:p>
          <w:p w14:paraId="70F52D09"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8CDB480"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 xml:space="preserve">5 female adults per replicates </w:t>
            </w:r>
          </w:p>
          <w:p w14:paraId="56923A49"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 xml:space="preserve">5 nymphs per replicates </w:t>
            </w:r>
          </w:p>
          <w:p w14:paraId="42D2EDAB"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0F48938"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10 replicates per development stage</w:t>
            </w:r>
          </w:p>
          <w:p w14:paraId="304109DA"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tc>
        <w:tc>
          <w:tcPr>
            <w:tcW w:w="518" w:type="pct"/>
            <w:shd w:val="clear" w:color="auto" w:fill="FFFFFF" w:themeFill="background1"/>
          </w:tcPr>
          <w:p w14:paraId="4A23C83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Derivated from EPA Guidance OPPTS 810.3700 (2010)</w:t>
            </w:r>
          </w:p>
          <w:p w14:paraId="59C5900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B33E591"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Temperature: 25°C ± 2°C, </w:t>
            </w:r>
          </w:p>
          <w:p w14:paraId="60FAB0E8"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 xml:space="preserve">Relative humidity: 65% ± 5% </w:t>
            </w:r>
          </w:p>
        </w:tc>
        <w:tc>
          <w:tcPr>
            <w:tcW w:w="1329" w:type="pct"/>
            <w:shd w:val="clear" w:color="auto" w:fill="FFFFFF" w:themeFill="background1"/>
          </w:tcPr>
          <w:p w14:paraId="0C61AE31"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Laboratory choice test with 10 mice (</w:t>
            </w:r>
            <w:r w:rsidRPr="00762A41">
              <w:rPr>
                <w:rFonts w:eastAsia="Calibri"/>
                <w:color w:val="000000"/>
                <w:sz w:val="18"/>
                <w:szCs w:val="18"/>
                <w:lang w:val="sv-SE" w:eastAsia="sv-SE"/>
              </w:rPr>
              <w:t>Mus musculus</w:t>
            </w:r>
            <w:r w:rsidRPr="00D76FD4">
              <w:rPr>
                <w:rFonts w:eastAsia="Calibri"/>
                <w:color w:val="000000"/>
                <w:sz w:val="18"/>
                <w:szCs w:val="18"/>
                <w:lang w:val="sv-SE" w:eastAsia="sv-SE"/>
              </w:rPr>
              <w:t>) per condition.</w:t>
            </w:r>
          </w:p>
          <w:p w14:paraId="1A64559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6340F6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rate: 6 g.m</w:t>
            </w:r>
            <w:r w:rsidRPr="00762A41">
              <w:rPr>
                <w:rFonts w:eastAsia="Calibri"/>
                <w:color w:val="000000"/>
                <w:sz w:val="18"/>
                <w:szCs w:val="18"/>
                <w:lang w:val="sv-SE" w:eastAsia="sv-SE"/>
              </w:rPr>
              <w:t>-2</w:t>
            </w:r>
          </w:p>
          <w:p w14:paraId="664050F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4C6FE0F0"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two types of fabric: cotton (density: 175 g/m</w:t>
            </w:r>
            <w:r w:rsidRPr="00762A41">
              <w:rPr>
                <w:rFonts w:eastAsia="Calibri"/>
                <w:color w:val="000000"/>
                <w:sz w:val="18"/>
                <w:szCs w:val="18"/>
                <w:lang w:val="sv-SE" w:eastAsia="sv-SE"/>
              </w:rPr>
              <w:t>2</w:t>
            </w:r>
            <w:r w:rsidRPr="00D76FD4">
              <w:rPr>
                <w:rFonts w:eastAsia="Calibri"/>
                <w:color w:val="000000"/>
                <w:sz w:val="18"/>
                <w:szCs w:val="18"/>
                <w:lang w:val="sv-SE" w:eastAsia="sv-SE"/>
              </w:rPr>
              <w:t>) and polyester (density: 125 g/m</w:t>
            </w:r>
            <w:r w:rsidRPr="00762A41">
              <w:rPr>
                <w:rFonts w:eastAsia="Calibri"/>
                <w:color w:val="000000"/>
                <w:sz w:val="18"/>
                <w:szCs w:val="18"/>
                <w:lang w:val="sv-SE" w:eastAsia="sv-SE"/>
              </w:rPr>
              <w:t>2</w:t>
            </w:r>
            <w:r w:rsidRPr="00D76FD4">
              <w:rPr>
                <w:rFonts w:eastAsia="Calibri"/>
                <w:color w:val="000000"/>
                <w:sz w:val="18"/>
                <w:szCs w:val="18"/>
                <w:lang w:val="sv-SE" w:eastAsia="sv-SE"/>
              </w:rPr>
              <w:t xml:space="preserve">). </w:t>
            </w:r>
          </w:p>
          <w:p w14:paraId="7B1527A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59F5B61"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The mice are maintained inside a net cage with their head and eyes protected from the bites. The fabric sleeves (24h after application of the product) are tightly twisted around the body of the mice.</w:t>
            </w:r>
          </w:p>
          <w:p w14:paraId="7D81821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C695F5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Ticks placed on an untreated zone 3 cm away from the treated mouse.</w:t>
            </w:r>
          </w:p>
          <w:p w14:paraId="217B4720"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1646B3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Records of the number of ticks crossing the separating line between the untreated area and the treated part during 5 minutes (exposure time).</w:t>
            </w:r>
          </w:p>
          <w:p w14:paraId="54721FF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940C0F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 tick that walked these 3 cm and went on the mouse into the treated area or that crawls into the treated area but immediately turns back or falls off was reported as "repelled".</w:t>
            </w:r>
          </w:p>
        </w:tc>
        <w:tc>
          <w:tcPr>
            <w:tcW w:w="664" w:type="pct"/>
            <w:shd w:val="clear" w:color="auto" w:fill="FFFFFF" w:themeFill="background1"/>
          </w:tcPr>
          <w:p w14:paraId="043777B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At 6 g.m</w:t>
            </w:r>
            <w:r w:rsidRPr="00762A41">
              <w:rPr>
                <w:rFonts w:eastAsia="Calibri"/>
                <w:color w:val="000000"/>
                <w:sz w:val="18"/>
                <w:szCs w:val="18"/>
                <w:lang w:val="sv-SE" w:eastAsia="sv-SE"/>
              </w:rPr>
              <w:t>-2</w:t>
            </w:r>
            <w:r w:rsidRPr="00D76FD4">
              <w:rPr>
                <w:rFonts w:eastAsia="Calibri"/>
                <w:color w:val="000000"/>
                <w:sz w:val="18"/>
                <w:szCs w:val="18"/>
                <w:lang w:val="sv-SE" w:eastAsia="sv-SE"/>
              </w:rPr>
              <w:t>, 100 % of repellency 24h after the product application on both type of fabric</w:t>
            </w:r>
          </w:p>
          <w:p w14:paraId="5EF91D05"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5DB2BB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Nevertheless this study has not been used to derive a CPT against ticks </w:t>
            </w:r>
            <w:r w:rsidRPr="00D76FD4">
              <w:rPr>
                <w:rFonts w:eastAsia="Calibri"/>
                <w:color w:val="000000"/>
                <w:sz w:val="18"/>
                <w:szCs w:val="18"/>
                <w:lang w:val="sv-SE" w:eastAsia="sv-SE"/>
              </w:rPr>
              <w:lastRenderedPageBreak/>
              <w:t>when the product is applied on fabric as only one observation has been carried out.</w:t>
            </w:r>
          </w:p>
        </w:tc>
        <w:tc>
          <w:tcPr>
            <w:tcW w:w="491" w:type="pct"/>
            <w:shd w:val="clear" w:color="auto" w:fill="FFFFFF" w:themeFill="background1"/>
          </w:tcPr>
          <w:p w14:paraId="1429290F"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lastRenderedPageBreak/>
              <w:t>Serrano, 2018</w:t>
            </w:r>
          </w:p>
          <w:p w14:paraId="0A18D78E"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612116A"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RI=3</w:t>
            </w:r>
          </w:p>
          <w:p w14:paraId="2E32FD81"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(supportive data)</w:t>
            </w:r>
          </w:p>
          <w:p w14:paraId="75340A3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878BD57"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Report 2302-IR353520%-ticks/0118R</w:t>
            </w:r>
          </w:p>
        </w:tc>
      </w:tr>
      <w:tr w:rsidR="00D76FD4" w:rsidRPr="00D76FD4" w14:paraId="33CA78D4" w14:textId="77777777" w:rsidTr="008D7EDC">
        <w:tc>
          <w:tcPr>
            <w:tcW w:w="380" w:type="pct"/>
            <w:shd w:val="clear" w:color="auto" w:fill="FFFFFF" w:themeFill="background1"/>
          </w:tcPr>
          <w:p w14:paraId="7A6FAD5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Repellent</w:t>
            </w:r>
          </w:p>
        </w:tc>
        <w:tc>
          <w:tcPr>
            <w:tcW w:w="442" w:type="pct"/>
            <w:shd w:val="clear" w:color="auto" w:fill="FFFFFF" w:themeFill="background1"/>
          </w:tcPr>
          <w:p w14:paraId="295A7A2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fabric (clothes)</w:t>
            </w:r>
          </w:p>
        </w:tc>
        <w:tc>
          <w:tcPr>
            <w:tcW w:w="518" w:type="pct"/>
            <w:shd w:val="clear" w:color="auto" w:fill="FFFFFF" w:themeFill="background1"/>
          </w:tcPr>
          <w:p w14:paraId="0F0D6BB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SPRAY IR3535 20% ANTI-POUX</w:t>
            </w:r>
          </w:p>
          <w:p w14:paraId="10E9DF6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72CA51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Batch No 20180118L1</w:t>
            </w:r>
          </w:p>
        </w:tc>
        <w:tc>
          <w:tcPr>
            <w:tcW w:w="658" w:type="pct"/>
            <w:shd w:val="clear" w:color="auto" w:fill="FFFFFF" w:themeFill="background1"/>
          </w:tcPr>
          <w:p w14:paraId="06C77846"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Ixodes ricinus</w:t>
            </w:r>
          </w:p>
          <w:p w14:paraId="2D5DB906"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F8FD95E"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 xml:space="preserve">10 female adults per replicates </w:t>
            </w:r>
          </w:p>
          <w:p w14:paraId="4C92E236"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 xml:space="preserve">10 nymphs per replicates </w:t>
            </w:r>
          </w:p>
          <w:p w14:paraId="39FCFD38"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98B31C0"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10 replicates per development stage</w:t>
            </w:r>
          </w:p>
          <w:p w14:paraId="2C005583"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tc>
        <w:tc>
          <w:tcPr>
            <w:tcW w:w="518" w:type="pct"/>
            <w:shd w:val="clear" w:color="auto" w:fill="FFFFFF" w:themeFill="background1"/>
          </w:tcPr>
          <w:p w14:paraId="23DD565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Derivated from OPPTS 810.3700 (2010)</w:t>
            </w:r>
          </w:p>
          <w:p w14:paraId="7D46E41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23A9D41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Temperature: 27°C ± 2°C, </w:t>
            </w:r>
          </w:p>
          <w:p w14:paraId="453A995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Relative humidity: 60% ± 5%</w:t>
            </w:r>
          </w:p>
        </w:tc>
        <w:tc>
          <w:tcPr>
            <w:tcW w:w="1329" w:type="pct"/>
            <w:shd w:val="clear" w:color="auto" w:fill="FFFFFF" w:themeFill="background1"/>
          </w:tcPr>
          <w:p w14:paraId="7418E19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Laboratory choice test with 10 mice (</w:t>
            </w:r>
            <w:r w:rsidRPr="00762A41">
              <w:rPr>
                <w:rFonts w:eastAsia="Calibri"/>
                <w:color w:val="000000"/>
                <w:sz w:val="18"/>
                <w:szCs w:val="18"/>
                <w:lang w:val="sv-SE" w:eastAsia="sv-SE"/>
              </w:rPr>
              <w:t>Mus musculus</w:t>
            </w:r>
            <w:r w:rsidRPr="00D76FD4">
              <w:rPr>
                <w:rFonts w:eastAsia="Calibri"/>
                <w:color w:val="000000"/>
                <w:sz w:val="18"/>
                <w:szCs w:val="18"/>
                <w:lang w:val="sv-SE" w:eastAsia="sv-SE"/>
              </w:rPr>
              <w:t>) per condition.</w:t>
            </w:r>
          </w:p>
          <w:p w14:paraId="7994236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431FA28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two types of fabric: cotton (fabric density: 75 and 130 g.m</w:t>
            </w:r>
            <w:r w:rsidRPr="00762A41">
              <w:rPr>
                <w:rFonts w:eastAsia="Calibri"/>
                <w:color w:val="000000"/>
                <w:sz w:val="18"/>
                <w:szCs w:val="18"/>
                <w:lang w:val="sv-SE" w:eastAsia="sv-SE"/>
              </w:rPr>
              <w:t>-2</w:t>
            </w:r>
            <w:r w:rsidRPr="00D76FD4">
              <w:rPr>
                <w:rFonts w:eastAsia="Calibri"/>
                <w:color w:val="000000"/>
                <w:sz w:val="18"/>
                <w:szCs w:val="18"/>
                <w:lang w:val="sv-SE" w:eastAsia="sv-SE"/>
              </w:rPr>
              <w:t>) and polyester (fabric density: 100 and 150 g.m</w:t>
            </w:r>
            <w:r w:rsidRPr="00762A41">
              <w:rPr>
                <w:rFonts w:eastAsia="Calibri"/>
                <w:color w:val="000000"/>
                <w:sz w:val="18"/>
                <w:szCs w:val="18"/>
                <w:lang w:val="sv-SE" w:eastAsia="sv-SE"/>
              </w:rPr>
              <w:t>-2</w:t>
            </w:r>
            <w:r w:rsidRPr="00D76FD4">
              <w:rPr>
                <w:rFonts w:eastAsia="Calibri"/>
                <w:color w:val="000000"/>
                <w:sz w:val="18"/>
                <w:szCs w:val="18"/>
                <w:lang w:val="sv-SE" w:eastAsia="sv-SE"/>
              </w:rPr>
              <w:t>).</w:t>
            </w:r>
          </w:p>
          <w:p w14:paraId="2FABDD9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F6149BD"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rate:</w:t>
            </w:r>
            <w:r w:rsidRPr="00762A41">
              <w:rPr>
                <w:rFonts w:eastAsia="Calibri"/>
                <w:color w:val="000000"/>
                <w:sz w:val="18"/>
                <w:szCs w:val="18"/>
                <w:lang w:val="sv-SE" w:eastAsia="sv-SE"/>
              </w:rPr>
              <w:t xml:space="preserve"> </w:t>
            </w:r>
            <w:r w:rsidRPr="00D76FD4">
              <w:rPr>
                <w:rFonts w:eastAsia="Calibri"/>
                <w:color w:val="000000"/>
                <w:sz w:val="18"/>
                <w:szCs w:val="18"/>
                <w:lang w:val="sv-SE" w:eastAsia="sv-SE"/>
              </w:rPr>
              <w:t>8.5 g.m</w:t>
            </w:r>
            <w:r w:rsidRPr="00762A41">
              <w:rPr>
                <w:rFonts w:eastAsia="Calibri"/>
                <w:color w:val="000000"/>
                <w:sz w:val="18"/>
                <w:szCs w:val="18"/>
                <w:lang w:val="sv-SE" w:eastAsia="sv-SE"/>
              </w:rPr>
              <w:t>-2</w:t>
            </w:r>
          </w:p>
          <w:p w14:paraId="0256CDF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57289C1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The mice are maintained inside a net cage with their head and eyes protected from the bites. The fabric sleeves (0, 3 and 7 days after application of the </w:t>
            </w:r>
            <w:r w:rsidRPr="00D76FD4">
              <w:rPr>
                <w:rFonts w:eastAsia="Calibri"/>
                <w:color w:val="000000"/>
                <w:sz w:val="18"/>
                <w:szCs w:val="18"/>
                <w:lang w:val="sv-SE" w:eastAsia="sv-SE"/>
              </w:rPr>
              <w:lastRenderedPageBreak/>
              <w:t>product) are tightly twisted around the body of the mice.</w:t>
            </w:r>
          </w:p>
          <w:p w14:paraId="4BF978B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C98410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Ticks are placed on an untreated zone 3 cm away from the treated mouse.</w:t>
            </w:r>
          </w:p>
          <w:p w14:paraId="380430E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3D56CC2" w14:textId="3E4B5064"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Fresh ticks were exposed to the treated area at regular intervals for the duration of the test (or until inefficacy) and the number</w:t>
            </w:r>
            <w:r w:rsidRPr="00762A41">
              <w:rPr>
                <w:rFonts w:eastAsia="Calibri"/>
                <w:color w:val="000000"/>
                <w:sz w:val="18"/>
                <w:szCs w:val="18"/>
                <w:lang w:val="sv-SE" w:eastAsia="sv-SE"/>
              </w:rPr>
              <w:t xml:space="preserve"> </w:t>
            </w:r>
            <w:r w:rsidRPr="00D76FD4">
              <w:rPr>
                <w:rFonts w:eastAsia="Calibri"/>
                <w:color w:val="000000"/>
                <w:sz w:val="18"/>
                <w:szCs w:val="18"/>
                <w:lang w:val="sv-SE" w:eastAsia="sv-SE"/>
              </w:rPr>
              <w:t>of ticks crossing the separating line between the untreated area and the treated area during 5 minutes (exposure time) have been recorded.</w:t>
            </w:r>
            <w:r w:rsidR="00B21FA1">
              <w:rPr>
                <w:rFonts w:eastAsia="Calibri"/>
                <w:color w:val="000000"/>
                <w:sz w:val="18"/>
                <w:szCs w:val="18"/>
                <w:lang w:val="sv-SE" w:eastAsia="sv-SE"/>
              </w:rPr>
              <w:t xml:space="preserve"> Some human volunte</w:t>
            </w:r>
            <w:r w:rsidR="00D34FF3">
              <w:rPr>
                <w:rFonts w:eastAsia="Calibri"/>
                <w:color w:val="000000"/>
                <w:sz w:val="18"/>
                <w:szCs w:val="18"/>
                <w:lang w:val="sv-SE" w:eastAsia="sv-SE"/>
              </w:rPr>
              <w:t>e</w:t>
            </w:r>
            <w:r w:rsidR="00B21FA1">
              <w:rPr>
                <w:rFonts w:eastAsia="Calibri"/>
                <w:color w:val="000000"/>
                <w:sz w:val="18"/>
                <w:szCs w:val="18"/>
                <w:lang w:val="sv-SE" w:eastAsia="sv-SE"/>
              </w:rPr>
              <w:t xml:space="preserve">rs keep the sleeves on their forearms during the trial </w:t>
            </w:r>
            <w:r w:rsidR="00D34FF3">
              <w:rPr>
                <w:rFonts w:eastAsia="Calibri"/>
                <w:color w:val="000000"/>
                <w:sz w:val="18"/>
                <w:szCs w:val="18"/>
                <w:lang w:val="sv-SE" w:eastAsia="sv-SE"/>
              </w:rPr>
              <w:t>(</w:t>
            </w:r>
            <w:r w:rsidR="00D34FF3" w:rsidRPr="00D34FF3">
              <w:rPr>
                <w:rFonts w:eastAsia="Calibri"/>
                <w:color w:val="000000"/>
                <w:sz w:val="18"/>
                <w:szCs w:val="18"/>
                <w:lang w:val="sv-SE" w:eastAsia="sv-SE"/>
              </w:rPr>
              <w:t xml:space="preserve">between </w:t>
            </w:r>
            <w:r w:rsidR="00D34FF3">
              <w:rPr>
                <w:rFonts w:eastAsia="Calibri"/>
                <w:color w:val="000000"/>
                <w:sz w:val="18"/>
                <w:szCs w:val="18"/>
                <w:lang w:val="sv-SE" w:eastAsia="sv-SE"/>
              </w:rPr>
              <w:t xml:space="preserve">exposures) </w:t>
            </w:r>
            <w:r w:rsidR="00B21FA1">
              <w:rPr>
                <w:rFonts w:eastAsia="Calibri"/>
                <w:color w:val="000000"/>
                <w:sz w:val="18"/>
                <w:szCs w:val="18"/>
                <w:lang w:val="sv-SE" w:eastAsia="sv-SE"/>
              </w:rPr>
              <w:t>in order to reproduce the reality of use along a day of wearing a cloth.</w:t>
            </w:r>
          </w:p>
          <w:p w14:paraId="7DBA099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50EF21F"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 tick that walked these 3 cm and went on the mouse into the treated area or that crawls into the treated area but immediately turns back or falls off was reported as "repelled".</w:t>
            </w:r>
          </w:p>
        </w:tc>
        <w:tc>
          <w:tcPr>
            <w:tcW w:w="664" w:type="pct"/>
            <w:shd w:val="clear" w:color="auto" w:fill="FFFFFF" w:themeFill="background1"/>
          </w:tcPr>
          <w:p w14:paraId="096B6A4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 xml:space="preserve">For all fabrics after 0, 3, and 7 days of fabric storage post-treatment, the test item has proven a protection over a period of 6.0 hours against the adults and the nymphs of the tick </w:t>
            </w:r>
            <w:r w:rsidRPr="00762A41">
              <w:rPr>
                <w:rFonts w:eastAsia="Calibri"/>
                <w:color w:val="000000"/>
                <w:sz w:val="18"/>
                <w:szCs w:val="18"/>
                <w:lang w:val="sv-SE" w:eastAsia="sv-SE"/>
              </w:rPr>
              <w:t>Ixodes ricinus</w:t>
            </w:r>
            <w:r w:rsidRPr="00D76FD4">
              <w:rPr>
                <w:rFonts w:eastAsia="Calibri"/>
                <w:color w:val="000000"/>
                <w:sz w:val="18"/>
                <w:szCs w:val="18"/>
                <w:lang w:val="sv-SE" w:eastAsia="sv-SE"/>
              </w:rPr>
              <w:t>.</w:t>
            </w:r>
          </w:p>
          <w:p w14:paraId="78D9DA0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tc>
        <w:tc>
          <w:tcPr>
            <w:tcW w:w="491" w:type="pct"/>
            <w:shd w:val="clear" w:color="auto" w:fill="FFFFFF" w:themeFill="background1"/>
          </w:tcPr>
          <w:p w14:paraId="588EE28A"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Serrano, 2019</w:t>
            </w:r>
          </w:p>
          <w:p w14:paraId="7C959C6C"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29EE8B4" w14:textId="63AA767C"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RI=2</w:t>
            </w:r>
          </w:p>
          <w:p w14:paraId="7551F27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3CFBE75"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Report 2437-tick/0319</w:t>
            </w:r>
          </w:p>
        </w:tc>
      </w:tr>
      <w:tr w:rsidR="00D76FD4" w:rsidRPr="00D76FD4" w14:paraId="5C848E6D" w14:textId="77777777" w:rsidTr="008D7EDC">
        <w:tc>
          <w:tcPr>
            <w:tcW w:w="380" w:type="pct"/>
            <w:shd w:val="clear" w:color="auto" w:fill="FFFFFF" w:themeFill="background1"/>
          </w:tcPr>
          <w:p w14:paraId="798A2D30"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Repellent</w:t>
            </w:r>
          </w:p>
        </w:tc>
        <w:tc>
          <w:tcPr>
            <w:tcW w:w="442" w:type="pct"/>
            <w:shd w:val="clear" w:color="auto" w:fill="FFFFFF" w:themeFill="background1"/>
          </w:tcPr>
          <w:p w14:paraId="44F471E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fabric (clothes)</w:t>
            </w:r>
          </w:p>
          <w:p w14:paraId="70C2F200"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1CADB9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tc>
        <w:tc>
          <w:tcPr>
            <w:tcW w:w="518" w:type="pct"/>
            <w:shd w:val="clear" w:color="auto" w:fill="FFFFFF" w:themeFill="background1"/>
          </w:tcPr>
          <w:p w14:paraId="5E5717C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SPRAY IR3535 20% ANTI-POUX</w:t>
            </w:r>
          </w:p>
          <w:p w14:paraId="4E382B0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5BD76E1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Batch No 20180118L1</w:t>
            </w:r>
          </w:p>
        </w:tc>
        <w:tc>
          <w:tcPr>
            <w:tcW w:w="658" w:type="pct"/>
            <w:shd w:val="clear" w:color="auto" w:fill="FFFFFF" w:themeFill="background1"/>
          </w:tcPr>
          <w:p w14:paraId="72A6DA7E"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Ixodes ricinus</w:t>
            </w:r>
          </w:p>
          <w:p w14:paraId="0618FCD4"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7A7F79C"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 xml:space="preserve">5 female adults per replicates </w:t>
            </w:r>
          </w:p>
          <w:p w14:paraId="51D2BDB0"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 xml:space="preserve">5 nymphs per replicates </w:t>
            </w:r>
          </w:p>
          <w:p w14:paraId="1CC3F49D"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248BDF30"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10 replicates per development stage</w:t>
            </w:r>
          </w:p>
          <w:p w14:paraId="24FDF81A"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tc>
        <w:tc>
          <w:tcPr>
            <w:tcW w:w="518" w:type="pct"/>
            <w:shd w:val="clear" w:color="auto" w:fill="FFFFFF" w:themeFill="background1"/>
          </w:tcPr>
          <w:p w14:paraId="3E23B1BF"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Derivated from EPA Guidance OPPTS 810.3700 (2010)</w:t>
            </w:r>
          </w:p>
          <w:p w14:paraId="7A66BDF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52933EF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Temperature: 25°C ± 2°C, </w:t>
            </w:r>
          </w:p>
          <w:p w14:paraId="75E38270"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Relative humidity: 65% ± 5%</w:t>
            </w:r>
          </w:p>
        </w:tc>
        <w:tc>
          <w:tcPr>
            <w:tcW w:w="1329" w:type="pct"/>
            <w:shd w:val="clear" w:color="auto" w:fill="FFFFFF" w:themeFill="background1"/>
          </w:tcPr>
          <w:p w14:paraId="340FF46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Laboratory choice test with 10 mice (</w:t>
            </w:r>
            <w:r w:rsidRPr="00762A41">
              <w:rPr>
                <w:rFonts w:eastAsia="Calibri"/>
                <w:color w:val="000000"/>
                <w:sz w:val="18"/>
                <w:szCs w:val="18"/>
                <w:lang w:val="sv-SE" w:eastAsia="sv-SE"/>
              </w:rPr>
              <w:t>Mus musculus</w:t>
            </w:r>
            <w:r w:rsidRPr="00D76FD4">
              <w:rPr>
                <w:rFonts w:eastAsia="Calibri"/>
                <w:color w:val="000000"/>
                <w:sz w:val="18"/>
                <w:szCs w:val="18"/>
                <w:lang w:val="sv-SE" w:eastAsia="sv-SE"/>
              </w:rPr>
              <w:t>) per condition.</w:t>
            </w:r>
          </w:p>
          <w:p w14:paraId="6320EF9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19510B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rate:</w:t>
            </w:r>
          </w:p>
          <w:p w14:paraId="4EAFC6B3" w14:textId="77777777" w:rsidR="00D76FD4" w:rsidRPr="00D76FD4" w:rsidRDefault="00D76FD4" w:rsidP="00762A41">
            <w:pPr>
              <w:numPr>
                <w:ilvl w:val="0"/>
                <w:numId w:val="37"/>
              </w:numPr>
              <w:shd w:val="clear" w:color="auto" w:fill="FFFFFF" w:themeFill="background1"/>
              <w:spacing w:before="0" w:after="0" w:line="260" w:lineRule="atLeast"/>
              <w:contextualSpacing/>
              <w:jc w:val="both"/>
              <w:rPr>
                <w:rFonts w:eastAsia="Calibri"/>
                <w:color w:val="000000"/>
                <w:sz w:val="18"/>
                <w:szCs w:val="18"/>
                <w:lang w:val="sv-SE" w:eastAsia="sv-SE"/>
              </w:rPr>
            </w:pPr>
            <w:r w:rsidRPr="00D76FD4">
              <w:rPr>
                <w:rFonts w:eastAsia="Calibri"/>
                <w:color w:val="000000"/>
                <w:sz w:val="18"/>
                <w:szCs w:val="18"/>
                <w:lang w:val="sv-SE" w:eastAsia="sv-SE"/>
              </w:rPr>
              <w:t>8.5 g.m</w:t>
            </w:r>
            <w:r w:rsidRPr="00762A41">
              <w:rPr>
                <w:rFonts w:eastAsia="Calibri"/>
                <w:color w:val="000000"/>
                <w:sz w:val="18"/>
                <w:szCs w:val="18"/>
                <w:lang w:val="sv-SE" w:eastAsia="sv-SE"/>
              </w:rPr>
              <w:t>-2</w:t>
            </w:r>
            <w:r w:rsidRPr="00D76FD4">
              <w:rPr>
                <w:rFonts w:eastAsia="Calibri"/>
                <w:color w:val="000000"/>
                <w:sz w:val="18"/>
                <w:szCs w:val="18"/>
                <w:lang w:val="sv-SE" w:eastAsia="sv-SE"/>
              </w:rPr>
              <w:t xml:space="preserve"> (after 10 and 14 days of storage)</w:t>
            </w:r>
          </w:p>
          <w:p w14:paraId="4866A907" w14:textId="77777777" w:rsidR="00D76FD4" w:rsidRPr="00D76FD4" w:rsidRDefault="00D76FD4" w:rsidP="00762A41">
            <w:pPr>
              <w:numPr>
                <w:ilvl w:val="0"/>
                <w:numId w:val="37"/>
              </w:numPr>
              <w:shd w:val="clear" w:color="auto" w:fill="FFFFFF" w:themeFill="background1"/>
              <w:spacing w:before="0" w:after="0" w:line="260" w:lineRule="atLeast"/>
              <w:contextualSpacing/>
              <w:jc w:val="both"/>
              <w:rPr>
                <w:rFonts w:eastAsia="Calibri"/>
                <w:color w:val="000000"/>
                <w:sz w:val="18"/>
                <w:szCs w:val="18"/>
                <w:lang w:val="sv-SE" w:eastAsia="sv-SE"/>
              </w:rPr>
            </w:pPr>
            <w:r w:rsidRPr="00D76FD4">
              <w:rPr>
                <w:rFonts w:eastAsia="Calibri"/>
                <w:color w:val="000000"/>
                <w:sz w:val="18"/>
                <w:szCs w:val="18"/>
                <w:lang w:val="sv-SE" w:eastAsia="sv-SE"/>
              </w:rPr>
              <w:t>10 g.m</w:t>
            </w:r>
            <w:r w:rsidRPr="00762A41">
              <w:rPr>
                <w:rFonts w:eastAsia="Calibri"/>
                <w:color w:val="000000"/>
                <w:sz w:val="18"/>
                <w:szCs w:val="18"/>
                <w:lang w:val="sv-SE" w:eastAsia="sv-SE"/>
              </w:rPr>
              <w:t xml:space="preserve">-2  </w:t>
            </w:r>
            <w:r w:rsidRPr="00D76FD4">
              <w:rPr>
                <w:rFonts w:eastAsia="Calibri"/>
                <w:color w:val="000000"/>
                <w:sz w:val="18"/>
                <w:szCs w:val="18"/>
                <w:lang w:val="sv-SE" w:eastAsia="sv-SE"/>
              </w:rPr>
              <w:t>(after 14 and 30 days of storage)</w:t>
            </w:r>
          </w:p>
          <w:p w14:paraId="256F5B5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C1004B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Application on two types of fabric: cotton (density: 75 g/m</w:t>
            </w:r>
            <w:r w:rsidRPr="00762A41">
              <w:rPr>
                <w:rFonts w:eastAsia="Calibri"/>
                <w:color w:val="000000"/>
                <w:sz w:val="18"/>
                <w:szCs w:val="18"/>
                <w:lang w:val="sv-SE" w:eastAsia="sv-SE"/>
              </w:rPr>
              <w:t>2</w:t>
            </w:r>
            <w:r w:rsidRPr="00D76FD4">
              <w:rPr>
                <w:rFonts w:eastAsia="Calibri"/>
                <w:color w:val="000000"/>
                <w:sz w:val="18"/>
                <w:szCs w:val="18"/>
                <w:lang w:val="sv-SE" w:eastAsia="sv-SE"/>
              </w:rPr>
              <w:t>) and polyester (density: 130 g/m</w:t>
            </w:r>
            <w:r w:rsidRPr="00762A41">
              <w:rPr>
                <w:rFonts w:eastAsia="Calibri"/>
                <w:color w:val="000000"/>
                <w:sz w:val="18"/>
                <w:szCs w:val="18"/>
                <w:lang w:val="sv-SE" w:eastAsia="sv-SE"/>
              </w:rPr>
              <w:t>2</w:t>
            </w:r>
            <w:r w:rsidRPr="00D76FD4">
              <w:rPr>
                <w:rFonts w:eastAsia="Calibri"/>
                <w:color w:val="000000"/>
                <w:sz w:val="18"/>
                <w:szCs w:val="18"/>
                <w:lang w:val="sv-SE" w:eastAsia="sv-SE"/>
              </w:rPr>
              <w:t>).</w:t>
            </w:r>
            <w:r w:rsidRPr="00762A41">
              <w:rPr>
                <w:rFonts w:eastAsia="Calibri"/>
                <w:color w:val="000000"/>
                <w:sz w:val="18"/>
                <w:szCs w:val="18"/>
                <w:lang w:val="sv-SE" w:eastAsia="sv-SE"/>
              </w:rPr>
              <w:t xml:space="preserve"> </w:t>
            </w:r>
          </w:p>
          <w:p w14:paraId="4D92318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C82FFB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The mice are maintained inside a net cage with their head and eyes protected from the bites. The fabric sleeves are tightly twisted around the body of the mice.</w:t>
            </w:r>
          </w:p>
          <w:p w14:paraId="4898794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C7261C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Ticks placed on an untreated zone 3 cm away from the treated mouse.</w:t>
            </w:r>
          </w:p>
          <w:p w14:paraId="6B1EE5B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B5F7B1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Records of the number of ticks crossing the separating line between the untreated area and the treated part during 5 minutes (exposure time).</w:t>
            </w:r>
          </w:p>
          <w:p w14:paraId="3901101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8D254A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 tick that walked these 3 cm and went on the mouse into the treated area or that crawls into the treated area but immediately turns back or falls off was reported as "repelled".</w:t>
            </w:r>
          </w:p>
        </w:tc>
        <w:tc>
          <w:tcPr>
            <w:tcW w:w="664" w:type="pct"/>
            <w:shd w:val="clear" w:color="auto" w:fill="FFFFFF" w:themeFill="background1"/>
          </w:tcPr>
          <w:p w14:paraId="3806B43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This study has not been used to derive a CPT against ticks when the product is applied on fabric as only one observation has been carried out.</w:t>
            </w:r>
          </w:p>
        </w:tc>
        <w:tc>
          <w:tcPr>
            <w:tcW w:w="491" w:type="pct"/>
            <w:shd w:val="clear" w:color="auto" w:fill="FFFFFF" w:themeFill="background1"/>
          </w:tcPr>
          <w:p w14:paraId="743D175E"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Serrano, 2018</w:t>
            </w:r>
          </w:p>
          <w:p w14:paraId="66B66C7A"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F6C83EB"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RI=3</w:t>
            </w:r>
          </w:p>
          <w:p w14:paraId="010DDB64"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(supportive data)</w:t>
            </w:r>
          </w:p>
          <w:p w14:paraId="0BA6391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2E9C05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Report 2302-tick/0118</w:t>
            </w:r>
          </w:p>
        </w:tc>
      </w:tr>
      <w:tr w:rsidR="00D76FD4" w:rsidRPr="00D76FD4" w14:paraId="2F557C20" w14:textId="77777777" w:rsidTr="008D7EDC">
        <w:tc>
          <w:tcPr>
            <w:tcW w:w="380" w:type="pct"/>
            <w:shd w:val="clear" w:color="auto" w:fill="FFFFFF" w:themeFill="background1"/>
          </w:tcPr>
          <w:p w14:paraId="6458D25D"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Repellent</w:t>
            </w:r>
          </w:p>
        </w:tc>
        <w:tc>
          <w:tcPr>
            <w:tcW w:w="442" w:type="pct"/>
            <w:shd w:val="clear" w:color="auto" w:fill="FFFFFF" w:themeFill="background1"/>
          </w:tcPr>
          <w:p w14:paraId="3E8B1C0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Skin application</w:t>
            </w:r>
          </w:p>
        </w:tc>
        <w:tc>
          <w:tcPr>
            <w:tcW w:w="518" w:type="pct"/>
            <w:shd w:val="clear" w:color="auto" w:fill="FFFFFF" w:themeFill="background1"/>
          </w:tcPr>
          <w:p w14:paraId="79BEA44F"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SPRAY IR3535 20% ANTI-POUX</w:t>
            </w:r>
          </w:p>
          <w:p w14:paraId="21B26941"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547CB48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Batch No 20180118L1</w:t>
            </w:r>
          </w:p>
        </w:tc>
        <w:tc>
          <w:tcPr>
            <w:tcW w:w="658" w:type="pct"/>
            <w:shd w:val="clear" w:color="auto" w:fill="FFFFFF" w:themeFill="background1"/>
          </w:tcPr>
          <w:p w14:paraId="4F25CD85"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Ixodes ricinus</w:t>
            </w:r>
          </w:p>
          <w:p w14:paraId="784A4F8A"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55DA545F"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 xml:space="preserve">5 female adults per replicates </w:t>
            </w:r>
          </w:p>
          <w:p w14:paraId="33E3A870"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 xml:space="preserve">5 nymphs per replicates </w:t>
            </w:r>
          </w:p>
          <w:p w14:paraId="3FC1A80E"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358F2FD"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10 replicates per development stage</w:t>
            </w:r>
          </w:p>
          <w:p w14:paraId="066E757B"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tc>
        <w:tc>
          <w:tcPr>
            <w:tcW w:w="518" w:type="pct"/>
            <w:shd w:val="clear" w:color="auto" w:fill="FFFFFF" w:themeFill="background1"/>
          </w:tcPr>
          <w:p w14:paraId="569DB18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Derivated from EPA Guideline OPPTS 810.3700 (2010)</w:t>
            </w:r>
          </w:p>
          <w:p w14:paraId="7AB114B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675581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xml:space="preserve">Temperature: 25°C ± 2°C, </w:t>
            </w:r>
          </w:p>
          <w:p w14:paraId="0EC09A6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Relative humidity: 65% ± 5%</w:t>
            </w:r>
          </w:p>
        </w:tc>
        <w:tc>
          <w:tcPr>
            <w:tcW w:w="1329" w:type="pct"/>
            <w:shd w:val="clear" w:color="auto" w:fill="FFFFFF" w:themeFill="background1"/>
          </w:tcPr>
          <w:p w14:paraId="0DF068F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Laboratory choice tests with 10 mice (</w:t>
            </w:r>
            <w:r w:rsidRPr="00762A41">
              <w:rPr>
                <w:rFonts w:eastAsia="Calibri"/>
                <w:color w:val="000000"/>
                <w:sz w:val="18"/>
                <w:szCs w:val="18"/>
                <w:lang w:val="sv-SE" w:eastAsia="sv-SE"/>
              </w:rPr>
              <w:t>Mus musculus</w:t>
            </w:r>
            <w:r w:rsidRPr="00D76FD4">
              <w:rPr>
                <w:rFonts w:eastAsia="Calibri"/>
                <w:color w:val="000000"/>
                <w:sz w:val="18"/>
                <w:szCs w:val="18"/>
                <w:lang w:val="sv-SE" w:eastAsia="sv-SE"/>
              </w:rPr>
              <w:t>) per condition.</w:t>
            </w:r>
          </w:p>
          <w:p w14:paraId="5AF795C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7391EFF"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rate: 6 g.m</w:t>
            </w:r>
            <w:r w:rsidRPr="00762A41">
              <w:rPr>
                <w:rFonts w:eastAsia="Calibri"/>
                <w:color w:val="000000"/>
                <w:sz w:val="18"/>
                <w:szCs w:val="18"/>
                <w:lang w:val="sv-SE" w:eastAsia="sv-SE"/>
              </w:rPr>
              <w:t>-2</w:t>
            </w:r>
          </w:p>
          <w:p w14:paraId="15670F9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2DCD6CAB"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The mice are maintained inside a net cage with their head and eyes protected from the bites.</w:t>
            </w:r>
          </w:p>
          <w:p w14:paraId="3CCEB60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12A4FE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Ticks placed on an untreated zone 3 cm away from the treated mouse (fur).</w:t>
            </w:r>
          </w:p>
          <w:p w14:paraId="2F4872E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96D499C" w14:textId="15A93D25"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Fresh ticks were exposed to the treated area at regular intervals for the duration of the test (or until inefficacy) and the number</w:t>
            </w:r>
            <w:r w:rsidRPr="00762A41">
              <w:rPr>
                <w:rFonts w:eastAsia="Calibri"/>
                <w:color w:val="000000"/>
                <w:sz w:val="18"/>
                <w:szCs w:val="18"/>
                <w:lang w:val="sv-SE" w:eastAsia="sv-SE"/>
              </w:rPr>
              <w:t xml:space="preserve"> </w:t>
            </w:r>
            <w:r w:rsidRPr="00D76FD4">
              <w:rPr>
                <w:rFonts w:eastAsia="Calibri"/>
                <w:color w:val="000000"/>
                <w:sz w:val="18"/>
                <w:szCs w:val="18"/>
                <w:lang w:val="sv-SE" w:eastAsia="sv-SE"/>
              </w:rPr>
              <w:t xml:space="preserve">of ticks crossing the separating line between the untreated area and the treated </w:t>
            </w:r>
            <w:r w:rsidR="00C13E0D">
              <w:rPr>
                <w:rFonts w:eastAsia="Calibri"/>
                <w:color w:val="000000"/>
                <w:sz w:val="18"/>
                <w:szCs w:val="18"/>
                <w:lang w:val="sv-SE" w:eastAsia="sv-SE"/>
              </w:rPr>
              <w:t>mouse</w:t>
            </w:r>
            <w:r w:rsidRPr="00D76FD4">
              <w:rPr>
                <w:rFonts w:eastAsia="Calibri"/>
                <w:color w:val="000000"/>
                <w:sz w:val="18"/>
                <w:szCs w:val="18"/>
                <w:lang w:val="sv-SE" w:eastAsia="sv-SE"/>
              </w:rPr>
              <w:t xml:space="preserve"> </w:t>
            </w:r>
            <w:r w:rsidR="00C13E0D">
              <w:rPr>
                <w:rFonts w:eastAsia="Calibri"/>
                <w:color w:val="000000"/>
                <w:sz w:val="18"/>
                <w:szCs w:val="18"/>
                <w:lang w:val="sv-SE" w:eastAsia="sv-SE"/>
              </w:rPr>
              <w:t xml:space="preserve">(fur) </w:t>
            </w:r>
            <w:r w:rsidRPr="00D76FD4">
              <w:rPr>
                <w:rFonts w:eastAsia="Calibri"/>
                <w:color w:val="000000"/>
                <w:sz w:val="18"/>
                <w:szCs w:val="18"/>
                <w:lang w:val="sv-SE" w:eastAsia="sv-SE"/>
              </w:rPr>
              <w:t>during 5 minutes (exposure time) have been recorded.</w:t>
            </w:r>
          </w:p>
          <w:p w14:paraId="40ADADE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1F554A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 tick that walked these 3 cm and went on the mouse into the treated area or that crawls into the treated area but immediately turns back or falls off was reported as "repelled".</w:t>
            </w:r>
          </w:p>
        </w:tc>
        <w:tc>
          <w:tcPr>
            <w:tcW w:w="664" w:type="pct"/>
            <w:shd w:val="clear" w:color="auto" w:fill="FFFFFF" w:themeFill="background1"/>
          </w:tcPr>
          <w:p w14:paraId="1BBD6D6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After application of the product of skin, complete protection time was 4.5 hours against adults and 4.0 hours against nymphs.</w:t>
            </w:r>
          </w:p>
          <w:p w14:paraId="4D1BB182"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A75A9EF"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 xml:space="preserve">Based on the less sensitive development stage, </w:t>
            </w:r>
            <w:r w:rsidRPr="00762A41">
              <w:rPr>
                <w:rFonts w:eastAsia="Calibri"/>
                <w:color w:val="000000"/>
                <w:sz w:val="18"/>
                <w:szCs w:val="18"/>
                <w:lang w:val="sv-SE" w:eastAsia="sv-SE"/>
              </w:rPr>
              <w:lastRenderedPageBreak/>
              <w:t>the complete protection duration of the product is 4 hours when the product is applied on skin.</w:t>
            </w:r>
          </w:p>
        </w:tc>
        <w:tc>
          <w:tcPr>
            <w:tcW w:w="491" w:type="pct"/>
            <w:shd w:val="clear" w:color="auto" w:fill="FFFFFF" w:themeFill="background1"/>
          </w:tcPr>
          <w:p w14:paraId="4F050A45"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lastRenderedPageBreak/>
              <w:t>Serrano, 2018</w:t>
            </w:r>
          </w:p>
          <w:p w14:paraId="0F67C7BF"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B66933A" w14:textId="6F9F1B45"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RI=2</w:t>
            </w:r>
          </w:p>
          <w:p w14:paraId="492ACB5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9C6EBEC"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Report 2302- ticks/0118R</w:t>
            </w:r>
          </w:p>
        </w:tc>
      </w:tr>
      <w:tr w:rsidR="00D76FD4" w:rsidRPr="00D56C04" w14:paraId="302DEEF7" w14:textId="77777777" w:rsidTr="008D7EDC">
        <w:tc>
          <w:tcPr>
            <w:tcW w:w="380" w:type="pct"/>
            <w:shd w:val="clear" w:color="auto" w:fill="FFFFFF" w:themeFill="background1"/>
          </w:tcPr>
          <w:p w14:paraId="7D87A4B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Repellent</w:t>
            </w:r>
          </w:p>
        </w:tc>
        <w:tc>
          <w:tcPr>
            <w:tcW w:w="442" w:type="pct"/>
            <w:shd w:val="clear" w:color="auto" w:fill="FFFFFF" w:themeFill="background1"/>
          </w:tcPr>
          <w:p w14:paraId="57C749E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fabric (bed linen)</w:t>
            </w:r>
          </w:p>
        </w:tc>
        <w:tc>
          <w:tcPr>
            <w:tcW w:w="518" w:type="pct"/>
            <w:shd w:val="clear" w:color="auto" w:fill="FFFFFF" w:themeFill="background1"/>
          </w:tcPr>
          <w:p w14:paraId="136A6CE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SPRAY IR3535 20% ANTI-POUX</w:t>
            </w:r>
          </w:p>
          <w:p w14:paraId="74E0687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0140D1F"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Batch No 20180118L1</w:t>
            </w:r>
          </w:p>
        </w:tc>
        <w:tc>
          <w:tcPr>
            <w:tcW w:w="658" w:type="pct"/>
            <w:shd w:val="clear" w:color="auto" w:fill="FFFFFF" w:themeFill="background1"/>
          </w:tcPr>
          <w:p w14:paraId="7C48362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House Dust mites</w:t>
            </w:r>
          </w:p>
          <w:p w14:paraId="7952527A"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6330A21" w14:textId="2226C022"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Dermatophago</w:t>
            </w:r>
            <w:r w:rsidR="004E5812" w:rsidRPr="00762A41">
              <w:rPr>
                <w:rFonts w:eastAsia="Calibri"/>
                <w:color w:val="000000"/>
                <w:sz w:val="18"/>
                <w:szCs w:val="18"/>
                <w:lang w:val="sv-SE" w:eastAsia="sv-SE"/>
              </w:rPr>
              <w:t>ï</w:t>
            </w:r>
            <w:r w:rsidRPr="00762A41">
              <w:rPr>
                <w:rFonts w:eastAsia="Calibri"/>
                <w:color w:val="000000"/>
                <w:sz w:val="18"/>
                <w:szCs w:val="18"/>
                <w:lang w:val="sv-SE" w:eastAsia="sv-SE"/>
              </w:rPr>
              <w:t>des pteronyssinus</w:t>
            </w:r>
          </w:p>
          <w:p w14:paraId="4F187EE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9C9923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1000 dust mites +/- 10 % per replicate</w:t>
            </w:r>
          </w:p>
          <w:p w14:paraId="44FA9B66"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5D286F0C"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338F4C6"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tc>
        <w:tc>
          <w:tcPr>
            <w:tcW w:w="518" w:type="pct"/>
            <w:shd w:val="clear" w:color="auto" w:fill="FFFFFF" w:themeFill="background1"/>
          </w:tcPr>
          <w:p w14:paraId="6B1352D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No guideline available for replellency test against dust mites (application on fabric), in-house method according to the principle of choice test described in the ECHA Guidance on the Biocidal Products Regulation</w:t>
            </w:r>
            <w:r w:rsidRPr="00D76FD4" w:rsidDel="00A37D7A">
              <w:rPr>
                <w:rFonts w:eastAsia="Calibri"/>
                <w:color w:val="000000"/>
                <w:sz w:val="18"/>
                <w:szCs w:val="18"/>
                <w:lang w:val="sv-SE" w:eastAsia="sv-SE"/>
              </w:rPr>
              <w:t xml:space="preserve"> </w:t>
            </w:r>
            <w:r w:rsidRPr="00D76FD4">
              <w:rPr>
                <w:rFonts w:eastAsia="Calibri"/>
                <w:color w:val="000000"/>
                <w:sz w:val="18"/>
                <w:szCs w:val="18"/>
                <w:lang w:val="sv-SE" w:eastAsia="sv-SE"/>
              </w:rPr>
              <w:t xml:space="preserve"> Vol.II, part B+C (2018)</w:t>
            </w:r>
          </w:p>
        </w:tc>
        <w:tc>
          <w:tcPr>
            <w:tcW w:w="1329" w:type="pct"/>
            <w:shd w:val="clear" w:color="auto" w:fill="FFFFFF" w:themeFill="background1"/>
          </w:tcPr>
          <w:p w14:paraId="5F5D7571"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Laboratory choice test</w:t>
            </w:r>
          </w:p>
          <w:p w14:paraId="1F6F5595"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D32ED5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The testing apparatus was an arena of 0.5 m² (1 m long x 0.5 m wide) separated in 2 equal areas of 0.25 m², covered by a cotton, treated or not with the product. The treated side contains a source food.</w:t>
            </w:r>
          </w:p>
          <w:p w14:paraId="75C76BD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7E80ACA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1000 mites were released in the centre of the untreated half and all was left in incubation during 24 hours.</w:t>
            </w:r>
          </w:p>
          <w:p w14:paraId="296D9B6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CEF928F"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rate: 8.5 g.m</w:t>
            </w:r>
            <w:r w:rsidRPr="00762A41">
              <w:rPr>
                <w:rFonts w:eastAsia="Calibri"/>
                <w:color w:val="000000"/>
                <w:sz w:val="18"/>
                <w:szCs w:val="18"/>
                <w:lang w:val="sv-SE" w:eastAsia="sv-SE"/>
              </w:rPr>
              <w:t>-2</w:t>
            </w:r>
          </w:p>
          <w:p w14:paraId="3DD6777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4 replicates</w:t>
            </w:r>
          </w:p>
          <w:p w14:paraId="67B2632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4192B53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Records of the number of mites on the treated half and on the untreated half at 24 hours post-treatment.</w:t>
            </w:r>
          </w:p>
        </w:tc>
        <w:tc>
          <w:tcPr>
            <w:tcW w:w="664" w:type="pct"/>
            <w:shd w:val="clear" w:color="auto" w:fill="FFFFFF" w:themeFill="background1"/>
          </w:tcPr>
          <w:p w14:paraId="343F0E5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Trials without any treatment demonstrate the palatability of the source food.</w:t>
            </w:r>
          </w:p>
          <w:p w14:paraId="7215259F"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05129B1"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At 8.5 g.m</w:t>
            </w:r>
            <w:r w:rsidRPr="00762A41">
              <w:rPr>
                <w:rFonts w:eastAsia="Calibri"/>
                <w:color w:val="000000"/>
                <w:sz w:val="18"/>
                <w:szCs w:val="18"/>
                <w:lang w:val="sv-SE" w:eastAsia="sv-SE"/>
              </w:rPr>
              <w:t>-2</w:t>
            </w:r>
            <w:r w:rsidRPr="00D76FD4">
              <w:rPr>
                <w:rFonts w:eastAsia="Calibri"/>
                <w:color w:val="000000"/>
                <w:sz w:val="18"/>
                <w:szCs w:val="18"/>
                <w:lang w:val="sv-SE" w:eastAsia="sv-SE"/>
              </w:rPr>
              <w:t>, 90.6% of repellency 24 hours after the product application on cotton fabric.</w:t>
            </w:r>
          </w:p>
          <w:p w14:paraId="34B9388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tc>
        <w:tc>
          <w:tcPr>
            <w:tcW w:w="491" w:type="pct"/>
            <w:shd w:val="clear" w:color="auto" w:fill="FFFFFF" w:themeFill="background1"/>
          </w:tcPr>
          <w:p w14:paraId="40BB5D7A"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Serrano, 2018</w:t>
            </w:r>
          </w:p>
          <w:p w14:paraId="6EFDEC81"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1E67133E"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RI=1</w:t>
            </w:r>
          </w:p>
          <w:p w14:paraId="7359E71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5B037F0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Report 2302-IR353520%-dustmites/0118</w:t>
            </w:r>
          </w:p>
        </w:tc>
      </w:tr>
      <w:tr w:rsidR="00D76FD4" w:rsidRPr="00D76FD4" w14:paraId="4DBF526C" w14:textId="77777777" w:rsidTr="008D7EDC">
        <w:tc>
          <w:tcPr>
            <w:tcW w:w="380" w:type="pct"/>
            <w:shd w:val="clear" w:color="auto" w:fill="FFFFFF" w:themeFill="background1"/>
          </w:tcPr>
          <w:p w14:paraId="6D353A04"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Repellent</w:t>
            </w:r>
          </w:p>
        </w:tc>
        <w:tc>
          <w:tcPr>
            <w:tcW w:w="442" w:type="pct"/>
            <w:shd w:val="clear" w:color="auto" w:fill="FFFFFF" w:themeFill="background1"/>
          </w:tcPr>
          <w:p w14:paraId="2DFFA5D0"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on fabric (bed linen)</w:t>
            </w:r>
          </w:p>
        </w:tc>
        <w:tc>
          <w:tcPr>
            <w:tcW w:w="518" w:type="pct"/>
            <w:shd w:val="clear" w:color="auto" w:fill="FFFFFF" w:themeFill="background1"/>
          </w:tcPr>
          <w:p w14:paraId="4388E7DE"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SPRAY IR3535 20% ANTI-POUX</w:t>
            </w:r>
          </w:p>
          <w:p w14:paraId="7633F82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42C4CFF5"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Batch No 20180118L1</w:t>
            </w:r>
          </w:p>
        </w:tc>
        <w:tc>
          <w:tcPr>
            <w:tcW w:w="658" w:type="pct"/>
            <w:shd w:val="clear" w:color="auto" w:fill="FFFFFF" w:themeFill="background1"/>
          </w:tcPr>
          <w:p w14:paraId="136ABC5A"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Wild human head lice</w:t>
            </w:r>
          </w:p>
          <w:p w14:paraId="00C89414"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29E56C67"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lastRenderedPageBreak/>
              <w:t>Pediculus humanus capitis</w:t>
            </w:r>
          </w:p>
        </w:tc>
        <w:tc>
          <w:tcPr>
            <w:tcW w:w="518" w:type="pct"/>
            <w:shd w:val="clear" w:color="auto" w:fill="FFFFFF" w:themeFill="background1"/>
          </w:tcPr>
          <w:p w14:paraId="2DBC5967" w14:textId="77777777" w:rsidR="008A6DF9" w:rsidRDefault="008A6DF9" w:rsidP="00762A41">
            <w:pPr>
              <w:shd w:val="clear" w:color="auto" w:fill="FFFFFF" w:themeFill="background1"/>
              <w:spacing w:before="0" w:after="0" w:line="260" w:lineRule="atLeast"/>
              <w:jc w:val="both"/>
              <w:rPr>
                <w:rFonts w:eastAsia="Calibri"/>
                <w:color w:val="000000"/>
                <w:sz w:val="18"/>
                <w:szCs w:val="18"/>
                <w:lang w:val="sv-SE" w:eastAsia="sv-SE"/>
              </w:rPr>
            </w:pPr>
            <w:r>
              <w:rPr>
                <w:rFonts w:eastAsia="Calibri"/>
                <w:color w:val="000000"/>
                <w:sz w:val="18"/>
                <w:szCs w:val="18"/>
                <w:lang w:val="sv-SE" w:eastAsia="sv-SE"/>
              </w:rPr>
              <w:lastRenderedPageBreak/>
              <w:t>I</w:t>
            </w:r>
            <w:r w:rsidRPr="00D76FD4">
              <w:rPr>
                <w:rFonts w:eastAsia="Calibri"/>
                <w:color w:val="000000"/>
                <w:sz w:val="18"/>
                <w:szCs w:val="18"/>
                <w:lang w:val="sv-SE" w:eastAsia="sv-SE"/>
              </w:rPr>
              <w:t>n-house method</w:t>
            </w:r>
            <w:r>
              <w:rPr>
                <w:rFonts w:eastAsia="Calibri"/>
                <w:color w:val="000000"/>
                <w:sz w:val="18"/>
                <w:szCs w:val="18"/>
                <w:lang w:val="sv-SE" w:eastAsia="sv-SE"/>
              </w:rPr>
              <w:t xml:space="preserve"> </w:t>
            </w:r>
          </w:p>
          <w:p w14:paraId="79F8380F" w14:textId="77777777" w:rsidR="008A6DF9" w:rsidRDefault="008A6DF9" w:rsidP="00762A41">
            <w:pPr>
              <w:shd w:val="clear" w:color="auto" w:fill="FFFFFF" w:themeFill="background1"/>
              <w:spacing w:before="0" w:after="0" w:line="260" w:lineRule="atLeast"/>
              <w:jc w:val="both"/>
              <w:rPr>
                <w:rFonts w:eastAsia="Calibri"/>
                <w:color w:val="000000"/>
                <w:sz w:val="18"/>
                <w:szCs w:val="18"/>
                <w:lang w:val="sv-SE" w:eastAsia="sv-SE"/>
              </w:rPr>
            </w:pPr>
          </w:p>
          <w:p w14:paraId="617C7A8B" w14:textId="3A117F74" w:rsidR="00D76FD4" w:rsidRPr="00762A41" w:rsidRDefault="008A6DF9" w:rsidP="00762A41">
            <w:pPr>
              <w:shd w:val="clear" w:color="auto" w:fill="FFFFFF" w:themeFill="background1"/>
              <w:spacing w:before="0" w:after="0" w:line="260" w:lineRule="atLeast"/>
              <w:jc w:val="both"/>
              <w:rPr>
                <w:rFonts w:eastAsia="Calibri"/>
                <w:color w:val="000000"/>
                <w:sz w:val="18"/>
                <w:szCs w:val="18"/>
                <w:lang w:val="sv-SE" w:eastAsia="sv-SE"/>
              </w:rPr>
            </w:pPr>
            <w:r>
              <w:rPr>
                <w:rFonts w:eastAsia="Calibri"/>
                <w:color w:val="000000"/>
                <w:sz w:val="18"/>
                <w:szCs w:val="18"/>
                <w:lang w:val="sv-SE" w:eastAsia="sv-SE"/>
              </w:rPr>
              <w:lastRenderedPageBreak/>
              <w:t>N</w:t>
            </w:r>
            <w:r w:rsidR="00D76FD4" w:rsidRPr="00D76FD4">
              <w:rPr>
                <w:rFonts w:eastAsia="Calibri"/>
                <w:color w:val="000000"/>
                <w:sz w:val="18"/>
                <w:szCs w:val="18"/>
                <w:lang w:val="sv-SE" w:eastAsia="sv-SE"/>
              </w:rPr>
              <w:t xml:space="preserve">o guideline available for replellency test against head lice. </w:t>
            </w:r>
          </w:p>
        </w:tc>
        <w:tc>
          <w:tcPr>
            <w:tcW w:w="1329" w:type="pct"/>
            <w:shd w:val="clear" w:color="auto" w:fill="FFFFFF" w:themeFill="background1"/>
          </w:tcPr>
          <w:p w14:paraId="7F7604A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Laboratory choice test</w:t>
            </w:r>
          </w:p>
          <w:p w14:paraId="6D9CFD83"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3AB6873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Application on two types of fabric: cotton and polyester.</w:t>
            </w:r>
          </w:p>
          <w:p w14:paraId="076D65B4"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AE36A62"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Application rate: 10 g.m</w:t>
            </w:r>
            <w:r w:rsidRPr="00762A41">
              <w:rPr>
                <w:rFonts w:eastAsia="Calibri"/>
                <w:color w:val="000000"/>
                <w:sz w:val="18"/>
                <w:szCs w:val="18"/>
                <w:lang w:val="sv-SE" w:eastAsia="sv-SE"/>
              </w:rPr>
              <w:t>-2</w:t>
            </w:r>
          </w:p>
          <w:p w14:paraId="5174E9B9"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0D3739EC" w14:textId="77777777" w:rsidR="00D76FD4" w:rsidRPr="00762A41"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762A41">
              <w:rPr>
                <w:rFonts w:eastAsia="Calibri"/>
                <w:color w:val="000000"/>
                <w:sz w:val="18"/>
                <w:szCs w:val="18"/>
                <w:lang w:val="sv-SE" w:eastAsia="sv-SE"/>
              </w:rPr>
              <w:t>Evaluation of the repulsive efficacy of the product at different times (4h, 8h, 24h) after application of the product on the textile materials (disk with a diameter of 1.8 cm) placed in the middle of a target.</w:t>
            </w:r>
          </w:p>
          <w:p w14:paraId="1AB5D2CD"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4C64C190"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At each time, the repulsive activity was measured 15 minutes after placing 11 lice around the treated tissue sample or not. Each test was repeated 5 times.</w:t>
            </w:r>
          </w:p>
          <w:p w14:paraId="506288E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F2AECB8"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Effectiveness criteria (percentage of repellent effect) as follows:</w:t>
            </w:r>
          </w:p>
          <w:p w14:paraId="5CC830C6"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The percentage of lice that are at a distance of more than 6 cm from the target;</w:t>
            </w:r>
          </w:p>
          <w:p w14:paraId="0704055C"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 The percentage of lice that are at a distance of more than 2 cm from the target.</w:t>
            </w:r>
          </w:p>
        </w:tc>
        <w:tc>
          <w:tcPr>
            <w:tcW w:w="664" w:type="pct"/>
            <w:shd w:val="clear" w:color="auto" w:fill="FFFFFF" w:themeFill="background1"/>
          </w:tcPr>
          <w:p w14:paraId="22533233" w14:textId="32916788" w:rsidR="00D76FD4" w:rsidRPr="00D76FD4" w:rsidRDefault="00D76FD4" w:rsidP="00762A41">
            <w:pPr>
              <w:shd w:val="clear" w:color="auto" w:fill="FFFFFF" w:themeFill="background1"/>
              <w:spacing w:before="0" w:after="0"/>
              <w:jc w:val="both"/>
              <w:rPr>
                <w:rFonts w:eastAsia="Calibri"/>
                <w:color w:val="000000"/>
                <w:sz w:val="18"/>
                <w:szCs w:val="18"/>
                <w:lang w:val="sv-SE" w:eastAsia="sv-SE"/>
              </w:rPr>
            </w:pPr>
            <w:r w:rsidRPr="00D76FD4">
              <w:rPr>
                <w:rFonts w:eastAsia="Calibri"/>
                <w:color w:val="000000"/>
                <w:sz w:val="18"/>
                <w:szCs w:val="18"/>
                <w:lang w:val="sv-SE" w:eastAsia="sv-SE"/>
              </w:rPr>
              <w:lastRenderedPageBreak/>
              <w:t xml:space="preserve">The number of lice observed in the untreated textile </w:t>
            </w:r>
            <w:r w:rsidRPr="00D76FD4">
              <w:rPr>
                <w:rFonts w:eastAsia="Calibri"/>
                <w:color w:val="000000"/>
                <w:sz w:val="18"/>
                <w:szCs w:val="18"/>
                <w:lang w:val="sv-SE" w:eastAsia="sv-SE"/>
              </w:rPr>
              <w:lastRenderedPageBreak/>
              <w:t>materials is too low (between 0 and 1 depending on the replicate)</w:t>
            </w:r>
            <w:r w:rsidRPr="00762A41">
              <w:rPr>
                <w:rFonts w:eastAsia="Calibri"/>
                <w:color w:val="000000"/>
                <w:sz w:val="18"/>
                <w:szCs w:val="18"/>
                <w:lang w:val="sv-SE" w:eastAsia="sv-SE"/>
              </w:rPr>
              <w:t xml:space="preserve"> </w:t>
            </w:r>
            <w:r w:rsidRPr="00D76FD4">
              <w:rPr>
                <w:rFonts w:eastAsia="Calibri"/>
                <w:color w:val="000000"/>
                <w:sz w:val="18"/>
                <w:szCs w:val="18"/>
                <w:lang w:val="sv-SE" w:eastAsia="sv-SE"/>
              </w:rPr>
              <w:t>to be compared to the number of lice observed in the treated textile materials (0). Moreover, it is not possible to derive a CPT with the method used as only one observation has been carried out.</w:t>
            </w:r>
          </w:p>
          <w:p w14:paraId="6CB99DCD" w14:textId="77777777" w:rsidR="00D76FD4" w:rsidRPr="00D76FD4" w:rsidRDefault="00D76FD4" w:rsidP="00762A41">
            <w:pPr>
              <w:shd w:val="clear" w:color="auto" w:fill="FFFFFF" w:themeFill="background1"/>
              <w:spacing w:before="0" w:after="0"/>
              <w:jc w:val="both"/>
              <w:rPr>
                <w:rFonts w:eastAsia="Calibri"/>
                <w:color w:val="000000"/>
                <w:sz w:val="18"/>
                <w:szCs w:val="18"/>
                <w:lang w:val="sv-SE" w:eastAsia="sv-SE"/>
              </w:rPr>
            </w:pPr>
            <w:r w:rsidRPr="00D76FD4">
              <w:rPr>
                <w:rFonts w:eastAsia="Calibri"/>
                <w:color w:val="000000"/>
                <w:sz w:val="18"/>
                <w:szCs w:val="18"/>
                <w:lang w:val="sv-SE" w:eastAsia="sv-SE"/>
              </w:rPr>
              <w:t>Then this study has not been accepted to support the efficacy by application on fabric against lice.</w:t>
            </w:r>
          </w:p>
          <w:p w14:paraId="27E7A20F" w14:textId="77777777" w:rsidR="00D76FD4" w:rsidRPr="00D76FD4" w:rsidRDefault="00D76FD4" w:rsidP="00762A41">
            <w:pPr>
              <w:shd w:val="clear" w:color="auto" w:fill="FFFFFF" w:themeFill="background1"/>
              <w:spacing w:before="0" w:after="0"/>
              <w:jc w:val="both"/>
              <w:rPr>
                <w:rFonts w:eastAsia="Calibri"/>
                <w:color w:val="000000"/>
                <w:sz w:val="18"/>
                <w:szCs w:val="18"/>
                <w:lang w:val="sv-SE" w:eastAsia="sv-SE"/>
              </w:rPr>
            </w:pPr>
          </w:p>
        </w:tc>
        <w:tc>
          <w:tcPr>
            <w:tcW w:w="491" w:type="pct"/>
            <w:shd w:val="clear" w:color="auto" w:fill="FFFFFF" w:themeFill="background1"/>
          </w:tcPr>
          <w:p w14:paraId="7E9DDF62" w14:textId="3C5DC82F" w:rsidR="00544F2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lastRenderedPageBreak/>
              <w:t xml:space="preserve">Toubaté, 2018 </w:t>
            </w:r>
          </w:p>
          <w:p w14:paraId="74D59A8C" w14:textId="77777777" w:rsidR="00544F24" w:rsidRPr="00762A41" w:rsidRDefault="00544F24" w:rsidP="00762A41">
            <w:pPr>
              <w:shd w:val="clear" w:color="auto" w:fill="FFFFFF" w:themeFill="background1"/>
              <w:spacing w:before="0" w:after="0" w:line="260" w:lineRule="atLeast"/>
              <w:jc w:val="both"/>
              <w:rPr>
                <w:rFonts w:eastAsia="Calibri"/>
                <w:color w:val="000000"/>
                <w:sz w:val="18"/>
                <w:szCs w:val="18"/>
                <w:lang w:val="sv-SE" w:eastAsia="sv-SE"/>
              </w:rPr>
            </w:pPr>
          </w:p>
          <w:p w14:paraId="7C40D22B" w14:textId="7BF26949" w:rsidR="00D76FD4" w:rsidRPr="00D76FD4" w:rsidRDefault="00544F24" w:rsidP="00762A41">
            <w:pPr>
              <w:shd w:val="clear" w:color="auto" w:fill="FFFFFF" w:themeFill="background1"/>
              <w:spacing w:before="0" w:after="0" w:line="260" w:lineRule="atLeast"/>
              <w:jc w:val="both"/>
              <w:rPr>
                <w:rFonts w:eastAsia="Calibri"/>
                <w:color w:val="000000"/>
                <w:sz w:val="18"/>
                <w:szCs w:val="18"/>
                <w:lang w:val="sv-SE" w:eastAsia="sv-SE"/>
              </w:rPr>
            </w:pPr>
            <w:r>
              <w:rPr>
                <w:rFonts w:eastAsia="Calibri"/>
                <w:color w:val="000000"/>
                <w:sz w:val="18"/>
                <w:szCs w:val="18"/>
                <w:lang w:val="sv-SE" w:eastAsia="sv-SE"/>
              </w:rPr>
              <w:lastRenderedPageBreak/>
              <w:t xml:space="preserve">Toubaté, </w:t>
            </w:r>
            <w:r w:rsidR="00D76FD4" w:rsidRPr="00F4760B">
              <w:rPr>
                <w:rFonts w:eastAsia="Calibri"/>
                <w:color w:val="000000"/>
                <w:sz w:val="18"/>
                <w:szCs w:val="18"/>
                <w:lang w:val="sv-SE" w:eastAsia="sv-SE"/>
              </w:rPr>
              <w:t xml:space="preserve">2019 </w:t>
            </w:r>
            <w:r w:rsidRPr="00F4760B">
              <w:rPr>
                <w:rFonts w:eastAsia="Calibri"/>
                <w:color w:val="000000"/>
                <w:sz w:val="18"/>
                <w:szCs w:val="18"/>
                <w:lang w:val="sv-SE" w:eastAsia="sv-SE"/>
              </w:rPr>
              <w:t>(additional data)</w:t>
            </w:r>
            <w:r w:rsidR="00D76FD4" w:rsidRPr="00762A41">
              <w:rPr>
                <w:rFonts w:eastAsia="Calibri"/>
                <w:color w:val="000000"/>
                <w:sz w:val="18"/>
                <w:szCs w:val="18"/>
                <w:lang w:val="sv-SE" w:eastAsia="sv-SE"/>
              </w:rPr>
              <w:t xml:space="preserve"> </w:t>
            </w:r>
          </w:p>
          <w:p w14:paraId="5DCBA8B7" w14:textId="77777777"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p>
          <w:p w14:paraId="6914604D" w14:textId="385DCBA8" w:rsidR="00D76FD4" w:rsidRPr="00D76FD4" w:rsidRDefault="00D76FD4" w:rsidP="00762A41">
            <w:pPr>
              <w:shd w:val="clear" w:color="auto" w:fill="FFFFFF" w:themeFill="background1"/>
              <w:spacing w:before="0" w:after="0" w:line="260" w:lineRule="atLeast"/>
              <w:jc w:val="both"/>
              <w:rPr>
                <w:rFonts w:eastAsia="Calibri"/>
                <w:color w:val="000000"/>
                <w:sz w:val="18"/>
                <w:szCs w:val="18"/>
                <w:lang w:val="sv-SE" w:eastAsia="sv-SE"/>
              </w:rPr>
            </w:pPr>
            <w:r w:rsidRPr="00D76FD4">
              <w:rPr>
                <w:rFonts w:eastAsia="Calibri"/>
                <w:color w:val="000000"/>
                <w:sz w:val="18"/>
                <w:szCs w:val="18"/>
                <w:lang w:val="sv-SE" w:eastAsia="sv-SE"/>
              </w:rPr>
              <w:t>RI=</w:t>
            </w:r>
            <w:r w:rsidRPr="00654B51">
              <w:rPr>
                <w:rFonts w:eastAsia="Calibri"/>
                <w:color w:val="000000"/>
                <w:sz w:val="18"/>
                <w:szCs w:val="18"/>
                <w:lang w:val="sv-SE" w:eastAsia="sv-SE"/>
              </w:rPr>
              <w:t>4</w:t>
            </w:r>
          </w:p>
        </w:tc>
      </w:tr>
    </w:tbl>
    <w:p w14:paraId="79AB6E06" w14:textId="74953E29" w:rsidR="000A0E97" w:rsidRDefault="000A0E97" w:rsidP="004D6630"/>
    <w:p w14:paraId="1C7E9E23" w14:textId="77777777" w:rsidR="00D76FD4" w:rsidRDefault="00D76FD4" w:rsidP="004D6630">
      <w:pPr>
        <w:sectPr w:rsidR="00D76FD4" w:rsidSect="004D6630">
          <w:pgSz w:w="16838" w:h="11906" w:orient="landscape"/>
          <w:pgMar w:top="1247" w:right="1247" w:bottom="1247" w:left="1247" w:header="709" w:footer="709" w:gutter="0"/>
          <w:cols w:space="708"/>
          <w:docGrid w:linePitch="360"/>
        </w:sectPr>
      </w:pPr>
    </w:p>
    <w:p w14:paraId="2F02D10D" w14:textId="77777777" w:rsidR="008A6DF9" w:rsidRPr="007947FB" w:rsidRDefault="008A6DF9" w:rsidP="00043748">
      <w:pPr>
        <w:shd w:val="clear" w:color="auto" w:fill="FFFFFF" w:themeFill="background1"/>
        <w:suppressAutoHyphens/>
        <w:jc w:val="both"/>
        <w:rPr>
          <w:rFonts w:cs="Verdana"/>
          <w:lang w:eastAsia="zh-CN"/>
        </w:rPr>
      </w:pPr>
    </w:p>
    <w:p w14:paraId="1A1AA45C" w14:textId="77777777" w:rsidR="008A6DF9" w:rsidRPr="007947FB" w:rsidRDefault="008A6DF9" w:rsidP="008D7EDC">
      <w:pPr>
        <w:numPr>
          <w:ilvl w:val="0"/>
          <w:numId w:val="41"/>
        </w:numPr>
        <w:shd w:val="clear" w:color="auto" w:fill="FFFFFF" w:themeFill="background1"/>
        <w:suppressAutoHyphens/>
        <w:spacing w:before="0" w:after="0"/>
        <w:contextualSpacing/>
        <w:jc w:val="both"/>
        <w:rPr>
          <w:rFonts w:cs="Verdana"/>
          <w:lang w:eastAsia="zh-CN"/>
        </w:rPr>
      </w:pPr>
      <w:r w:rsidRPr="007947FB">
        <w:rPr>
          <w:rFonts w:cs="Verdana"/>
          <w:lang w:eastAsia="zh-CN"/>
        </w:rPr>
        <w:t>Regarding the efficacy claims by skin application:</w:t>
      </w:r>
    </w:p>
    <w:p w14:paraId="0B201F96" w14:textId="77777777" w:rsidR="008A6DF9" w:rsidRPr="00E13B19" w:rsidRDefault="008A6DF9" w:rsidP="008D7EDC">
      <w:pPr>
        <w:numPr>
          <w:ilvl w:val="0"/>
          <w:numId w:val="42"/>
        </w:numPr>
        <w:shd w:val="clear" w:color="auto" w:fill="FFFFFF" w:themeFill="background1"/>
        <w:suppressAutoHyphens/>
        <w:spacing w:before="0" w:after="0"/>
        <w:contextualSpacing/>
        <w:jc w:val="both"/>
        <w:rPr>
          <w:rFonts w:cs="Verdana"/>
          <w:lang w:eastAsia="zh-CN"/>
        </w:rPr>
      </w:pPr>
      <w:r w:rsidRPr="007947FB">
        <w:rPr>
          <w:rFonts w:cs="Verdana"/>
          <w:lang w:eastAsia="zh-CN"/>
        </w:rPr>
        <w:t>The product is efficient in arm</w:t>
      </w:r>
      <w:r>
        <w:rPr>
          <w:rFonts w:cs="Verdana"/>
          <w:lang w:eastAsia="zh-CN"/>
        </w:rPr>
        <w:t>-</w:t>
      </w:r>
      <w:r w:rsidRPr="007947FB">
        <w:rPr>
          <w:rFonts w:cs="Verdana"/>
          <w:lang w:eastAsia="zh-CN"/>
        </w:rPr>
        <w:t>in</w:t>
      </w:r>
      <w:r>
        <w:rPr>
          <w:rFonts w:cs="Verdana"/>
          <w:lang w:eastAsia="zh-CN"/>
        </w:rPr>
        <w:t>-</w:t>
      </w:r>
      <w:r w:rsidRPr="007947FB">
        <w:rPr>
          <w:rFonts w:cs="Verdana"/>
          <w:lang w:eastAsia="zh-CN"/>
        </w:rPr>
        <w:t xml:space="preserve">cage tests at the application rate of 6 g product/m² </w:t>
      </w:r>
      <w:r w:rsidRPr="00B92FE4">
        <w:rPr>
          <w:rFonts w:cs="Verdana"/>
          <w:lang w:eastAsia="zh-CN"/>
        </w:rPr>
        <w:t xml:space="preserve">on skin application against </w:t>
      </w:r>
      <w:r w:rsidRPr="00B92FE4">
        <w:rPr>
          <w:rFonts w:cs="Verdana"/>
          <w:i/>
          <w:lang w:eastAsia="zh-CN"/>
        </w:rPr>
        <w:t>Aedes aegypti</w:t>
      </w:r>
      <w:r w:rsidRPr="00E13B19">
        <w:rPr>
          <w:rFonts w:cs="Verdana"/>
          <w:lang w:eastAsia="zh-CN"/>
        </w:rPr>
        <w:t xml:space="preserve"> and </w:t>
      </w:r>
      <w:r w:rsidRPr="00E13B19">
        <w:rPr>
          <w:rFonts w:cs="Verdana"/>
          <w:i/>
          <w:lang w:eastAsia="zh-CN"/>
        </w:rPr>
        <w:t>Culex quinquefasciatus</w:t>
      </w:r>
      <w:r w:rsidRPr="00E13B19">
        <w:rPr>
          <w:rFonts w:cs="Verdana"/>
          <w:lang w:eastAsia="zh-CN"/>
        </w:rPr>
        <w:t xml:space="preserve"> with a complete protection time of 4 hours under temperate conditions. </w:t>
      </w:r>
    </w:p>
    <w:p w14:paraId="6A687FE0" w14:textId="77777777" w:rsidR="008A6DF9" w:rsidRPr="00E13B19" w:rsidRDefault="008A6DF9" w:rsidP="008D7EDC">
      <w:pPr>
        <w:shd w:val="clear" w:color="auto" w:fill="FFFFFF" w:themeFill="background1"/>
        <w:suppressAutoHyphens/>
        <w:ind w:left="1068"/>
        <w:contextualSpacing/>
        <w:jc w:val="both"/>
        <w:rPr>
          <w:rFonts w:cs="Verdana"/>
          <w:lang w:eastAsia="zh-CN"/>
        </w:rPr>
      </w:pPr>
    </w:p>
    <w:p w14:paraId="45FEB208" w14:textId="77777777" w:rsidR="008A6DF9" w:rsidRPr="007947FB" w:rsidRDefault="008A6DF9" w:rsidP="008D7EDC">
      <w:pPr>
        <w:numPr>
          <w:ilvl w:val="0"/>
          <w:numId w:val="42"/>
        </w:numPr>
        <w:shd w:val="clear" w:color="auto" w:fill="FFFFFF" w:themeFill="background1"/>
        <w:suppressAutoHyphens/>
        <w:spacing w:before="0" w:after="0"/>
        <w:contextualSpacing/>
        <w:jc w:val="both"/>
        <w:rPr>
          <w:rFonts w:cs="Verdana"/>
          <w:lang w:eastAsia="zh-CN"/>
        </w:rPr>
      </w:pPr>
      <w:r w:rsidRPr="00E13B19">
        <w:rPr>
          <w:rFonts w:cs="Verdana"/>
          <w:lang w:eastAsia="zh-CN"/>
        </w:rPr>
        <w:t>The product is efficient in arm</w:t>
      </w:r>
      <w:r>
        <w:rPr>
          <w:rFonts w:cs="Verdana"/>
          <w:lang w:eastAsia="zh-CN"/>
        </w:rPr>
        <w:t>-</w:t>
      </w:r>
      <w:r w:rsidRPr="00E13B19">
        <w:rPr>
          <w:rFonts w:cs="Verdana"/>
          <w:lang w:eastAsia="zh-CN"/>
        </w:rPr>
        <w:t>in</w:t>
      </w:r>
      <w:r>
        <w:rPr>
          <w:rFonts w:cs="Verdana"/>
          <w:lang w:eastAsia="zh-CN"/>
        </w:rPr>
        <w:t>-</w:t>
      </w:r>
      <w:r w:rsidRPr="00E13B19">
        <w:rPr>
          <w:rFonts w:cs="Verdana"/>
          <w:lang w:eastAsia="zh-CN"/>
        </w:rPr>
        <w:t xml:space="preserve">cage test at the application rate of 8 g product/m² on skin application against </w:t>
      </w:r>
      <w:r w:rsidRPr="00BE0337">
        <w:rPr>
          <w:rFonts w:cs="Verdana"/>
          <w:i/>
          <w:lang w:eastAsia="zh-CN"/>
        </w:rPr>
        <w:t>Aedes albopictus</w:t>
      </w:r>
      <w:r w:rsidRPr="00BE0337">
        <w:rPr>
          <w:rFonts w:cs="Verdana"/>
          <w:lang w:eastAsia="zh-CN"/>
        </w:rPr>
        <w:t xml:space="preserve"> and </w:t>
      </w:r>
      <w:r w:rsidRPr="00BE0337">
        <w:rPr>
          <w:rFonts w:cs="Verdana"/>
          <w:i/>
          <w:lang w:eastAsia="zh-CN"/>
        </w:rPr>
        <w:t>Anopheles gambiae</w:t>
      </w:r>
      <w:r w:rsidRPr="00BE0337">
        <w:rPr>
          <w:rFonts w:cs="Verdana"/>
          <w:lang w:eastAsia="zh-CN"/>
        </w:rPr>
        <w:t xml:space="preserve"> with a complete protection time of 3 hours </w:t>
      </w:r>
      <w:r w:rsidRPr="007947FB">
        <w:rPr>
          <w:rFonts w:cs="Verdana"/>
          <w:lang w:eastAsia="zh-CN"/>
        </w:rPr>
        <w:t>(based on the less sensitive species) under tropical conditions.</w:t>
      </w:r>
    </w:p>
    <w:p w14:paraId="5700A7D5" w14:textId="77777777" w:rsidR="008A6DF9" w:rsidRPr="007947FB" w:rsidRDefault="008A6DF9" w:rsidP="008D7EDC">
      <w:pPr>
        <w:pStyle w:val="Paragraphedeliste"/>
        <w:shd w:val="clear" w:color="auto" w:fill="FFFFFF" w:themeFill="background1"/>
        <w:rPr>
          <w:rFonts w:cs="Verdana"/>
          <w:lang w:eastAsia="zh-CN"/>
        </w:rPr>
      </w:pPr>
    </w:p>
    <w:p w14:paraId="4F3388CB" w14:textId="77777777" w:rsidR="008A6DF9" w:rsidRPr="007947FB" w:rsidRDefault="008A6DF9" w:rsidP="008D7EDC">
      <w:pPr>
        <w:numPr>
          <w:ilvl w:val="0"/>
          <w:numId w:val="42"/>
        </w:numPr>
        <w:shd w:val="clear" w:color="auto" w:fill="FFFFFF" w:themeFill="background1"/>
        <w:suppressAutoHyphens/>
        <w:spacing w:before="0" w:after="0"/>
        <w:contextualSpacing/>
        <w:jc w:val="both"/>
        <w:rPr>
          <w:rFonts w:cs="Verdana"/>
          <w:lang w:eastAsia="zh-CN"/>
        </w:rPr>
      </w:pPr>
      <w:r w:rsidRPr="007947FB">
        <w:rPr>
          <w:rFonts w:cs="Verdana"/>
          <w:lang w:eastAsia="zh-CN"/>
        </w:rPr>
        <w:t xml:space="preserve">The product is efficient at the application rate of 6 g product/m² against </w:t>
      </w:r>
      <w:r w:rsidRPr="007947FB">
        <w:rPr>
          <w:rFonts w:cs="Verdana"/>
          <w:i/>
          <w:lang w:eastAsia="zh-CN"/>
        </w:rPr>
        <w:t>Ixodes ricinus</w:t>
      </w:r>
      <w:r w:rsidRPr="007947FB">
        <w:rPr>
          <w:rFonts w:cs="Verdana"/>
          <w:lang w:eastAsia="zh-CN"/>
        </w:rPr>
        <w:t xml:space="preserve"> (adult and nymph</w:t>
      </w:r>
      <w:r>
        <w:rPr>
          <w:rFonts w:cs="Verdana"/>
          <w:lang w:eastAsia="zh-CN"/>
        </w:rPr>
        <w:t>s</w:t>
      </w:r>
      <w:r w:rsidRPr="007947FB">
        <w:rPr>
          <w:rFonts w:cs="Verdana"/>
          <w:lang w:eastAsia="zh-CN"/>
        </w:rPr>
        <w:t>) with a complete protection time of 4 hours under temperate conditions. Please note that laboratory choice tests have been carried out on mice instead of human</w:t>
      </w:r>
      <w:r>
        <w:rPr>
          <w:rFonts w:cs="Verdana"/>
          <w:lang w:eastAsia="zh-CN"/>
        </w:rPr>
        <w:t xml:space="preserve"> volunteer</w:t>
      </w:r>
      <w:r w:rsidRPr="007947FB">
        <w:rPr>
          <w:rFonts w:cs="Verdana"/>
          <w:lang w:eastAsia="zh-CN"/>
        </w:rPr>
        <w:t xml:space="preserve">s as </w:t>
      </w:r>
      <w:r>
        <w:rPr>
          <w:rFonts w:cs="Verdana"/>
          <w:lang w:eastAsia="zh-CN"/>
        </w:rPr>
        <w:t>propo</w:t>
      </w:r>
      <w:r w:rsidRPr="007947FB">
        <w:rPr>
          <w:rFonts w:cs="Verdana"/>
          <w:lang w:eastAsia="zh-CN"/>
        </w:rPr>
        <w:t xml:space="preserve">sed in the ECHA Guidance on the Biocidal Products Regulation - Volume II Efficacy </w:t>
      </w:r>
      <w:r>
        <w:rPr>
          <w:rFonts w:cs="Verdana"/>
          <w:lang w:eastAsia="zh-CN"/>
        </w:rPr>
        <w:t xml:space="preserve">(part B/C) </w:t>
      </w:r>
      <w:r w:rsidRPr="007947FB">
        <w:rPr>
          <w:rFonts w:cs="Verdana"/>
          <w:lang w:eastAsia="zh-CN"/>
        </w:rPr>
        <w:t>2018 (paragraph 5.6.7.2.2.).</w:t>
      </w:r>
    </w:p>
    <w:p w14:paraId="0713BB9A" w14:textId="77777777" w:rsidR="008A6DF9" w:rsidRPr="007947FB" w:rsidRDefault="008A6DF9" w:rsidP="008D7EDC">
      <w:pPr>
        <w:shd w:val="clear" w:color="auto" w:fill="FFFFFF" w:themeFill="background1"/>
        <w:suppressAutoHyphens/>
        <w:jc w:val="both"/>
        <w:rPr>
          <w:rFonts w:cs="Verdana"/>
          <w:lang w:eastAsia="zh-CN"/>
        </w:rPr>
      </w:pPr>
    </w:p>
    <w:p w14:paraId="1B10ACFC" w14:textId="4D966CC7" w:rsidR="008A6DF9" w:rsidRPr="007947FB" w:rsidRDefault="008A6DF9" w:rsidP="008D7EDC">
      <w:pPr>
        <w:numPr>
          <w:ilvl w:val="0"/>
          <w:numId w:val="41"/>
        </w:numPr>
        <w:shd w:val="clear" w:color="auto" w:fill="FFFFFF" w:themeFill="background1"/>
        <w:suppressAutoHyphens/>
        <w:spacing w:before="0" w:after="0"/>
        <w:contextualSpacing/>
        <w:jc w:val="both"/>
        <w:rPr>
          <w:rFonts w:cs="Verdana"/>
          <w:lang w:eastAsia="zh-CN"/>
        </w:rPr>
      </w:pPr>
      <w:r w:rsidRPr="007947FB">
        <w:rPr>
          <w:rFonts w:cs="Verdana"/>
          <w:lang w:eastAsia="zh-CN"/>
        </w:rPr>
        <w:t xml:space="preserve">Regarding the efficacy claims by clothes </w:t>
      </w:r>
      <w:r w:rsidR="00E66A07">
        <w:rPr>
          <w:rFonts w:cs="Verdana"/>
          <w:lang w:eastAsia="zh-CN"/>
        </w:rPr>
        <w:t xml:space="preserve">(cotton and polyester) </w:t>
      </w:r>
      <w:r w:rsidRPr="007947FB">
        <w:rPr>
          <w:rFonts w:cs="Verdana"/>
          <w:lang w:eastAsia="zh-CN"/>
        </w:rPr>
        <w:t>application:</w:t>
      </w:r>
    </w:p>
    <w:p w14:paraId="69C8EF33" w14:textId="71505E93" w:rsidR="008A6DF9" w:rsidRPr="007947FB" w:rsidRDefault="008A6DF9" w:rsidP="008D7EDC">
      <w:pPr>
        <w:pStyle w:val="Paragraphedeliste"/>
        <w:numPr>
          <w:ilvl w:val="0"/>
          <w:numId w:val="42"/>
        </w:numPr>
        <w:shd w:val="clear" w:color="auto" w:fill="FFFFFF" w:themeFill="background1"/>
        <w:suppressAutoHyphens/>
        <w:spacing w:before="0" w:after="0"/>
        <w:jc w:val="both"/>
        <w:rPr>
          <w:rFonts w:cs="Verdana"/>
          <w:lang w:eastAsia="zh-CN"/>
        </w:rPr>
      </w:pPr>
      <w:r w:rsidRPr="007947FB">
        <w:rPr>
          <w:rFonts w:cs="Verdana"/>
          <w:lang w:eastAsia="zh-CN"/>
        </w:rPr>
        <w:t xml:space="preserve">The product is efficient at the minimum application rate of 6 g product/m² against </w:t>
      </w:r>
      <w:r w:rsidRPr="007947FB">
        <w:rPr>
          <w:rFonts w:cs="Verdana"/>
          <w:i/>
          <w:lang w:eastAsia="zh-CN"/>
        </w:rPr>
        <w:t xml:space="preserve">Culex quinquefasciatus </w:t>
      </w:r>
      <w:r w:rsidRPr="007947FB">
        <w:rPr>
          <w:rFonts w:cs="Verdana"/>
          <w:lang w:eastAsia="zh-CN"/>
        </w:rPr>
        <w:t xml:space="preserve">and </w:t>
      </w:r>
      <w:r w:rsidRPr="007947FB">
        <w:rPr>
          <w:rFonts w:cs="Verdana"/>
          <w:i/>
          <w:lang w:eastAsia="zh-CN"/>
        </w:rPr>
        <w:t>Aedes aegypti</w:t>
      </w:r>
      <w:r w:rsidRPr="007947FB">
        <w:rPr>
          <w:rFonts w:cs="Verdana"/>
          <w:lang w:eastAsia="zh-CN"/>
        </w:rPr>
        <w:t xml:space="preserve"> by clothes application in temperate conditions </w:t>
      </w:r>
      <w:r>
        <w:rPr>
          <w:rFonts w:cs="Verdana"/>
          <w:lang w:eastAsia="zh-CN"/>
        </w:rPr>
        <w:t xml:space="preserve">during 8 hours </w:t>
      </w:r>
      <w:r w:rsidRPr="007947FB">
        <w:rPr>
          <w:rFonts w:cs="Verdana"/>
          <w:lang w:eastAsia="zh-CN"/>
        </w:rPr>
        <w:t xml:space="preserve">and </w:t>
      </w:r>
      <w:r w:rsidRPr="007947FB">
        <w:rPr>
          <w:color w:val="000000"/>
        </w:rPr>
        <w:t xml:space="preserve">up to 30 days after </w:t>
      </w:r>
      <w:r w:rsidR="005F0515">
        <w:rPr>
          <w:color w:val="000000"/>
        </w:rPr>
        <w:t>storage</w:t>
      </w:r>
      <w:r w:rsidR="004E3E55" w:rsidRPr="004E3E55">
        <w:t xml:space="preserve"> </w:t>
      </w:r>
      <w:r w:rsidR="004E3E55" w:rsidRPr="004E3E55">
        <w:rPr>
          <w:color w:val="000000"/>
        </w:rPr>
        <w:t>in a closed packaging (such as a plastic bag)</w:t>
      </w:r>
      <w:r w:rsidRPr="007947FB">
        <w:rPr>
          <w:rFonts w:cs="Verdana"/>
          <w:lang w:eastAsia="zh-CN"/>
        </w:rPr>
        <w:t xml:space="preserve">. </w:t>
      </w:r>
    </w:p>
    <w:p w14:paraId="5C8D6572" w14:textId="77777777" w:rsidR="008A6DF9" w:rsidRPr="007947FB" w:rsidRDefault="008A6DF9" w:rsidP="008D7EDC">
      <w:pPr>
        <w:pStyle w:val="Paragraphedeliste"/>
        <w:shd w:val="clear" w:color="auto" w:fill="FFFFFF" w:themeFill="background1"/>
        <w:suppressAutoHyphens/>
        <w:ind w:left="1068"/>
        <w:jc w:val="both"/>
        <w:rPr>
          <w:rFonts w:cs="Verdana"/>
          <w:lang w:eastAsia="zh-CN"/>
        </w:rPr>
      </w:pPr>
    </w:p>
    <w:p w14:paraId="3779B229" w14:textId="131612F1" w:rsidR="008A6DF9" w:rsidRPr="007947FB" w:rsidRDefault="008A6DF9" w:rsidP="008D7EDC">
      <w:pPr>
        <w:numPr>
          <w:ilvl w:val="0"/>
          <w:numId w:val="42"/>
        </w:numPr>
        <w:shd w:val="clear" w:color="auto" w:fill="FFFFFF" w:themeFill="background1"/>
        <w:suppressAutoHyphens/>
        <w:spacing w:before="0" w:after="0"/>
        <w:contextualSpacing/>
        <w:jc w:val="both"/>
        <w:rPr>
          <w:rFonts w:cs="Verdana"/>
          <w:lang w:eastAsia="zh-CN"/>
        </w:rPr>
      </w:pPr>
      <w:r w:rsidRPr="007947FB">
        <w:rPr>
          <w:rFonts w:cs="Verdana"/>
          <w:lang w:eastAsia="zh-CN"/>
        </w:rPr>
        <w:t>The product is efficient at the minimum application rate of 6 g product/m² against</w:t>
      </w:r>
      <w:r w:rsidRPr="007947FB">
        <w:t xml:space="preserve"> </w:t>
      </w:r>
      <w:r w:rsidRPr="007947FB">
        <w:rPr>
          <w:rFonts w:cs="Verdana"/>
          <w:i/>
          <w:lang w:eastAsia="zh-CN"/>
        </w:rPr>
        <w:t xml:space="preserve">Anopheles gambiae </w:t>
      </w:r>
      <w:r w:rsidRPr="007947FB">
        <w:rPr>
          <w:rFonts w:cs="Verdana"/>
          <w:lang w:eastAsia="zh-CN"/>
        </w:rPr>
        <w:t xml:space="preserve">and </w:t>
      </w:r>
      <w:r w:rsidRPr="007947FB">
        <w:rPr>
          <w:rFonts w:cs="Verdana"/>
          <w:i/>
          <w:lang w:eastAsia="zh-CN"/>
        </w:rPr>
        <w:t>Aedes albopictus</w:t>
      </w:r>
      <w:r w:rsidRPr="007947FB">
        <w:rPr>
          <w:rFonts w:cs="Verdana"/>
          <w:lang w:eastAsia="zh-CN"/>
        </w:rPr>
        <w:t xml:space="preserve"> by clothes application in tropical conditions </w:t>
      </w:r>
      <w:r>
        <w:rPr>
          <w:rFonts w:cs="Verdana"/>
          <w:lang w:eastAsia="zh-CN"/>
        </w:rPr>
        <w:t xml:space="preserve">during 8 hours </w:t>
      </w:r>
      <w:r w:rsidRPr="007947FB">
        <w:rPr>
          <w:rFonts w:cs="Verdana"/>
          <w:lang w:eastAsia="zh-CN"/>
        </w:rPr>
        <w:t xml:space="preserve">and </w:t>
      </w:r>
      <w:r w:rsidRPr="007947FB">
        <w:rPr>
          <w:color w:val="000000"/>
        </w:rPr>
        <w:t xml:space="preserve">up to 30 days after </w:t>
      </w:r>
      <w:r w:rsidR="005F0515">
        <w:rPr>
          <w:color w:val="000000"/>
        </w:rPr>
        <w:t>storage</w:t>
      </w:r>
      <w:r w:rsidR="004E3E55" w:rsidRPr="004E3E55">
        <w:t xml:space="preserve"> </w:t>
      </w:r>
      <w:r w:rsidR="004E3E55" w:rsidRPr="004E3E55">
        <w:rPr>
          <w:color w:val="000000"/>
        </w:rPr>
        <w:t>in a closed packaging (such as a plastic bag)</w:t>
      </w:r>
      <w:r w:rsidRPr="007947FB">
        <w:rPr>
          <w:rFonts w:cs="Verdana"/>
          <w:lang w:eastAsia="zh-CN"/>
        </w:rPr>
        <w:t xml:space="preserve">. </w:t>
      </w:r>
    </w:p>
    <w:p w14:paraId="52B4B060" w14:textId="77777777" w:rsidR="008A6DF9" w:rsidRPr="00B92FE4" w:rsidRDefault="008A6DF9" w:rsidP="008D7EDC">
      <w:pPr>
        <w:shd w:val="clear" w:color="auto" w:fill="FFFFFF" w:themeFill="background1"/>
        <w:suppressAutoHyphens/>
        <w:contextualSpacing/>
        <w:jc w:val="both"/>
        <w:rPr>
          <w:rFonts w:cs="Verdana"/>
          <w:lang w:eastAsia="zh-CN"/>
        </w:rPr>
      </w:pPr>
    </w:p>
    <w:p w14:paraId="78DF38C6" w14:textId="0C6C5681" w:rsidR="008A6DF9" w:rsidRPr="007947FB" w:rsidRDefault="008A6DF9" w:rsidP="008D7EDC">
      <w:pPr>
        <w:pStyle w:val="Paragraphedeliste"/>
        <w:numPr>
          <w:ilvl w:val="0"/>
          <w:numId w:val="42"/>
        </w:numPr>
        <w:shd w:val="clear" w:color="auto" w:fill="FFFFFF" w:themeFill="background1"/>
        <w:spacing w:before="0" w:after="0" w:line="260" w:lineRule="atLeast"/>
        <w:jc w:val="both"/>
        <w:rPr>
          <w:rFonts w:cs="Verdana"/>
          <w:lang w:eastAsia="zh-CN"/>
        </w:rPr>
      </w:pPr>
      <w:r w:rsidRPr="00B92FE4">
        <w:rPr>
          <w:rFonts w:cs="Verdana"/>
          <w:lang w:eastAsia="zh-CN"/>
        </w:rPr>
        <w:t>The product is effici</w:t>
      </w:r>
      <w:r>
        <w:rPr>
          <w:rFonts w:cs="Verdana"/>
          <w:lang w:eastAsia="zh-CN"/>
        </w:rPr>
        <w:t>ent at the application rate of 8.5</w:t>
      </w:r>
      <w:r w:rsidRPr="00B92FE4">
        <w:rPr>
          <w:rFonts w:cs="Verdana"/>
          <w:lang w:eastAsia="zh-CN"/>
        </w:rPr>
        <w:t xml:space="preserve"> g product/m² against </w:t>
      </w:r>
      <w:r w:rsidRPr="00B92FE4">
        <w:rPr>
          <w:rFonts w:cs="Verdana"/>
          <w:i/>
          <w:lang w:eastAsia="zh-CN"/>
        </w:rPr>
        <w:t>Ixodes ricinus</w:t>
      </w:r>
      <w:r w:rsidRPr="00E13B19">
        <w:rPr>
          <w:rFonts w:cs="Verdana"/>
          <w:lang w:eastAsia="zh-CN"/>
        </w:rPr>
        <w:t xml:space="preserve"> </w:t>
      </w:r>
      <w:r w:rsidRPr="007947FB">
        <w:rPr>
          <w:rFonts w:cs="Verdana"/>
          <w:lang w:eastAsia="zh-CN"/>
        </w:rPr>
        <w:t>(adult</w:t>
      </w:r>
      <w:r>
        <w:rPr>
          <w:rFonts w:cs="Verdana"/>
          <w:lang w:eastAsia="zh-CN"/>
        </w:rPr>
        <w:t>s</w:t>
      </w:r>
      <w:r w:rsidRPr="007947FB">
        <w:rPr>
          <w:rFonts w:cs="Verdana"/>
          <w:lang w:eastAsia="zh-CN"/>
        </w:rPr>
        <w:t xml:space="preserve"> and nymph</w:t>
      </w:r>
      <w:r>
        <w:rPr>
          <w:rFonts w:cs="Verdana"/>
          <w:lang w:eastAsia="zh-CN"/>
        </w:rPr>
        <w:t>s</w:t>
      </w:r>
      <w:r w:rsidRPr="007947FB">
        <w:rPr>
          <w:rFonts w:cs="Verdana"/>
          <w:lang w:eastAsia="zh-CN"/>
        </w:rPr>
        <w:t xml:space="preserve">) by clothes application in temperate conditions </w:t>
      </w:r>
      <w:r>
        <w:rPr>
          <w:rFonts w:cs="Verdana"/>
          <w:lang w:eastAsia="zh-CN"/>
        </w:rPr>
        <w:t xml:space="preserve">during 6 hours </w:t>
      </w:r>
      <w:r w:rsidRPr="007947FB">
        <w:rPr>
          <w:rFonts w:cs="Verdana"/>
          <w:lang w:eastAsia="zh-CN"/>
        </w:rPr>
        <w:t xml:space="preserve">and up to 7 days after </w:t>
      </w:r>
      <w:r w:rsidR="005F0515">
        <w:rPr>
          <w:rFonts w:cs="Verdana"/>
          <w:lang w:eastAsia="zh-CN"/>
        </w:rPr>
        <w:t>storage</w:t>
      </w:r>
      <w:r w:rsidR="004E3E55" w:rsidRPr="004E3E55">
        <w:t xml:space="preserve"> </w:t>
      </w:r>
      <w:r w:rsidR="004E3E55" w:rsidRPr="004E3E55">
        <w:rPr>
          <w:rFonts w:cs="Verdana"/>
          <w:lang w:eastAsia="zh-CN"/>
        </w:rPr>
        <w:t>in a closed packaging (such as a plastic bag)</w:t>
      </w:r>
      <w:r w:rsidRPr="007947FB">
        <w:rPr>
          <w:rFonts w:cs="Verdana"/>
          <w:lang w:eastAsia="zh-CN"/>
        </w:rPr>
        <w:t>.</w:t>
      </w:r>
      <w:r w:rsidRPr="00B663DA">
        <w:rPr>
          <w:rFonts w:cs="Verdana"/>
          <w:lang w:eastAsia="zh-CN"/>
        </w:rPr>
        <w:t xml:space="preserve"> </w:t>
      </w:r>
      <w:r w:rsidRPr="007947FB">
        <w:rPr>
          <w:rFonts w:cs="Verdana"/>
          <w:lang w:eastAsia="zh-CN"/>
        </w:rPr>
        <w:t>Please note that laboratory choice tests have been carried out on mice instead of human</w:t>
      </w:r>
      <w:r>
        <w:rPr>
          <w:rFonts w:cs="Verdana"/>
          <w:lang w:eastAsia="zh-CN"/>
        </w:rPr>
        <w:t xml:space="preserve"> volunteer</w:t>
      </w:r>
      <w:r w:rsidRPr="007947FB">
        <w:rPr>
          <w:rFonts w:cs="Verdana"/>
          <w:lang w:eastAsia="zh-CN"/>
        </w:rPr>
        <w:t xml:space="preserve">s as </w:t>
      </w:r>
      <w:r>
        <w:rPr>
          <w:rFonts w:cs="Verdana"/>
          <w:lang w:eastAsia="zh-CN"/>
        </w:rPr>
        <w:t>propo</w:t>
      </w:r>
      <w:r w:rsidRPr="007947FB">
        <w:rPr>
          <w:rFonts w:cs="Verdana"/>
          <w:lang w:eastAsia="zh-CN"/>
        </w:rPr>
        <w:t xml:space="preserve">sed in the ECHA Guidance on the Biocidal Products Regulation - Volume II Efficacy </w:t>
      </w:r>
      <w:r>
        <w:rPr>
          <w:rFonts w:cs="Verdana"/>
          <w:lang w:eastAsia="zh-CN"/>
        </w:rPr>
        <w:t xml:space="preserve">(part B/C) </w:t>
      </w:r>
      <w:r w:rsidRPr="007947FB">
        <w:rPr>
          <w:rFonts w:cs="Verdana"/>
          <w:lang w:eastAsia="zh-CN"/>
        </w:rPr>
        <w:t>2018 (paragraph 5.6.7.2.2.).</w:t>
      </w:r>
    </w:p>
    <w:p w14:paraId="0F4E63B2" w14:textId="77777777" w:rsidR="008A6DF9" w:rsidRPr="007947FB" w:rsidRDefault="008A6DF9" w:rsidP="008D7EDC">
      <w:pPr>
        <w:shd w:val="clear" w:color="auto" w:fill="FFFFFF" w:themeFill="background1"/>
        <w:suppressAutoHyphens/>
        <w:jc w:val="both"/>
        <w:rPr>
          <w:rFonts w:cs="Verdana"/>
          <w:lang w:eastAsia="zh-CN"/>
        </w:rPr>
      </w:pPr>
    </w:p>
    <w:p w14:paraId="6835CC76" w14:textId="77777777" w:rsidR="00E72CC6" w:rsidRPr="007947FB" w:rsidRDefault="00E72CC6" w:rsidP="008D7EDC">
      <w:pPr>
        <w:numPr>
          <w:ilvl w:val="0"/>
          <w:numId w:val="41"/>
        </w:numPr>
        <w:shd w:val="clear" w:color="auto" w:fill="FFFFFF" w:themeFill="background1"/>
        <w:suppressAutoHyphens/>
        <w:spacing w:before="0" w:after="0"/>
        <w:contextualSpacing/>
        <w:jc w:val="both"/>
        <w:rPr>
          <w:rFonts w:cs="Verdana"/>
          <w:lang w:eastAsia="zh-CN"/>
        </w:rPr>
      </w:pPr>
      <w:r w:rsidRPr="007947FB">
        <w:rPr>
          <w:rFonts w:cs="Verdana"/>
          <w:lang w:eastAsia="zh-CN"/>
        </w:rPr>
        <w:t>Regarding the efficacy claim against House Dust mites (</w:t>
      </w:r>
      <w:r w:rsidRPr="007947FB">
        <w:rPr>
          <w:rFonts w:cs="Verdana"/>
          <w:i/>
          <w:lang w:eastAsia="zh-CN"/>
        </w:rPr>
        <w:t>Dermatophago</w:t>
      </w:r>
      <w:r>
        <w:rPr>
          <w:rFonts w:cs="Verdana"/>
          <w:i/>
          <w:lang w:eastAsia="zh-CN"/>
        </w:rPr>
        <w:t>ï</w:t>
      </w:r>
      <w:r w:rsidRPr="007947FB">
        <w:rPr>
          <w:rFonts w:cs="Verdana"/>
          <w:i/>
          <w:lang w:eastAsia="zh-CN"/>
        </w:rPr>
        <w:t>des pteronyssinus</w:t>
      </w:r>
      <w:r w:rsidRPr="007947FB">
        <w:rPr>
          <w:rFonts w:cs="Verdana"/>
          <w:lang w:eastAsia="zh-CN"/>
        </w:rPr>
        <w:t>):</w:t>
      </w:r>
    </w:p>
    <w:p w14:paraId="72F1B7E3" w14:textId="3795E9D4" w:rsidR="00E72CC6" w:rsidRPr="00B92FE4" w:rsidRDefault="00E72CC6" w:rsidP="008D7EDC">
      <w:pPr>
        <w:numPr>
          <w:ilvl w:val="0"/>
          <w:numId w:val="42"/>
        </w:numPr>
        <w:shd w:val="clear" w:color="auto" w:fill="FFFFFF" w:themeFill="background1"/>
        <w:suppressAutoHyphens/>
        <w:spacing w:before="0" w:after="0"/>
        <w:contextualSpacing/>
        <w:jc w:val="both"/>
        <w:rPr>
          <w:rFonts w:cs="Verdana"/>
          <w:lang w:eastAsia="zh-CN"/>
        </w:rPr>
      </w:pPr>
      <w:r w:rsidRPr="007947FB">
        <w:rPr>
          <w:rFonts w:cs="Verdana"/>
          <w:lang w:eastAsia="zh-CN"/>
        </w:rPr>
        <w:t>The product is efficient at the application rate of 8.5 g product/m² by application on</w:t>
      </w:r>
      <w:r>
        <w:rPr>
          <w:rFonts w:cs="Verdana"/>
          <w:lang w:eastAsia="zh-CN"/>
        </w:rPr>
        <w:t xml:space="preserve"> </w:t>
      </w:r>
      <w:r w:rsidRPr="007947FB">
        <w:rPr>
          <w:rFonts w:cs="Verdana"/>
          <w:lang w:eastAsia="zh-CN"/>
        </w:rPr>
        <w:t>bed linen</w:t>
      </w:r>
      <w:r>
        <w:rPr>
          <w:rFonts w:cs="Verdana"/>
          <w:lang w:eastAsia="zh-CN"/>
        </w:rPr>
        <w:t xml:space="preserve"> (cotton)</w:t>
      </w:r>
      <w:r w:rsidDel="00E72CC6">
        <w:rPr>
          <w:rFonts w:cs="Verdana"/>
          <w:lang w:eastAsia="zh-CN"/>
        </w:rPr>
        <w:t xml:space="preserve"> </w:t>
      </w:r>
      <w:r w:rsidRPr="007947FB">
        <w:rPr>
          <w:rFonts w:cs="Verdana"/>
          <w:lang w:eastAsia="zh-CN"/>
        </w:rPr>
        <w:t>during 24 hours</w:t>
      </w:r>
      <w:r w:rsidRPr="00B92FE4">
        <w:rPr>
          <w:rFonts w:cs="Verdana"/>
          <w:lang w:eastAsia="zh-CN"/>
        </w:rPr>
        <w:t>.</w:t>
      </w:r>
    </w:p>
    <w:p w14:paraId="4BB3C65A" w14:textId="77777777" w:rsidR="008A6DF9" w:rsidRPr="00E13B19" w:rsidRDefault="008A6DF9" w:rsidP="008D7EDC">
      <w:pPr>
        <w:shd w:val="clear" w:color="auto" w:fill="FFFFFF" w:themeFill="background1"/>
        <w:suppressAutoHyphens/>
        <w:ind w:left="1068"/>
        <w:contextualSpacing/>
        <w:jc w:val="both"/>
        <w:rPr>
          <w:rFonts w:cs="Verdana"/>
          <w:lang w:eastAsia="zh-CN"/>
        </w:rPr>
      </w:pPr>
    </w:p>
    <w:p w14:paraId="4ACD54F1" w14:textId="3F9027CD" w:rsidR="008A6DF9" w:rsidRPr="00BE0337" w:rsidRDefault="008A6DF9" w:rsidP="008D7EDC">
      <w:pPr>
        <w:numPr>
          <w:ilvl w:val="0"/>
          <w:numId w:val="41"/>
        </w:numPr>
        <w:shd w:val="clear" w:color="auto" w:fill="FFFFFF" w:themeFill="background1"/>
        <w:suppressAutoHyphens/>
        <w:spacing w:before="0" w:after="0"/>
        <w:contextualSpacing/>
        <w:jc w:val="both"/>
        <w:rPr>
          <w:rFonts w:cs="Verdana"/>
          <w:lang w:eastAsia="zh-CN"/>
        </w:rPr>
      </w:pPr>
      <w:r w:rsidRPr="00E13B19">
        <w:rPr>
          <w:rFonts w:cs="Verdana"/>
          <w:lang w:eastAsia="zh-CN"/>
        </w:rPr>
        <w:t>Regarding the efficacy claims against human head lice (</w:t>
      </w:r>
      <w:r w:rsidR="00F4760B" w:rsidRPr="00E13B19">
        <w:rPr>
          <w:rFonts w:cs="Verdana"/>
          <w:i/>
          <w:lang w:eastAsia="zh-CN"/>
        </w:rPr>
        <w:t>Pedicul</w:t>
      </w:r>
      <w:r w:rsidR="00F4760B">
        <w:rPr>
          <w:rFonts w:cs="Verdana"/>
          <w:i/>
          <w:lang w:eastAsia="zh-CN"/>
        </w:rPr>
        <w:t>us</w:t>
      </w:r>
      <w:r w:rsidRPr="00E13B19">
        <w:rPr>
          <w:rFonts w:cs="Verdana"/>
          <w:i/>
          <w:lang w:eastAsia="zh-CN"/>
        </w:rPr>
        <w:t xml:space="preserve"> humanus capitis</w:t>
      </w:r>
      <w:r w:rsidRPr="00E13B19">
        <w:rPr>
          <w:rFonts w:cs="Verdana"/>
          <w:lang w:eastAsia="zh-CN"/>
        </w:rPr>
        <w:t xml:space="preserve">) by </w:t>
      </w:r>
      <w:r w:rsidRPr="00BE0337">
        <w:rPr>
          <w:rFonts w:cs="Verdana"/>
          <w:lang w:eastAsia="zh-CN"/>
        </w:rPr>
        <w:t>application</w:t>
      </w:r>
      <w:r w:rsidRPr="00BE0337">
        <w:t xml:space="preserve"> </w:t>
      </w:r>
      <w:r w:rsidRPr="00BE0337">
        <w:rPr>
          <w:rFonts w:cs="Verdana"/>
          <w:lang w:eastAsia="zh-CN"/>
        </w:rPr>
        <w:t>on bed linen and/or cloth's surface in contact with the top of the body:</w:t>
      </w:r>
    </w:p>
    <w:p w14:paraId="4240911F" w14:textId="0F88C42F" w:rsidR="008A6DF9" w:rsidRPr="007947FB" w:rsidRDefault="008A6DF9" w:rsidP="008D7EDC">
      <w:pPr>
        <w:pStyle w:val="Paragraphedeliste"/>
        <w:numPr>
          <w:ilvl w:val="0"/>
          <w:numId w:val="42"/>
        </w:numPr>
        <w:shd w:val="clear" w:color="auto" w:fill="FFFFFF" w:themeFill="background1"/>
        <w:suppressAutoHyphens/>
        <w:spacing w:before="0" w:after="0"/>
        <w:jc w:val="both"/>
        <w:rPr>
          <w:rFonts w:cs="Verdana"/>
          <w:lang w:eastAsia="zh-CN"/>
        </w:rPr>
      </w:pPr>
      <w:r>
        <w:rPr>
          <w:rFonts w:cs="Verdana"/>
          <w:lang w:eastAsia="zh-CN"/>
        </w:rPr>
        <w:t>FR CA</w:t>
      </w:r>
      <w:r w:rsidRPr="007947FB">
        <w:rPr>
          <w:rFonts w:cs="Verdana"/>
          <w:lang w:eastAsia="zh-CN"/>
        </w:rPr>
        <w:t xml:space="preserve"> consider that the test design in not relevant to demonstrate the efficacy of the product and to derive a CPT. </w:t>
      </w:r>
      <w:r w:rsidR="00EA20EA">
        <w:rPr>
          <w:rFonts w:cs="Verdana"/>
          <w:lang w:eastAsia="zh-CN"/>
        </w:rPr>
        <w:t xml:space="preserve">Please note that additional data have </w:t>
      </w:r>
      <w:r w:rsidR="00C749E1">
        <w:rPr>
          <w:rFonts w:cs="Verdana"/>
          <w:lang w:eastAsia="zh-CN"/>
        </w:rPr>
        <w:t>been provided by the applicant</w:t>
      </w:r>
      <w:r w:rsidR="00EA20EA">
        <w:rPr>
          <w:rFonts w:cs="Verdana"/>
          <w:lang w:eastAsia="zh-CN"/>
        </w:rPr>
        <w:t xml:space="preserve"> (Toubaté, 2019) regardi</w:t>
      </w:r>
      <w:r w:rsidR="0084224F">
        <w:rPr>
          <w:rFonts w:cs="Verdana"/>
          <w:lang w:eastAsia="zh-CN"/>
        </w:rPr>
        <w:t>ng</w:t>
      </w:r>
      <w:r w:rsidR="00EA20EA">
        <w:rPr>
          <w:rFonts w:cs="Verdana"/>
          <w:lang w:eastAsia="zh-CN"/>
        </w:rPr>
        <w:t xml:space="preserve"> </w:t>
      </w:r>
      <w:r w:rsidR="0084224F">
        <w:rPr>
          <w:rFonts w:cs="Verdana"/>
          <w:lang w:eastAsia="zh-CN"/>
        </w:rPr>
        <w:t>the distribution of lice on</w:t>
      </w:r>
      <w:r w:rsidR="0084224F" w:rsidRPr="0084224F">
        <w:rPr>
          <w:rFonts w:cs="Verdana"/>
          <w:lang w:eastAsia="zh-CN"/>
        </w:rPr>
        <w:t xml:space="preserve"> the untreated textile materials tested</w:t>
      </w:r>
      <w:r w:rsidR="00C749E1">
        <w:rPr>
          <w:rFonts w:cs="Verdana"/>
          <w:lang w:eastAsia="zh-CN"/>
        </w:rPr>
        <w:t xml:space="preserve"> </w:t>
      </w:r>
      <w:r w:rsidR="00C749E1" w:rsidRPr="00C749E1">
        <w:rPr>
          <w:rFonts w:cs="Verdana"/>
          <w:lang w:eastAsia="zh-CN"/>
        </w:rPr>
        <w:t>depending on their location</w:t>
      </w:r>
      <w:r w:rsidR="00C25D4A">
        <w:rPr>
          <w:rFonts w:cs="Verdana"/>
          <w:lang w:eastAsia="zh-CN"/>
        </w:rPr>
        <w:t xml:space="preserve"> in the test</w:t>
      </w:r>
      <w:r w:rsidR="0084224F">
        <w:rPr>
          <w:rFonts w:cs="Verdana"/>
          <w:lang w:eastAsia="zh-CN"/>
        </w:rPr>
        <w:t xml:space="preserve">. Nevertheless, </w:t>
      </w:r>
      <w:r w:rsidR="00C749E1" w:rsidRPr="00C749E1">
        <w:rPr>
          <w:rFonts w:cs="Verdana"/>
          <w:lang w:eastAsia="zh-CN"/>
        </w:rPr>
        <w:t>even with these additional data</w:t>
      </w:r>
      <w:r w:rsidR="00C749E1">
        <w:rPr>
          <w:rFonts w:cs="Verdana"/>
          <w:lang w:eastAsia="zh-CN"/>
        </w:rPr>
        <w:t xml:space="preserve">, </w:t>
      </w:r>
      <w:r w:rsidR="00C749E1" w:rsidRPr="00C749E1">
        <w:rPr>
          <w:rFonts w:cs="Verdana"/>
          <w:lang w:eastAsia="zh-CN"/>
        </w:rPr>
        <w:t>this study has not been accepted to support the efficacy by application on fabric against lice.</w:t>
      </w:r>
    </w:p>
    <w:p w14:paraId="420C177F" w14:textId="3C1EE866" w:rsidR="008A6DF9" w:rsidRDefault="008A6DF9" w:rsidP="008D7EDC">
      <w:pPr>
        <w:pStyle w:val="Paragraphedeliste"/>
        <w:shd w:val="clear" w:color="auto" w:fill="FFFFFF" w:themeFill="background1"/>
        <w:suppressAutoHyphens/>
        <w:ind w:left="1068"/>
        <w:jc w:val="both"/>
        <w:rPr>
          <w:rFonts w:cs="Verdana"/>
          <w:lang w:eastAsia="zh-CN"/>
        </w:rPr>
      </w:pPr>
      <w:r w:rsidRPr="007947FB">
        <w:rPr>
          <w:rFonts w:cs="Verdana"/>
          <w:lang w:eastAsia="zh-CN"/>
        </w:rPr>
        <w:t>Then</w:t>
      </w:r>
      <w:r>
        <w:rPr>
          <w:rFonts w:cs="Verdana"/>
          <w:lang w:eastAsia="zh-CN"/>
        </w:rPr>
        <w:t>,</w:t>
      </w:r>
      <w:r w:rsidRPr="007947FB">
        <w:rPr>
          <w:rFonts w:cs="Verdana"/>
          <w:lang w:eastAsia="zh-CN"/>
        </w:rPr>
        <w:t xml:space="preserve"> efficacy against human head lice (</w:t>
      </w:r>
      <w:r w:rsidR="00F4760B" w:rsidRPr="007947FB">
        <w:rPr>
          <w:rFonts w:cs="Verdana"/>
          <w:i/>
          <w:lang w:eastAsia="zh-CN"/>
        </w:rPr>
        <w:t>Pedicul</w:t>
      </w:r>
      <w:r w:rsidR="00F4760B">
        <w:rPr>
          <w:rFonts w:cs="Verdana"/>
          <w:i/>
          <w:lang w:eastAsia="zh-CN"/>
        </w:rPr>
        <w:t>us</w:t>
      </w:r>
      <w:r w:rsidRPr="007947FB">
        <w:rPr>
          <w:rFonts w:cs="Verdana"/>
          <w:i/>
          <w:lang w:eastAsia="zh-CN"/>
        </w:rPr>
        <w:t xml:space="preserve"> humanus capitis)</w:t>
      </w:r>
      <w:r w:rsidRPr="007947FB">
        <w:t xml:space="preserve"> </w:t>
      </w:r>
      <w:r w:rsidRPr="007947FB">
        <w:rPr>
          <w:rFonts w:cs="Verdana"/>
          <w:lang w:eastAsia="zh-CN"/>
        </w:rPr>
        <w:t xml:space="preserve">by application on bed linen and/or cloth's surface </w:t>
      </w:r>
      <w:r>
        <w:rPr>
          <w:rFonts w:cs="Verdana"/>
          <w:lang w:eastAsia="zh-CN"/>
        </w:rPr>
        <w:t>is</w:t>
      </w:r>
      <w:r w:rsidRPr="007947FB">
        <w:rPr>
          <w:rFonts w:cs="Verdana"/>
          <w:lang w:eastAsia="zh-CN"/>
        </w:rPr>
        <w:t xml:space="preserve"> not </w:t>
      </w:r>
      <w:r>
        <w:rPr>
          <w:rFonts w:cs="Verdana"/>
          <w:lang w:eastAsia="zh-CN"/>
        </w:rPr>
        <w:t>validat</w:t>
      </w:r>
      <w:r w:rsidRPr="007947FB">
        <w:rPr>
          <w:rFonts w:cs="Verdana"/>
          <w:lang w:eastAsia="zh-CN"/>
        </w:rPr>
        <w:t>ed.</w:t>
      </w:r>
    </w:p>
    <w:p w14:paraId="64EE36AE" w14:textId="5ADC2FB7" w:rsidR="008A6DF9" w:rsidRDefault="008A6DF9" w:rsidP="00043748">
      <w:pPr>
        <w:pStyle w:val="Paragraphedeliste"/>
        <w:shd w:val="clear" w:color="auto" w:fill="FFFFFF" w:themeFill="background1"/>
        <w:suppressAutoHyphens/>
        <w:ind w:left="1068"/>
        <w:jc w:val="both"/>
        <w:rPr>
          <w:rFonts w:cs="Verdana"/>
          <w:lang w:eastAsia="zh-CN"/>
        </w:rPr>
      </w:pPr>
    </w:p>
    <w:p w14:paraId="4C1F64A2" w14:textId="77777777" w:rsidR="00C41691" w:rsidRPr="007947FB" w:rsidRDefault="00C41691" w:rsidP="00043748">
      <w:pPr>
        <w:pStyle w:val="Paragraphedeliste"/>
        <w:shd w:val="clear" w:color="auto" w:fill="FFFFFF" w:themeFill="background1"/>
        <w:suppressAutoHyphens/>
        <w:ind w:left="1068"/>
        <w:jc w:val="both"/>
        <w:rPr>
          <w:rFonts w:cs="Verdana"/>
          <w:lang w:eastAsia="zh-CN"/>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ook w:val="01E0" w:firstRow="1" w:lastRow="1" w:firstColumn="1" w:lastColumn="1" w:noHBand="0" w:noVBand="0"/>
      </w:tblPr>
      <w:tblGrid>
        <w:gridCol w:w="9399"/>
      </w:tblGrid>
      <w:tr w:rsidR="008A6DF9" w:rsidRPr="006A28CC" w14:paraId="29524059" w14:textId="77777777" w:rsidTr="00C25D4A">
        <w:tc>
          <w:tcPr>
            <w:tcW w:w="5000" w:type="pct"/>
            <w:tcBorders>
              <w:top w:val="single" w:sz="4" w:space="0" w:color="auto"/>
              <w:left w:val="single" w:sz="4" w:space="0" w:color="auto"/>
              <w:bottom w:val="single" w:sz="6" w:space="0" w:color="auto"/>
              <w:right w:val="single" w:sz="6" w:space="0" w:color="auto"/>
            </w:tcBorders>
            <w:shd w:val="clear" w:color="auto" w:fill="E2EFD9" w:themeFill="accent6" w:themeFillTint="33"/>
          </w:tcPr>
          <w:p w14:paraId="21B49F5C" w14:textId="77777777" w:rsidR="008A6DF9" w:rsidRPr="00826BF7" w:rsidRDefault="008A6DF9" w:rsidP="008A6DF9">
            <w:pPr>
              <w:rPr>
                <w:b/>
                <w:bCs/>
                <w:lang w:eastAsia="en-US"/>
              </w:rPr>
            </w:pPr>
            <w:r w:rsidRPr="00826BF7">
              <w:rPr>
                <w:b/>
                <w:bCs/>
                <w:lang w:eastAsia="en-US"/>
              </w:rPr>
              <w:t>Conclusion on the efficacy of the product</w:t>
            </w:r>
          </w:p>
        </w:tc>
      </w:tr>
      <w:tr w:rsidR="008A6DF9" w:rsidRPr="006A28CC" w14:paraId="680CC17B" w14:textId="77777777" w:rsidTr="008D7ED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FFFFFF" w:themeFill="background1"/>
          </w:tcPr>
          <w:p w14:paraId="537B6B73" w14:textId="77777777" w:rsidR="008A6DF9" w:rsidRPr="007947FB" w:rsidRDefault="008A6DF9" w:rsidP="008D7EDC">
            <w:pPr>
              <w:shd w:val="clear" w:color="auto" w:fill="FFFFFF" w:themeFill="background1"/>
              <w:spacing w:after="120"/>
              <w:jc w:val="both"/>
              <w:rPr>
                <w:rFonts w:cs="Arial"/>
              </w:rPr>
            </w:pPr>
            <w:r w:rsidRPr="007947FB">
              <w:rPr>
                <w:rFonts w:cs="Arial"/>
              </w:rPr>
              <w:lastRenderedPageBreak/>
              <w:t>French competent authorities (FR CA) considers that the elements presented, in the frame of the assessment of the major change application, are sufficient to demonstrate the efficacy of the product SPRAY REPULSIF IR200:</w:t>
            </w:r>
          </w:p>
          <w:p w14:paraId="40D601CE" w14:textId="77777777" w:rsidR="008A6DF9" w:rsidRPr="00B72FE2" w:rsidRDefault="008A6DF9" w:rsidP="008D7EDC">
            <w:pPr>
              <w:pStyle w:val="Paragraphedeliste"/>
              <w:numPr>
                <w:ilvl w:val="0"/>
                <w:numId w:val="42"/>
              </w:numPr>
              <w:shd w:val="clear" w:color="auto" w:fill="FFFFFF" w:themeFill="background1"/>
              <w:spacing w:before="0" w:after="120"/>
              <w:jc w:val="both"/>
              <w:rPr>
                <w:rFonts w:cs="Arial"/>
              </w:rPr>
            </w:pPr>
            <w:r w:rsidRPr="00B72FE2">
              <w:rPr>
                <w:rFonts w:cs="Arial"/>
              </w:rPr>
              <w:t>against mosquitoes (</w:t>
            </w:r>
            <w:r w:rsidRPr="00B72FE2">
              <w:rPr>
                <w:rFonts w:cs="Arial"/>
                <w:i/>
              </w:rPr>
              <w:t>Culex</w:t>
            </w:r>
            <w:r>
              <w:rPr>
                <w:rFonts w:cs="Arial"/>
              </w:rPr>
              <w:t xml:space="preserve"> spp. and</w:t>
            </w:r>
            <w:r w:rsidRPr="00B72FE2">
              <w:rPr>
                <w:rFonts w:cs="Arial"/>
              </w:rPr>
              <w:t xml:space="preserve"> </w:t>
            </w:r>
            <w:r w:rsidRPr="00B72FE2">
              <w:rPr>
                <w:rFonts w:cs="Arial"/>
                <w:i/>
              </w:rPr>
              <w:t>Aedes</w:t>
            </w:r>
            <w:r w:rsidRPr="00B72FE2">
              <w:rPr>
                <w:rFonts w:cs="Arial"/>
              </w:rPr>
              <w:t xml:space="preserve"> spp.) </w:t>
            </w:r>
            <w:r>
              <w:rPr>
                <w:rFonts w:cs="Arial"/>
              </w:rPr>
              <w:t xml:space="preserve">with a protection time of </w:t>
            </w:r>
            <w:r w:rsidRPr="00B72FE2">
              <w:rPr>
                <w:rFonts w:cs="Arial"/>
              </w:rPr>
              <w:t xml:space="preserve">4 hours when applied on skin at the application rate of 6 g product/m² under temperate conditions, </w:t>
            </w:r>
          </w:p>
          <w:p w14:paraId="6D100C4E" w14:textId="77777777" w:rsidR="008A6DF9" w:rsidRPr="00E13B19" w:rsidRDefault="008A6DF9" w:rsidP="008D7EDC">
            <w:pPr>
              <w:pStyle w:val="Paragraphedeliste"/>
              <w:numPr>
                <w:ilvl w:val="0"/>
                <w:numId w:val="42"/>
              </w:numPr>
              <w:shd w:val="clear" w:color="auto" w:fill="FFFFFF" w:themeFill="background1"/>
              <w:spacing w:before="0" w:after="120"/>
              <w:jc w:val="both"/>
              <w:rPr>
                <w:rFonts w:cs="Arial"/>
              </w:rPr>
            </w:pPr>
            <w:r w:rsidRPr="00B72FE2">
              <w:rPr>
                <w:rFonts w:cs="Arial"/>
              </w:rPr>
              <w:t>against mosquitoes (</w:t>
            </w:r>
            <w:r w:rsidRPr="00B72FE2">
              <w:rPr>
                <w:rFonts w:cs="Arial"/>
                <w:i/>
              </w:rPr>
              <w:t>Anopheles</w:t>
            </w:r>
            <w:r>
              <w:rPr>
                <w:rFonts w:cs="Arial"/>
              </w:rPr>
              <w:t xml:space="preserve"> spp. and</w:t>
            </w:r>
            <w:r w:rsidRPr="00B72FE2">
              <w:rPr>
                <w:rFonts w:cs="Arial"/>
              </w:rPr>
              <w:t xml:space="preserve"> </w:t>
            </w:r>
            <w:r w:rsidRPr="00B72FE2">
              <w:rPr>
                <w:rFonts w:cs="Arial"/>
                <w:i/>
              </w:rPr>
              <w:t>Aedes</w:t>
            </w:r>
            <w:r w:rsidRPr="00B72FE2">
              <w:rPr>
                <w:rFonts w:cs="Arial"/>
              </w:rPr>
              <w:t xml:space="preserve"> spp.) </w:t>
            </w:r>
            <w:r>
              <w:rPr>
                <w:rFonts w:cs="Arial"/>
              </w:rPr>
              <w:t>with a protection time of</w:t>
            </w:r>
            <w:r w:rsidRPr="00B72FE2">
              <w:rPr>
                <w:rFonts w:cs="Arial"/>
              </w:rPr>
              <w:t xml:space="preserve"> 3 hours when applied on skin</w:t>
            </w:r>
            <w:r w:rsidRPr="00B92FE4">
              <w:rPr>
                <w:rFonts w:cs="Arial"/>
              </w:rPr>
              <w:t xml:space="preserve"> at the application rate of 8 g</w:t>
            </w:r>
            <w:r w:rsidRPr="00E13B19">
              <w:rPr>
                <w:rFonts w:cs="Arial"/>
              </w:rPr>
              <w:t xml:space="preserve"> product/m² under tropical conditions,</w:t>
            </w:r>
          </w:p>
          <w:p w14:paraId="1BB50FB0" w14:textId="77777777" w:rsidR="008A6DF9" w:rsidRPr="00E13B19" w:rsidRDefault="008A6DF9" w:rsidP="008D7EDC">
            <w:pPr>
              <w:pStyle w:val="Paragraphedeliste"/>
              <w:numPr>
                <w:ilvl w:val="0"/>
                <w:numId w:val="42"/>
              </w:numPr>
              <w:shd w:val="clear" w:color="auto" w:fill="FFFFFF" w:themeFill="background1"/>
              <w:spacing w:before="0" w:after="120"/>
              <w:jc w:val="both"/>
              <w:rPr>
                <w:rFonts w:cs="Arial"/>
              </w:rPr>
            </w:pPr>
            <w:r w:rsidRPr="00E13B19">
              <w:rPr>
                <w:rFonts w:cs="Arial"/>
              </w:rPr>
              <w:t>against ticks (</w:t>
            </w:r>
            <w:r w:rsidRPr="00E13B19">
              <w:rPr>
                <w:rFonts w:cs="Arial"/>
                <w:i/>
              </w:rPr>
              <w:t>Ixodes ricinus</w:t>
            </w:r>
            <w:r w:rsidRPr="00E13B19">
              <w:rPr>
                <w:rFonts w:cs="Arial"/>
              </w:rPr>
              <w:t xml:space="preserve">) </w:t>
            </w:r>
            <w:r>
              <w:rPr>
                <w:rFonts w:cs="Arial"/>
              </w:rPr>
              <w:t xml:space="preserve">with a protection time of </w:t>
            </w:r>
            <w:r w:rsidRPr="00E13B19">
              <w:rPr>
                <w:rFonts w:cs="Arial"/>
              </w:rPr>
              <w:t xml:space="preserve">4 hours when applied on skin at the application rate of 6 g product/m² under temperate conditions, </w:t>
            </w:r>
          </w:p>
          <w:p w14:paraId="0C279674" w14:textId="77777777" w:rsidR="008A6DF9" w:rsidRDefault="008A6DF9" w:rsidP="008D7EDC">
            <w:pPr>
              <w:pStyle w:val="Paragraphedeliste"/>
              <w:numPr>
                <w:ilvl w:val="0"/>
                <w:numId w:val="42"/>
              </w:numPr>
              <w:shd w:val="clear" w:color="auto" w:fill="FFFFFF" w:themeFill="background1"/>
              <w:spacing w:before="0" w:after="0" w:line="260" w:lineRule="atLeast"/>
              <w:rPr>
                <w:rFonts w:cs="Arial"/>
              </w:rPr>
            </w:pPr>
            <w:r w:rsidRPr="00E13B19">
              <w:rPr>
                <w:rFonts w:cs="Arial"/>
              </w:rPr>
              <w:t xml:space="preserve">against </w:t>
            </w:r>
            <w:r w:rsidRPr="00E13B19">
              <w:rPr>
                <w:rFonts w:cs="Verdana"/>
                <w:lang w:eastAsia="zh-CN"/>
              </w:rPr>
              <w:t>House Dust mites (</w:t>
            </w:r>
            <w:r w:rsidRPr="00E13B19">
              <w:rPr>
                <w:rFonts w:cs="Verdana"/>
                <w:i/>
                <w:lang w:eastAsia="zh-CN"/>
              </w:rPr>
              <w:t>Dermatophago</w:t>
            </w:r>
            <w:r>
              <w:rPr>
                <w:rFonts w:cs="Verdana"/>
                <w:i/>
                <w:lang w:eastAsia="zh-CN"/>
              </w:rPr>
              <w:t>ï</w:t>
            </w:r>
            <w:r w:rsidRPr="00E13B19">
              <w:rPr>
                <w:rFonts w:cs="Verdana"/>
                <w:i/>
                <w:lang w:eastAsia="zh-CN"/>
              </w:rPr>
              <w:t>des pteronyssinus</w:t>
            </w:r>
            <w:r w:rsidRPr="00E13B19">
              <w:rPr>
                <w:rFonts w:cs="Verdana"/>
                <w:lang w:eastAsia="zh-CN"/>
              </w:rPr>
              <w:t xml:space="preserve">) </w:t>
            </w:r>
            <w:r w:rsidRPr="00E13B19">
              <w:rPr>
                <w:rFonts w:cs="Arial"/>
              </w:rPr>
              <w:t xml:space="preserve">up to 24 hours when applied on </w:t>
            </w:r>
            <w:r>
              <w:rPr>
                <w:rFonts w:cs="Arial"/>
              </w:rPr>
              <w:t>bed</w:t>
            </w:r>
            <w:r w:rsidRPr="00E13B19">
              <w:rPr>
                <w:rFonts w:cs="Arial"/>
              </w:rPr>
              <w:t xml:space="preserve"> linen (cotton) at the application rate of 8.5 g product/m²,</w:t>
            </w:r>
          </w:p>
          <w:p w14:paraId="65C38680" w14:textId="2DFF3B6A" w:rsidR="008A6DF9" w:rsidRPr="007947FB" w:rsidRDefault="008A6DF9" w:rsidP="008D7EDC">
            <w:pPr>
              <w:pStyle w:val="Paragraphedeliste"/>
              <w:numPr>
                <w:ilvl w:val="0"/>
                <w:numId w:val="42"/>
              </w:numPr>
              <w:shd w:val="clear" w:color="auto" w:fill="FFFFFF" w:themeFill="background1"/>
              <w:spacing w:before="0" w:after="0" w:line="260" w:lineRule="atLeast"/>
              <w:jc w:val="both"/>
              <w:rPr>
                <w:rFonts w:cs="Arial"/>
              </w:rPr>
            </w:pPr>
            <w:r w:rsidRPr="00BE0337">
              <w:rPr>
                <w:rFonts w:cs="Arial"/>
              </w:rPr>
              <w:t>against mosquitoes (</w:t>
            </w:r>
            <w:r w:rsidRPr="00BE0337">
              <w:rPr>
                <w:rFonts w:cs="Arial"/>
                <w:i/>
              </w:rPr>
              <w:t>Culex</w:t>
            </w:r>
            <w:r>
              <w:rPr>
                <w:rFonts w:cs="Arial"/>
              </w:rPr>
              <w:t xml:space="preserve"> spp. and</w:t>
            </w:r>
            <w:r w:rsidRPr="00BE0337">
              <w:rPr>
                <w:rFonts w:cs="Arial"/>
              </w:rPr>
              <w:t xml:space="preserve"> </w:t>
            </w:r>
            <w:r w:rsidRPr="00BE0337">
              <w:rPr>
                <w:rFonts w:cs="Arial"/>
                <w:i/>
              </w:rPr>
              <w:t>Aedes</w:t>
            </w:r>
            <w:r w:rsidRPr="00BE0337">
              <w:rPr>
                <w:rFonts w:cs="Arial"/>
              </w:rPr>
              <w:t xml:space="preserve"> spp.) when applied on textile (cotton and polyester)</w:t>
            </w:r>
            <w:r w:rsidRPr="007947FB">
              <w:rPr>
                <w:rFonts w:cs="Arial"/>
              </w:rPr>
              <w:t xml:space="preserve"> at the application rate of 6 g product/m² under temperate conditions</w:t>
            </w:r>
            <w:r>
              <w:rPr>
                <w:rFonts w:cs="Arial"/>
              </w:rPr>
              <w:t xml:space="preserve"> during a protection time of 8 hours after application and</w:t>
            </w:r>
            <w:r w:rsidRPr="007947FB">
              <w:rPr>
                <w:rFonts w:cs="Arial"/>
              </w:rPr>
              <w:t xml:space="preserve"> up to 30 days after </w:t>
            </w:r>
            <w:r w:rsidR="00D13FCD">
              <w:rPr>
                <w:rFonts w:cs="Arial"/>
              </w:rPr>
              <w:t>storage</w:t>
            </w:r>
            <w:r w:rsidR="001D60E9">
              <w:rPr>
                <w:rFonts w:cs="Arial"/>
              </w:rPr>
              <w:t xml:space="preserve"> </w:t>
            </w:r>
            <w:r w:rsidR="001D60E9" w:rsidRPr="008D0954">
              <w:rPr>
                <w:rFonts w:cs="Verdana"/>
                <w:lang w:eastAsia="zh-CN"/>
              </w:rPr>
              <w:t>in a closed packaging (such as a plastic bag)</w:t>
            </w:r>
            <w:r w:rsidRPr="007947FB">
              <w:rPr>
                <w:rFonts w:cs="Arial"/>
              </w:rPr>
              <w:t xml:space="preserve">, </w:t>
            </w:r>
          </w:p>
          <w:p w14:paraId="190BDCB4" w14:textId="0EEA7988" w:rsidR="008A6DF9" w:rsidRDefault="008A6DF9" w:rsidP="008D7EDC">
            <w:pPr>
              <w:pStyle w:val="Paragraphedeliste"/>
              <w:numPr>
                <w:ilvl w:val="0"/>
                <w:numId w:val="42"/>
              </w:numPr>
              <w:shd w:val="clear" w:color="auto" w:fill="FFFFFF" w:themeFill="background1"/>
              <w:spacing w:before="0" w:after="0" w:line="260" w:lineRule="atLeast"/>
              <w:jc w:val="both"/>
              <w:rPr>
                <w:rFonts w:cs="Arial"/>
              </w:rPr>
            </w:pPr>
            <w:r w:rsidRPr="007947FB">
              <w:rPr>
                <w:rFonts w:cs="Arial"/>
              </w:rPr>
              <w:t>against mosquitoes (</w:t>
            </w:r>
            <w:r w:rsidRPr="007947FB">
              <w:rPr>
                <w:rFonts w:cs="Arial"/>
                <w:i/>
              </w:rPr>
              <w:t>Anopheles</w:t>
            </w:r>
            <w:r>
              <w:rPr>
                <w:rFonts w:cs="Arial"/>
              </w:rPr>
              <w:t xml:space="preserve"> spp. and</w:t>
            </w:r>
            <w:r w:rsidRPr="007947FB">
              <w:rPr>
                <w:rFonts w:cs="Arial"/>
              </w:rPr>
              <w:t xml:space="preserve"> </w:t>
            </w:r>
            <w:r w:rsidRPr="007947FB">
              <w:rPr>
                <w:rFonts w:cs="Arial"/>
                <w:i/>
              </w:rPr>
              <w:t>Aedes</w:t>
            </w:r>
            <w:r w:rsidRPr="007947FB">
              <w:rPr>
                <w:rFonts w:cs="Arial"/>
              </w:rPr>
              <w:t xml:space="preserve"> spp.) when applied on textile (cotton and polyester) at the application</w:t>
            </w:r>
            <w:r>
              <w:rPr>
                <w:rFonts w:cs="Arial"/>
              </w:rPr>
              <w:t xml:space="preserve"> rate of </w:t>
            </w:r>
            <w:r w:rsidR="00532241">
              <w:rPr>
                <w:rFonts w:cs="Arial"/>
              </w:rPr>
              <w:t xml:space="preserve">6 </w:t>
            </w:r>
            <w:r>
              <w:rPr>
                <w:rFonts w:cs="Arial"/>
              </w:rPr>
              <w:t>g product/m² under tropical</w:t>
            </w:r>
            <w:r w:rsidRPr="007947FB">
              <w:rPr>
                <w:rFonts w:cs="Arial"/>
              </w:rPr>
              <w:t xml:space="preserve"> conditions </w:t>
            </w:r>
            <w:r>
              <w:rPr>
                <w:rFonts w:cs="Arial"/>
              </w:rPr>
              <w:t xml:space="preserve">during a protection time of 8 hours after application and </w:t>
            </w:r>
            <w:r w:rsidRPr="007947FB">
              <w:rPr>
                <w:rFonts w:cs="Arial"/>
              </w:rPr>
              <w:t xml:space="preserve">up to 30 days after </w:t>
            </w:r>
            <w:r w:rsidR="00D13FCD">
              <w:rPr>
                <w:rFonts w:cs="Arial"/>
              </w:rPr>
              <w:t>storage</w:t>
            </w:r>
            <w:r w:rsidR="001D60E9" w:rsidRPr="008D0954">
              <w:rPr>
                <w:rFonts w:cs="Verdana"/>
                <w:lang w:eastAsia="zh-CN"/>
              </w:rPr>
              <w:t xml:space="preserve"> in a closed packaging (such as a plastic bag)</w:t>
            </w:r>
            <w:r w:rsidRPr="007947FB">
              <w:rPr>
                <w:rFonts w:cs="Arial"/>
              </w:rPr>
              <w:t xml:space="preserve">, </w:t>
            </w:r>
          </w:p>
          <w:p w14:paraId="771EB70F" w14:textId="554BD278" w:rsidR="008A6DF9" w:rsidRPr="00BA6DE3" w:rsidRDefault="008A6DF9" w:rsidP="008D7EDC">
            <w:pPr>
              <w:pStyle w:val="Paragraphedeliste"/>
              <w:numPr>
                <w:ilvl w:val="0"/>
                <w:numId w:val="42"/>
              </w:numPr>
              <w:shd w:val="clear" w:color="auto" w:fill="FFFFFF" w:themeFill="background1"/>
              <w:spacing w:before="0" w:after="0" w:line="260" w:lineRule="atLeast"/>
              <w:jc w:val="both"/>
              <w:rPr>
                <w:rFonts w:cs="Arial"/>
              </w:rPr>
            </w:pPr>
            <w:r w:rsidRPr="007947FB">
              <w:rPr>
                <w:rFonts w:cs="Arial"/>
              </w:rPr>
              <w:t>against ticks (</w:t>
            </w:r>
            <w:r w:rsidRPr="007947FB">
              <w:rPr>
                <w:rFonts w:cs="Arial"/>
                <w:i/>
              </w:rPr>
              <w:t>Ixodes ricinus</w:t>
            </w:r>
            <w:r w:rsidRPr="007947FB">
              <w:rPr>
                <w:rFonts w:cs="Arial"/>
              </w:rPr>
              <w:t xml:space="preserve">) when applied on textile (cotton and polyester) at the application rate of </w:t>
            </w:r>
            <w:r w:rsidR="0053250B">
              <w:rPr>
                <w:rFonts w:cs="Arial"/>
              </w:rPr>
              <w:t>8.5</w:t>
            </w:r>
            <w:r w:rsidRPr="007947FB">
              <w:rPr>
                <w:rFonts w:cs="Arial"/>
              </w:rPr>
              <w:t xml:space="preserve"> g product/m² under temperate conditions </w:t>
            </w:r>
            <w:r>
              <w:rPr>
                <w:rFonts w:cs="Arial"/>
              </w:rPr>
              <w:t xml:space="preserve">during a protection time of 6 hours after application and </w:t>
            </w:r>
            <w:r w:rsidRPr="007947FB">
              <w:rPr>
                <w:rFonts w:cs="Arial"/>
              </w:rPr>
              <w:t xml:space="preserve">up to 7 days after </w:t>
            </w:r>
            <w:r w:rsidR="00D13FCD">
              <w:rPr>
                <w:rFonts w:cs="Arial"/>
              </w:rPr>
              <w:t>storage</w:t>
            </w:r>
            <w:r w:rsidR="001D60E9">
              <w:rPr>
                <w:rFonts w:cs="Arial"/>
              </w:rPr>
              <w:t xml:space="preserve"> </w:t>
            </w:r>
            <w:r w:rsidR="001D60E9" w:rsidRPr="008D0954">
              <w:rPr>
                <w:rFonts w:cs="Verdana"/>
                <w:lang w:eastAsia="zh-CN"/>
              </w:rPr>
              <w:t>in a closed packaging (such as a plastic bag)</w:t>
            </w:r>
            <w:r>
              <w:rPr>
                <w:rFonts w:cs="Arial"/>
              </w:rPr>
              <w:t>.</w:t>
            </w:r>
          </w:p>
          <w:p w14:paraId="7061BA33" w14:textId="77777777" w:rsidR="008A6DF9" w:rsidRPr="00AB3960" w:rsidRDefault="008A6DF9" w:rsidP="008D7EDC">
            <w:pPr>
              <w:pStyle w:val="Paragraphedeliste"/>
              <w:shd w:val="clear" w:color="auto" w:fill="FFFFFF" w:themeFill="background1"/>
              <w:ind w:left="1068"/>
              <w:rPr>
                <w:rFonts w:cs="Arial"/>
              </w:rPr>
            </w:pPr>
          </w:p>
          <w:p w14:paraId="70312B30" w14:textId="68323442" w:rsidR="008A6DF9" w:rsidRDefault="008A6DF9" w:rsidP="008D7EDC">
            <w:pPr>
              <w:shd w:val="clear" w:color="auto" w:fill="FFFFFF" w:themeFill="background1"/>
              <w:jc w:val="both"/>
              <w:rPr>
                <w:rFonts w:cs="Arial"/>
              </w:rPr>
            </w:pPr>
            <w:r w:rsidRPr="00E13B19">
              <w:rPr>
                <w:rFonts w:cs="Arial"/>
              </w:rPr>
              <w:t>Nevertheless, FR CA consider</w:t>
            </w:r>
            <w:r>
              <w:rPr>
                <w:rFonts w:cs="Arial"/>
              </w:rPr>
              <w:t>s</w:t>
            </w:r>
            <w:r w:rsidRPr="00E13B19">
              <w:rPr>
                <w:rFonts w:cs="Arial"/>
              </w:rPr>
              <w:t xml:space="preserve"> that the elements presented in the dossier are not sufficient to demonstrate the efficacy of the product SPRAY REPULSIF</w:t>
            </w:r>
            <w:r w:rsidRPr="00BE0337">
              <w:rPr>
                <w:rFonts w:cs="Arial"/>
              </w:rPr>
              <w:t xml:space="preserve"> IR200</w:t>
            </w:r>
            <w:r>
              <w:rPr>
                <w:rFonts w:cs="Arial"/>
              </w:rPr>
              <w:t xml:space="preserve"> </w:t>
            </w:r>
            <w:r w:rsidRPr="007947FB">
              <w:rPr>
                <w:rFonts w:cs="Arial"/>
              </w:rPr>
              <w:t xml:space="preserve">against </w:t>
            </w:r>
            <w:r>
              <w:rPr>
                <w:rFonts w:cs="Arial"/>
              </w:rPr>
              <w:t xml:space="preserve">human </w:t>
            </w:r>
            <w:r>
              <w:rPr>
                <w:rFonts w:cs="Verdana"/>
                <w:lang w:eastAsia="zh-CN"/>
              </w:rPr>
              <w:t>head lice (</w:t>
            </w:r>
            <w:r w:rsidRPr="00E13B19">
              <w:rPr>
                <w:rFonts w:cs="Verdana"/>
                <w:i/>
                <w:lang w:eastAsia="zh-CN"/>
              </w:rPr>
              <w:t>Pedicul</w:t>
            </w:r>
            <w:r w:rsidR="00F4760B">
              <w:rPr>
                <w:rFonts w:cs="Verdana"/>
                <w:i/>
                <w:lang w:eastAsia="zh-CN"/>
              </w:rPr>
              <w:t>us</w:t>
            </w:r>
            <w:r w:rsidRPr="00E13B19">
              <w:rPr>
                <w:rFonts w:cs="Verdana"/>
                <w:i/>
                <w:lang w:eastAsia="zh-CN"/>
              </w:rPr>
              <w:t xml:space="preserve"> humanus capitis</w:t>
            </w:r>
            <w:r w:rsidRPr="00E13B19">
              <w:rPr>
                <w:rFonts w:cs="Verdana"/>
                <w:lang w:eastAsia="zh-CN"/>
              </w:rPr>
              <w:t xml:space="preserve">) </w:t>
            </w:r>
            <w:r w:rsidRPr="00E13B19">
              <w:rPr>
                <w:rFonts w:cs="Arial"/>
              </w:rPr>
              <w:t>when applied o</w:t>
            </w:r>
            <w:r w:rsidRPr="00E13B19">
              <w:rPr>
                <w:rFonts w:cs="Verdana"/>
                <w:lang w:eastAsia="zh-CN"/>
              </w:rPr>
              <w:t>n bed linen</w:t>
            </w:r>
            <w:r>
              <w:rPr>
                <w:rFonts w:cs="Verdana"/>
                <w:lang w:eastAsia="zh-CN"/>
              </w:rPr>
              <w:t xml:space="preserve"> (cotton)</w:t>
            </w:r>
            <w:r w:rsidRPr="00E13B19">
              <w:rPr>
                <w:rFonts w:cs="Verdana"/>
                <w:lang w:eastAsia="zh-CN"/>
              </w:rPr>
              <w:t xml:space="preserve"> and/or cloth's surface</w:t>
            </w:r>
            <w:r w:rsidRPr="00E13B19">
              <w:rPr>
                <w:rFonts w:cs="Arial"/>
              </w:rPr>
              <w:t xml:space="preserve"> (cotton and polyester) at the application rate of </w:t>
            </w:r>
            <w:r w:rsidR="003E14A1">
              <w:rPr>
                <w:rFonts w:cs="Arial"/>
              </w:rPr>
              <w:t>10</w:t>
            </w:r>
            <w:r w:rsidRPr="00E13B19">
              <w:rPr>
                <w:rFonts w:cs="Arial"/>
              </w:rPr>
              <w:t xml:space="preserve"> g product/m² under temperate conditions</w:t>
            </w:r>
            <w:r w:rsidR="00B90DE0">
              <w:rPr>
                <w:rFonts w:cs="Arial"/>
              </w:rPr>
              <w:t>. Indeed</w:t>
            </w:r>
            <w:r w:rsidRPr="00E13B19">
              <w:rPr>
                <w:rFonts w:cs="Arial"/>
              </w:rPr>
              <w:t xml:space="preserve"> </w:t>
            </w:r>
            <w:r w:rsidR="00B90DE0">
              <w:rPr>
                <w:rFonts w:cs="Arial"/>
              </w:rPr>
              <w:t>t</w:t>
            </w:r>
            <w:r w:rsidR="00B90DE0" w:rsidRPr="00D91785">
              <w:rPr>
                <w:rFonts w:cs="Arial"/>
              </w:rPr>
              <w:t xml:space="preserve">he </w:t>
            </w:r>
            <w:r w:rsidR="00B90DE0">
              <w:rPr>
                <w:rFonts w:cs="Arial"/>
              </w:rPr>
              <w:t>efficacy tests</w:t>
            </w:r>
            <w:r w:rsidR="00B90DE0" w:rsidRPr="00D91785">
              <w:rPr>
                <w:rFonts w:cs="Arial"/>
              </w:rPr>
              <w:t xml:space="preserve"> provided present methodological</w:t>
            </w:r>
            <w:r w:rsidR="00B90DE0">
              <w:rPr>
                <w:rFonts w:cs="Arial"/>
              </w:rPr>
              <w:t xml:space="preserve"> biases</w:t>
            </w:r>
            <w:r w:rsidR="00B90DE0" w:rsidRPr="00D91785">
              <w:rPr>
                <w:rFonts w:cs="Arial"/>
              </w:rPr>
              <w:t xml:space="preserve"> (random behaviour of lice in control</w:t>
            </w:r>
            <w:r w:rsidR="00B90DE0">
              <w:rPr>
                <w:rFonts w:cs="Arial"/>
              </w:rPr>
              <w:t xml:space="preserve">s, not attracted by the textile) </w:t>
            </w:r>
            <w:r w:rsidR="001A47AF" w:rsidRPr="001A47AF">
              <w:rPr>
                <w:rFonts w:cs="Arial"/>
              </w:rPr>
              <w:t>and</w:t>
            </w:r>
            <w:r w:rsidR="005377F4">
              <w:t xml:space="preserve"> </w:t>
            </w:r>
            <w:r w:rsidR="005377F4" w:rsidRPr="005377F4">
              <w:rPr>
                <w:rFonts w:cs="Arial"/>
              </w:rPr>
              <w:t xml:space="preserve">the test design in not relevant </w:t>
            </w:r>
            <w:r w:rsidR="001A47AF" w:rsidRPr="001A47AF">
              <w:rPr>
                <w:rFonts w:cs="Arial"/>
              </w:rPr>
              <w:t>to derive a CPT</w:t>
            </w:r>
            <w:r>
              <w:rPr>
                <w:rFonts w:cs="Arial"/>
              </w:rPr>
              <w:t>.</w:t>
            </w:r>
          </w:p>
          <w:p w14:paraId="2952C999" w14:textId="77777777" w:rsidR="008A6DF9" w:rsidRPr="00905A62" w:rsidRDefault="008A6DF9" w:rsidP="008A6DF9">
            <w:pPr>
              <w:jc w:val="both"/>
              <w:rPr>
                <w:rFonts w:cs="Arial"/>
                <w:bCs/>
                <w:iCs/>
                <w:lang w:eastAsia="en-US"/>
              </w:rPr>
            </w:pPr>
          </w:p>
        </w:tc>
      </w:tr>
    </w:tbl>
    <w:p w14:paraId="6627C08C" w14:textId="77777777" w:rsidR="003839E7" w:rsidRPr="00BD2EF1" w:rsidRDefault="003839E7" w:rsidP="008D7EDC">
      <w:pPr>
        <w:pStyle w:val="Titre4"/>
        <w:shd w:val="clear" w:color="auto" w:fill="FFFFFF" w:themeFill="background1"/>
      </w:pPr>
      <w:bookmarkStart w:id="153" w:name="_Toc93326542"/>
      <w:r w:rsidRPr="00BD2EF1">
        <w:t>Occurrence of resistance and resistance management</w:t>
      </w:r>
      <w:bookmarkEnd w:id="149"/>
      <w:bookmarkEnd w:id="150"/>
      <w:bookmarkEnd w:id="151"/>
      <w:bookmarkEnd w:id="152"/>
      <w:bookmarkEnd w:id="153"/>
    </w:p>
    <w:p w14:paraId="17160CED" w14:textId="77777777" w:rsidR="00A353D3" w:rsidRDefault="00965030" w:rsidP="008D7EDC">
      <w:pPr>
        <w:shd w:val="clear" w:color="auto" w:fill="FFFFFF" w:themeFill="background1"/>
      </w:pPr>
      <w:bookmarkStart w:id="154" w:name="_Toc389725203"/>
      <w:bookmarkStart w:id="155" w:name="_Toc389726195"/>
      <w:bookmarkStart w:id="156" w:name="_Toc389727247"/>
      <w:bookmarkStart w:id="157" w:name="_Toc389727605"/>
      <w:bookmarkStart w:id="158" w:name="_Toc389727964"/>
      <w:bookmarkStart w:id="159" w:name="_Toc389728323"/>
      <w:bookmarkStart w:id="160" w:name="_Toc389728683"/>
      <w:bookmarkStart w:id="161" w:name="_Toc389729041"/>
      <w:bookmarkStart w:id="162" w:name="_Toc389725204"/>
      <w:bookmarkStart w:id="163" w:name="_Toc389726196"/>
      <w:bookmarkStart w:id="164" w:name="_Toc389727248"/>
      <w:bookmarkStart w:id="165" w:name="_Toc389727606"/>
      <w:bookmarkStart w:id="166" w:name="_Toc389727965"/>
      <w:bookmarkStart w:id="167" w:name="_Toc389728324"/>
      <w:bookmarkStart w:id="168" w:name="_Toc389728684"/>
      <w:bookmarkStart w:id="169" w:name="_Toc389729042"/>
      <w:bookmarkStart w:id="170" w:name="_Toc389729043"/>
      <w:bookmarkStart w:id="171" w:name="_Toc403472750"/>
      <w:bookmarkStart w:id="172" w:name="_Toc403566571"/>
      <w:bookmarkStart w:id="173" w:name="_Toc42534411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F289E">
        <w:t xml:space="preserve">Only very limited occurrence of resistance towards IR3535 has been reported so far. </w:t>
      </w:r>
    </w:p>
    <w:p w14:paraId="419BB2AD" w14:textId="0B95DAB2" w:rsidR="00A353D3" w:rsidRPr="005B4904" w:rsidRDefault="00965030" w:rsidP="008D7EDC">
      <w:pPr>
        <w:shd w:val="clear" w:color="auto" w:fill="FFFFFF" w:themeFill="background1"/>
        <w:jc w:val="both"/>
        <w:rPr>
          <w:i/>
          <w:iCs/>
          <w:lang w:val="sv-SE" w:eastAsia="en-US"/>
        </w:rPr>
      </w:pPr>
      <w:r w:rsidRPr="007F289E">
        <w:t xml:space="preserve">A recent </w:t>
      </w:r>
      <w:r w:rsidR="001C1094" w:rsidRPr="00911275">
        <w:t>study</w:t>
      </w:r>
      <w:r w:rsidR="005B4904" w:rsidRPr="00911275">
        <w:rPr>
          <w:rStyle w:val="Appelnotedebasdep"/>
          <w:szCs w:val="16"/>
          <w:lang w:val="sv-SE"/>
        </w:rPr>
        <w:footnoteReference w:id="7"/>
      </w:r>
      <w:r w:rsidR="001C1094" w:rsidRPr="00911275">
        <w:t xml:space="preserve"> </w:t>
      </w:r>
      <w:r w:rsidR="005B4904" w:rsidRPr="00911275">
        <w:t>showed</w:t>
      </w:r>
      <w:r w:rsidR="005B4904" w:rsidRPr="007F289E">
        <w:t xml:space="preserve"> </w:t>
      </w:r>
      <w:r w:rsidR="001C1094" w:rsidRPr="007F289E">
        <w:t>reduced sensitivity to IR3535</w:t>
      </w:r>
      <w:r w:rsidR="005B4904" w:rsidRPr="007F289E">
        <w:t xml:space="preserve"> (12-fold)</w:t>
      </w:r>
      <w:r w:rsidR="001C1094" w:rsidRPr="007F289E">
        <w:t xml:space="preserve"> in a</w:t>
      </w:r>
      <w:r w:rsidRPr="007F289E">
        <w:t xml:space="preserve"> </w:t>
      </w:r>
      <w:r w:rsidR="001C1094" w:rsidRPr="007F289E">
        <w:t xml:space="preserve">pyrethroid resistant Puerto Rico strain </w:t>
      </w:r>
      <w:r w:rsidRPr="00354F38">
        <w:t xml:space="preserve">of </w:t>
      </w:r>
      <w:r w:rsidRPr="00354F38">
        <w:rPr>
          <w:i/>
        </w:rPr>
        <w:t xml:space="preserve">Aedes aegypti </w:t>
      </w:r>
      <w:r w:rsidR="001C1094" w:rsidRPr="00354F38">
        <w:t>compared to</w:t>
      </w:r>
      <w:r w:rsidR="005B4904" w:rsidRPr="00354F38">
        <w:t xml:space="preserve"> a non pyrethroid resistant</w:t>
      </w:r>
      <w:r w:rsidR="001C1094" w:rsidRPr="00354F38">
        <w:t xml:space="preserve"> strain</w:t>
      </w:r>
      <w:r w:rsidR="005B4904" w:rsidRPr="00354F38">
        <w:t xml:space="preserve"> (Orlando)</w:t>
      </w:r>
      <w:r w:rsidRPr="00354F38">
        <w:t>.</w:t>
      </w:r>
      <w:r w:rsidR="005B4904" w:rsidRPr="007F289E">
        <w:t xml:space="preserve"> This broad cross-resistance may suggest that the repellency resistance could be due in part to a fitness cost, expressed as altered physiological responses in olfactory pathways related to the </w:t>
      </w:r>
      <w:r w:rsidR="005B4904" w:rsidRPr="00354F38">
        <w:rPr>
          <w:i/>
        </w:rPr>
        <w:t>kdr</w:t>
      </w:r>
      <w:r w:rsidR="005B4904" w:rsidRPr="00354F38">
        <w:t xml:space="preserve"> mutation in the sodium channel. </w:t>
      </w:r>
      <w:r w:rsidRPr="00354F38">
        <w:t xml:space="preserve"> </w:t>
      </w:r>
      <w:r w:rsidR="005B4904" w:rsidRPr="007F289E">
        <w:rPr>
          <w:lang w:val="sv-SE"/>
        </w:rPr>
        <w:t xml:space="preserve"> </w:t>
      </w:r>
    </w:p>
    <w:p w14:paraId="04C27BD1" w14:textId="77777777" w:rsidR="00A07491" w:rsidRDefault="004E1CC8" w:rsidP="008D7EDC">
      <w:pPr>
        <w:shd w:val="clear" w:color="auto" w:fill="FFFFFF" w:themeFill="background1"/>
        <w:jc w:val="both"/>
        <w:rPr>
          <w:rFonts w:cs="Arial"/>
        </w:rPr>
      </w:pPr>
      <w:r w:rsidRPr="00B72FE2">
        <w:rPr>
          <w:rFonts w:cs="Arial"/>
        </w:rPr>
        <w:t>Considering the importance of this active substance in vector control, the authorisation holder has to implement a monitoring of scientific literature toward the active substance IR3535. Results of this assessment must be submitted to the Competent Authorities (CA) or other appointed bodies involved in resistance management every 5 years.</w:t>
      </w:r>
    </w:p>
    <w:p w14:paraId="4ADC5D51" w14:textId="2048D5C3" w:rsidR="003839E7" w:rsidRDefault="004E1CC8" w:rsidP="008D7EDC">
      <w:pPr>
        <w:pStyle w:val="Titre4"/>
        <w:shd w:val="clear" w:color="auto" w:fill="FFFFFF" w:themeFill="background1"/>
      </w:pPr>
      <w:r>
        <w:rPr>
          <w:rFonts w:cs="Arial"/>
        </w:rPr>
        <w:t xml:space="preserve"> </w:t>
      </w:r>
      <w:bookmarkStart w:id="174" w:name="_Toc93326543"/>
      <w:r w:rsidR="003839E7" w:rsidRPr="00BD2EF1">
        <w:t>Known limitations</w:t>
      </w:r>
      <w:bookmarkEnd w:id="170"/>
      <w:bookmarkEnd w:id="171"/>
      <w:bookmarkEnd w:id="172"/>
      <w:bookmarkEnd w:id="173"/>
      <w:bookmarkEnd w:id="174"/>
    </w:p>
    <w:p w14:paraId="1756F9F0" w14:textId="08AC9CF8" w:rsidR="00805040" w:rsidRDefault="00805040" w:rsidP="00805040">
      <w:pPr>
        <w:rPr>
          <w:lang w:eastAsia="en-US"/>
        </w:rPr>
      </w:pPr>
    </w:p>
    <w:p w14:paraId="241AA3F0" w14:textId="77777777" w:rsidR="00805040" w:rsidRPr="009461FB" w:rsidRDefault="00805040" w:rsidP="00805040">
      <w:pPr>
        <w:pStyle w:val="Paragraphedeliste"/>
        <w:numPr>
          <w:ilvl w:val="0"/>
          <w:numId w:val="68"/>
        </w:numPr>
        <w:rPr>
          <w:b/>
        </w:rPr>
      </w:pPr>
      <w:r w:rsidRPr="009461FB">
        <w:rPr>
          <w:b/>
        </w:rPr>
        <w:t>FIRST AUTHORISATION – 2017 (BE CA)</w:t>
      </w:r>
    </w:p>
    <w:p w14:paraId="610E9E9F" w14:textId="77777777" w:rsidR="00805040" w:rsidRPr="00805040" w:rsidRDefault="00805040" w:rsidP="00805040">
      <w:pPr>
        <w:rPr>
          <w:lang w:eastAsia="en-US"/>
        </w:rPr>
      </w:pPr>
    </w:p>
    <w:p w14:paraId="3861649B" w14:textId="77777777" w:rsidR="007141E5" w:rsidRDefault="007141E5" w:rsidP="0000766C">
      <w:pPr>
        <w:pStyle w:val="Paragraphedeliste"/>
        <w:numPr>
          <w:ilvl w:val="0"/>
          <w:numId w:val="15"/>
        </w:numPr>
        <w:rPr>
          <w:rFonts w:eastAsia="Calibri"/>
        </w:rPr>
      </w:pPr>
      <w:r w:rsidRPr="0000766C">
        <w:rPr>
          <w:rFonts w:eastAsia="Calibri"/>
        </w:rPr>
        <w:t>Only apply after use of a pediculicidal treatment</w:t>
      </w:r>
    </w:p>
    <w:p w14:paraId="4E4D78AD" w14:textId="77777777" w:rsidR="0000766C" w:rsidRPr="0000766C" w:rsidRDefault="0000766C" w:rsidP="0000766C">
      <w:pPr>
        <w:rPr>
          <w:rFonts w:eastAsia="Calibri"/>
        </w:rPr>
      </w:pPr>
    </w:p>
    <w:p w14:paraId="1785C198" w14:textId="7461E8D9" w:rsidR="007141E5" w:rsidRDefault="007141E5" w:rsidP="0000766C">
      <w:pPr>
        <w:pStyle w:val="Paragraphedeliste"/>
        <w:numPr>
          <w:ilvl w:val="0"/>
          <w:numId w:val="15"/>
        </w:numPr>
        <w:rPr>
          <w:rFonts w:eastAsia="Calibri"/>
        </w:rPr>
      </w:pPr>
      <w:r w:rsidRPr="0000766C">
        <w:rPr>
          <w:rFonts w:eastAsia="Calibri"/>
        </w:rPr>
        <w:t xml:space="preserve">The application must be repeated after washing the hair. The biocidal product should only be applied by adults to children under </w:t>
      </w:r>
      <w:r w:rsidR="005D52E9">
        <w:rPr>
          <w:rFonts w:eastAsia="Calibri"/>
        </w:rPr>
        <w:t>11</w:t>
      </w:r>
      <w:r w:rsidRPr="0000766C">
        <w:rPr>
          <w:rFonts w:eastAsia="Calibri"/>
        </w:rPr>
        <w:t xml:space="preserve"> years (see next comment). </w:t>
      </w:r>
    </w:p>
    <w:p w14:paraId="5E56A616" w14:textId="77777777" w:rsidR="0000766C" w:rsidRPr="0000766C" w:rsidRDefault="0000766C" w:rsidP="0000766C">
      <w:pPr>
        <w:rPr>
          <w:rFonts w:eastAsia="Calibri"/>
        </w:rPr>
      </w:pPr>
    </w:p>
    <w:p w14:paraId="6286B618" w14:textId="4A230626" w:rsidR="00A07491" w:rsidRPr="00A07491" w:rsidRDefault="007141E5" w:rsidP="00F4760B">
      <w:pPr>
        <w:pStyle w:val="Paragraphedeliste"/>
        <w:numPr>
          <w:ilvl w:val="0"/>
          <w:numId w:val="15"/>
        </w:numPr>
        <w:rPr>
          <w:rFonts w:eastAsia="Calibri"/>
        </w:rPr>
      </w:pPr>
      <w:r w:rsidRPr="0000766C">
        <w:rPr>
          <w:rFonts w:eastAsia="Calibri"/>
        </w:rPr>
        <w:t>For continued protection: Reapply at the latest after 2 days on cleaned and dry or towel dried hair. Reapply earlier, if the hair was in contact with water (like after rain or swimming) until there is no longer a risk of infestation.</w:t>
      </w:r>
    </w:p>
    <w:p w14:paraId="067A8CF2" w14:textId="54A10C9B" w:rsidR="003839E7" w:rsidRDefault="003839E7" w:rsidP="003839E7">
      <w:pPr>
        <w:pStyle w:val="Titre4"/>
      </w:pPr>
      <w:bookmarkStart w:id="175" w:name="_Toc389725206"/>
      <w:bookmarkStart w:id="176" w:name="_Toc389726198"/>
      <w:bookmarkStart w:id="177" w:name="_Toc389727250"/>
      <w:bookmarkStart w:id="178" w:name="_Toc389727608"/>
      <w:bookmarkStart w:id="179" w:name="_Toc389727967"/>
      <w:bookmarkStart w:id="180" w:name="_Toc389728326"/>
      <w:bookmarkStart w:id="181" w:name="_Toc389728686"/>
      <w:bookmarkStart w:id="182" w:name="_Toc389729044"/>
      <w:bookmarkStart w:id="183" w:name="_Toc389729045"/>
      <w:bookmarkStart w:id="184" w:name="_Toc403472751"/>
      <w:bookmarkStart w:id="185" w:name="_Toc403566572"/>
      <w:bookmarkStart w:id="186" w:name="_Toc425344113"/>
      <w:bookmarkStart w:id="187" w:name="_Toc93326544"/>
      <w:bookmarkEnd w:id="175"/>
      <w:bookmarkEnd w:id="176"/>
      <w:bookmarkEnd w:id="177"/>
      <w:bookmarkEnd w:id="178"/>
      <w:bookmarkEnd w:id="179"/>
      <w:bookmarkEnd w:id="180"/>
      <w:bookmarkEnd w:id="181"/>
      <w:bookmarkEnd w:id="182"/>
      <w:r w:rsidRPr="00BD2EF1">
        <w:t>Evaluation of the label claims</w:t>
      </w:r>
      <w:bookmarkEnd w:id="183"/>
      <w:bookmarkEnd w:id="184"/>
      <w:bookmarkEnd w:id="185"/>
      <w:bookmarkEnd w:id="186"/>
      <w:bookmarkEnd w:id="187"/>
    </w:p>
    <w:p w14:paraId="315EDA12" w14:textId="77777777" w:rsidR="00805040" w:rsidRPr="009461FB" w:rsidRDefault="00805040" w:rsidP="00805040">
      <w:pPr>
        <w:pStyle w:val="Paragraphedeliste"/>
        <w:numPr>
          <w:ilvl w:val="0"/>
          <w:numId w:val="68"/>
        </w:numPr>
        <w:rPr>
          <w:b/>
        </w:rPr>
      </w:pPr>
      <w:r w:rsidRPr="009461FB">
        <w:rPr>
          <w:b/>
        </w:rPr>
        <w:t>FIRST AUTHORISATION – 2017 (BE CA)</w:t>
      </w:r>
    </w:p>
    <w:p w14:paraId="416D76D1" w14:textId="77777777" w:rsidR="00AA169E" w:rsidRPr="00AA169E" w:rsidRDefault="00AA169E" w:rsidP="00AA169E">
      <w:pPr>
        <w:rPr>
          <w:lang w:eastAsia="en-US"/>
        </w:rPr>
      </w:pPr>
    </w:p>
    <w:p w14:paraId="267DC24F" w14:textId="77777777" w:rsidR="00A60F5B" w:rsidRDefault="00A60F5B" w:rsidP="00D471B6">
      <w:pPr>
        <w:pStyle w:val="Paragraphedeliste"/>
        <w:numPr>
          <w:ilvl w:val="0"/>
          <w:numId w:val="15"/>
        </w:numPr>
        <w:rPr>
          <w:rFonts w:eastAsia="Calibri"/>
        </w:rPr>
      </w:pPr>
      <w:bookmarkStart w:id="188" w:name="_Toc389729046"/>
      <w:bookmarkStart w:id="189" w:name="_Toc403472752"/>
      <w:bookmarkStart w:id="190" w:name="_Toc403566573"/>
      <w:bookmarkStart w:id="191" w:name="_Toc425344114"/>
      <w:r w:rsidRPr="00A60F5B">
        <w:rPr>
          <w:rFonts w:eastAsia="Calibri"/>
        </w:rPr>
        <w:t>As the application rate is not mentioned on the label, eCA have suggested to the Applicant to mention on the label “make sure that scalp &amp; hair is sufficiently moistened”.</w:t>
      </w:r>
    </w:p>
    <w:p w14:paraId="4194297B" w14:textId="77777777" w:rsidR="00A60F5B" w:rsidRPr="00A60F5B" w:rsidRDefault="00A60F5B" w:rsidP="00A60F5B">
      <w:pPr>
        <w:rPr>
          <w:rFonts w:eastAsia="Calibri"/>
        </w:rPr>
      </w:pPr>
    </w:p>
    <w:p w14:paraId="6C0827A3" w14:textId="77777777" w:rsidR="00A60F5B" w:rsidRDefault="00A60F5B" w:rsidP="00D471B6">
      <w:pPr>
        <w:pStyle w:val="Paragraphedeliste"/>
        <w:numPr>
          <w:ilvl w:val="0"/>
          <w:numId w:val="15"/>
        </w:numPr>
        <w:rPr>
          <w:rFonts w:eastAsia="Calibri"/>
        </w:rPr>
      </w:pPr>
      <w:r w:rsidRPr="00A60F5B">
        <w:rPr>
          <w:rFonts w:eastAsia="Calibri"/>
        </w:rPr>
        <w:t>As the application time is not mentioned on the label, eCA have suggested to the Applicant to mention on the label that the product is a leave-on product and that the “protection time can be lowered by wash off”.</w:t>
      </w:r>
    </w:p>
    <w:p w14:paraId="0FE5998B" w14:textId="77777777" w:rsidR="00A60F5B" w:rsidRPr="00A60F5B" w:rsidRDefault="00A60F5B" w:rsidP="00A60F5B">
      <w:pPr>
        <w:pStyle w:val="Paragraphedeliste"/>
        <w:rPr>
          <w:rFonts w:eastAsia="Calibri"/>
        </w:rPr>
      </w:pPr>
    </w:p>
    <w:p w14:paraId="764030C0" w14:textId="77777777" w:rsidR="00A60F5B" w:rsidRPr="00A60F5B" w:rsidRDefault="00A60F5B" w:rsidP="00D471B6">
      <w:pPr>
        <w:pStyle w:val="Paragraphedeliste"/>
        <w:numPr>
          <w:ilvl w:val="0"/>
          <w:numId w:val="15"/>
        </w:numPr>
        <w:rPr>
          <w:rFonts w:eastAsia="Calibri"/>
        </w:rPr>
      </w:pPr>
      <w:r w:rsidRPr="00A60F5B">
        <w:rPr>
          <w:rFonts w:eastAsia="Calibri"/>
        </w:rPr>
        <w:t>eCA is in favour to use the term “limit” instead of “prevent” to reflect the fact that the product doesn’t exhibit 100% repellence !</w:t>
      </w:r>
    </w:p>
    <w:p w14:paraId="179B2BFD" w14:textId="77777777" w:rsidR="00A60F5B" w:rsidRPr="0008732C" w:rsidRDefault="00A60F5B" w:rsidP="00A60F5B">
      <w:pPr>
        <w:rPr>
          <w:rFonts w:eastAsia="Calibri"/>
          <w:lang w:val="en-US"/>
        </w:rPr>
      </w:pPr>
    </w:p>
    <w:p w14:paraId="36F354AA" w14:textId="77777777" w:rsidR="00A60F5B" w:rsidRDefault="00A60F5B" w:rsidP="00A60F5B">
      <w:pPr>
        <w:rPr>
          <w:lang w:val="en-US"/>
        </w:rPr>
      </w:pPr>
      <w:r>
        <w:rPr>
          <w:rFonts w:eastAsia="Calibri"/>
          <w:lang w:val="en-US"/>
        </w:rPr>
        <w:t xml:space="preserve">According to the label, </w:t>
      </w:r>
      <w:r>
        <w:rPr>
          <w:lang w:val="en-US"/>
        </w:rPr>
        <w:t>t</w:t>
      </w:r>
      <w:r w:rsidRPr="00EA31AA">
        <w:rPr>
          <w:lang w:val="en-US"/>
        </w:rPr>
        <w:t xml:space="preserve">he product Insect </w:t>
      </w:r>
      <w:r w:rsidRPr="00EA31AA">
        <w:rPr>
          <w:b/>
          <w:i/>
          <w:lang w:val="en-US"/>
        </w:rPr>
        <w:t>Insect Repellent Pump Spray Lice IR3535</w:t>
      </w:r>
      <w:r w:rsidR="00407AC3" w:rsidRPr="00407AC3">
        <w:rPr>
          <w:b/>
          <w:i/>
          <w:vertAlign w:val="superscript"/>
          <w:lang w:val="en-US"/>
        </w:rPr>
        <w:t>®</w:t>
      </w:r>
      <w:r w:rsidRPr="00EA31AA">
        <w:rPr>
          <w:b/>
          <w:i/>
          <w:lang w:val="en-US"/>
        </w:rPr>
        <w:t xml:space="preserve"> 20%</w:t>
      </w:r>
      <w:r w:rsidRPr="00EA31AA">
        <w:rPr>
          <w:lang w:val="en-US"/>
        </w:rPr>
        <w:t xml:space="preserve"> is intended to be used in Europe in case of a known lice infestation (after having used a </w:t>
      </w:r>
      <w:r>
        <w:rPr>
          <w:lang w:val="en-US"/>
        </w:rPr>
        <w:t>pediculicidal treatment</w:t>
      </w:r>
      <w:r w:rsidRPr="00EA31AA">
        <w:rPr>
          <w:lang w:val="en-US"/>
        </w:rPr>
        <w:t>) in order to prevent infestation</w:t>
      </w:r>
      <w:r>
        <w:rPr>
          <w:lang w:val="en-US"/>
        </w:rPr>
        <w:t xml:space="preserve"> or re-infestation of head lice.</w:t>
      </w:r>
    </w:p>
    <w:p w14:paraId="3003C9BD" w14:textId="4C504545" w:rsidR="00A60F5B" w:rsidRDefault="00A60F5B" w:rsidP="00A60F5B">
      <w:pPr>
        <w:rPr>
          <w:rFonts w:eastAsia="Calibri"/>
          <w:lang w:eastAsia="en-US"/>
        </w:rPr>
      </w:pPr>
      <w:r>
        <w:t xml:space="preserve">Based on the efficacy tests submitted and validated, this claim is fully supported.  Thus, </w:t>
      </w:r>
      <w:r>
        <w:rPr>
          <w:rFonts w:eastAsia="Calibri"/>
          <w:lang w:val="en-US"/>
        </w:rPr>
        <w:t xml:space="preserve">the </w:t>
      </w:r>
      <w:r w:rsidRPr="00D64584">
        <w:rPr>
          <w:rFonts w:eastAsia="Calibri"/>
          <w:lang w:eastAsia="en-US"/>
        </w:rPr>
        <w:t xml:space="preserve">RTU leave-on product </w:t>
      </w:r>
      <w:r w:rsidRPr="00D64584">
        <w:rPr>
          <w:rFonts w:eastAsia="Calibri"/>
          <w:b/>
          <w:i/>
          <w:lang w:eastAsia="en-US"/>
        </w:rPr>
        <w:t>Insect Repellent Pump Spray Lice IR3535</w:t>
      </w:r>
      <w:r w:rsidR="00407AC3" w:rsidRPr="00407AC3">
        <w:rPr>
          <w:rFonts w:eastAsia="Calibri"/>
          <w:b/>
          <w:i/>
          <w:vertAlign w:val="superscript"/>
          <w:lang w:eastAsia="en-US"/>
        </w:rPr>
        <w:t>®</w:t>
      </w:r>
      <w:r w:rsidRPr="00D64584">
        <w:rPr>
          <w:rFonts w:eastAsia="Calibri"/>
          <w:b/>
          <w:i/>
          <w:lang w:eastAsia="en-US"/>
        </w:rPr>
        <w:t xml:space="preserve"> 20%</w:t>
      </w:r>
      <w:r w:rsidRPr="00D64584">
        <w:rPr>
          <w:rFonts w:eastAsia="Calibri"/>
          <w:lang w:eastAsia="en-US"/>
        </w:rPr>
        <w:t xml:space="preserve"> (hydroalcoholic solution, 20% IR3535), used after a </w:t>
      </w:r>
      <w:r w:rsidRPr="00EA31AA">
        <w:rPr>
          <w:lang w:val="en-US"/>
        </w:rPr>
        <w:t>pediculicidal</w:t>
      </w:r>
      <w:r w:rsidRPr="00D64584">
        <w:rPr>
          <w:rFonts w:eastAsia="Calibri"/>
          <w:lang w:eastAsia="en-US"/>
        </w:rPr>
        <w:t xml:space="preserve"> treatment and applied every 2 days</w:t>
      </w:r>
      <w:r w:rsidR="00470EF7">
        <w:rPr>
          <w:rFonts w:eastAsia="Calibri"/>
          <w:lang w:eastAsia="en-US"/>
        </w:rPr>
        <w:t xml:space="preserve"> at a rate of 0.5 mL per treatment</w:t>
      </w:r>
      <w:r w:rsidRPr="00D64584">
        <w:rPr>
          <w:rFonts w:eastAsia="Calibri"/>
          <w:lang w:eastAsia="en-US"/>
        </w:rPr>
        <w:t xml:space="preserve">, does limit adult lice </w:t>
      </w:r>
      <w:r w:rsidR="000E2A38">
        <w:t>(</w:t>
      </w:r>
      <w:r w:rsidR="000E2A38" w:rsidRPr="0056273E">
        <w:rPr>
          <w:i/>
        </w:rPr>
        <w:t>Pediculus humanus capitis</w:t>
      </w:r>
      <w:r w:rsidR="000E2A38">
        <w:t xml:space="preserve">) </w:t>
      </w:r>
      <w:r w:rsidRPr="00D64584">
        <w:rPr>
          <w:rFonts w:eastAsia="Calibri"/>
          <w:lang w:eastAsia="en-US"/>
        </w:rPr>
        <w:t>re-infestation</w:t>
      </w:r>
      <w:r w:rsidR="000E2A38">
        <w:rPr>
          <w:rFonts w:eastAsia="Calibri"/>
          <w:lang w:eastAsia="en-US"/>
        </w:rPr>
        <w:t xml:space="preserve"> only and</w:t>
      </w:r>
      <w:r>
        <w:rPr>
          <w:rFonts w:eastAsia="Calibri"/>
          <w:lang w:eastAsia="en-US"/>
        </w:rPr>
        <w:t xml:space="preserve"> can be granted.</w:t>
      </w:r>
    </w:p>
    <w:p w14:paraId="3E7E4DBF" w14:textId="77777777" w:rsidR="00B24C59" w:rsidRDefault="00B24C59" w:rsidP="00A60F5B">
      <w:pPr>
        <w:rPr>
          <w:rFonts w:eastAsia="Calibri"/>
          <w:lang w:eastAsia="en-US"/>
        </w:rPr>
      </w:pPr>
    </w:p>
    <w:p w14:paraId="37FC16EF" w14:textId="77777777" w:rsidR="00B24C59" w:rsidRPr="008D7EDC" w:rsidRDefault="00B24C59" w:rsidP="008D7EDC">
      <w:pPr>
        <w:pStyle w:val="Paragraphedeliste"/>
        <w:numPr>
          <w:ilvl w:val="0"/>
          <w:numId w:val="68"/>
        </w:numPr>
        <w:shd w:val="clear" w:color="auto" w:fill="FFFFFF" w:themeFill="background1"/>
        <w:rPr>
          <w:rFonts w:eastAsia="Calibri"/>
          <w:b/>
          <w:lang w:eastAsia="en-US"/>
        </w:rPr>
      </w:pPr>
      <w:r>
        <w:rPr>
          <w:lang w:eastAsia="en-US"/>
        </w:rPr>
        <w:tab/>
      </w:r>
      <w:r w:rsidRPr="008D7EDC">
        <w:rPr>
          <w:rFonts w:eastAsia="Calibri"/>
          <w:b/>
          <w:lang w:eastAsia="en-US"/>
        </w:rPr>
        <w:t>MAJOR CHANGE FOR SPRAY REPULSIF IR200 – 2019 (FR CA)</w:t>
      </w:r>
    </w:p>
    <w:p w14:paraId="4D54688D" w14:textId="77777777" w:rsidR="004E1CC8" w:rsidRDefault="004E1CC8" w:rsidP="008D7EDC">
      <w:pPr>
        <w:widowControl w:val="0"/>
        <w:shd w:val="clear" w:color="auto" w:fill="FFFFFF" w:themeFill="background1"/>
        <w:kinsoku w:val="0"/>
        <w:overflowPunct w:val="0"/>
        <w:autoSpaceDE w:val="0"/>
        <w:autoSpaceDN w:val="0"/>
        <w:adjustRightInd w:val="0"/>
        <w:spacing w:before="292" w:line="290" w:lineRule="exact"/>
        <w:ind w:right="216"/>
        <w:jc w:val="both"/>
        <w:textAlignment w:val="baseline"/>
        <w:rPr>
          <w:rFonts w:cs="Arial"/>
          <w:spacing w:val="1"/>
          <w:lang w:val="en-US" w:eastAsia="fr-FR"/>
        </w:rPr>
      </w:pPr>
      <w:r w:rsidRPr="006011E6">
        <w:rPr>
          <w:rFonts w:cs="Arial"/>
          <w:spacing w:val="1"/>
          <w:lang w:val="en-US" w:eastAsia="fr-FR"/>
        </w:rPr>
        <w:t xml:space="preserve">French competent authorities (FR CA) assessed that the product </w:t>
      </w:r>
      <w:r>
        <w:rPr>
          <w:rFonts w:cs="Arial"/>
          <w:spacing w:val="1"/>
          <w:lang w:val="en-US" w:eastAsia="fr-FR"/>
        </w:rPr>
        <w:t>SPRAY REPULSIF IR200 has shown a sufficient efficacy:</w:t>
      </w:r>
    </w:p>
    <w:p w14:paraId="3A3BCB87" w14:textId="77777777" w:rsidR="004E1CC8" w:rsidRDefault="004E1CC8" w:rsidP="008D7EDC">
      <w:pPr>
        <w:pStyle w:val="Paragraphedeliste"/>
        <w:widowControl w:val="0"/>
        <w:numPr>
          <w:ilvl w:val="0"/>
          <w:numId w:val="47"/>
        </w:numPr>
        <w:shd w:val="clear" w:color="auto" w:fill="FFFFFF" w:themeFill="background1"/>
        <w:kinsoku w:val="0"/>
        <w:overflowPunct w:val="0"/>
        <w:autoSpaceDE w:val="0"/>
        <w:autoSpaceDN w:val="0"/>
        <w:adjustRightInd w:val="0"/>
        <w:spacing w:before="292" w:after="0" w:line="290" w:lineRule="exact"/>
        <w:ind w:right="216"/>
        <w:jc w:val="both"/>
        <w:textAlignment w:val="baseline"/>
        <w:rPr>
          <w:rFonts w:cs="Arial"/>
          <w:spacing w:val="1"/>
          <w:lang w:val="en-US" w:eastAsia="fr-FR"/>
        </w:rPr>
      </w:pPr>
      <w:r w:rsidRPr="00A3599E">
        <w:rPr>
          <w:rFonts w:cs="Arial"/>
          <w:spacing w:val="1"/>
          <w:lang w:val="en-US" w:eastAsia="fr-FR"/>
        </w:rPr>
        <w:t xml:space="preserve">against mosquitoes (genus </w:t>
      </w:r>
      <w:r w:rsidRPr="00A3599E">
        <w:rPr>
          <w:rFonts w:cs="Arial"/>
          <w:i/>
          <w:spacing w:val="1"/>
          <w:lang w:val="en-US" w:eastAsia="fr-FR"/>
        </w:rPr>
        <w:t>Culex spp</w:t>
      </w:r>
      <w:r w:rsidRPr="00A3599E">
        <w:rPr>
          <w:rFonts w:cs="Arial"/>
          <w:spacing w:val="1"/>
          <w:lang w:val="en-US" w:eastAsia="fr-FR"/>
        </w:rPr>
        <w:t xml:space="preserve">. and </w:t>
      </w:r>
      <w:r w:rsidRPr="00A3599E">
        <w:rPr>
          <w:rFonts w:cs="Arial"/>
          <w:i/>
          <w:spacing w:val="1"/>
          <w:lang w:val="en-US" w:eastAsia="fr-FR"/>
        </w:rPr>
        <w:t>Aedes spp</w:t>
      </w:r>
      <w:r w:rsidRPr="00A3599E">
        <w:rPr>
          <w:rFonts w:cs="Arial"/>
          <w:spacing w:val="1"/>
          <w:lang w:val="en-US" w:eastAsia="fr-FR"/>
        </w:rPr>
        <w:t xml:space="preserve">.) </w:t>
      </w:r>
      <w:r>
        <w:rPr>
          <w:rFonts w:cs="Arial"/>
          <w:spacing w:val="1"/>
          <w:lang w:val="en-US" w:eastAsia="fr-FR"/>
        </w:rPr>
        <w:t>with</w:t>
      </w:r>
      <w:r w:rsidRPr="00A3599E">
        <w:rPr>
          <w:rFonts w:cs="Arial"/>
          <w:spacing w:val="1"/>
          <w:lang w:val="en-US" w:eastAsia="fr-FR"/>
        </w:rPr>
        <w:t xml:space="preserve"> </w:t>
      </w:r>
      <w:r>
        <w:rPr>
          <w:rFonts w:cs="Arial"/>
          <w:spacing w:val="1"/>
          <w:lang w:val="en-US" w:eastAsia="fr-FR"/>
        </w:rPr>
        <w:t xml:space="preserve">a protection time of </w:t>
      </w:r>
      <w:r w:rsidRPr="00A3599E">
        <w:rPr>
          <w:rFonts w:cs="Arial"/>
          <w:spacing w:val="1"/>
          <w:lang w:val="en-US" w:eastAsia="fr-FR"/>
        </w:rPr>
        <w:t>4 hours when applied on skin at the application rate of 6 g product/m² under temperate conditions,</w:t>
      </w:r>
    </w:p>
    <w:p w14:paraId="22FBDFDF" w14:textId="77777777" w:rsidR="004E1CC8" w:rsidRDefault="004E1CC8" w:rsidP="008D7EDC">
      <w:pPr>
        <w:pStyle w:val="Paragraphedeliste"/>
        <w:widowControl w:val="0"/>
        <w:numPr>
          <w:ilvl w:val="0"/>
          <w:numId w:val="47"/>
        </w:numPr>
        <w:shd w:val="clear" w:color="auto" w:fill="FFFFFF" w:themeFill="background1"/>
        <w:kinsoku w:val="0"/>
        <w:overflowPunct w:val="0"/>
        <w:autoSpaceDE w:val="0"/>
        <w:autoSpaceDN w:val="0"/>
        <w:adjustRightInd w:val="0"/>
        <w:spacing w:before="292" w:after="0" w:line="290" w:lineRule="exact"/>
        <w:ind w:right="216"/>
        <w:jc w:val="both"/>
        <w:textAlignment w:val="baseline"/>
        <w:rPr>
          <w:rFonts w:cs="Arial"/>
          <w:spacing w:val="1"/>
          <w:lang w:val="en-US" w:eastAsia="fr-FR"/>
        </w:rPr>
      </w:pPr>
      <w:r w:rsidRPr="00A3599E">
        <w:rPr>
          <w:rFonts w:cs="Arial"/>
          <w:spacing w:val="1"/>
          <w:lang w:val="en-US" w:eastAsia="fr-FR"/>
        </w:rPr>
        <w:t xml:space="preserve">against mosquitoes (genus </w:t>
      </w:r>
      <w:r w:rsidRPr="00A3599E">
        <w:rPr>
          <w:rFonts w:cs="Arial"/>
          <w:i/>
          <w:spacing w:val="1"/>
          <w:lang w:val="en-US" w:eastAsia="fr-FR"/>
        </w:rPr>
        <w:t>Anopheles spp</w:t>
      </w:r>
      <w:r w:rsidRPr="00A3599E">
        <w:rPr>
          <w:rFonts w:cs="Arial"/>
          <w:spacing w:val="1"/>
          <w:lang w:val="en-US" w:eastAsia="fr-FR"/>
        </w:rPr>
        <w:t xml:space="preserve">. and </w:t>
      </w:r>
      <w:r w:rsidRPr="00A3599E">
        <w:rPr>
          <w:rFonts w:cs="Arial"/>
          <w:i/>
          <w:spacing w:val="1"/>
          <w:lang w:val="en-US" w:eastAsia="fr-FR"/>
        </w:rPr>
        <w:t>Aedes spp.</w:t>
      </w:r>
      <w:r w:rsidRPr="00A3599E">
        <w:rPr>
          <w:rFonts w:cs="Arial"/>
          <w:spacing w:val="1"/>
          <w:lang w:val="en-US" w:eastAsia="fr-FR"/>
        </w:rPr>
        <w:t xml:space="preserve">) </w:t>
      </w:r>
      <w:r>
        <w:rPr>
          <w:rFonts w:cs="Arial"/>
          <w:spacing w:val="1"/>
          <w:lang w:val="en-US" w:eastAsia="fr-FR"/>
        </w:rPr>
        <w:t xml:space="preserve">with </w:t>
      </w:r>
      <w:r w:rsidRPr="00A3599E">
        <w:rPr>
          <w:rFonts w:cs="Arial"/>
          <w:spacing w:val="1"/>
          <w:lang w:val="en-US" w:eastAsia="fr-FR"/>
        </w:rPr>
        <w:t>a protection time</w:t>
      </w:r>
      <w:r>
        <w:rPr>
          <w:rFonts w:cs="Arial"/>
          <w:spacing w:val="1"/>
          <w:lang w:val="en-US" w:eastAsia="fr-FR"/>
        </w:rPr>
        <w:t xml:space="preserve"> of </w:t>
      </w:r>
      <w:r w:rsidRPr="00A3599E">
        <w:rPr>
          <w:rFonts w:cs="Arial"/>
          <w:spacing w:val="1"/>
          <w:lang w:val="en-US" w:eastAsia="fr-FR"/>
        </w:rPr>
        <w:t>3 hours when applied on skin at the application rate of 8 g product/m² under tropical conditions,</w:t>
      </w:r>
    </w:p>
    <w:p w14:paraId="33C84215" w14:textId="77777777" w:rsidR="004E1CC8" w:rsidRDefault="004E1CC8" w:rsidP="008D7EDC">
      <w:pPr>
        <w:pStyle w:val="Paragraphedeliste"/>
        <w:widowControl w:val="0"/>
        <w:numPr>
          <w:ilvl w:val="0"/>
          <w:numId w:val="47"/>
        </w:numPr>
        <w:shd w:val="clear" w:color="auto" w:fill="FFFFFF" w:themeFill="background1"/>
        <w:kinsoku w:val="0"/>
        <w:overflowPunct w:val="0"/>
        <w:autoSpaceDE w:val="0"/>
        <w:autoSpaceDN w:val="0"/>
        <w:adjustRightInd w:val="0"/>
        <w:spacing w:before="292" w:after="0" w:line="290" w:lineRule="exact"/>
        <w:ind w:right="216"/>
        <w:jc w:val="both"/>
        <w:textAlignment w:val="baseline"/>
        <w:rPr>
          <w:rFonts w:cs="Arial"/>
          <w:spacing w:val="1"/>
          <w:lang w:val="en-US" w:eastAsia="fr-FR"/>
        </w:rPr>
      </w:pPr>
      <w:r w:rsidRPr="00A3599E">
        <w:rPr>
          <w:rFonts w:cs="Arial"/>
          <w:spacing w:val="1"/>
          <w:lang w:val="en-US" w:eastAsia="fr-FR"/>
        </w:rPr>
        <w:t>against ticks (</w:t>
      </w:r>
      <w:r w:rsidRPr="00A3599E">
        <w:rPr>
          <w:rFonts w:cs="Arial"/>
          <w:i/>
          <w:spacing w:val="1"/>
          <w:lang w:val="en-US" w:eastAsia="fr-FR"/>
        </w:rPr>
        <w:t>Ixodes ricinus</w:t>
      </w:r>
      <w:r w:rsidRPr="00A3599E">
        <w:rPr>
          <w:rFonts w:cs="Arial"/>
          <w:spacing w:val="1"/>
          <w:lang w:val="en-US" w:eastAsia="fr-FR"/>
        </w:rPr>
        <w:t xml:space="preserve">) </w:t>
      </w:r>
      <w:r>
        <w:rPr>
          <w:rFonts w:cs="Arial"/>
          <w:spacing w:val="1"/>
          <w:lang w:val="en-US" w:eastAsia="fr-FR"/>
        </w:rPr>
        <w:t xml:space="preserve">with a protection time of </w:t>
      </w:r>
      <w:r w:rsidRPr="00A3599E">
        <w:rPr>
          <w:rFonts w:cs="Arial"/>
          <w:spacing w:val="1"/>
          <w:lang w:val="en-US" w:eastAsia="fr-FR"/>
        </w:rPr>
        <w:t xml:space="preserve">4 hours when applied on skin at the application rate of 6 g product/m² under temperate conditions, </w:t>
      </w:r>
    </w:p>
    <w:p w14:paraId="249BF1D4" w14:textId="77777777" w:rsidR="004E1CC8" w:rsidRDefault="004E1CC8" w:rsidP="008D7EDC">
      <w:pPr>
        <w:pStyle w:val="Paragraphedeliste"/>
        <w:widowControl w:val="0"/>
        <w:numPr>
          <w:ilvl w:val="0"/>
          <w:numId w:val="47"/>
        </w:numPr>
        <w:shd w:val="clear" w:color="auto" w:fill="FFFFFF" w:themeFill="background1"/>
        <w:kinsoku w:val="0"/>
        <w:overflowPunct w:val="0"/>
        <w:autoSpaceDE w:val="0"/>
        <w:autoSpaceDN w:val="0"/>
        <w:adjustRightInd w:val="0"/>
        <w:spacing w:before="292" w:after="0" w:line="290" w:lineRule="exact"/>
        <w:ind w:right="216"/>
        <w:jc w:val="both"/>
        <w:textAlignment w:val="baseline"/>
        <w:rPr>
          <w:rFonts w:cs="Arial"/>
          <w:spacing w:val="1"/>
          <w:lang w:val="en-US" w:eastAsia="fr-FR"/>
        </w:rPr>
      </w:pPr>
      <w:r w:rsidRPr="00A3599E">
        <w:rPr>
          <w:rFonts w:cs="Arial"/>
          <w:spacing w:val="1"/>
          <w:lang w:val="en-US" w:eastAsia="fr-FR"/>
        </w:rPr>
        <w:t>against House Dust mites (</w:t>
      </w:r>
      <w:r>
        <w:rPr>
          <w:rFonts w:cs="Arial"/>
          <w:i/>
          <w:spacing w:val="1"/>
          <w:lang w:val="en-US" w:eastAsia="fr-FR"/>
        </w:rPr>
        <w:t>Dermatophagoï</w:t>
      </w:r>
      <w:r w:rsidRPr="00A3599E">
        <w:rPr>
          <w:rFonts w:cs="Arial"/>
          <w:i/>
          <w:spacing w:val="1"/>
          <w:lang w:val="en-US" w:eastAsia="fr-FR"/>
        </w:rPr>
        <w:t>des pteronyssinus</w:t>
      </w:r>
      <w:r w:rsidRPr="00A3599E">
        <w:rPr>
          <w:rFonts w:cs="Arial"/>
          <w:spacing w:val="1"/>
          <w:lang w:val="en-US" w:eastAsia="fr-FR"/>
        </w:rPr>
        <w:t>) up</w:t>
      </w:r>
      <w:r>
        <w:rPr>
          <w:rFonts w:cs="Arial"/>
          <w:spacing w:val="1"/>
          <w:lang w:val="en-US" w:eastAsia="fr-FR"/>
        </w:rPr>
        <w:t xml:space="preserve"> to 24 hours when applied on bed</w:t>
      </w:r>
      <w:r w:rsidRPr="00A3599E">
        <w:rPr>
          <w:rFonts w:cs="Arial"/>
          <w:spacing w:val="1"/>
          <w:lang w:val="en-US" w:eastAsia="fr-FR"/>
        </w:rPr>
        <w:t xml:space="preserve"> linen (cotton) at the application rate of 8.5 g product/m²,</w:t>
      </w:r>
    </w:p>
    <w:p w14:paraId="0D990F76" w14:textId="61DD33C3" w:rsidR="004E1CC8" w:rsidRDefault="004E1CC8" w:rsidP="008D7EDC">
      <w:pPr>
        <w:pStyle w:val="Paragraphedeliste"/>
        <w:widowControl w:val="0"/>
        <w:numPr>
          <w:ilvl w:val="0"/>
          <w:numId w:val="47"/>
        </w:numPr>
        <w:shd w:val="clear" w:color="auto" w:fill="FFFFFF" w:themeFill="background1"/>
        <w:kinsoku w:val="0"/>
        <w:overflowPunct w:val="0"/>
        <w:autoSpaceDE w:val="0"/>
        <w:autoSpaceDN w:val="0"/>
        <w:adjustRightInd w:val="0"/>
        <w:spacing w:before="292" w:after="0" w:line="290" w:lineRule="exact"/>
        <w:ind w:right="216"/>
        <w:jc w:val="both"/>
        <w:textAlignment w:val="baseline"/>
        <w:rPr>
          <w:rFonts w:cs="Arial"/>
          <w:spacing w:val="1"/>
          <w:lang w:val="en-US" w:eastAsia="fr-FR"/>
        </w:rPr>
      </w:pPr>
      <w:r w:rsidRPr="00A3599E">
        <w:rPr>
          <w:rFonts w:cs="Arial"/>
          <w:spacing w:val="1"/>
          <w:lang w:val="en-US" w:eastAsia="fr-FR"/>
        </w:rPr>
        <w:t xml:space="preserve">against mosquitoes (genus </w:t>
      </w:r>
      <w:r w:rsidRPr="00A3599E">
        <w:rPr>
          <w:rFonts w:cs="Arial"/>
          <w:i/>
          <w:spacing w:val="1"/>
          <w:lang w:val="en-US" w:eastAsia="fr-FR"/>
        </w:rPr>
        <w:t>Culex spp.</w:t>
      </w:r>
      <w:r w:rsidRPr="00A3599E">
        <w:rPr>
          <w:rFonts w:cs="Arial"/>
          <w:spacing w:val="1"/>
          <w:lang w:val="en-US" w:eastAsia="fr-FR"/>
        </w:rPr>
        <w:t xml:space="preserve"> and </w:t>
      </w:r>
      <w:r w:rsidRPr="00A3599E">
        <w:rPr>
          <w:rFonts w:cs="Arial"/>
          <w:i/>
          <w:spacing w:val="1"/>
          <w:lang w:val="en-US" w:eastAsia="fr-FR"/>
        </w:rPr>
        <w:t>Aedes spp.</w:t>
      </w:r>
      <w:r w:rsidRPr="00A3599E">
        <w:rPr>
          <w:rFonts w:cs="Arial"/>
          <w:spacing w:val="1"/>
          <w:lang w:val="en-US" w:eastAsia="fr-FR"/>
        </w:rPr>
        <w:t xml:space="preserve">) when applied on textile (cotton and polyester) at the application rate of 6 g product/m² under temperate conditions during a protection time of 8 hours after application and up to 30 days </w:t>
      </w:r>
      <w:r w:rsidRPr="00A3599E">
        <w:rPr>
          <w:rFonts w:cs="Arial"/>
          <w:spacing w:val="1"/>
          <w:lang w:val="en-US" w:eastAsia="fr-FR"/>
        </w:rPr>
        <w:lastRenderedPageBreak/>
        <w:t xml:space="preserve">after </w:t>
      </w:r>
      <w:r w:rsidR="00D13FCD">
        <w:rPr>
          <w:rFonts w:cs="Arial"/>
          <w:spacing w:val="1"/>
          <w:lang w:val="en-US" w:eastAsia="fr-FR"/>
        </w:rPr>
        <w:t>storage</w:t>
      </w:r>
      <w:r w:rsidRPr="00A3599E">
        <w:rPr>
          <w:rFonts w:cs="Arial"/>
          <w:spacing w:val="1"/>
          <w:lang w:val="en-US" w:eastAsia="fr-FR"/>
        </w:rPr>
        <w:t xml:space="preserve">, </w:t>
      </w:r>
    </w:p>
    <w:p w14:paraId="43F2D33F" w14:textId="6F9F7E22" w:rsidR="004E1CC8" w:rsidRDefault="004E1CC8" w:rsidP="008D7EDC">
      <w:pPr>
        <w:pStyle w:val="Paragraphedeliste"/>
        <w:widowControl w:val="0"/>
        <w:numPr>
          <w:ilvl w:val="0"/>
          <w:numId w:val="47"/>
        </w:numPr>
        <w:shd w:val="clear" w:color="auto" w:fill="FFFFFF" w:themeFill="background1"/>
        <w:kinsoku w:val="0"/>
        <w:overflowPunct w:val="0"/>
        <w:autoSpaceDE w:val="0"/>
        <w:autoSpaceDN w:val="0"/>
        <w:adjustRightInd w:val="0"/>
        <w:spacing w:before="292" w:after="0" w:line="290" w:lineRule="exact"/>
        <w:ind w:right="216"/>
        <w:jc w:val="both"/>
        <w:textAlignment w:val="baseline"/>
        <w:rPr>
          <w:rFonts w:cs="Arial"/>
          <w:spacing w:val="1"/>
          <w:lang w:val="en-US" w:eastAsia="fr-FR"/>
        </w:rPr>
      </w:pPr>
      <w:r w:rsidRPr="00A3599E">
        <w:rPr>
          <w:rFonts w:cs="Arial"/>
          <w:spacing w:val="1"/>
          <w:lang w:val="en-US" w:eastAsia="fr-FR"/>
        </w:rPr>
        <w:t xml:space="preserve">against mosquitoes (genus </w:t>
      </w:r>
      <w:r w:rsidRPr="00A3599E">
        <w:rPr>
          <w:rFonts w:cs="Arial"/>
          <w:i/>
          <w:spacing w:val="1"/>
          <w:lang w:val="en-US" w:eastAsia="fr-FR"/>
        </w:rPr>
        <w:t>Anopheles spp.</w:t>
      </w:r>
      <w:r w:rsidRPr="00A3599E">
        <w:rPr>
          <w:rFonts w:cs="Arial"/>
          <w:spacing w:val="1"/>
          <w:lang w:val="en-US" w:eastAsia="fr-FR"/>
        </w:rPr>
        <w:t xml:space="preserve"> and </w:t>
      </w:r>
      <w:r w:rsidRPr="00A3599E">
        <w:rPr>
          <w:rFonts w:cs="Arial"/>
          <w:i/>
          <w:spacing w:val="1"/>
          <w:lang w:val="en-US" w:eastAsia="fr-FR"/>
        </w:rPr>
        <w:t>Aedes spp</w:t>
      </w:r>
      <w:r w:rsidRPr="00A3599E">
        <w:rPr>
          <w:rFonts w:cs="Arial"/>
          <w:spacing w:val="1"/>
          <w:lang w:val="en-US" w:eastAsia="fr-FR"/>
        </w:rPr>
        <w:t xml:space="preserve">.) when applied on textile (cotton and polyester) at the application rate of </w:t>
      </w:r>
      <w:r w:rsidR="00532241">
        <w:rPr>
          <w:rFonts w:cs="Arial"/>
          <w:spacing w:val="1"/>
          <w:lang w:val="en-US" w:eastAsia="fr-FR"/>
        </w:rPr>
        <w:t>6</w:t>
      </w:r>
      <w:r w:rsidRPr="00A3599E">
        <w:rPr>
          <w:rFonts w:cs="Arial"/>
          <w:spacing w:val="1"/>
          <w:lang w:val="en-US" w:eastAsia="fr-FR"/>
        </w:rPr>
        <w:t xml:space="preserve"> g product/m² under t</w:t>
      </w:r>
      <w:r>
        <w:rPr>
          <w:rFonts w:cs="Arial"/>
          <w:spacing w:val="1"/>
          <w:lang w:val="en-US" w:eastAsia="fr-FR"/>
        </w:rPr>
        <w:t>ropical</w:t>
      </w:r>
      <w:r w:rsidRPr="00A3599E">
        <w:rPr>
          <w:rFonts w:cs="Arial"/>
          <w:spacing w:val="1"/>
          <w:lang w:val="en-US" w:eastAsia="fr-FR"/>
        </w:rPr>
        <w:t xml:space="preserve"> conditions during a protection time of 8 hours after application and up to 30 days after </w:t>
      </w:r>
      <w:r w:rsidR="00D13FCD">
        <w:rPr>
          <w:rFonts w:cs="Arial"/>
          <w:spacing w:val="1"/>
          <w:lang w:val="en-US" w:eastAsia="fr-FR"/>
        </w:rPr>
        <w:t>storage</w:t>
      </w:r>
      <w:r w:rsidRPr="00A3599E">
        <w:rPr>
          <w:rFonts w:cs="Arial"/>
          <w:spacing w:val="1"/>
          <w:lang w:val="en-US" w:eastAsia="fr-FR"/>
        </w:rPr>
        <w:t xml:space="preserve">, </w:t>
      </w:r>
    </w:p>
    <w:p w14:paraId="18F13C64" w14:textId="2AEE3107" w:rsidR="008D0954" w:rsidRPr="008D0954" w:rsidRDefault="004E1CC8" w:rsidP="008D7EDC">
      <w:pPr>
        <w:pStyle w:val="Paragraphedeliste"/>
        <w:widowControl w:val="0"/>
        <w:numPr>
          <w:ilvl w:val="0"/>
          <w:numId w:val="47"/>
        </w:numPr>
        <w:shd w:val="clear" w:color="auto" w:fill="FFFFFF" w:themeFill="background1"/>
        <w:kinsoku w:val="0"/>
        <w:overflowPunct w:val="0"/>
        <w:autoSpaceDE w:val="0"/>
        <w:autoSpaceDN w:val="0"/>
        <w:adjustRightInd w:val="0"/>
        <w:spacing w:before="292" w:after="0" w:line="290" w:lineRule="exact"/>
        <w:ind w:right="216"/>
        <w:jc w:val="both"/>
        <w:textAlignment w:val="baseline"/>
        <w:rPr>
          <w:rFonts w:cs="Arial"/>
          <w:spacing w:val="1"/>
          <w:lang w:val="en-US" w:eastAsia="fr-FR"/>
        </w:rPr>
      </w:pPr>
      <w:r w:rsidRPr="00A3599E">
        <w:rPr>
          <w:rFonts w:cs="Arial"/>
          <w:spacing w:val="1"/>
          <w:lang w:val="en-US" w:eastAsia="fr-FR"/>
        </w:rPr>
        <w:t>against ticks (</w:t>
      </w:r>
      <w:r w:rsidRPr="00A3599E">
        <w:rPr>
          <w:rFonts w:cs="Arial"/>
          <w:i/>
          <w:spacing w:val="1"/>
          <w:lang w:val="en-US" w:eastAsia="fr-FR"/>
        </w:rPr>
        <w:t>Ixodes ricinus</w:t>
      </w:r>
      <w:r w:rsidRPr="00A3599E">
        <w:rPr>
          <w:rFonts w:cs="Arial"/>
          <w:spacing w:val="1"/>
          <w:lang w:val="en-US" w:eastAsia="fr-FR"/>
        </w:rPr>
        <w:t xml:space="preserve">) when applied on textile (cotton and polyester) at the application rate of </w:t>
      </w:r>
      <w:r w:rsidR="0053250B">
        <w:rPr>
          <w:rFonts w:cs="Arial"/>
          <w:spacing w:val="1"/>
          <w:lang w:val="en-US" w:eastAsia="fr-FR"/>
        </w:rPr>
        <w:t>8.5</w:t>
      </w:r>
      <w:r w:rsidRPr="00A3599E">
        <w:rPr>
          <w:rFonts w:cs="Arial"/>
          <w:spacing w:val="1"/>
          <w:lang w:val="en-US" w:eastAsia="fr-FR"/>
        </w:rPr>
        <w:t xml:space="preserve"> g product/m² under temperate conditions during a protection time of 6 hours after application and up to 7 days after </w:t>
      </w:r>
      <w:r w:rsidR="00D13FCD">
        <w:rPr>
          <w:rFonts w:cs="Arial"/>
          <w:spacing w:val="1"/>
          <w:lang w:val="en-US" w:eastAsia="fr-FR"/>
        </w:rPr>
        <w:t>storage</w:t>
      </w:r>
      <w:r w:rsidR="008D0954">
        <w:rPr>
          <w:rFonts w:cs="Arial"/>
          <w:spacing w:val="1"/>
          <w:lang w:val="en-US" w:eastAsia="fr-FR"/>
        </w:rPr>
        <w:t>.</w:t>
      </w:r>
    </w:p>
    <w:p w14:paraId="32A12376" w14:textId="5E89CDD8" w:rsidR="00D77D74" w:rsidRDefault="00D77D74" w:rsidP="008D7EDC">
      <w:pPr>
        <w:widowControl w:val="0"/>
        <w:shd w:val="clear" w:color="auto" w:fill="FFFFFF" w:themeFill="background1"/>
        <w:kinsoku w:val="0"/>
        <w:overflowPunct w:val="0"/>
        <w:autoSpaceDE w:val="0"/>
        <w:autoSpaceDN w:val="0"/>
        <w:adjustRightInd w:val="0"/>
        <w:spacing w:before="292" w:after="0" w:line="290" w:lineRule="exact"/>
        <w:ind w:right="216"/>
        <w:jc w:val="both"/>
        <w:textAlignment w:val="baseline"/>
        <w:rPr>
          <w:rFonts w:cs="Verdana"/>
          <w:lang w:eastAsia="zh-CN"/>
        </w:rPr>
      </w:pPr>
      <w:r>
        <w:rPr>
          <w:rFonts w:cs="Verdana"/>
          <w:lang w:eastAsia="zh-CN"/>
        </w:rPr>
        <w:t xml:space="preserve">Please note that for uses against mosquitoes, </w:t>
      </w:r>
      <w:r w:rsidR="002A5CDE">
        <w:rPr>
          <w:rFonts w:cs="Verdana"/>
          <w:lang w:eastAsia="zh-CN"/>
        </w:rPr>
        <w:t xml:space="preserve">only the efficacy against the species tested and validated under temperate </w:t>
      </w:r>
      <w:r w:rsidR="002A5CDE" w:rsidRPr="00714360">
        <w:rPr>
          <w:rFonts w:cs="Verdana"/>
          <w:lang w:eastAsia="zh-CN"/>
        </w:rPr>
        <w:t>condition</w:t>
      </w:r>
      <w:r w:rsidR="002A5CDE">
        <w:rPr>
          <w:rFonts w:cs="Verdana"/>
          <w:lang w:eastAsia="zh-CN"/>
        </w:rPr>
        <w:t>s</w:t>
      </w:r>
      <w:r w:rsidR="002A5CDE" w:rsidRPr="00714360">
        <w:rPr>
          <w:rFonts w:cs="Verdana"/>
          <w:lang w:eastAsia="zh-CN"/>
        </w:rPr>
        <w:t xml:space="preserve"> </w:t>
      </w:r>
      <w:r w:rsidR="002A5CDE">
        <w:rPr>
          <w:rFonts w:cs="Verdana"/>
          <w:lang w:eastAsia="zh-CN"/>
        </w:rPr>
        <w:t xml:space="preserve">have been authorised under temperate conditions and only the efficacy against the species tested and validated under tropical </w:t>
      </w:r>
      <w:r w:rsidR="002A5CDE" w:rsidRPr="00714360">
        <w:rPr>
          <w:rFonts w:cs="Verdana"/>
          <w:lang w:eastAsia="zh-CN"/>
        </w:rPr>
        <w:t>condition</w:t>
      </w:r>
      <w:r w:rsidR="002A5CDE">
        <w:rPr>
          <w:rFonts w:cs="Verdana"/>
          <w:lang w:eastAsia="zh-CN"/>
        </w:rPr>
        <w:t>s</w:t>
      </w:r>
      <w:r w:rsidR="002A5CDE" w:rsidRPr="00714360">
        <w:rPr>
          <w:rFonts w:cs="Verdana"/>
          <w:lang w:eastAsia="zh-CN"/>
        </w:rPr>
        <w:t xml:space="preserve"> </w:t>
      </w:r>
      <w:r w:rsidR="002A5CDE">
        <w:rPr>
          <w:rFonts w:cs="Verdana"/>
          <w:lang w:eastAsia="zh-CN"/>
        </w:rPr>
        <w:t>have been authorised under tropical conditions.</w:t>
      </w:r>
    </w:p>
    <w:p w14:paraId="43808F5C" w14:textId="1DE699A5" w:rsidR="00EE04FB" w:rsidRPr="00EE04FB" w:rsidRDefault="004E1CC8" w:rsidP="008D7EDC">
      <w:pPr>
        <w:widowControl w:val="0"/>
        <w:shd w:val="clear" w:color="auto" w:fill="FFFFFF" w:themeFill="background1"/>
        <w:kinsoku w:val="0"/>
        <w:overflowPunct w:val="0"/>
        <w:autoSpaceDE w:val="0"/>
        <w:autoSpaceDN w:val="0"/>
        <w:adjustRightInd w:val="0"/>
        <w:spacing w:before="292" w:after="0" w:line="290" w:lineRule="exact"/>
        <w:ind w:right="216"/>
        <w:jc w:val="both"/>
        <w:textAlignment w:val="baseline"/>
        <w:rPr>
          <w:rFonts w:cs="Verdana"/>
          <w:lang w:eastAsia="zh-CN"/>
        </w:rPr>
      </w:pPr>
      <w:r w:rsidRPr="008D0954">
        <w:rPr>
          <w:rFonts w:cs="Verdana"/>
          <w:lang w:eastAsia="zh-CN"/>
        </w:rPr>
        <w:t>According to the proposal of the applicant, for the uses by clothes application an instruction of use has been added in the SPC saying that “In case of storage before wearing, the treated clothes must be stored in a closed packaging (such as a plastic bag).”.</w:t>
      </w:r>
      <w:r w:rsidR="00EE04FB">
        <w:rPr>
          <w:rFonts w:cs="Verdana"/>
          <w:lang w:eastAsia="zh-CN"/>
        </w:rPr>
        <w:t xml:space="preserve"> </w:t>
      </w:r>
    </w:p>
    <w:p w14:paraId="303D6433" w14:textId="703A2923" w:rsidR="00AA169E" w:rsidRPr="008D0954" w:rsidRDefault="004E1CC8" w:rsidP="008D7EDC">
      <w:pPr>
        <w:widowControl w:val="0"/>
        <w:shd w:val="clear" w:color="auto" w:fill="FFFFFF" w:themeFill="background1"/>
        <w:kinsoku w:val="0"/>
        <w:overflowPunct w:val="0"/>
        <w:autoSpaceDE w:val="0"/>
        <w:autoSpaceDN w:val="0"/>
        <w:adjustRightInd w:val="0"/>
        <w:spacing w:before="292" w:after="0" w:line="290" w:lineRule="exact"/>
        <w:ind w:right="216"/>
        <w:jc w:val="both"/>
        <w:textAlignment w:val="baseline"/>
        <w:rPr>
          <w:rFonts w:eastAsia="Calibri" w:cs="Arial"/>
          <w:spacing w:val="1"/>
          <w:lang w:val="en-US" w:eastAsia="fr-FR"/>
        </w:rPr>
      </w:pPr>
      <w:r w:rsidRPr="006011E6">
        <w:rPr>
          <w:rFonts w:cs="Arial"/>
          <w:spacing w:val="1"/>
          <w:lang w:val="en-US" w:eastAsia="fr-FR"/>
        </w:rPr>
        <w:t>To ensure a satisfactory level of efficacy and avoid the development of resistance, the recommendations proposed in the SPC have to be implemented</w:t>
      </w:r>
      <w:r>
        <w:rPr>
          <w:rFonts w:cs="Arial"/>
          <w:spacing w:val="1"/>
          <w:lang w:val="en-US" w:eastAsia="fr-FR"/>
        </w:rPr>
        <w:t>.</w:t>
      </w:r>
    </w:p>
    <w:p w14:paraId="1D5F92ED" w14:textId="77777777" w:rsidR="00AA169E" w:rsidRPr="002C5C4B" w:rsidRDefault="00AA169E" w:rsidP="00A60F5B">
      <w:pPr>
        <w:rPr>
          <w:rFonts w:eastAsia="Calibri"/>
          <w:lang w:eastAsia="en-US"/>
        </w:rPr>
      </w:pPr>
    </w:p>
    <w:p w14:paraId="1C5F122F" w14:textId="77777777" w:rsidR="003839E7" w:rsidRDefault="003839E7" w:rsidP="003839E7">
      <w:pPr>
        <w:pStyle w:val="Titre4"/>
      </w:pPr>
      <w:bookmarkStart w:id="192" w:name="_Toc93326545"/>
      <w:r w:rsidRPr="00BD2EF1">
        <w:t>Relevant information if the product is intended to be authorised for use with other biocidal product(s)</w:t>
      </w:r>
      <w:bookmarkEnd w:id="188"/>
      <w:bookmarkEnd w:id="189"/>
      <w:bookmarkEnd w:id="190"/>
      <w:bookmarkEnd w:id="191"/>
      <w:bookmarkEnd w:id="192"/>
    </w:p>
    <w:p w14:paraId="4D51CC41" w14:textId="77777777" w:rsidR="00805040" w:rsidRDefault="00805040" w:rsidP="00A60F5B">
      <w:pPr>
        <w:rPr>
          <w:rFonts w:eastAsia="Calibri"/>
          <w:lang w:val="en-US"/>
        </w:rPr>
      </w:pPr>
    </w:p>
    <w:p w14:paraId="0649433C" w14:textId="6F814570" w:rsidR="00A60F5B" w:rsidRPr="0008732C" w:rsidRDefault="00A60F5B" w:rsidP="00A60F5B">
      <w:pPr>
        <w:rPr>
          <w:u w:val="single"/>
          <w:lang w:val="sv-SE"/>
        </w:rPr>
      </w:pPr>
      <w:r w:rsidRPr="0008732C">
        <w:rPr>
          <w:rFonts w:eastAsia="Calibri"/>
          <w:lang w:val="en-US"/>
        </w:rPr>
        <w:t xml:space="preserve">The product </w:t>
      </w:r>
      <w:r w:rsidRPr="0008732C">
        <w:rPr>
          <w:rFonts w:eastAsia="Calibri"/>
          <w:b/>
          <w:i/>
          <w:lang w:val="en-US"/>
        </w:rPr>
        <w:t>Repellent Pump Spray Lice IR3535 20</w:t>
      </w:r>
      <w:r w:rsidRPr="0008732C">
        <w:rPr>
          <w:rFonts w:eastAsia="Calibri"/>
          <w:lang w:val="en-US"/>
        </w:rPr>
        <w:t xml:space="preserve">% is intended to be used after a </w:t>
      </w:r>
      <w:r w:rsidRPr="00EA31AA">
        <w:rPr>
          <w:lang w:val="en-US"/>
        </w:rPr>
        <w:t>pediculicidal</w:t>
      </w:r>
      <w:r w:rsidRPr="0008732C">
        <w:rPr>
          <w:rFonts w:eastAsia="Calibri"/>
          <w:lang w:val="en-US"/>
        </w:rPr>
        <w:t xml:space="preserve"> treatment.</w:t>
      </w:r>
    </w:p>
    <w:p w14:paraId="43A50414" w14:textId="77777777" w:rsidR="00A60F5B" w:rsidRPr="00A60F5B" w:rsidRDefault="00A60F5B" w:rsidP="00A60F5B">
      <w:pPr>
        <w:rPr>
          <w:lang w:eastAsia="en-US"/>
        </w:rPr>
      </w:pPr>
    </w:p>
    <w:p w14:paraId="2C9A3E58" w14:textId="77777777" w:rsidR="003839E7" w:rsidRPr="00BD2EF1" w:rsidRDefault="003839E7" w:rsidP="003839E7"/>
    <w:p w14:paraId="34568FF5" w14:textId="77777777" w:rsidR="003839E7" w:rsidRPr="00BD2EF1" w:rsidRDefault="003839E7" w:rsidP="003839E7">
      <w:pPr>
        <w:sectPr w:rsidR="003839E7" w:rsidRPr="00BD2EF1" w:rsidSect="004D6630">
          <w:pgSz w:w="11906" w:h="16838"/>
          <w:pgMar w:top="1247" w:right="1247" w:bottom="1247" w:left="1247" w:header="709" w:footer="709" w:gutter="0"/>
          <w:cols w:space="708"/>
          <w:docGrid w:linePitch="360"/>
        </w:sectPr>
      </w:pPr>
    </w:p>
    <w:p w14:paraId="77DD899C" w14:textId="77777777" w:rsidR="003839E7" w:rsidRPr="00BD2EF1" w:rsidRDefault="0015701C" w:rsidP="0015701C">
      <w:pPr>
        <w:pStyle w:val="Titre3"/>
      </w:pPr>
      <w:bookmarkStart w:id="193" w:name="_Toc93326546"/>
      <w:r w:rsidRPr="00BD2EF1">
        <w:lastRenderedPageBreak/>
        <w:t>Risk assessment for human health</w:t>
      </w:r>
      <w:bookmarkEnd w:id="193"/>
    </w:p>
    <w:p w14:paraId="08F51D30" w14:textId="77777777" w:rsidR="0015701C" w:rsidRPr="00BD2EF1" w:rsidRDefault="0015701C" w:rsidP="0015701C">
      <w:pPr>
        <w:pStyle w:val="Titre4"/>
      </w:pPr>
      <w:bookmarkStart w:id="194" w:name="_Toc93326547"/>
      <w:r w:rsidRPr="00BD2EF1">
        <w:t>Assessment of effects on Human Health</w:t>
      </w:r>
      <w:bookmarkEnd w:id="194"/>
    </w:p>
    <w:p w14:paraId="1717C3BF" w14:textId="77777777" w:rsidR="00C41691" w:rsidRPr="009461FB" w:rsidRDefault="00C41691" w:rsidP="00C41691">
      <w:pPr>
        <w:pStyle w:val="Paragraphedeliste"/>
        <w:numPr>
          <w:ilvl w:val="0"/>
          <w:numId w:val="68"/>
        </w:numPr>
        <w:rPr>
          <w:b/>
        </w:rPr>
      </w:pPr>
      <w:r w:rsidRPr="009461FB">
        <w:rPr>
          <w:b/>
        </w:rPr>
        <w:t>FIRST AUTHORISATION – 2017 (BE CA)</w:t>
      </w:r>
    </w:p>
    <w:p w14:paraId="103A7983" w14:textId="77777777" w:rsidR="00780E5B" w:rsidRDefault="00780E5B" w:rsidP="00260DEF">
      <w:pPr>
        <w:rPr>
          <w:rFonts w:eastAsia="Calibri"/>
          <w:iCs/>
          <w:lang w:eastAsia="en-US"/>
        </w:rPr>
      </w:pPr>
    </w:p>
    <w:p w14:paraId="1979A88F" w14:textId="42DEB4F1" w:rsidR="00260DEF" w:rsidRDefault="00260DEF" w:rsidP="00260DEF">
      <w:pPr>
        <w:rPr>
          <w:rFonts w:eastAsia="Calibri"/>
        </w:rPr>
      </w:pPr>
      <w:r w:rsidRPr="004A74A8">
        <w:rPr>
          <w:rFonts w:eastAsia="Calibri"/>
          <w:iCs/>
          <w:lang w:eastAsia="en-US"/>
        </w:rPr>
        <w:t>A</w:t>
      </w:r>
      <w:r w:rsidRPr="00B14A8D">
        <w:rPr>
          <w:rFonts w:eastAsia="Calibri"/>
          <w:iCs/>
          <w:lang w:eastAsia="en-US"/>
        </w:rPr>
        <w:t xml:space="preserve">cute dermal toxicity, skin </w:t>
      </w:r>
      <w:r>
        <w:rPr>
          <w:rFonts w:eastAsia="Calibri"/>
          <w:iCs/>
          <w:lang w:eastAsia="en-US"/>
        </w:rPr>
        <w:t xml:space="preserve">and eye </w:t>
      </w:r>
      <w:r w:rsidRPr="00B14A8D">
        <w:rPr>
          <w:rFonts w:eastAsia="Calibri"/>
          <w:iCs/>
          <w:lang w:eastAsia="en-US"/>
        </w:rPr>
        <w:t xml:space="preserve">irritation </w:t>
      </w:r>
      <w:r>
        <w:rPr>
          <w:rFonts w:eastAsia="Calibri"/>
          <w:iCs/>
          <w:lang w:eastAsia="en-US"/>
        </w:rPr>
        <w:t>and</w:t>
      </w:r>
      <w:r w:rsidRPr="00B14A8D">
        <w:rPr>
          <w:rFonts w:eastAsia="Calibri"/>
          <w:iCs/>
          <w:lang w:eastAsia="en-US"/>
        </w:rPr>
        <w:t xml:space="preserve"> sensitising properties</w:t>
      </w:r>
      <w:r>
        <w:rPr>
          <w:rFonts w:eastAsia="Calibri"/>
          <w:iCs/>
          <w:lang w:eastAsia="en-US"/>
        </w:rPr>
        <w:t xml:space="preserve"> were assessed using formula </w:t>
      </w:r>
      <w:r>
        <w:rPr>
          <w:rFonts w:eastAsia="Calibri"/>
        </w:rPr>
        <w:t xml:space="preserve">EUS26-15 Insect Repellent Spray.  The test substance can be regarded as representative for the product under evaluation.  The main difference between the 2 formulas is the presence of an emollient at a slightly higher concentration in the product under evaluation than in EUS26-15; this substance carries no classification. The slightly higher concentration of Bitrex in the product under evaluation is not expected to influence the properties of the biocidal product.  Thirdly, we note the presence (EUS26-15) / absence (product under evaluation) of a small amount of denaturant and of </w:t>
      </w:r>
      <w:r w:rsidRPr="008D7077">
        <w:rPr>
          <w:rFonts w:eastAsia="Calibri"/>
        </w:rPr>
        <w:t>a film forming component</w:t>
      </w:r>
      <w:r>
        <w:rPr>
          <w:rFonts w:eastAsia="Calibri"/>
        </w:rPr>
        <w:t xml:space="preserve">.  The harmonized classification of the denaturant indicates that it will not affect the results of the properties tested. The film forming component is an eye irritant; other properties of the tested mixture will not be affected. For details, see section 2.2.2 and </w:t>
      </w:r>
      <w:r w:rsidRPr="00606AB8">
        <w:rPr>
          <w:lang w:val="en-US"/>
        </w:rPr>
        <w:t>confidential part of the PAR</w:t>
      </w:r>
      <w:r>
        <w:rPr>
          <w:rFonts w:eastAsia="Calibri"/>
        </w:rPr>
        <w:t>.</w:t>
      </w:r>
    </w:p>
    <w:p w14:paraId="2AD2E0E0" w14:textId="77777777" w:rsidR="00260DEF" w:rsidRDefault="00260DEF" w:rsidP="00260DEF"/>
    <w:p w14:paraId="3E6D6320" w14:textId="68DFC34F" w:rsidR="0015701C" w:rsidRDefault="0015701C" w:rsidP="0015701C">
      <w:pPr>
        <w:pStyle w:val="Titre5"/>
        <w:rPr>
          <w:lang w:val="en-GB"/>
        </w:rPr>
      </w:pPr>
      <w:bookmarkStart w:id="195" w:name="_Toc93326548"/>
      <w:r w:rsidRPr="00BD2EF1">
        <w:rPr>
          <w:lang w:val="en-GB"/>
        </w:rPr>
        <w:t>Skin corrosion and irritation</w:t>
      </w:r>
      <w:bookmarkEnd w:id="195"/>
    </w:p>
    <w:p w14:paraId="56A8903D" w14:textId="77777777" w:rsidR="00B24C59" w:rsidRPr="009461FB" w:rsidRDefault="00B24C59" w:rsidP="00B24C59">
      <w:pPr>
        <w:pStyle w:val="Paragraphedeliste"/>
        <w:numPr>
          <w:ilvl w:val="0"/>
          <w:numId w:val="68"/>
        </w:numPr>
        <w:rPr>
          <w:b/>
        </w:rPr>
      </w:pPr>
      <w:r w:rsidRPr="009461FB">
        <w:rPr>
          <w:b/>
        </w:rPr>
        <w:t>FIRST AUTHORISATION – 2017 (BE CA)</w:t>
      </w:r>
    </w:p>
    <w:p w14:paraId="6B548A02" w14:textId="77777777" w:rsidR="00B24C59" w:rsidRPr="00B24C59" w:rsidRDefault="00B24C59" w:rsidP="00B24C59">
      <w:pPr>
        <w:rPr>
          <w:lang w:eastAsia="en-US"/>
        </w:rPr>
      </w:pPr>
    </w:p>
    <w:p w14:paraId="05808E4E" w14:textId="77777777" w:rsidR="00433196" w:rsidRPr="00796B6A" w:rsidRDefault="00433196" w:rsidP="00433196">
      <w:pPr>
        <w:spacing w:line="260" w:lineRule="atLeast"/>
        <w:rPr>
          <w:rFonts w:eastAsia="Calibri"/>
          <w:iCs/>
          <w:lang w:eastAsia="en-US"/>
        </w:rPr>
      </w:pPr>
      <w:r w:rsidRPr="00796B6A">
        <w:rPr>
          <w:rFonts w:eastAsia="Calibri"/>
          <w:iCs/>
          <w:lang w:eastAsia="en-US"/>
        </w:rPr>
        <w:t>New data for this section are due to differences in product composition.</w:t>
      </w:r>
    </w:p>
    <w:p w14:paraId="2FE00B59" w14:textId="77777777" w:rsidR="0015701C" w:rsidRDefault="0015701C" w:rsidP="0015701C">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210"/>
        <w:gridCol w:w="1305"/>
        <w:gridCol w:w="2259"/>
        <w:gridCol w:w="2159"/>
        <w:gridCol w:w="1236"/>
      </w:tblGrid>
      <w:tr w:rsidR="00433196" w:rsidRPr="00433196" w14:paraId="06AB0B9B" w14:textId="77777777" w:rsidTr="00477AB6">
        <w:tc>
          <w:tcPr>
            <w:tcW w:w="5000" w:type="pct"/>
            <w:gridSpan w:val="6"/>
            <w:shd w:val="clear" w:color="auto" w:fill="FFFFCC"/>
          </w:tcPr>
          <w:p w14:paraId="412013F9" w14:textId="77777777" w:rsidR="00433196" w:rsidRPr="00433196" w:rsidRDefault="00433196" w:rsidP="00433196">
            <w:pPr>
              <w:pStyle w:val="Standaard-Tabellen"/>
              <w:jc w:val="center"/>
              <w:rPr>
                <w:rFonts w:eastAsia="Calibri"/>
                <w:b/>
                <w:highlight w:val="cyan"/>
              </w:rPr>
            </w:pPr>
            <w:r w:rsidRPr="00433196">
              <w:rPr>
                <w:rFonts w:eastAsia="Calibri"/>
                <w:b/>
              </w:rPr>
              <w:t>Summary table of animal studies on skin corrosion /irritation</w:t>
            </w:r>
          </w:p>
        </w:tc>
      </w:tr>
      <w:tr w:rsidR="00477AB6" w:rsidRPr="00433196" w14:paraId="65963851" w14:textId="77777777" w:rsidTr="00477AB6">
        <w:tc>
          <w:tcPr>
            <w:tcW w:w="503" w:type="pct"/>
            <w:shd w:val="clear" w:color="auto" w:fill="BFBFBF" w:themeFill="background1" w:themeFillShade="BF"/>
          </w:tcPr>
          <w:p w14:paraId="6AE8EC1C" w14:textId="77777777" w:rsidR="00433196" w:rsidRPr="00433196" w:rsidRDefault="00433196" w:rsidP="00433196">
            <w:pPr>
              <w:pStyle w:val="Standaard-Tabellen"/>
              <w:rPr>
                <w:rFonts w:eastAsia="Calibri"/>
                <w:b/>
                <w:szCs w:val="18"/>
              </w:rPr>
            </w:pPr>
            <w:r w:rsidRPr="00433196">
              <w:rPr>
                <w:rFonts w:eastAsia="Calibri"/>
                <w:b/>
                <w:szCs w:val="18"/>
              </w:rPr>
              <w:t>Method,</w:t>
            </w:r>
            <w:r w:rsidRPr="00433196">
              <w:rPr>
                <w:rFonts w:eastAsia="Calibri"/>
                <w:b/>
                <w:szCs w:val="18"/>
              </w:rPr>
              <w:br/>
              <w:t xml:space="preserve">Guideline, </w:t>
            </w:r>
          </w:p>
          <w:p w14:paraId="04B6CDDC" w14:textId="77777777" w:rsidR="00433196" w:rsidRPr="00433196" w:rsidRDefault="00433196" w:rsidP="00433196">
            <w:pPr>
              <w:pStyle w:val="Standaard-Tabellen"/>
              <w:rPr>
                <w:rFonts w:eastAsia="Calibri"/>
                <w:b/>
                <w:highlight w:val="cyan"/>
              </w:rPr>
            </w:pPr>
            <w:r w:rsidRPr="00433196">
              <w:rPr>
                <w:rFonts w:eastAsia="Calibri"/>
                <w:b/>
                <w:szCs w:val="18"/>
              </w:rPr>
              <w:t>GLP status, Reliability</w:t>
            </w:r>
          </w:p>
        </w:tc>
        <w:tc>
          <w:tcPr>
            <w:tcW w:w="490" w:type="pct"/>
            <w:shd w:val="clear" w:color="auto" w:fill="BFBFBF" w:themeFill="background1" w:themeFillShade="BF"/>
          </w:tcPr>
          <w:p w14:paraId="740422BF" w14:textId="77777777" w:rsidR="00433196" w:rsidRPr="00433196" w:rsidRDefault="00433196" w:rsidP="00433196">
            <w:pPr>
              <w:pStyle w:val="Standaard-Tabellen"/>
              <w:rPr>
                <w:rFonts w:eastAsia="Calibri"/>
                <w:b/>
                <w:highlight w:val="cyan"/>
              </w:rPr>
            </w:pPr>
            <w:r w:rsidRPr="00433196">
              <w:rPr>
                <w:rFonts w:eastAsia="Calibri"/>
                <w:b/>
              </w:rPr>
              <w:t>Species,</w:t>
            </w:r>
            <w:r w:rsidRPr="00433196">
              <w:rPr>
                <w:rFonts w:eastAsia="Calibri"/>
                <w:b/>
              </w:rPr>
              <w:br/>
              <w:t>Strain,</w:t>
            </w:r>
            <w:r w:rsidRPr="00433196">
              <w:rPr>
                <w:rFonts w:eastAsia="Calibri"/>
                <w:b/>
              </w:rPr>
              <w:br/>
              <w:t>Sex,</w:t>
            </w:r>
            <w:r w:rsidRPr="00433196">
              <w:rPr>
                <w:rFonts w:eastAsia="Calibri"/>
                <w:b/>
              </w:rPr>
              <w:br/>
              <w:t>No/group</w:t>
            </w:r>
          </w:p>
        </w:tc>
        <w:tc>
          <w:tcPr>
            <w:tcW w:w="615" w:type="pct"/>
            <w:shd w:val="clear" w:color="auto" w:fill="BFBFBF" w:themeFill="background1" w:themeFillShade="BF"/>
          </w:tcPr>
          <w:p w14:paraId="5DB5F192" w14:textId="77777777" w:rsidR="00433196" w:rsidRPr="00433196" w:rsidRDefault="00433196" w:rsidP="00433196">
            <w:pPr>
              <w:pStyle w:val="Standaard-Tabellen"/>
              <w:rPr>
                <w:rFonts w:eastAsia="Calibri"/>
                <w:b/>
              </w:rPr>
            </w:pPr>
            <w:r w:rsidRPr="00433196">
              <w:rPr>
                <w:rFonts w:eastAsia="Calibri"/>
                <w:b/>
              </w:rPr>
              <w:t xml:space="preserve">Test substance, Vehicle, Dose levels, </w:t>
            </w:r>
            <w:r w:rsidRPr="00433196">
              <w:rPr>
                <w:rFonts w:eastAsia="Calibri"/>
                <w:b/>
              </w:rPr>
              <w:br/>
              <w:t>Duration of exposure</w:t>
            </w:r>
          </w:p>
        </w:tc>
        <w:tc>
          <w:tcPr>
            <w:tcW w:w="1480" w:type="pct"/>
            <w:shd w:val="clear" w:color="auto" w:fill="BFBFBF" w:themeFill="background1" w:themeFillShade="BF"/>
          </w:tcPr>
          <w:p w14:paraId="2801555E" w14:textId="77777777" w:rsidR="00433196" w:rsidRPr="00433196" w:rsidRDefault="00433196" w:rsidP="00433196">
            <w:pPr>
              <w:pStyle w:val="Standaard-Tabellen"/>
              <w:rPr>
                <w:rFonts w:eastAsia="Calibri"/>
                <w:b/>
              </w:rPr>
            </w:pPr>
            <w:r w:rsidRPr="00433196">
              <w:rPr>
                <w:rFonts w:eastAsia="Calibri"/>
                <w:b/>
              </w:rPr>
              <w:t>Results</w:t>
            </w:r>
          </w:p>
          <w:p w14:paraId="5634BD21" w14:textId="77777777" w:rsidR="00433196" w:rsidRPr="00477AB6" w:rsidRDefault="00433196" w:rsidP="00433196">
            <w:pPr>
              <w:pStyle w:val="Standaard-Tabellen"/>
              <w:rPr>
                <w:rFonts w:eastAsia="Calibri"/>
                <w:i/>
              </w:rPr>
            </w:pPr>
            <w:r w:rsidRPr="00477AB6">
              <w:rPr>
                <w:rFonts w:eastAsia="Calibri"/>
                <w:i/>
              </w:rPr>
              <w:t>Average score</w:t>
            </w:r>
            <w:r w:rsidRPr="00477AB6">
              <w:rPr>
                <w:rFonts w:eastAsia="Calibri"/>
              </w:rPr>
              <w:t xml:space="preserve"> </w:t>
            </w:r>
            <w:r w:rsidRPr="00477AB6">
              <w:rPr>
                <w:rFonts w:eastAsia="Calibri"/>
                <w:i/>
              </w:rPr>
              <w:t>(24, 48, 72h)/</w:t>
            </w:r>
          </w:p>
          <w:p w14:paraId="40488DDB" w14:textId="77777777" w:rsidR="00433196" w:rsidRPr="00477AB6" w:rsidRDefault="00433196" w:rsidP="00433196">
            <w:pPr>
              <w:pStyle w:val="Standaard-Tabellen"/>
              <w:rPr>
                <w:rFonts w:eastAsia="Calibri"/>
                <w:i/>
              </w:rPr>
            </w:pPr>
            <w:r w:rsidRPr="00477AB6">
              <w:rPr>
                <w:rFonts w:eastAsia="Calibri"/>
                <w:i/>
              </w:rPr>
              <w:t>observations and time point of onset,  reversibility; other adverse local / systemic effects,  histopathological</w:t>
            </w:r>
          </w:p>
          <w:p w14:paraId="3A76CF7E" w14:textId="77777777" w:rsidR="00433196" w:rsidRPr="00477AB6" w:rsidRDefault="00433196" w:rsidP="00433196">
            <w:pPr>
              <w:pStyle w:val="Standaard-Tabellen"/>
              <w:rPr>
                <w:rFonts w:eastAsia="Calibri"/>
                <w:i/>
              </w:rPr>
            </w:pPr>
            <w:r w:rsidRPr="00477AB6">
              <w:rPr>
                <w:rFonts w:eastAsia="Calibri"/>
                <w:i/>
              </w:rPr>
              <w:t>findings</w:t>
            </w:r>
          </w:p>
          <w:p w14:paraId="7B02F2CE" w14:textId="77777777" w:rsidR="00433196" w:rsidRPr="00433196" w:rsidRDefault="00433196" w:rsidP="00433196">
            <w:pPr>
              <w:pStyle w:val="Standaard-Tabellen"/>
              <w:rPr>
                <w:rFonts w:eastAsia="Calibri"/>
                <w:b/>
              </w:rPr>
            </w:pPr>
          </w:p>
        </w:tc>
        <w:tc>
          <w:tcPr>
            <w:tcW w:w="1427" w:type="pct"/>
            <w:shd w:val="clear" w:color="auto" w:fill="BFBFBF" w:themeFill="background1" w:themeFillShade="BF"/>
          </w:tcPr>
          <w:p w14:paraId="3B29C777" w14:textId="77777777" w:rsidR="00433196" w:rsidRPr="00433196" w:rsidRDefault="00433196" w:rsidP="00433196">
            <w:pPr>
              <w:pStyle w:val="Standaard-Tabellen"/>
              <w:rPr>
                <w:rFonts w:eastAsia="Calibri"/>
                <w:b/>
              </w:rPr>
            </w:pPr>
            <w:r w:rsidRPr="00433196">
              <w:rPr>
                <w:rFonts w:eastAsia="Calibri"/>
                <w:b/>
              </w:rPr>
              <w:t xml:space="preserve">Remarks </w:t>
            </w:r>
            <w:r w:rsidRPr="00477AB6">
              <w:rPr>
                <w:rFonts w:eastAsia="Calibri"/>
                <w:i/>
              </w:rPr>
              <w:t>(e.g. major deviations)</w:t>
            </w:r>
          </w:p>
        </w:tc>
        <w:tc>
          <w:tcPr>
            <w:tcW w:w="483" w:type="pct"/>
            <w:shd w:val="clear" w:color="auto" w:fill="BFBFBF" w:themeFill="background1" w:themeFillShade="BF"/>
          </w:tcPr>
          <w:p w14:paraId="4CD5F92B" w14:textId="77777777" w:rsidR="00433196" w:rsidRPr="00433196" w:rsidRDefault="00433196" w:rsidP="00433196">
            <w:pPr>
              <w:pStyle w:val="Standaard-Tabellen"/>
              <w:rPr>
                <w:rFonts w:eastAsia="Calibri"/>
                <w:b/>
              </w:rPr>
            </w:pPr>
            <w:r w:rsidRPr="00433196">
              <w:rPr>
                <w:rFonts w:eastAsia="Calibri"/>
                <w:b/>
              </w:rPr>
              <w:t xml:space="preserve">Reference </w:t>
            </w:r>
          </w:p>
          <w:p w14:paraId="47C4D7C3" w14:textId="77777777" w:rsidR="00433196" w:rsidRPr="00433196" w:rsidRDefault="00433196" w:rsidP="00433196">
            <w:pPr>
              <w:pStyle w:val="Standaard-Tabellen"/>
              <w:rPr>
                <w:rFonts w:eastAsia="Calibri"/>
                <w:b/>
              </w:rPr>
            </w:pPr>
          </w:p>
        </w:tc>
      </w:tr>
      <w:tr w:rsidR="00433196" w:rsidRPr="00796B6A" w14:paraId="396887C8" w14:textId="77777777" w:rsidTr="00477AB6">
        <w:tc>
          <w:tcPr>
            <w:tcW w:w="503" w:type="pct"/>
            <w:shd w:val="clear" w:color="auto" w:fill="auto"/>
          </w:tcPr>
          <w:p w14:paraId="4EFB6B85" w14:textId="77777777" w:rsidR="00433196" w:rsidRPr="005E5F5C" w:rsidRDefault="005E2D04" w:rsidP="00433196">
            <w:pPr>
              <w:pStyle w:val="Standaard-Tabellen"/>
              <w:rPr>
                <w:rFonts w:eastAsia="Calibri"/>
                <w:lang w:val="de-DE"/>
              </w:rPr>
            </w:pPr>
            <w:r w:rsidRPr="005E5F5C">
              <w:rPr>
                <w:rFonts w:eastAsia="Calibri"/>
                <w:lang w:val="de-DE"/>
              </w:rPr>
              <w:t>OPPTS 870.2500</w:t>
            </w:r>
          </w:p>
          <w:p w14:paraId="1E589CF8" w14:textId="77777777" w:rsidR="00433196" w:rsidRPr="005E5F5C" w:rsidRDefault="005E2D04" w:rsidP="00433196">
            <w:pPr>
              <w:pStyle w:val="Standaard-Tabellen"/>
              <w:rPr>
                <w:rFonts w:eastAsia="Calibri"/>
                <w:lang w:val="de-DE"/>
              </w:rPr>
            </w:pPr>
            <w:r w:rsidRPr="005E5F5C">
              <w:rPr>
                <w:rFonts w:eastAsia="Calibri"/>
                <w:lang w:val="de-DE"/>
              </w:rPr>
              <w:t>OECD 404</w:t>
            </w:r>
          </w:p>
          <w:p w14:paraId="488A8CCB" w14:textId="77777777" w:rsidR="00433196" w:rsidRPr="005E5F5C" w:rsidRDefault="005E2D04" w:rsidP="00433196">
            <w:pPr>
              <w:pStyle w:val="Standaard-Tabellen"/>
              <w:rPr>
                <w:rFonts w:eastAsia="Calibri"/>
                <w:lang w:val="de-DE"/>
              </w:rPr>
            </w:pPr>
            <w:r w:rsidRPr="005E5F5C">
              <w:rPr>
                <w:rFonts w:eastAsia="Calibri"/>
                <w:lang w:val="de-DE"/>
              </w:rPr>
              <w:t>EU 92/69 Annex V, B4</w:t>
            </w:r>
          </w:p>
          <w:p w14:paraId="06481227" w14:textId="77777777" w:rsidR="00433196" w:rsidRPr="00796B6A" w:rsidRDefault="00433196" w:rsidP="00433196">
            <w:pPr>
              <w:pStyle w:val="Standaard-Tabellen"/>
              <w:rPr>
                <w:rFonts w:eastAsia="Calibri"/>
              </w:rPr>
            </w:pPr>
            <w:r w:rsidRPr="00796B6A">
              <w:rPr>
                <w:rFonts w:eastAsia="Calibri"/>
              </w:rPr>
              <w:t>GLP=yes</w:t>
            </w:r>
          </w:p>
          <w:p w14:paraId="15ED23CF" w14:textId="77777777" w:rsidR="00433196" w:rsidRPr="00796B6A" w:rsidRDefault="00433196" w:rsidP="00433196">
            <w:pPr>
              <w:pStyle w:val="Standaard-Tabellen"/>
              <w:rPr>
                <w:rFonts w:eastAsia="Calibri"/>
              </w:rPr>
            </w:pPr>
            <w:r w:rsidRPr="00796B6A">
              <w:rPr>
                <w:rFonts w:eastAsia="Calibri"/>
              </w:rPr>
              <w:t>Rel=1</w:t>
            </w:r>
          </w:p>
        </w:tc>
        <w:tc>
          <w:tcPr>
            <w:tcW w:w="490" w:type="pct"/>
            <w:shd w:val="clear" w:color="auto" w:fill="auto"/>
          </w:tcPr>
          <w:p w14:paraId="4583742C" w14:textId="77777777" w:rsidR="00433196" w:rsidRPr="00796B6A" w:rsidRDefault="00433196" w:rsidP="00433196">
            <w:pPr>
              <w:pStyle w:val="Standaard-Tabellen"/>
              <w:rPr>
                <w:rFonts w:eastAsia="Calibri"/>
              </w:rPr>
            </w:pPr>
            <w:r w:rsidRPr="00796B6A">
              <w:rPr>
                <w:rFonts w:eastAsia="Calibri"/>
              </w:rPr>
              <w:t>Albino rabbit</w:t>
            </w:r>
          </w:p>
          <w:p w14:paraId="5F0C89C2" w14:textId="77777777" w:rsidR="00433196" w:rsidRPr="00796B6A" w:rsidRDefault="00433196" w:rsidP="00433196">
            <w:pPr>
              <w:pStyle w:val="Standaard-Tabellen"/>
              <w:rPr>
                <w:rFonts w:eastAsia="Calibri"/>
              </w:rPr>
            </w:pPr>
            <w:r w:rsidRPr="00796B6A">
              <w:rPr>
                <w:rFonts w:eastAsia="Calibri"/>
              </w:rPr>
              <w:t>New Zealand White</w:t>
            </w:r>
          </w:p>
          <w:p w14:paraId="7F0DC624" w14:textId="77777777" w:rsidR="00433196" w:rsidRPr="00796B6A" w:rsidRDefault="00433196" w:rsidP="00433196">
            <w:pPr>
              <w:pStyle w:val="Standaard-Tabellen"/>
              <w:rPr>
                <w:rFonts w:eastAsia="Calibri"/>
              </w:rPr>
            </w:pPr>
            <w:r w:rsidRPr="00796B6A">
              <w:rPr>
                <w:rFonts w:eastAsia="Calibri"/>
              </w:rPr>
              <w:t>2</w:t>
            </w:r>
            <w:r w:rsidRPr="00796B6A">
              <w:rPr>
                <w:rFonts w:ascii="Segoe UI Symbol" w:eastAsia="Calibri" w:hAnsi="Segoe UI Symbol" w:cs="Segoe UI Symbol"/>
              </w:rPr>
              <w:t>♂</w:t>
            </w:r>
            <w:r w:rsidRPr="00796B6A">
              <w:rPr>
                <w:rFonts w:eastAsia="Calibri"/>
              </w:rPr>
              <w:t>, 1</w:t>
            </w:r>
            <w:r w:rsidRPr="00796B6A">
              <w:rPr>
                <w:rFonts w:ascii="Segoe UI Symbol" w:eastAsia="Calibri" w:hAnsi="Segoe UI Symbol" w:cs="Segoe UI Symbol"/>
              </w:rPr>
              <w:t>♀</w:t>
            </w:r>
          </w:p>
          <w:p w14:paraId="4E775E25" w14:textId="77777777" w:rsidR="00433196" w:rsidRPr="00796B6A" w:rsidRDefault="00433196" w:rsidP="00433196">
            <w:pPr>
              <w:pStyle w:val="Standaard-Tabellen"/>
              <w:rPr>
                <w:rFonts w:eastAsia="Calibri"/>
              </w:rPr>
            </w:pPr>
            <w:r w:rsidRPr="00796B6A">
              <w:rPr>
                <w:rFonts w:eastAsia="Calibri"/>
              </w:rPr>
              <w:t>1 test group, 3 animals</w:t>
            </w:r>
          </w:p>
        </w:tc>
        <w:tc>
          <w:tcPr>
            <w:tcW w:w="615" w:type="pct"/>
            <w:shd w:val="clear" w:color="auto" w:fill="auto"/>
          </w:tcPr>
          <w:p w14:paraId="54639013" w14:textId="77777777" w:rsidR="00433196" w:rsidRPr="00796B6A" w:rsidRDefault="00433196" w:rsidP="00433196">
            <w:pPr>
              <w:pStyle w:val="Standaard-Tabellen"/>
              <w:rPr>
                <w:rFonts w:eastAsia="Calibri"/>
              </w:rPr>
            </w:pPr>
            <w:r w:rsidRPr="00796B6A">
              <w:rPr>
                <w:rFonts w:eastAsia="Calibri"/>
              </w:rPr>
              <w:t>EUS26-15 Insect Repellent Spray</w:t>
            </w:r>
          </w:p>
          <w:p w14:paraId="0A9B128E" w14:textId="77777777" w:rsidR="00433196" w:rsidRPr="00796B6A" w:rsidRDefault="00433196" w:rsidP="00433196">
            <w:pPr>
              <w:pStyle w:val="Standaard-Tabellen"/>
              <w:rPr>
                <w:rFonts w:eastAsia="Calibri"/>
              </w:rPr>
            </w:pPr>
            <w:r w:rsidRPr="00796B6A">
              <w:rPr>
                <w:rFonts w:eastAsia="Calibri"/>
              </w:rPr>
              <w:t>No vehicle</w:t>
            </w:r>
          </w:p>
          <w:p w14:paraId="7A238967" w14:textId="77777777" w:rsidR="00433196" w:rsidRPr="00796B6A" w:rsidRDefault="00433196" w:rsidP="00433196">
            <w:pPr>
              <w:pStyle w:val="Standaard-Tabellen"/>
              <w:rPr>
                <w:rFonts w:eastAsia="Calibri"/>
              </w:rPr>
            </w:pPr>
            <w:r w:rsidRPr="00796B6A">
              <w:rPr>
                <w:rFonts w:eastAsia="Calibri"/>
              </w:rPr>
              <w:t>0.5 ml / 2.5 cm x 2.5 cm</w:t>
            </w:r>
          </w:p>
          <w:p w14:paraId="405B40FC" w14:textId="77777777" w:rsidR="00433196" w:rsidRPr="00796B6A" w:rsidRDefault="00433196" w:rsidP="00433196">
            <w:pPr>
              <w:pStyle w:val="Standaard-Tabellen"/>
              <w:rPr>
                <w:rFonts w:eastAsia="Calibri"/>
              </w:rPr>
            </w:pPr>
            <w:r w:rsidRPr="00796B6A">
              <w:rPr>
                <w:rFonts w:eastAsia="Calibri"/>
              </w:rPr>
              <w:t>4h</w:t>
            </w:r>
          </w:p>
        </w:tc>
        <w:tc>
          <w:tcPr>
            <w:tcW w:w="1480" w:type="pct"/>
            <w:shd w:val="clear" w:color="auto" w:fill="auto"/>
          </w:tcPr>
          <w:p w14:paraId="07D8D419" w14:textId="77777777" w:rsidR="00433196" w:rsidRPr="00E23937" w:rsidRDefault="00433196" w:rsidP="00433196">
            <w:pPr>
              <w:pStyle w:val="Standaard-Tabellen"/>
              <w:rPr>
                <w:rFonts w:eastAsia="Calibri"/>
                <w:lang w:val="nl-BE"/>
              </w:rPr>
            </w:pPr>
            <w:r w:rsidRPr="00E23937">
              <w:rPr>
                <w:rFonts w:eastAsia="Calibri"/>
                <w:lang w:val="nl-BE"/>
              </w:rPr>
              <w:t xml:space="preserve">Erythema: </w:t>
            </w:r>
          </w:p>
          <w:p w14:paraId="244D80AD" w14:textId="77777777" w:rsidR="00433196" w:rsidRPr="00E23937" w:rsidRDefault="00433196" w:rsidP="00433196">
            <w:pPr>
              <w:pStyle w:val="Standaard-Tabellen"/>
              <w:rPr>
                <w:rFonts w:eastAsia="Calibri"/>
                <w:lang w:val="nl-BE"/>
              </w:rPr>
            </w:pPr>
            <w:r w:rsidRPr="00E23937">
              <w:rPr>
                <w:rFonts w:eastAsia="Calibri"/>
                <w:lang w:val="nl-BE"/>
              </w:rPr>
              <w:t xml:space="preserve">24h: </w:t>
            </w:r>
            <w:r>
              <w:rPr>
                <w:rFonts w:eastAsia="Calibri"/>
                <w:lang w:val="nl-BE"/>
              </w:rPr>
              <w:t>1.0</w:t>
            </w:r>
          </w:p>
          <w:p w14:paraId="4C4E2C29" w14:textId="77777777" w:rsidR="00433196" w:rsidRPr="00E23937" w:rsidRDefault="00433196" w:rsidP="00433196">
            <w:pPr>
              <w:pStyle w:val="Standaard-Tabellen"/>
              <w:rPr>
                <w:rFonts w:eastAsia="Calibri"/>
                <w:lang w:val="nl-BE"/>
              </w:rPr>
            </w:pPr>
            <w:r w:rsidRPr="00E23937">
              <w:rPr>
                <w:rFonts w:eastAsia="Calibri"/>
                <w:lang w:val="nl-BE"/>
              </w:rPr>
              <w:t xml:space="preserve">48h: </w:t>
            </w:r>
            <w:r>
              <w:rPr>
                <w:rFonts w:eastAsia="Calibri"/>
                <w:lang w:val="nl-BE"/>
              </w:rPr>
              <w:t>0.6</w:t>
            </w:r>
          </w:p>
          <w:p w14:paraId="6E010D63" w14:textId="77777777" w:rsidR="00433196" w:rsidRPr="00266969" w:rsidRDefault="00433196" w:rsidP="00433196">
            <w:pPr>
              <w:pStyle w:val="Standaard-Tabellen"/>
              <w:rPr>
                <w:rFonts w:eastAsia="Calibri"/>
                <w:lang w:val="nl-BE"/>
              </w:rPr>
            </w:pPr>
            <w:r w:rsidRPr="00266969">
              <w:rPr>
                <w:rFonts w:eastAsia="Calibri"/>
                <w:lang w:val="nl-BE"/>
              </w:rPr>
              <w:t>72h: 1.0</w:t>
            </w:r>
          </w:p>
          <w:p w14:paraId="396B8FC4" w14:textId="77777777" w:rsidR="00433196" w:rsidRPr="00266969" w:rsidRDefault="00433196" w:rsidP="00433196">
            <w:pPr>
              <w:pStyle w:val="Standaard-Tabellen"/>
              <w:rPr>
                <w:rFonts w:eastAsia="Calibri"/>
                <w:lang w:val="nl-BE"/>
              </w:rPr>
            </w:pPr>
            <w:r w:rsidRPr="00266969">
              <w:rPr>
                <w:rFonts w:eastAsia="Calibri"/>
                <w:lang w:val="nl-BE"/>
              </w:rPr>
              <w:t xml:space="preserve">Edema: </w:t>
            </w:r>
          </w:p>
          <w:p w14:paraId="6E773555" w14:textId="77777777" w:rsidR="00433196" w:rsidRPr="00173F67" w:rsidRDefault="00433196" w:rsidP="00433196">
            <w:pPr>
              <w:pStyle w:val="Standaard-Tabellen"/>
              <w:rPr>
                <w:rFonts w:eastAsia="Calibri"/>
              </w:rPr>
            </w:pPr>
            <w:r w:rsidRPr="00173F67">
              <w:rPr>
                <w:rFonts w:eastAsia="Calibri"/>
              </w:rPr>
              <w:t xml:space="preserve">24h: </w:t>
            </w:r>
            <w:r>
              <w:rPr>
                <w:rFonts w:eastAsia="Calibri"/>
              </w:rPr>
              <w:t>1.0</w:t>
            </w:r>
          </w:p>
          <w:p w14:paraId="6E45E3A1" w14:textId="77777777" w:rsidR="00433196" w:rsidRPr="00173F67" w:rsidRDefault="00433196" w:rsidP="00433196">
            <w:pPr>
              <w:pStyle w:val="Standaard-Tabellen"/>
              <w:rPr>
                <w:rFonts w:eastAsia="Calibri"/>
              </w:rPr>
            </w:pPr>
            <w:r w:rsidRPr="00173F67">
              <w:rPr>
                <w:rFonts w:eastAsia="Calibri"/>
              </w:rPr>
              <w:t>48h: 0.</w:t>
            </w:r>
            <w:r>
              <w:rPr>
                <w:rFonts w:eastAsia="Calibri"/>
              </w:rPr>
              <w:t>6</w:t>
            </w:r>
          </w:p>
          <w:p w14:paraId="0A3A8B1B" w14:textId="77777777" w:rsidR="00433196" w:rsidRPr="00173F67" w:rsidRDefault="00433196" w:rsidP="00433196">
            <w:pPr>
              <w:pStyle w:val="Standaard-Tabellen"/>
              <w:rPr>
                <w:rFonts w:eastAsia="Calibri"/>
              </w:rPr>
            </w:pPr>
            <w:r w:rsidRPr="00173F67">
              <w:rPr>
                <w:rFonts w:eastAsia="Calibri"/>
              </w:rPr>
              <w:t>72h: 0.</w:t>
            </w:r>
            <w:r>
              <w:rPr>
                <w:rFonts w:eastAsia="Calibri"/>
              </w:rPr>
              <w:t>3</w:t>
            </w:r>
          </w:p>
          <w:p w14:paraId="02F748C7" w14:textId="77777777" w:rsidR="00433196" w:rsidRPr="00796B6A" w:rsidRDefault="00C54F5B" w:rsidP="00433196">
            <w:pPr>
              <w:pStyle w:val="Standaard-Tabellen"/>
              <w:rPr>
                <w:rFonts w:eastAsia="Calibri"/>
              </w:rPr>
            </w:pPr>
            <w:r>
              <w:rPr>
                <w:rFonts w:eastAsia="Calibri"/>
              </w:rPr>
              <w:t>Very slight eryth</w:t>
            </w:r>
            <w:r w:rsidR="00433196" w:rsidRPr="00796B6A">
              <w:rPr>
                <w:rFonts w:eastAsia="Calibri"/>
              </w:rPr>
              <w:t>ema and edema.</w:t>
            </w:r>
          </w:p>
          <w:p w14:paraId="63AFB615" w14:textId="77777777" w:rsidR="00433196" w:rsidRPr="00796B6A" w:rsidRDefault="00C54F5B" w:rsidP="00433196">
            <w:pPr>
              <w:pStyle w:val="Standaard-Tabellen"/>
              <w:rPr>
                <w:rFonts w:eastAsia="Calibri"/>
              </w:rPr>
            </w:pPr>
            <w:r>
              <w:rPr>
                <w:rFonts w:eastAsia="Calibri"/>
              </w:rPr>
              <w:t>Max score eryth</w:t>
            </w:r>
            <w:r w:rsidR="00433196" w:rsidRPr="00796B6A">
              <w:rPr>
                <w:rFonts w:eastAsia="Calibri"/>
              </w:rPr>
              <w:t xml:space="preserve">ema 1, earliest onset 0.5-1h; max score edema 1, earliest </w:t>
            </w:r>
            <w:r>
              <w:rPr>
                <w:rFonts w:eastAsia="Calibri"/>
              </w:rPr>
              <w:t>onset 0.5-1h. Very slight eryth</w:t>
            </w:r>
            <w:r w:rsidR="00433196" w:rsidRPr="00796B6A">
              <w:rPr>
                <w:rFonts w:eastAsia="Calibri"/>
              </w:rPr>
              <w:t>ema persisted for 2 animals through study termination.</w:t>
            </w:r>
          </w:p>
          <w:p w14:paraId="66E941E2" w14:textId="77777777" w:rsidR="00433196" w:rsidRPr="00796B6A" w:rsidRDefault="00433196" w:rsidP="00433196">
            <w:pPr>
              <w:pStyle w:val="Standaard-Tabellen"/>
              <w:rPr>
                <w:rFonts w:eastAsia="Calibri"/>
              </w:rPr>
            </w:pPr>
            <w:r w:rsidRPr="00796B6A">
              <w:rPr>
                <w:rFonts w:eastAsia="Calibri"/>
              </w:rPr>
              <w:t>No deaths, no remarkable bw changes</w:t>
            </w:r>
          </w:p>
        </w:tc>
        <w:tc>
          <w:tcPr>
            <w:tcW w:w="1427" w:type="pct"/>
          </w:tcPr>
          <w:p w14:paraId="1D916E6B" w14:textId="2183ACE7" w:rsidR="00F43AF3" w:rsidRDefault="00433196" w:rsidP="00614E77">
            <w:pPr>
              <w:pStyle w:val="Standaard-Tabellen"/>
              <w:rPr>
                <w:rFonts w:eastAsia="Calibri"/>
              </w:rPr>
            </w:pPr>
            <w:r w:rsidRPr="003E6E58">
              <w:rPr>
                <w:rFonts w:eastAsia="Calibri"/>
              </w:rPr>
              <w:t>Tested on similar formulation;</w:t>
            </w:r>
          </w:p>
          <w:p w14:paraId="6F45C740" w14:textId="77777777" w:rsidR="00433196" w:rsidRDefault="00F43AF3" w:rsidP="00614E77">
            <w:pPr>
              <w:pStyle w:val="Standaard-Tabellen"/>
              <w:rPr>
                <w:rFonts w:eastAsia="Calibri"/>
              </w:rPr>
            </w:pPr>
            <w:r>
              <w:rPr>
                <w:rFonts w:eastAsia="Calibri"/>
              </w:rPr>
              <w:t>US Pump Spray Formulation</w:t>
            </w:r>
          </w:p>
          <w:p w14:paraId="62F9CDEC" w14:textId="77777777" w:rsidR="00614E77" w:rsidRPr="00902F6D" w:rsidRDefault="00614E77" w:rsidP="00614E77">
            <w:pPr>
              <w:pStyle w:val="Standaard-Tabellen"/>
              <w:rPr>
                <w:rFonts w:eastAsia="Calibri"/>
                <w:highlight w:val="yellow"/>
              </w:rPr>
            </w:pPr>
          </w:p>
        </w:tc>
        <w:tc>
          <w:tcPr>
            <w:tcW w:w="483" w:type="pct"/>
            <w:shd w:val="clear" w:color="auto" w:fill="auto"/>
          </w:tcPr>
          <w:p w14:paraId="245DB153" w14:textId="77777777" w:rsidR="00433196" w:rsidRPr="00796B6A" w:rsidRDefault="00433196" w:rsidP="00433196">
            <w:pPr>
              <w:pStyle w:val="Standaard-Tabellen"/>
              <w:rPr>
                <w:rFonts w:eastAsia="Calibri"/>
              </w:rPr>
            </w:pPr>
            <w:r w:rsidRPr="00796B6A">
              <w:rPr>
                <w:rFonts w:eastAsia="Calibri"/>
              </w:rPr>
              <w:t>Hurley,J.M. 2006</w:t>
            </w:r>
            <w:r>
              <w:rPr>
                <w:rFonts w:eastAsia="Calibri"/>
              </w:rPr>
              <w:t xml:space="preserve"> (a)</w:t>
            </w:r>
          </w:p>
        </w:tc>
      </w:tr>
    </w:tbl>
    <w:p w14:paraId="4C18A880" w14:textId="7FC99A62" w:rsidR="00477AB6" w:rsidRDefault="00477AB6">
      <w:pPr>
        <w:spacing w:before="0" w:after="160" w:line="259" w:lineRule="auto"/>
        <w:rPr>
          <w:rFonts w:eastAsia="Calibri"/>
          <w:lang w:eastAsia="en-US"/>
        </w:rPr>
      </w:pPr>
    </w:p>
    <w:tbl>
      <w:tblPr>
        <w:tblStyle w:val="Grilledutableau"/>
        <w:tblW w:w="0" w:type="auto"/>
        <w:tblLook w:val="04A0" w:firstRow="1" w:lastRow="0" w:firstColumn="1" w:lastColumn="0" w:noHBand="0" w:noVBand="1"/>
      </w:tblPr>
      <w:tblGrid>
        <w:gridCol w:w="9402"/>
      </w:tblGrid>
      <w:tr w:rsidR="00477AB6" w:rsidRPr="00D63744" w14:paraId="00B2BDE8" w14:textId="77777777" w:rsidTr="00224DD4">
        <w:tc>
          <w:tcPr>
            <w:tcW w:w="14334" w:type="dxa"/>
            <w:shd w:val="clear" w:color="auto" w:fill="FFFFCC"/>
          </w:tcPr>
          <w:p w14:paraId="6905058C" w14:textId="77777777" w:rsidR="00477AB6" w:rsidRPr="00D63744" w:rsidRDefault="00477AB6" w:rsidP="00224DD4">
            <w:pPr>
              <w:pStyle w:val="Standaard-Tabellen"/>
              <w:jc w:val="center"/>
              <w:rPr>
                <w:b/>
              </w:rPr>
            </w:pPr>
            <w:r>
              <w:rPr>
                <w:b/>
              </w:rPr>
              <w:t>I</w:t>
            </w:r>
            <w:r w:rsidRPr="00D63744">
              <w:rPr>
                <w:b/>
              </w:rPr>
              <w:t xml:space="preserve">ndividual and mean dermal scores for </w:t>
            </w:r>
            <w:r>
              <w:rPr>
                <w:b/>
              </w:rPr>
              <w:t>erythema and edema (Hurley, J.M., 2006 (a))</w:t>
            </w:r>
          </w:p>
        </w:tc>
      </w:tr>
      <w:tr w:rsidR="00477AB6" w14:paraId="08D2681B" w14:textId="77777777" w:rsidTr="00224DD4">
        <w:tc>
          <w:tcPr>
            <w:tcW w:w="14334" w:type="dxa"/>
          </w:tcPr>
          <w:p w14:paraId="642C0BED" w14:textId="77777777" w:rsidR="00477AB6" w:rsidRDefault="00477AB6" w:rsidP="00224DD4">
            <w:pPr>
              <w:pStyle w:val="Standaard-Tabellen"/>
              <w:rPr>
                <w:highlight w:val="yellow"/>
              </w:rPr>
            </w:pPr>
            <w:r w:rsidRPr="005349CB">
              <w:rPr>
                <w:noProof/>
                <w:color w:val="7F7F7F"/>
                <w:lang w:val="fr-FR" w:eastAsia="fr-FR"/>
              </w:rPr>
              <w:drawing>
                <wp:inline distT="0" distB="0" distL="0" distR="0" wp14:anchorId="2752A63F" wp14:editId="28C09821">
                  <wp:extent cx="5843270" cy="2051685"/>
                  <wp:effectExtent l="0" t="0" r="508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43270" cy="2051685"/>
                          </a:xfrm>
                          <a:prstGeom prst="rect">
                            <a:avLst/>
                          </a:prstGeom>
                          <a:noFill/>
                          <a:ln>
                            <a:noFill/>
                          </a:ln>
                        </pic:spPr>
                      </pic:pic>
                    </a:graphicData>
                  </a:graphic>
                </wp:inline>
              </w:drawing>
            </w:r>
          </w:p>
        </w:tc>
      </w:tr>
    </w:tbl>
    <w:p w14:paraId="0AF08D0F" w14:textId="77777777" w:rsidR="00477AB6" w:rsidRPr="00850D14" w:rsidRDefault="00477AB6" w:rsidP="00850D14">
      <w:pPr>
        <w:rPr>
          <w:rFonts w:eastAsia="Calibri"/>
          <w:lang w:eastAsia="en-US"/>
        </w:rPr>
      </w:pPr>
    </w:p>
    <w:p w14:paraId="4960233C" w14:textId="77777777" w:rsidR="00850D14" w:rsidRPr="00850D14" w:rsidRDefault="00850D14" w:rsidP="00850D14">
      <w:pPr>
        <w:rPr>
          <w:bCs/>
        </w:rPr>
      </w:pPr>
      <w:r w:rsidRPr="00850D14">
        <w:rPr>
          <w:bCs/>
        </w:rPr>
        <w:t>Skin corrosion/irritation was assessed on EUS26-15 Insect Repellent Spray, a formulation similar to Insect Repellent Pump Spray Lice IR3535</w:t>
      </w:r>
      <w:r w:rsidR="00407AC3" w:rsidRPr="00407AC3">
        <w:rPr>
          <w:bCs/>
          <w:vertAlign w:val="superscript"/>
        </w:rPr>
        <w:t>®</w:t>
      </w:r>
      <w:r w:rsidRPr="00850D14">
        <w:rPr>
          <w:bCs/>
        </w:rPr>
        <w:t xml:space="preserve"> 20%.</w:t>
      </w:r>
    </w:p>
    <w:p w14:paraId="083483C6" w14:textId="77777777" w:rsidR="00477AB6" w:rsidRPr="00850D14" w:rsidRDefault="00477AB6" w:rsidP="00850D14">
      <w:pPr>
        <w:rPr>
          <w:rFonts w:eastAsia="Calibri"/>
          <w:lang w:eastAsia="en-US"/>
        </w:rPr>
      </w:pPr>
    </w:p>
    <w:p w14:paraId="61B007A3" w14:textId="77777777" w:rsidR="00850D14" w:rsidRPr="00850D14" w:rsidRDefault="00850D14" w:rsidP="00850D14">
      <w:pPr>
        <w:rPr>
          <w:bCs/>
        </w:rPr>
      </w:pPr>
      <w:r w:rsidRPr="00850D14">
        <w:rPr>
          <w:bCs/>
        </w:rPr>
        <w:t xml:space="preserve">There were no deaths or remarkable body weight changes noted during the study. Dermal findings for the 4-hour exposure sites consisted of very slight erythema and edema (grade 1). Very slight erythema persisted for two animals through study termination. Based on the evaluation according to EU criteria, the mean scores at 24-72 hours for erythema and edema were calculated to be 0.89 and 0.67, respectively. </w:t>
      </w:r>
    </w:p>
    <w:p w14:paraId="3921E7B5" w14:textId="77777777" w:rsidR="00850D14" w:rsidRPr="00850D14" w:rsidRDefault="00850D14" w:rsidP="00850D14">
      <w:pPr>
        <w:rPr>
          <w:bCs/>
        </w:rPr>
      </w:pPr>
      <w:r w:rsidRPr="00850D14">
        <w:rPr>
          <w:bCs/>
        </w:rPr>
        <w:t xml:space="preserve">The mean scores determined for erythema (0.89) and edema (0.67) do not require a classification according to the EU and GHS classification and labelling system. </w:t>
      </w:r>
    </w:p>
    <w:p w14:paraId="64C2EF61" w14:textId="77777777" w:rsidR="00850D14" w:rsidRPr="00850D14" w:rsidRDefault="00850D14" w:rsidP="00850D14">
      <w:pPr>
        <w:rPr>
          <w:bCs/>
        </w:rPr>
      </w:pPr>
      <w:r w:rsidRPr="00850D14">
        <w:rPr>
          <w:bCs/>
        </w:rPr>
        <w:t>Although erythema grade 1 (very slight erythema, barely perceptible, area of edges not well defined) persisted in two out of three animals until the end of the 14-day post-observation period, a classification as a potential skin irritant is not required. According to EU Directive 2001/59/EC or Regulation (EC) No. 1272/2008 (CLP), a classification as a skin irritant should be considered when hyperplasia, hyperkeratosis, scaling, discoloration, fissures, scabs or alopecia persist in two or more animals at the end of the observation period which has not been observed in the skin irritation study with EUS26-15 Insect Repellent Spray.</w:t>
      </w:r>
    </w:p>
    <w:p w14:paraId="25665A45" w14:textId="77777777" w:rsidR="00850D14" w:rsidRPr="00850D14" w:rsidRDefault="00850D14" w:rsidP="00850D14">
      <w:pPr>
        <w:rPr>
          <w:bCs/>
        </w:rPr>
      </w:pPr>
    </w:p>
    <w:p w14:paraId="62A1D079" w14:textId="77777777" w:rsidR="00850D14" w:rsidRPr="00850D14" w:rsidRDefault="00850D14" w:rsidP="00850D14">
      <w:pPr>
        <w:rPr>
          <w:bCs/>
        </w:rPr>
      </w:pPr>
      <w:r w:rsidRPr="00850D14">
        <w:rPr>
          <w:bCs/>
        </w:rPr>
        <w:t>Since EUS26-15 Insect Repellent Spray and Insect Repellent Pump Spray Lice IR3535</w:t>
      </w:r>
      <w:r w:rsidRPr="00850D14">
        <w:rPr>
          <w:bCs/>
          <w:vertAlign w:val="superscript"/>
        </w:rPr>
        <w:t>®</w:t>
      </w:r>
      <w:r w:rsidRPr="00850D14">
        <w:rPr>
          <w:bCs/>
        </w:rPr>
        <w:t xml:space="preserve"> 20 % are nearly identical in composition, the results obtained in the test described here are considered relevant for Insect Repellent Pump Spray Lice IR3535</w:t>
      </w:r>
      <w:r w:rsidRPr="00850D14">
        <w:rPr>
          <w:bCs/>
          <w:vertAlign w:val="superscript"/>
        </w:rPr>
        <w:t>®</w:t>
      </w:r>
      <w:r w:rsidRPr="00850D14">
        <w:rPr>
          <w:bCs/>
        </w:rPr>
        <w:t xml:space="preserve"> 20 %.</w:t>
      </w:r>
    </w:p>
    <w:p w14:paraId="74C78FC4" w14:textId="77777777" w:rsidR="00850D14" w:rsidRPr="00850D14" w:rsidRDefault="00850D14" w:rsidP="00850D14">
      <w:pPr>
        <w:rPr>
          <w:bCs/>
        </w:rPr>
      </w:pPr>
    </w:p>
    <w:p w14:paraId="26E33BEE" w14:textId="77777777" w:rsidR="00850D14" w:rsidRPr="00850D14" w:rsidRDefault="00850D14" w:rsidP="00850D14">
      <w:pPr>
        <w:rPr>
          <w:rFonts w:eastAsia="Calibri"/>
          <w:lang w:val="en-US" w:eastAsia="en-US"/>
        </w:rPr>
      </w:pPr>
      <w:r w:rsidRPr="00850D14">
        <w:rPr>
          <w:rFonts w:eastAsia="Calibri"/>
          <w:iCs/>
          <w:lang w:eastAsia="en-US"/>
        </w:rPr>
        <w:t xml:space="preserve">No </w:t>
      </w:r>
      <w:r w:rsidRPr="00850D14">
        <w:rPr>
          <w:rFonts w:eastAsia="Calibri"/>
          <w:i/>
          <w:iCs/>
          <w:lang w:eastAsia="en-US"/>
        </w:rPr>
        <w:t>in vitro</w:t>
      </w:r>
      <w:r w:rsidRPr="00850D14">
        <w:rPr>
          <w:rFonts w:eastAsia="Calibri"/>
          <w:iCs/>
          <w:lang w:eastAsia="en-US"/>
        </w:rPr>
        <w:t xml:space="preserve"> or human data are available for skin corrosion/irritation.</w:t>
      </w:r>
    </w:p>
    <w:p w14:paraId="767ED853" w14:textId="77777777" w:rsidR="00850D14" w:rsidRPr="00850D14" w:rsidRDefault="00850D14" w:rsidP="00850D14">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99"/>
        <w:gridCol w:w="7000"/>
      </w:tblGrid>
      <w:tr w:rsidR="00DF4781" w:rsidRPr="00BD2EF1" w14:paraId="0D8F84D8" w14:textId="77777777" w:rsidTr="004C4A2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B3DD133" w14:textId="77777777" w:rsidR="00DF4781" w:rsidRPr="00BD2EF1" w:rsidRDefault="00DF4781" w:rsidP="00DF4781">
            <w:pPr>
              <w:rPr>
                <w:rFonts w:eastAsia="Calibri"/>
                <w:b/>
                <w:lang w:eastAsia="en-US"/>
              </w:rPr>
            </w:pPr>
            <w:r w:rsidRPr="00BD2EF1">
              <w:rPr>
                <w:rFonts w:eastAsia="Calibri"/>
                <w:b/>
                <w:lang w:eastAsia="en-US"/>
              </w:rPr>
              <w:t>Conclusion used in Risk Assessment – Skin corrosion and irritation</w:t>
            </w:r>
          </w:p>
        </w:tc>
      </w:tr>
      <w:tr w:rsidR="00850D14" w:rsidRPr="00BD2EF1" w14:paraId="5BF6B344" w14:textId="77777777" w:rsidTr="004C4A2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55E81AEC" w14:textId="77777777" w:rsidR="00850D14" w:rsidRPr="00BD2EF1" w:rsidRDefault="00850D14" w:rsidP="00850D14">
            <w:pPr>
              <w:rPr>
                <w:rFonts w:eastAsia="Calibri"/>
                <w:lang w:eastAsia="en-US"/>
              </w:rPr>
            </w:pPr>
            <w:r w:rsidRPr="00BD2EF1">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45DC260" w14:textId="77777777" w:rsidR="00850D14" w:rsidRPr="00BD2EF1" w:rsidRDefault="00850D14" w:rsidP="00850D14">
            <w:pPr>
              <w:rPr>
                <w:rFonts w:eastAsia="Calibri"/>
                <w:lang w:eastAsia="en-US"/>
              </w:rPr>
            </w:pPr>
            <w:r w:rsidRPr="008B76FA">
              <w:rPr>
                <w:rFonts w:eastAsia="Calibri"/>
                <w:lang w:eastAsia="en-US"/>
              </w:rPr>
              <w:t>Biocidal product not classified for skin corrosion/irritation according to (EU) nr. 1272/2008</w:t>
            </w:r>
          </w:p>
        </w:tc>
      </w:tr>
      <w:tr w:rsidR="00850D14" w:rsidRPr="00BD2EF1" w14:paraId="75DC5BD8" w14:textId="77777777" w:rsidTr="004C4A20">
        <w:tc>
          <w:tcPr>
            <w:tcW w:w="1276" w:type="pct"/>
            <w:tcBorders>
              <w:top w:val="single" w:sz="6" w:space="0" w:color="auto"/>
              <w:left w:val="single" w:sz="4" w:space="0" w:color="auto"/>
              <w:bottom w:val="single" w:sz="6" w:space="0" w:color="auto"/>
              <w:right w:val="single" w:sz="6" w:space="0" w:color="auto"/>
            </w:tcBorders>
            <w:shd w:val="clear" w:color="auto" w:fill="auto"/>
          </w:tcPr>
          <w:p w14:paraId="2248221A" w14:textId="77777777" w:rsidR="00850D14" w:rsidRPr="00BD2EF1" w:rsidRDefault="00850D14" w:rsidP="00850D14">
            <w:pPr>
              <w:rPr>
                <w:rFonts w:eastAsia="Calibri"/>
                <w:lang w:eastAsia="en-US"/>
              </w:rPr>
            </w:pPr>
            <w:r w:rsidRPr="00BD2EF1">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4511696" w14:textId="77777777" w:rsidR="00850D14" w:rsidRPr="00BD2EF1" w:rsidRDefault="00850D14" w:rsidP="00C54F5B">
            <w:pPr>
              <w:rPr>
                <w:rFonts w:eastAsia="Calibri"/>
                <w:lang w:eastAsia="en-US"/>
              </w:rPr>
            </w:pPr>
            <w:r w:rsidRPr="00CB40BE">
              <w:rPr>
                <w:rFonts w:eastAsia="Calibri"/>
                <w:lang w:eastAsia="en-US"/>
              </w:rPr>
              <w:t>Test performed on similar formulation.</w:t>
            </w:r>
            <w:r>
              <w:rPr>
                <w:rFonts w:eastAsia="Calibri"/>
                <w:lang w:eastAsia="en-US"/>
              </w:rPr>
              <w:t xml:space="preserve"> </w:t>
            </w:r>
            <w:r w:rsidRPr="008B76FA">
              <w:rPr>
                <w:rFonts w:eastAsia="Calibri"/>
                <w:lang w:eastAsia="en-US"/>
              </w:rPr>
              <w:t>Mean scores for erythema and edema do not trigger a classification. Severity of skin reactions that persisted to the end of the observation period was limited (erythema grade 1).</w:t>
            </w:r>
          </w:p>
        </w:tc>
      </w:tr>
      <w:tr w:rsidR="00850D14" w:rsidRPr="00BD2EF1" w14:paraId="3EBAE8E2" w14:textId="77777777" w:rsidTr="004C4A20">
        <w:tc>
          <w:tcPr>
            <w:tcW w:w="1276" w:type="pct"/>
            <w:tcBorders>
              <w:top w:val="single" w:sz="6" w:space="0" w:color="auto"/>
              <w:left w:val="single" w:sz="4" w:space="0" w:color="auto"/>
              <w:bottom w:val="single" w:sz="6" w:space="0" w:color="auto"/>
              <w:right w:val="single" w:sz="6" w:space="0" w:color="auto"/>
            </w:tcBorders>
            <w:shd w:val="clear" w:color="auto" w:fill="auto"/>
          </w:tcPr>
          <w:p w14:paraId="21BC6821" w14:textId="77777777" w:rsidR="00850D14" w:rsidRPr="00BD2EF1" w:rsidRDefault="00850D14" w:rsidP="00850D14">
            <w:pPr>
              <w:rPr>
                <w:rFonts w:eastAsia="Calibri"/>
                <w:lang w:eastAsia="en-US"/>
              </w:rPr>
            </w:pPr>
            <w:r w:rsidRPr="00BD2EF1">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53F37ACD" w14:textId="77777777" w:rsidR="00850D14" w:rsidRPr="00BD2EF1" w:rsidRDefault="00850D14" w:rsidP="00850D14">
            <w:pPr>
              <w:rPr>
                <w:rFonts w:eastAsia="Calibri"/>
                <w:lang w:eastAsia="en-US"/>
              </w:rPr>
            </w:pPr>
            <w:r w:rsidRPr="008B76FA">
              <w:rPr>
                <w:rFonts w:eastAsia="Calibri"/>
                <w:lang w:eastAsia="en-US"/>
              </w:rPr>
              <w:t>none</w:t>
            </w:r>
          </w:p>
        </w:tc>
      </w:tr>
    </w:tbl>
    <w:p w14:paraId="2384FAD9" w14:textId="77777777" w:rsidR="006C0848" w:rsidRDefault="006C0848" w:rsidP="006C0848"/>
    <w:p w14:paraId="49514D88" w14:textId="57546432" w:rsidR="0015701C" w:rsidRDefault="00DF4781" w:rsidP="00DF4781">
      <w:pPr>
        <w:pStyle w:val="Titre5"/>
        <w:rPr>
          <w:lang w:val="en-GB"/>
        </w:rPr>
      </w:pPr>
      <w:bookmarkStart w:id="196" w:name="_Toc93326549"/>
      <w:r w:rsidRPr="00BD2EF1">
        <w:rPr>
          <w:lang w:val="en-GB"/>
        </w:rPr>
        <w:lastRenderedPageBreak/>
        <w:t>Eye Irritation</w:t>
      </w:r>
      <w:bookmarkEnd w:id="196"/>
    </w:p>
    <w:p w14:paraId="28DDB562" w14:textId="77777777" w:rsidR="00B24C59" w:rsidRPr="009461FB" w:rsidRDefault="00B24C59" w:rsidP="00B24C59">
      <w:pPr>
        <w:pStyle w:val="Paragraphedeliste"/>
        <w:numPr>
          <w:ilvl w:val="0"/>
          <w:numId w:val="68"/>
        </w:numPr>
        <w:rPr>
          <w:b/>
        </w:rPr>
      </w:pPr>
      <w:r w:rsidRPr="009461FB">
        <w:rPr>
          <w:b/>
        </w:rPr>
        <w:t>FIRST AUTHORISATION – 2017 (BE CA)</w:t>
      </w:r>
    </w:p>
    <w:p w14:paraId="5B94B152" w14:textId="77777777" w:rsidR="00B24C59" w:rsidRPr="00B24C59" w:rsidRDefault="00B24C59" w:rsidP="00B24C59">
      <w:pPr>
        <w:rPr>
          <w:lang w:eastAsia="en-US"/>
        </w:rPr>
      </w:pPr>
    </w:p>
    <w:p w14:paraId="4F183585" w14:textId="77777777" w:rsidR="00850D14" w:rsidRPr="009D2B2B" w:rsidRDefault="00850D14" w:rsidP="00850D14">
      <w:pPr>
        <w:rPr>
          <w:rFonts w:eastAsia="Calibri"/>
          <w:lang w:eastAsia="en-US"/>
        </w:rPr>
      </w:pPr>
      <w:r w:rsidRPr="009D2B2B">
        <w:rPr>
          <w:rFonts w:eastAsia="Calibri"/>
          <w:lang w:eastAsia="en-US"/>
        </w:rPr>
        <w:t>New data for this section are due to differences in product composition.</w:t>
      </w:r>
    </w:p>
    <w:p w14:paraId="6ECA045C" w14:textId="77777777" w:rsidR="00DF4781" w:rsidRDefault="00DF4781" w:rsidP="00DF478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210"/>
        <w:gridCol w:w="1804"/>
        <w:gridCol w:w="1402"/>
        <w:gridCol w:w="2518"/>
        <w:gridCol w:w="1235"/>
      </w:tblGrid>
      <w:tr w:rsidR="00850D14" w:rsidRPr="00850D14" w14:paraId="0675CC6E" w14:textId="77777777" w:rsidTr="00850D14">
        <w:tc>
          <w:tcPr>
            <w:tcW w:w="5000" w:type="pct"/>
            <w:gridSpan w:val="6"/>
            <w:shd w:val="clear" w:color="auto" w:fill="FFFFCC"/>
          </w:tcPr>
          <w:p w14:paraId="57161D7B" w14:textId="77777777" w:rsidR="00850D14" w:rsidRPr="00850D14" w:rsidRDefault="00850D14" w:rsidP="00850D14">
            <w:pPr>
              <w:pStyle w:val="Standaard-Tabellen"/>
              <w:jc w:val="center"/>
              <w:rPr>
                <w:rFonts w:eastAsia="Calibri"/>
                <w:b/>
              </w:rPr>
            </w:pPr>
            <w:r w:rsidRPr="00850D14">
              <w:rPr>
                <w:rFonts w:eastAsia="Calibri"/>
                <w:b/>
              </w:rPr>
              <w:t>Summary table of animal studies on serious eye damage and eye irritation</w:t>
            </w:r>
          </w:p>
        </w:tc>
      </w:tr>
      <w:tr w:rsidR="00850D14" w:rsidRPr="00850D14" w14:paraId="4FD9895F" w14:textId="77777777" w:rsidTr="00850D14">
        <w:tc>
          <w:tcPr>
            <w:tcW w:w="523" w:type="pct"/>
            <w:shd w:val="clear" w:color="auto" w:fill="BFBFBF" w:themeFill="background1" w:themeFillShade="BF"/>
          </w:tcPr>
          <w:p w14:paraId="70305C25" w14:textId="77777777" w:rsidR="00850D14" w:rsidRPr="00850D14" w:rsidRDefault="00850D14" w:rsidP="00850D14">
            <w:pPr>
              <w:pStyle w:val="Standaard-Tabellen"/>
              <w:rPr>
                <w:rFonts w:eastAsia="Calibri"/>
                <w:b/>
              </w:rPr>
            </w:pPr>
            <w:r w:rsidRPr="00850D14">
              <w:rPr>
                <w:rFonts w:eastAsia="Calibri"/>
                <w:b/>
              </w:rPr>
              <w:t>Method,</w:t>
            </w:r>
            <w:r w:rsidRPr="00850D14">
              <w:rPr>
                <w:rFonts w:eastAsia="Calibri"/>
                <w:b/>
              </w:rPr>
              <w:br/>
              <w:t xml:space="preserve">Guideline, </w:t>
            </w:r>
          </w:p>
          <w:p w14:paraId="0A4BDC86" w14:textId="77777777" w:rsidR="00850D14" w:rsidRPr="00850D14" w:rsidRDefault="00850D14" w:rsidP="00850D14">
            <w:pPr>
              <w:pStyle w:val="Standaard-Tabellen"/>
              <w:rPr>
                <w:rFonts w:eastAsia="Calibri"/>
                <w:b/>
                <w:highlight w:val="cyan"/>
                <w:lang w:eastAsia="en-US"/>
              </w:rPr>
            </w:pPr>
            <w:r w:rsidRPr="00850D14">
              <w:rPr>
                <w:rFonts w:eastAsia="Calibri"/>
                <w:b/>
              </w:rPr>
              <w:t>GLP status, Reliability</w:t>
            </w:r>
          </w:p>
        </w:tc>
        <w:tc>
          <w:tcPr>
            <w:tcW w:w="509" w:type="pct"/>
            <w:shd w:val="clear" w:color="auto" w:fill="BFBFBF" w:themeFill="background1" w:themeFillShade="BF"/>
          </w:tcPr>
          <w:p w14:paraId="1B57B582" w14:textId="77777777" w:rsidR="00850D14" w:rsidRPr="00850D14" w:rsidRDefault="00850D14" w:rsidP="00850D14">
            <w:pPr>
              <w:pStyle w:val="Standaard-Tabellen"/>
              <w:rPr>
                <w:rFonts w:eastAsia="Calibri"/>
                <w:b/>
              </w:rPr>
            </w:pPr>
            <w:r w:rsidRPr="00850D14">
              <w:rPr>
                <w:rFonts w:eastAsia="Calibri"/>
                <w:b/>
              </w:rPr>
              <w:t>Species,</w:t>
            </w:r>
            <w:r w:rsidRPr="00850D14">
              <w:rPr>
                <w:rFonts w:eastAsia="Calibri"/>
                <w:b/>
              </w:rPr>
              <w:br/>
              <w:t>Strain,</w:t>
            </w:r>
            <w:r w:rsidRPr="00850D14">
              <w:rPr>
                <w:rFonts w:eastAsia="Calibri"/>
                <w:b/>
              </w:rPr>
              <w:br/>
              <w:t>Sex,</w:t>
            </w:r>
            <w:r w:rsidRPr="00850D14">
              <w:rPr>
                <w:rFonts w:eastAsia="Calibri"/>
                <w:b/>
              </w:rPr>
              <w:br/>
              <w:t>No/group</w:t>
            </w:r>
          </w:p>
        </w:tc>
        <w:tc>
          <w:tcPr>
            <w:tcW w:w="893" w:type="pct"/>
            <w:shd w:val="clear" w:color="auto" w:fill="BFBFBF" w:themeFill="background1" w:themeFillShade="BF"/>
          </w:tcPr>
          <w:p w14:paraId="0EDAF1E1" w14:textId="77777777" w:rsidR="00850D14" w:rsidRPr="00850D14" w:rsidRDefault="00850D14" w:rsidP="00850D14">
            <w:pPr>
              <w:pStyle w:val="Standaard-Tabellen"/>
              <w:rPr>
                <w:rFonts w:eastAsia="Calibri"/>
                <w:b/>
              </w:rPr>
            </w:pPr>
            <w:r w:rsidRPr="00850D14">
              <w:rPr>
                <w:rFonts w:eastAsia="Calibri"/>
                <w:b/>
              </w:rPr>
              <w:t>Test substance,Dose levels, Duration of exposure</w:t>
            </w:r>
          </w:p>
        </w:tc>
        <w:tc>
          <w:tcPr>
            <w:tcW w:w="968" w:type="pct"/>
            <w:shd w:val="clear" w:color="auto" w:fill="BFBFBF" w:themeFill="background1" w:themeFillShade="BF"/>
          </w:tcPr>
          <w:p w14:paraId="007DFA51" w14:textId="77777777" w:rsidR="00850D14" w:rsidRPr="00850D14" w:rsidRDefault="00850D14" w:rsidP="00850D14">
            <w:pPr>
              <w:pStyle w:val="Standaard-Tabellen"/>
              <w:rPr>
                <w:rFonts w:eastAsia="Calibri"/>
                <w:b/>
              </w:rPr>
            </w:pPr>
            <w:r w:rsidRPr="00850D14">
              <w:rPr>
                <w:rFonts w:eastAsia="Calibri"/>
                <w:b/>
              </w:rPr>
              <w:t>Results</w:t>
            </w:r>
          </w:p>
          <w:p w14:paraId="7BF8A407" w14:textId="77777777" w:rsidR="00850D14" w:rsidRPr="00850D14" w:rsidRDefault="00850D14" w:rsidP="00850D14">
            <w:pPr>
              <w:pStyle w:val="Standaard-Tabellen"/>
              <w:rPr>
                <w:rFonts w:eastAsia="Calibri"/>
                <w:i/>
              </w:rPr>
            </w:pPr>
            <w:r w:rsidRPr="00850D14">
              <w:rPr>
                <w:rFonts w:eastAsia="Calibri"/>
                <w:i/>
              </w:rPr>
              <w:t>Average score (24, 48, 72h)/</w:t>
            </w:r>
          </w:p>
          <w:p w14:paraId="0CB9A000" w14:textId="77777777" w:rsidR="00850D14" w:rsidRPr="00850D14" w:rsidRDefault="00850D14" w:rsidP="00850D14">
            <w:pPr>
              <w:pStyle w:val="Standaard-Tabellen"/>
              <w:rPr>
                <w:rFonts w:eastAsia="Calibri"/>
                <w:b/>
              </w:rPr>
            </w:pPr>
            <w:r w:rsidRPr="00850D14">
              <w:rPr>
                <w:rFonts w:eastAsia="Calibri"/>
                <w:i/>
              </w:rPr>
              <w:t>observations and time point of onset, reversibility</w:t>
            </w:r>
          </w:p>
        </w:tc>
        <w:tc>
          <w:tcPr>
            <w:tcW w:w="1593" w:type="pct"/>
            <w:shd w:val="clear" w:color="auto" w:fill="BFBFBF" w:themeFill="background1" w:themeFillShade="BF"/>
          </w:tcPr>
          <w:p w14:paraId="483BDDF7" w14:textId="77777777" w:rsidR="00850D14" w:rsidRPr="00850D14" w:rsidRDefault="00850D14" w:rsidP="00850D14">
            <w:pPr>
              <w:pStyle w:val="Standaard-Tabellen"/>
              <w:rPr>
                <w:rFonts w:eastAsia="Calibri"/>
                <w:b/>
              </w:rPr>
            </w:pPr>
            <w:r w:rsidRPr="00850D14">
              <w:rPr>
                <w:rFonts w:eastAsia="Calibri"/>
                <w:b/>
              </w:rPr>
              <w:t xml:space="preserve">Remarks </w:t>
            </w:r>
            <w:r w:rsidRPr="00850D14">
              <w:rPr>
                <w:rFonts w:eastAsia="Calibri"/>
                <w:i/>
              </w:rPr>
              <w:t>(e.g. major deviations)</w:t>
            </w:r>
          </w:p>
        </w:tc>
        <w:tc>
          <w:tcPr>
            <w:tcW w:w="515" w:type="pct"/>
            <w:shd w:val="clear" w:color="auto" w:fill="BFBFBF" w:themeFill="background1" w:themeFillShade="BF"/>
          </w:tcPr>
          <w:p w14:paraId="3BBF2EE3" w14:textId="77777777" w:rsidR="00850D14" w:rsidRPr="00850D14" w:rsidRDefault="00850D14" w:rsidP="00850D14">
            <w:pPr>
              <w:pStyle w:val="Standaard-Tabellen"/>
              <w:rPr>
                <w:rFonts w:eastAsia="Calibri"/>
                <w:b/>
              </w:rPr>
            </w:pPr>
            <w:r w:rsidRPr="00850D14">
              <w:rPr>
                <w:rFonts w:eastAsia="Calibri"/>
                <w:b/>
              </w:rPr>
              <w:t xml:space="preserve">Reference </w:t>
            </w:r>
          </w:p>
          <w:p w14:paraId="3076925B" w14:textId="77777777" w:rsidR="00850D14" w:rsidRPr="00850D14" w:rsidRDefault="00850D14" w:rsidP="00850D14">
            <w:pPr>
              <w:pStyle w:val="Standaard-Tabellen"/>
              <w:rPr>
                <w:rFonts w:eastAsia="Calibri"/>
                <w:b/>
              </w:rPr>
            </w:pPr>
          </w:p>
        </w:tc>
      </w:tr>
      <w:tr w:rsidR="00850D14" w:rsidRPr="009D2B2B" w14:paraId="444A29CF" w14:textId="77777777" w:rsidTr="00850D14">
        <w:tc>
          <w:tcPr>
            <w:tcW w:w="523" w:type="pct"/>
            <w:shd w:val="clear" w:color="auto" w:fill="auto"/>
          </w:tcPr>
          <w:p w14:paraId="6777D2F5" w14:textId="77777777" w:rsidR="00850D14" w:rsidRPr="005E5F5C" w:rsidRDefault="005E2D04" w:rsidP="00850D14">
            <w:pPr>
              <w:pStyle w:val="Standaard-Tabellen"/>
              <w:rPr>
                <w:rFonts w:eastAsia="Calibri"/>
                <w:lang w:val="de-DE" w:eastAsia="en-US"/>
              </w:rPr>
            </w:pPr>
            <w:r w:rsidRPr="005E5F5C">
              <w:rPr>
                <w:rFonts w:eastAsia="Calibri"/>
                <w:lang w:val="de-DE" w:eastAsia="en-US"/>
              </w:rPr>
              <w:t>OPPTS 870.2400</w:t>
            </w:r>
          </w:p>
          <w:p w14:paraId="7AE4EBD9" w14:textId="77777777" w:rsidR="00850D14" w:rsidRPr="005E5F5C" w:rsidRDefault="005E2D04" w:rsidP="00850D14">
            <w:pPr>
              <w:pStyle w:val="Standaard-Tabellen"/>
              <w:rPr>
                <w:rFonts w:eastAsia="Calibri"/>
                <w:lang w:val="de-DE" w:eastAsia="en-US"/>
              </w:rPr>
            </w:pPr>
            <w:r w:rsidRPr="005E5F5C">
              <w:rPr>
                <w:rFonts w:eastAsia="Calibri"/>
                <w:lang w:val="de-DE" w:eastAsia="en-US"/>
              </w:rPr>
              <w:t>OECD 405</w:t>
            </w:r>
          </w:p>
          <w:p w14:paraId="3B38E4C9" w14:textId="77777777" w:rsidR="00850D14" w:rsidRPr="005E5F5C" w:rsidRDefault="005E2D04" w:rsidP="00850D14">
            <w:pPr>
              <w:pStyle w:val="Standaard-Tabellen"/>
              <w:rPr>
                <w:rFonts w:eastAsia="Calibri"/>
                <w:lang w:val="de-DE" w:eastAsia="en-US"/>
              </w:rPr>
            </w:pPr>
            <w:r w:rsidRPr="005E5F5C">
              <w:rPr>
                <w:rFonts w:eastAsia="Calibri"/>
                <w:lang w:val="de-DE" w:eastAsia="en-US"/>
              </w:rPr>
              <w:t>EU 92/69 Annex V, B5</w:t>
            </w:r>
          </w:p>
          <w:p w14:paraId="10ADBDBA" w14:textId="77777777" w:rsidR="00850D14" w:rsidRPr="009D2B2B" w:rsidRDefault="00850D14" w:rsidP="00850D14">
            <w:pPr>
              <w:pStyle w:val="Standaard-Tabellen"/>
              <w:rPr>
                <w:rFonts w:eastAsia="Calibri"/>
                <w:lang w:eastAsia="en-US"/>
              </w:rPr>
            </w:pPr>
            <w:r w:rsidRPr="009D2B2B">
              <w:rPr>
                <w:rFonts w:eastAsia="Calibri"/>
                <w:lang w:eastAsia="en-US"/>
              </w:rPr>
              <w:t>GLP=yes</w:t>
            </w:r>
          </w:p>
          <w:p w14:paraId="74543FB7" w14:textId="77777777" w:rsidR="00850D14" w:rsidRPr="009D2B2B" w:rsidRDefault="00850D14" w:rsidP="00850D14">
            <w:pPr>
              <w:pStyle w:val="Standaard-Tabellen"/>
              <w:rPr>
                <w:rFonts w:eastAsia="Calibri"/>
                <w:lang w:eastAsia="en-US"/>
              </w:rPr>
            </w:pPr>
            <w:r w:rsidRPr="009D2B2B">
              <w:rPr>
                <w:rFonts w:eastAsia="Calibri"/>
                <w:lang w:eastAsia="en-US"/>
              </w:rPr>
              <w:t>Rel=1</w:t>
            </w:r>
          </w:p>
        </w:tc>
        <w:tc>
          <w:tcPr>
            <w:tcW w:w="509" w:type="pct"/>
            <w:shd w:val="clear" w:color="auto" w:fill="auto"/>
          </w:tcPr>
          <w:p w14:paraId="5F1D43B1" w14:textId="77777777" w:rsidR="00850D14" w:rsidRPr="009D2B2B" w:rsidRDefault="00850D14" w:rsidP="00850D14">
            <w:pPr>
              <w:pStyle w:val="Standaard-Tabellen"/>
              <w:rPr>
                <w:rFonts w:eastAsia="Calibri"/>
                <w:lang w:eastAsia="en-US"/>
              </w:rPr>
            </w:pPr>
            <w:r w:rsidRPr="009D2B2B">
              <w:rPr>
                <w:rFonts w:eastAsia="Calibri"/>
                <w:lang w:eastAsia="en-US"/>
              </w:rPr>
              <w:t>Albino rabbit</w:t>
            </w:r>
          </w:p>
          <w:p w14:paraId="00BAD304" w14:textId="77777777" w:rsidR="00850D14" w:rsidRPr="009D2B2B" w:rsidRDefault="00850D14" w:rsidP="00850D14">
            <w:pPr>
              <w:pStyle w:val="Standaard-Tabellen"/>
              <w:rPr>
                <w:rFonts w:eastAsia="Calibri"/>
                <w:lang w:eastAsia="en-US"/>
              </w:rPr>
            </w:pPr>
            <w:r w:rsidRPr="009D2B2B">
              <w:rPr>
                <w:rFonts w:eastAsia="Calibri"/>
                <w:lang w:eastAsia="en-US"/>
              </w:rPr>
              <w:t>New Zealand White</w:t>
            </w:r>
          </w:p>
          <w:p w14:paraId="1A3E01A5" w14:textId="77777777" w:rsidR="00850D14" w:rsidRPr="009D2B2B" w:rsidRDefault="00850D14" w:rsidP="00850D14">
            <w:pPr>
              <w:pStyle w:val="Standaard-Tabellen"/>
              <w:rPr>
                <w:rFonts w:eastAsia="Calibri"/>
                <w:lang w:eastAsia="en-US"/>
              </w:rPr>
            </w:pPr>
            <w:r w:rsidRPr="009D2B2B">
              <w:rPr>
                <w:rFonts w:eastAsia="Calibri"/>
                <w:lang w:eastAsia="en-US"/>
              </w:rPr>
              <w:t>2</w:t>
            </w:r>
            <w:r w:rsidRPr="009D2B2B">
              <w:rPr>
                <w:rFonts w:ascii="Segoe UI Symbol" w:eastAsia="Calibri" w:hAnsi="Segoe UI Symbol" w:cs="Segoe UI Symbol"/>
                <w:lang w:eastAsia="en-US"/>
              </w:rPr>
              <w:t>♂</w:t>
            </w:r>
            <w:r w:rsidRPr="009D2B2B">
              <w:rPr>
                <w:rFonts w:eastAsia="Calibri"/>
                <w:lang w:eastAsia="en-US"/>
              </w:rPr>
              <w:t>, 1</w:t>
            </w:r>
            <w:r w:rsidRPr="009D2B2B">
              <w:rPr>
                <w:rFonts w:ascii="Segoe UI Symbol" w:eastAsia="Calibri" w:hAnsi="Segoe UI Symbol" w:cs="Segoe UI Symbol"/>
                <w:lang w:eastAsia="en-US"/>
              </w:rPr>
              <w:t>♀</w:t>
            </w:r>
          </w:p>
          <w:p w14:paraId="57D1CB77" w14:textId="77777777" w:rsidR="00850D14" w:rsidRPr="009D2B2B" w:rsidRDefault="00850D14" w:rsidP="00850D14">
            <w:pPr>
              <w:pStyle w:val="Standaard-Tabellen"/>
              <w:rPr>
                <w:rFonts w:eastAsia="Calibri"/>
                <w:lang w:eastAsia="en-US"/>
              </w:rPr>
            </w:pPr>
            <w:r w:rsidRPr="009D2B2B">
              <w:rPr>
                <w:rFonts w:eastAsia="Calibri"/>
                <w:lang w:eastAsia="en-US"/>
              </w:rPr>
              <w:t>1 test group, 3 animals</w:t>
            </w:r>
          </w:p>
        </w:tc>
        <w:tc>
          <w:tcPr>
            <w:tcW w:w="893" w:type="pct"/>
            <w:shd w:val="clear" w:color="auto" w:fill="auto"/>
          </w:tcPr>
          <w:p w14:paraId="2677863C" w14:textId="77777777" w:rsidR="00850D14" w:rsidRPr="009D2B2B" w:rsidRDefault="00850D14" w:rsidP="00850D14">
            <w:pPr>
              <w:pStyle w:val="Standaard-Tabellen"/>
              <w:rPr>
                <w:rFonts w:eastAsia="Calibri"/>
                <w:lang w:eastAsia="en-US"/>
              </w:rPr>
            </w:pPr>
            <w:r w:rsidRPr="009D2B2B">
              <w:rPr>
                <w:rFonts w:eastAsia="Calibri"/>
                <w:lang w:eastAsia="en-US"/>
              </w:rPr>
              <w:t>EUS26-15 Insect Repellent Spray</w:t>
            </w:r>
          </w:p>
          <w:p w14:paraId="52658077" w14:textId="77777777" w:rsidR="00850D14" w:rsidRPr="009D2B2B" w:rsidRDefault="00850D14" w:rsidP="00850D14">
            <w:pPr>
              <w:pStyle w:val="Standaard-Tabellen"/>
              <w:rPr>
                <w:rFonts w:eastAsia="Calibri"/>
                <w:lang w:eastAsia="en-US"/>
              </w:rPr>
            </w:pPr>
            <w:r w:rsidRPr="009D2B2B">
              <w:rPr>
                <w:rFonts w:eastAsia="Calibri"/>
                <w:lang w:eastAsia="en-US"/>
              </w:rPr>
              <w:t>No vehicle</w:t>
            </w:r>
          </w:p>
          <w:p w14:paraId="1AFE38D0" w14:textId="77777777" w:rsidR="00850D14" w:rsidRPr="009D2B2B" w:rsidRDefault="00850D14" w:rsidP="00850D14">
            <w:pPr>
              <w:pStyle w:val="Standaard-Tabellen"/>
              <w:rPr>
                <w:rFonts w:eastAsia="Calibri"/>
                <w:lang w:eastAsia="en-US"/>
              </w:rPr>
            </w:pPr>
            <w:r w:rsidRPr="009D2B2B">
              <w:rPr>
                <w:rFonts w:eastAsia="Calibri"/>
                <w:lang w:eastAsia="en-US"/>
              </w:rPr>
              <w:t>0.1ml</w:t>
            </w:r>
          </w:p>
          <w:p w14:paraId="25D64667" w14:textId="77777777" w:rsidR="00850D14" w:rsidRPr="009D2B2B" w:rsidRDefault="00850D14" w:rsidP="00850D14">
            <w:pPr>
              <w:pStyle w:val="Standaard-Tabellen"/>
              <w:rPr>
                <w:rFonts w:eastAsia="Calibri"/>
                <w:lang w:eastAsia="en-US"/>
              </w:rPr>
            </w:pPr>
            <w:r w:rsidRPr="009D2B2B">
              <w:rPr>
                <w:rFonts w:eastAsia="Calibri"/>
                <w:lang w:eastAsia="en-US"/>
              </w:rPr>
              <w:t>1 single unwashed exposure</w:t>
            </w:r>
          </w:p>
        </w:tc>
        <w:tc>
          <w:tcPr>
            <w:tcW w:w="968" w:type="pct"/>
            <w:shd w:val="clear" w:color="auto" w:fill="auto"/>
          </w:tcPr>
          <w:p w14:paraId="285791CB" w14:textId="77777777" w:rsidR="00850D14" w:rsidRPr="00AE4416" w:rsidRDefault="00850D14" w:rsidP="00850D14">
            <w:pPr>
              <w:pStyle w:val="Standaard-Tabellen"/>
              <w:rPr>
                <w:rFonts w:eastAsia="Calibri"/>
                <w:lang w:eastAsia="en-US"/>
              </w:rPr>
            </w:pPr>
            <w:r w:rsidRPr="00AE4416">
              <w:rPr>
                <w:rFonts w:eastAsia="Calibri"/>
                <w:lang w:eastAsia="en-US"/>
              </w:rPr>
              <w:t>Cornea:</w:t>
            </w:r>
          </w:p>
          <w:p w14:paraId="4280F150" w14:textId="77777777" w:rsidR="00850D14" w:rsidRPr="00AE4416" w:rsidRDefault="00850D14" w:rsidP="00850D14">
            <w:pPr>
              <w:pStyle w:val="Standaard-Tabellen"/>
              <w:rPr>
                <w:rFonts w:eastAsia="Calibri"/>
                <w:lang w:eastAsia="en-US"/>
              </w:rPr>
            </w:pPr>
            <w:r w:rsidRPr="00AE4416">
              <w:rPr>
                <w:rFonts w:eastAsia="Calibri"/>
                <w:lang w:eastAsia="en-US"/>
              </w:rPr>
              <w:t xml:space="preserve">24h: </w:t>
            </w:r>
            <w:r>
              <w:rPr>
                <w:rFonts w:eastAsia="Calibri"/>
                <w:lang w:eastAsia="en-US"/>
              </w:rPr>
              <w:t>2.0</w:t>
            </w:r>
          </w:p>
          <w:p w14:paraId="67B6585C" w14:textId="77777777" w:rsidR="00850D14" w:rsidRPr="00AE4416" w:rsidRDefault="00850D14" w:rsidP="00850D14">
            <w:pPr>
              <w:pStyle w:val="Standaard-Tabellen"/>
              <w:rPr>
                <w:rFonts w:eastAsia="Calibri"/>
                <w:lang w:eastAsia="en-US"/>
              </w:rPr>
            </w:pPr>
            <w:r w:rsidRPr="00AE4416">
              <w:rPr>
                <w:rFonts w:eastAsia="Calibri"/>
                <w:lang w:eastAsia="en-US"/>
              </w:rPr>
              <w:t xml:space="preserve">48h: </w:t>
            </w:r>
            <w:r>
              <w:rPr>
                <w:rFonts w:eastAsia="Calibri"/>
                <w:lang w:eastAsia="en-US"/>
              </w:rPr>
              <w:t>1.3</w:t>
            </w:r>
          </w:p>
          <w:p w14:paraId="5968BA81" w14:textId="77777777" w:rsidR="00850D14" w:rsidRPr="00AE4416" w:rsidRDefault="00850D14" w:rsidP="00850D14">
            <w:pPr>
              <w:pStyle w:val="Standaard-Tabellen"/>
              <w:rPr>
                <w:rFonts w:eastAsia="Calibri"/>
                <w:lang w:eastAsia="en-US"/>
              </w:rPr>
            </w:pPr>
            <w:r w:rsidRPr="00AE4416">
              <w:rPr>
                <w:rFonts w:eastAsia="Calibri"/>
                <w:lang w:eastAsia="en-US"/>
              </w:rPr>
              <w:t xml:space="preserve">72h: </w:t>
            </w:r>
            <w:r>
              <w:rPr>
                <w:rFonts w:eastAsia="Calibri"/>
                <w:lang w:eastAsia="en-US"/>
              </w:rPr>
              <w:t>1</w:t>
            </w:r>
            <w:r w:rsidRPr="00AE4416">
              <w:rPr>
                <w:rFonts w:eastAsia="Calibri"/>
                <w:lang w:eastAsia="en-US"/>
              </w:rPr>
              <w:t>.0</w:t>
            </w:r>
          </w:p>
          <w:p w14:paraId="21C7D516" w14:textId="77777777" w:rsidR="00850D14" w:rsidRPr="00AE4416" w:rsidRDefault="00850D14" w:rsidP="00850D14">
            <w:pPr>
              <w:pStyle w:val="Standaard-Tabellen"/>
              <w:rPr>
                <w:rFonts w:eastAsia="Calibri"/>
                <w:lang w:eastAsia="en-US"/>
              </w:rPr>
            </w:pPr>
          </w:p>
          <w:p w14:paraId="0A4667E4" w14:textId="77777777" w:rsidR="00850D14" w:rsidRPr="00AE4416" w:rsidRDefault="00850D14" w:rsidP="00850D14">
            <w:pPr>
              <w:pStyle w:val="Standaard-Tabellen"/>
              <w:rPr>
                <w:rFonts w:eastAsia="Calibri"/>
                <w:lang w:eastAsia="en-US"/>
              </w:rPr>
            </w:pPr>
            <w:r w:rsidRPr="00AE4416">
              <w:rPr>
                <w:rFonts w:eastAsia="Calibri"/>
                <w:lang w:eastAsia="en-US"/>
              </w:rPr>
              <w:t>Iris:</w:t>
            </w:r>
          </w:p>
          <w:p w14:paraId="4A0C4076" w14:textId="77777777" w:rsidR="00850D14" w:rsidRPr="00AE4416" w:rsidRDefault="00850D14" w:rsidP="00850D14">
            <w:pPr>
              <w:pStyle w:val="Standaard-Tabellen"/>
              <w:rPr>
                <w:rFonts w:eastAsia="Calibri"/>
                <w:lang w:eastAsia="en-US"/>
              </w:rPr>
            </w:pPr>
            <w:r w:rsidRPr="00AE4416">
              <w:rPr>
                <w:rFonts w:eastAsia="Calibri"/>
                <w:lang w:eastAsia="en-US"/>
              </w:rPr>
              <w:t>24h: 0.0</w:t>
            </w:r>
          </w:p>
          <w:p w14:paraId="5311D644" w14:textId="77777777" w:rsidR="00850D14" w:rsidRPr="00AE4416" w:rsidRDefault="00850D14" w:rsidP="00850D14">
            <w:pPr>
              <w:pStyle w:val="Standaard-Tabellen"/>
              <w:rPr>
                <w:rFonts w:eastAsia="Calibri"/>
                <w:lang w:eastAsia="en-US"/>
              </w:rPr>
            </w:pPr>
            <w:r w:rsidRPr="00AE4416">
              <w:rPr>
                <w:rFonts w:eastAsia="Calibri"/>
                <w:lang w:eastAsia="en-US"/>
              </w:rPr>
              <w:t>48h: 0.0</w:t>
            </w:r>
          </w:p>
          <w:p w14:paraId="6E55E204" w14:textId="77777777" w:rsidR="00850D14" w:rsidRPr="00AE4416" w:rsidRDefault="00850D14" w:rsidP="00850D14">
            <w:pPr>
              <w:pStyle w:val="Standaard-Tabellen"/>
              <w:rPr>
                <w:rFonts w:eastAsia="Calibri"/>
                <w:lang w:eastAsia="en-US"/>
              </w:rPr>
            </w:pPr>
            <w:r w:rsidRPr="00AE4416">
              <w:rPr>
                <w:rFonts w:eastAsia="Calibri"/>
                <w:lang w:eastAsia="en-US"/>
              </w:rPr>
              <w:t>72h: 0.0</w:t>
            </w:r>
          </w:p>
          <w:p w14:paraId="6FCCA232" w14:textId="77777777" w:rsidR="00850D14" w:rsidRPr="00AE4416" w:rsidRDefault="00850D14" w:rsidP="00850D14">
            <w:pPr>
              <w:pStyle w:val="Standaard-Tabellen"/>
              <w:rPr>
                <w:rFonts w:eastAsia="Calibri"/>
                <w:lang w:eastAsia="en-US"/>
              </w:rPr>
            </w:pPr>
          </w:p>
          <w:p w14:paraId="187743FD" w14:textId="77777777" w:rsidR="00850D14" w:rsidRPr="00AE4416" w:rsidRDefault="00850D14" w:rsidP="00850D14">
            <w:pPr>
              <w:pStyle w:val="Standaard-Tabellen"/>
              <w:rPr>
                <w:rFonts w:eastAsia="Calibri"/>
                <w:lang w:eastAsia="en-US"/>
              </w:rPr>
            </w:pPr>
            <w:r w:rsidRPr="00AE4416">
              <w:rPr>
                <w:rFonts w:eastAsia="Calibri"/>
                <w:lang w:eastAsia="en-US"/>
              </w:rPr>
              <w:t>Conjunctiva; redness:</w:t>
            </w:r>
          </w:p>
          <w:p w14:paraId="32780313" w14:textId="77777777" w:rsidR="00850D14" w:rsidRPr="00AE4416" w:rsidRDefault="00850D14" w:rsidP="00850D14">
            <w:pPr>
              <w:pStyle w:val="Standaard-Tabellen"/>
              <w:rPr>
                <w:rFonts w:eastAsia="Calibri"/>
                <w:lang w:eastAsia="en-US"/>
              </w:rPr>
            </w:pPr>
            <w:r w:rsidRPr="00AE4416">
              <w:rPr>
                <w:rFonts w:eastAsia="Calibri"/>
                <w:lang w:eastAsia="en-US"/>
              </w:rPr>
              <w:t xml:space="preserve">24h: </w:t>
            </w:r>
            <w:r>
              <w:rPr>
                <w:rFonts w:eastAsia="Calibri"/>
                <w:lang w:eastAsia="en-US"/>
              </w:rPr>
              <w:t>3</w:t>
            </w:r>
            <w:r w:rsidRPr="00AE4416">
              <w:rPr>
                <w:rFonts w:eastAsia="Calibri"/>
                <w:lang w:eastAsia="en-US"/>
              </w:rPr>
              <w:t>.0</w:t>
            </w:r>
          </w:p>
          <w:p w14:paraId="411AB24A" w14:textId="77777777" w:rsidR="00850D14" w:rsidRPr="00AE4416" w:rsidRDefault="00850D14" w:rsidP="00850D14">
            <w:pPr>
              <w:pStyle w:val="Standaard-Tabellen"/>
              <w:rPr>
                <w:rFonts w:eastAsia="Calibri"/>
                <w:lang w:eastAsia="en-US"/>
              </w:rPr>
            </w:pPr>
            <w:r w:rsidRPr="00AE4416">
              <w:rPr>
                <w:rFonts w:eastAsia="Calibri"/>
                <w:lang w:eastAsia="en-US"/>
              </w:rPr>
              <w:t xml:space="preserve">48h: </w:t>
            </w:r>
            <w:r>
              <w:rPr>
                <w:rFonts w:eastAsia="Calibri"/>
                <w:lang w:eastAsia="en-US"/>
              </w:rPr>
              <w:t>3.0</w:t>
            </w:r>
          </w:p>
          <w:p w14:paraId="3836982D" w14:textId="77777777" w:rsidR="00850D14" w:rsidRPr="00AE4416" w:rsidRDefault="00850D14" w:rsidP="00850D14">
            <w:pPr>
              <w:pStyle w:val="Standaard-Tabellen"/>
              <w:rPr>
                <w:rFonts w:eastAsia="Calibri"/>
                <w:lang w:eastAsia="en-US"/>
              </w:rPr>
            </w:pPr>
            <w:r w:rsidRPr="00AE4416">
              <w:rPr>
                <w:rFonts w:eastAsia="Calibri"/>
                <w:lang w:eastAsia="en-US"/>
              </w:rPr>
              <w:t xml:space="preserve">72h: </w:t>
            </w:r>
            <w:r>
              <w:rPr>
                <w:rFonts w:eastAsia="Calibri"/>
                <w:lang w:eastAsia="en-US"/>
              </w:rPr>
              <w:t>2.3</w:t>
            </w:r>
          </w:p>
          <w:p w14:paraId="2178C147" w14:textId="77777777" w:rsidR="00850D14" w:rsidRPr="00AE4416" w:rsidRDefault="00850D14" w:rsidP="00850D14">
            <w:pPr>
              <w:pStyle w:val="Standaard-Tabellen"/>
              <w:rPr>
                <w:rFonts w:eastAsia="Calibri"/>
                <w:lang w:eastAsia="en-US"/>
              </w:rPr>
            </w:pPr>
          </w:p>
          <w:p w14:paraId="309B8CD9" w14:textId="77777777" w:rsidR="00850D14" w:rsidRPr="00AE4416" w:rsidRDefault="00850D14" w:rsidP="00850D14">
            <w:pPr>
              <w:pStyle w:val="Standaard-Tabellen"/>
              <w:rPr>
                <w:rFonts w:eastAsia="Calibri"/>
                <w:lang w:eastAsia="en-US"/>
              </w:rPr>
            </w:pPr>
            <w:r w:rsidRPr="00AE4416">
              <w:rPr>
                <w:rFonts w:eastAsia="Calibri"/>
                <w:lang w:eastAsia="en-US"/>
              </w:rPr>
              <w:t>Conjunctiva; chemosis:</w:t>
            </w:r>
          </w:p>
          <w:p w14:paraId="5A772251" w14:textId="77777777" w:rsidR="00850D14" w:rsidRPr="00AE4416" w:rsidRDefault="00850D14" w:rsidP="00850D14">
            <w:pPr>
              <w:pStyle w:val="Standaard-Tabellen"/>
              <w:rPr>
                <w:rFonts w:eastAsia="Calibri"/>
                <w:lang w:eastAsia="en-US"/>
              </w:rPr>
            </w:pPr>
            <w:r w:rsidRPr="00AE4416">
              <w:rPr>
                <w:rFonts w:eastAsia="Calibri"/>
                <w:lang w:eastAsia="en-US"/>
              </w:rPr>
              <w:t xml:space="preserve">24h: </w:t>
            </w:r>
            <w:r>
              <w:rPr>
                <w:rFonts w:eastAsia="Calibri"/>
                <w:lang w:eastAsia="en-US"/>
              </w:rPr>
              <w:t>2.3</w:t>
            </w:r>
          </w:p>
          <w:p w14:paraId="276C7430" w14:textId="77777777" w:rsidR="00850D14" w:rsidRPr="00AE4416" w:rsidRDefault="00850D14" w:rsidP="00850D14">
            <w:pPr>
              <w:pStyle w:val="Standaard-Tabellen"/>
              <w:rPr>
                <w:rFonts w:eastAsia="Calibri"/>
                <w:lang w:eastAsia="en-US"/>
              </w:rPr>
            </w:pPr>
            <w:r w:rsidRPr="00AE4416">
              <w:rPr>
                <w:rFonts w:eastAsia="Calibri"/>
                <w:lang w:eastAsia="en-US"/>
              </w:rPr>
              <w:t xml:space="preserve">48h: </w:t>
            </w:r>
            <w:r>
              <w:rPr>
                <w:rFonts w:eastAsia="Calibri"/>
                <w:lang w:eastAsia="en-US"/>
              </w:rPr>
              <w:t>2.3</w:t>
            </w:r>
          </w:p>
          <w:p w14:paraId="06B22B76" w14:textId="77777777" w:rsidR="00850D14" w:rsidRDefault="00850D14" w:rsidP="00850D14">
            <w:pPr>
              <w:pStyle w:val="Standaard-Tabellen"/>
              <w:rPr>
                <w:rFonts w:eastAsia="Calibri"/>
                <w:lang w:eastAsia="en-US"/>
              </w:rPr>
            </w:pPr>
            <w:r w:rsidRPr="00AE4416">
              <w:rPr>
                <w:rFonts w:eastAsia="Calibri"/>
                <w:lang w:eastAsia="en-US"/>
              </w:rPr>
              <w:t xml:space="preserve">72h: </w:t>
            </w:r>
            <w:r>
              <w:rPr>
                <w:rFonts w:eastAsia="Calibri"/>
                <w:lang w:eastAsia="en-US"/>
              </w:rPr>
              <w:t>2.0</w:t>
            </w:r>
          </w:p>
          <w:p w14:paraId="7C39EF0F" w14:textId="77777777" w:rsidR="00850D14" w:rsidRPr="009D2B2B" w:rsidRDefault="00850D14" w:rsidP="00850D14">
            <w:pPr>
              <w:pStyle w:val="Standaard-Tabellen"/>
              <w:rPr>
                <w:rFonts w:eastAsia="Calibri"/>
                <w:lang w:eastAsia="en-US"/>
              </w:rPr>
            </w:pPr>
            <w:r w:rsidRPr="00AE4416">
              <w:rPr>
                <w:rFonts w:eastAsia="Calibri"/>
                <w:lang w:eastAsia="en-US"/>
              </w:rPr>
              <w:t>Reversibility: Yes</w:t>
            </w:r>
          </w:p>
          <w:p w14:paraId="5594FE32" w14:textId="77777777" w:rsidR="00850D14" w:rsidRPr="009D2B2B" w:rsidRDefault="00850D14" w:rsidP="00850D14">
            <w:pPr>
              <w:pStyle w:val="Standaard-Tabellen"/>
              <w:rPr>
                <w:rFonts w:eastAsia="Calibri"/>
                <w:lang w:eastAsia="en-US"/>
              </w:rPr>
            </w:pPr>
            <w:r w:rsidRPr="009D2B2B">
              <w:rPr>
                <w:rFonts w:eastAsia="Calibri"/>
                <w:lang w:eastAsia="en-US"/>
              </w:rPr>
              <w:t>Earliest onset for all symptoms: 1h</w:t>
            </w:r>
          </w:p>
          <w:p w14:paraId="4FE8A5CC" w14:textId="77777777" w:rsidR="00850D14" w:rsidRPr="009D2B2B" w:rsidRDefault="00850D14" w:rsidP="00850D14">
            <w:pPr>
              <w:pStyle w:val="Standaard-Tabellen"/>
              <w:rPr>
                <w:rFonts w:eastAsia="Calibri"/>
                <w:lang w:eastAsia="en-US"/>
              </w:rPr>
            </w:pPr>
            <w:r w:rsidRPr="009D2B2B">
              <w:rPr>
                <w:rFonts w:eastAsia="Calibri"/>
                <w:lang w:eastAsia="en-US"/>
              </w:rPr>
              <w:t xml:space="preserve">Max scores: </w:t>
            </w:r>
            <w:r>
              <w:rPr>
                <w:rFonts w:eastAsia="Calibri"/>
                <w:lang w:eastAsia="en-US"/>
              </w:rPr>
              <w:t>cornea</w:t>
            </w:r>
            <w:r w:rsidRPr="009D2B2B">
              <w:rPr>
                <w:rFonts w:eastAsia="Calibri"/>
                <w:lang w:eastAsia="en-US"/>
              </w:rPr>
              <w:t xml:space="preserve"> 2, </w:t>
            </w:r>
            <w:r>
              <w:rPr>
                <w:rFonts w:eastAsia="Calibri"/>
                <w:lang w:eastAsia="en-US"/>
              </w:rPr>
              <w:t>conjunctiva, redness</w:t>
            </w:r>
            <w:r w:rsidRPr="009D2B2B">
              <w:rPr>
                <w:rFonts w:eastAsia="Calibri"/>
                <w:lang w:eastAsia="en-US"/>
              </w:rPr>
              <w:t xml:space="preserve"> 3, </w:t>
            </w:r>
            <w:r>
              <w:rPr>
                <w:rFonts w:eastAsia="Calibri"/>
                <w:lang w:eastAsia="en-US"/>
              </w:rPr>
              <w:t>conjunctiva, chemosis</w:t>
            </w:r>
            <w:r w:rsidRPr="009D2B2B">
              <w:rPr>
                <w:rFonts w:eastAsia="Calibri"/>
                <w:lang w:eastAsia="en-US"/>
              </w:rPr>
              <w:t xml:space="preserve"> 4</w:t>
            </w:r>
          </w:p>
          <w:p w14:paraId="2B2D5096" w14:textId="77777777" w:rsidR="00850D14" w:rsidRPr="009D2B2B" w:rsidRDefault="00850D14" w:rsidP="00850D14">
            <w:pPr>
              <w:pStyle w:val="Standaard-Tabellen"/>
              <w:rPr>
                <w:rFonts w:eastAsia="Calibri"/>
                <w:lang w:eastAsia="en-US"/>
              </w:rPr>
            </w:pPr>
            <w:r w:rsidRPr="009D2B2B">
              <w:rPr>
                <w:rFonts w:eastAsia="Calibri"/>
                <w:lang w:eastAsia="en-US"/>
              </w:rPr>
              <w:t>Reversible at d14</w:t>
            </w:r>
          </w:p>
          <w:p w14:paraId="04795D4B" w14:textId="77777777" w:rsidR="00850D14" w:rsidRPr="009D2B2B" w:rsidRDefault="00850D14" w:rsidP="00850D14">
            <w:pPr>
              <w:pStyle w:val="Standaard-Tabellen"/>
              <w:rPr>
                <w:rFonts w:eastAsia="Calibri"/>
                <w:lang w:eastAsia="en-US"/>
              </w:rPr>
            </w:pPr>
            <w:r w:rsidRPr="009D2B2B">
              <w:rPr>
                <w:rFonts w:eastAsia="Calibri"/>
                <w:lang w:eastAsia="en-US"/>
              </w:rPr>
              <w:t>2 out of 3 animals: average corneal opacity ≥1, average conjunctival redness ≥2</w:t>
            </w:r>
          </w:p>
          <w:p w14:paraId="3EFCAEB5" w14:textId="77777777" w:rsidR="00850D14" w:rsidRPr="009D2B2B" w:rsidRDefault="00850D14" w:rsidP="00850D14">
            <w:pPr>
              <w:pStyle w:val="Standaard-Tabellen"/>
              <w:rPr>
                <w:rFonts w:eastAsia="Calibri"/>
                <w:lang w:eastAsia="en-US"/>
              </w:rPr>
            </w:pPr>
          </w:p>
        </w:tc>
        <w:tc>
          <w:tcPr>
            <w:tcW w:w="1593" w:type="pct"/>
            <w:shd w:val="clear" w:color="auto" w:fill="auto"/>
          </w:tcPr>
          <w:p w14:paraId="7EC732E3" w14:textId="538CE2BF" w:rsidR="00F43AF3" w:rsidRDefault="00850D14" w:rsidP="00614E77">
            <w:pPr>
              <w:pStyle w:val="Standaard-Tabellen"/>
              <w:rPr>
                <w:rFonts w:eastAsia="Calibri"/>
                <w:lang w:eastAsia="en-US"/>
              </w:rPr>
            </w:pPr>
            <w:r w:rsidRPr="003E6E58">
              <w:rPr>
                <w:rFonts w:eastAsia="Calibri"/>
                <w:lang w:eastAsia="en-US"/>
              </w:rPr>
              <w:t>Tested on similar formulation;</w:t>
            </w:r>
          </w:p>
          <w:p w14:paraId="3AF82633" w14:textId="77777777" w:rsidR="00F43AF3" w:rsidRDefault="00F43AF3" w:rsidP="00F43AF3">
            <w:pPr>
              <w:pStyle w:val="Standaard-Tabellen"/>
              <w:rPr>
                <w:rFonts w:eastAsia="Calibri"/>
              </w:rPr>
            </w:pPr>
            <w:r>
              <w:rPr>
                <w:rFonts w:eastAsia="Calibri"/>
              </w:rPr>
              <w:t>US Pump Spray Formulation</w:t>
            </w:r>
          </w:p>
          <w:p w14:paraId="5CDE568E" w14:textId="77777777" w:rsidR="00850D14" w:rsidRPr="009D2B2B" w:rsidRDefault="00850D14" w:rsidP="00614E77">
            <w:pPr>
              <w:pStyle w:val="Standaard-Tabellen"/>
              <w:rPr>
                <w:rFonts w:eastAsia="Calibri"/>
                <w:lang w:eastAsia="en-US"/>
              </w:rPr>
            </w:pPr>
          </w:p>
        </w:tc>
        <w:tc>
          <w:tcPr>
            <w:tcW w:w="515" w:type="pct"/>
          </w:tcPr>
          <w:p w14:paraId="58AB723B" w14:textId="77777777" w:rsidR="00850D14" w:rsidRPr="009D2B2B" w:rsidRDefault="00850D14" w:rsidP="00850D14">
            <w:pPr>
              <w:pStyle w:val="Standaard-Tabellen"/>
              <w:rPr>
                <w:rFonts w:eastAsia="Calibri"/>
                <w:lang w:eastAsia="en-US"/>
              </w:rPr>
            </w:pPr>
            <w:r w:rsidRPr="009D2B2B">
              <w:rPr>
                <w:rFonts w:eastAsia="Calibri"/>
                <w:lang w:eastAsia="en-US"/>
              </w:rPr>
              <w:t>Hurley, J.M. (2006)</w:t>
            </w:r>
            <w:r>
              <w:rPr>
                <w:rFonts w:eastAsia="Calibri"/>
                <w:lang w:eastAsia="en-US"/>
              </w:rPr>
              <w:t xml:space="preserve"> (b)</w:t>
            </w:r>
          </w:p>
        </w:tc>
      </w:tr>
    </w:tbl>
    <w:p w14:paraId="6C32C503" w14:textId="77777777" w:rsidR="00850D14" w:rsidRDefault="00850D14" w:rsidP="00DF4781">
      <w:pPr>
        <w:rPr>
          <w:rFonts w:eastAsia="Calibri"/>
          <w:lang w:eastAsia="en-US"/>
        </w:rPr>
      </w:pPr>
    </w:p>
    <w:tbl>
      <w:tblPr>
        <w:tblStyle w:val="Grilledutableau"/>
        <w:tblW w:w="0" w:type="auto"/>
        <w:tblLook w:val="04A0" w:firstRow="1" w:lastRow="0" w:firstColumn="1" w:lastColumn="0" w:noHBand="0" w:noVBand="1"/>
      </w:tblPr>
      <w:tblGrid>
        <w:gridCol w:w="9402"/>
      </w:tblGrid>
      <w:tr w:rsidR="00850D14" w:rsidRPr="00D63744" w14:paraId="53753B61" w14:textId="77777777" w:rsidTr="00224DD4">
        <w:tc>
          <w:tcPr>
            <w:tcW w:w="14334" w:type="dxa"/>
            <w:shd w:val="clear" w:color="auto" w:fill="FFFFCC"/>
          </w:tcPr>
          <w:p w14:paraId="72BCE39F" w14:textId="77777777" w:rsidR="00850D14" w:rsidRPr="00D63744" w:rsidRDefault="00850D14" w:rsidP="00F07537">
            <w:pPr>
              <w:pStyle w:val="Standaard-Tabellen"/>
              <w:keepNext/>
              <w:jc w:val="center"/>
              <w:rPr>
                <w:b/>
              </w:rPr>
            </w:pPr>
            <w:r>
              <w:rPr>
                <w:b/>
              </w:rPr>
              <w:lastRenderedPageBreak/>
              <w:t>I</w:t>
            </w:r>
            <w:r w:rsidRPr="00D63744">
              <w:rPr>
                <w:b/>
              </w:rPr>
              <w:t xml:space="preserve">ndividual </w:t>
            </w:r>
            <w:r>
              <w:rPr>
                <w:b/>
              </w:rPr>
              <w:t>Total Scores and for Ocular Irritation (Hurley, J.M., 2006 (b))</w:t>
            </w:r>
          </w:p>
        </w:tc>
      </w:tr>
      <w:tr w:rsidR="00850D14" w14:paraId="1D5A9A6C" w14:textId="77777777" w:rsidTr="00224DD4">
        <w:tc>
          <w:tcPr>
            <w:tcW w:w="14334" w:type="dxa"/>
          </w:tcPr>
          <w:p w14:paraId="5373D260" w14:textId="77777777" w:rsidR="00850D14" w:rsidRDefault="00850D14" w:rsidP="00F07537">
            <w:pPr>
              <w:pStyle w:val="Standaard-Tabellen"/>
              <w:keepNext/>
              <w:rPr>
                <w:highlight w:val="yellow"/>
              </w:rPr>
            </w:pPr>
            <w:r w:rsidRPr="005349CB">
              <w:rPr>
                <w:rFonts w:ascii="Times New Roman" w:eastAsia="Calibri" w:hAnsi="Times New Roman"/>
                <w:iCs/>
                <w:noProof/>
                <w:color w:val="7F7F7F"/>
                <w:lang w:val="fr-FR" w:eastAsia="fr-FR"/>
              </w:rPr>
              <w:drawing>
                <wp:inline distT="0" distB="0" distL="0" distR="0" wp14:anchorId="7F98EA46" wp14:editId="286079CA">
                  <wp:extent cx="5865495" cy="3590925"/>
                  <wp:effectExtent l="0" t="0" r="190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5495" cy="3590925"/>
                          </a:xfrm>
                          <a:prstGeom prst="rect">
                            <a:avLst/>
                          </a:prstGeom>
                          <a:noFill/>
                          <a:ln>
                            <a:noFill/>
                          </a:ln>
                        </pic:spPr>
                      </pic:pic>
                    </a:graphicData>
                  </a:graphic>
                </wp:inline>
              </w:drawing>
            </w:r>
          </w:p>
        </w:tc>
      </w:tr>
    </w:tbl>
    <w:p w14:paraId="37E2EA24" w14:textId="77777777" w:rsidR="00850D14" w:rsidRDefault="00850D14" w:rsidP="00DF4781">
      <w:pPr>
        <w:rPr>
          <w:rFonts w:eastAsia="Calibri"/>
          <w:lang w:eastAsia="en-US"/>
        </w:rPr>
      </w:pPr>
    </w:p>
    <w:p w14:paraId="173D36CE" w14:textId="77777777" w:rsidR="00850D14" w:rsidRDefault="00850D14" w:rsidP="00850D14">
      <w:pPr>
        <w:pStyle w:val="Standard-italics"/>
        <w:keepNext w:val="0"/>
        <w:widowControl w:val="0"/>
        <w:jc w:val="both"/>
        <w:rPr>
          <w:bCs/>
          <w:i w:val="0"/>
        </w:rPr>
      </w:pPr>
      <w:r w:rsidRPr="00BA39AA">
        <w:rPr>
          <w:bCs/>
          <w:i w:val="0"/>
        </w:rPr>
        <w:t>Eye irritation was assessed on EUS26-15 Insect Repellent Spray, a formulation similar to Insect Repellent Pump Spray Lice IR3535</w:t>
      </w:r>
      <w:r w:rsidR="00407AC3" w:rsidRPr="00407AC3">
        <w:rPr>
          <w:bCs/>
          <w:i w:val="0"/>
          <w:vertAlign w:val="superscript"/>
        </w:rPr>
        <w:t>®</w:t>
      </w:r>
      <w:r w:rsidRPr="00BA39AA">
        <w:rPr>
          <w:bCs/>
          <w:i w:val="0"/>
        </w:rPr>
        <w:t xml:space="preserve"> 20%.</w:t>
      </w:r>
    </w:p>
    <w:p w14:paraId="226C3A81" w14:textId="77777777" w:rsidR="00850D14" w:rsidRDefault="00850D14" w:rsidP="00DF4781">
      <w:pPr>
        <w:rPr>
          <w:rFonts w:eastAsia="Calibri"/>
          <w:lang w:eastAsia="en-US"/>
        </w:rPr>
      </w:pPr>
    </w:p>
    <w:p w14:paraId="2D0D2D26" w14:textId="77777777" w:rsidR="00850D14" w:rsidRDefault="00850D14" w:rsidP="00850D14">
      <w:pPr>
        <w:rPr>
          <w:iCs/>
        </w:rPr>
      </w:pPr>
      <w:r w:rsidRPr="00273631">
        <w:t xml:space="preserve">There were no deaths or remarkable body weight changes noted during the study. Positive corneal and conjunctival irritations were noted for all animals. Corneal irritation subsided by study day 10 and </w:t>
      </w:r>
      <w:r w:rsidRPr="00211707">
        <w:t>conjunctival irritation</w:t>
      </w:r>
      <w:r w:rsidRPr="00273631">
        <w:t xml:space="preserve"> subsided by study day 14. The left (control) eyes were free of evidence of ocular irritation and other findings for the duration of the study. </w:t>
      </w:r>
      <w:r w:rsidRPr="00273631">
        <w:rPr>
          <w:iCs/>
        </w:rPr>
        <w:t>According to EU and CLP criteria, the mean scores for corneal reactions, iritis, conjunctival redness and chemosis were 1.44, 0, 2.8 and 2.2, respectively, resulting in a classification as a potential eye irritant (EU criteria: Xi, R36; GHS criteria: Eye Irrit. 2, H319).</w:t>
      </w:r>
    </w:p>
    <w:p w14:paraId="6D89CCD0" w14:textId="77777777" w:rsidR="00850D14" w:rsidRDefault="00850D14" w:rsidP="00850D14">
      <w:r w:rsidRPr="00273631">
        <w:t>Based on the results obtained in the eye irritation study with EUS26-15 Insect Repellent Spray in rabbits, the biocidal product is a potential eye irritant and needs to be classified with respect to eye irritancy (EU criteria: Xi, R36; GHS criteria: Eye Irrit. 2, H319).</w:t>
      </w:r>
    </w:p>
    <w:p w14:paraId="5A8348BD" w14:textId="77777777" w:rsidR="006B32B5" w:rsidRDefault="006B32B5" w:rsidP="00850D14"/>
    <w:p w14:paraId="798A5A31" w14:textId="77777777" w:rsidR="00850D14" w:rsidRDefault="00850D14" w:rsidP="00850D14">
      <w:r w:rsidRPr="007A5011">
        <w:t xml:space="preserve">Since </w:t>
      </w:r>
      <w:r w:rsidRPr="00273631">
        <w:t>EUS26-15 Insect Repellent Spray</w:t>
      </w:r>
      <w:r w:rsidRPr="007A5011">
        <w:t xml:space="preserve"> and Insect Repellent Pump Spray Lice IR3535</w:t>
      </w:r>
      <w:r w:rsidRPr="00407AC3">
        <w:rPr>
          <w:vertAlign w:val="superscript"/>
        </w:rPr>
        <w:t>®</w:t>
      </w:r>
      <w:r w:rsidRPr="007A5011">
        <w:t xml:space="preserve"> 20 % are nearly identical in composition, the results obtained in the test described here are considered relevant for Insect Repellent Pump Spray Lice IR3535</w:t>
      </w:r>
      <w:r w:rsidRPr="00407AC3">
        <w:rPr>
          <w:vertAlign w:val="superscript"/>
        </w:rPr>
        <w:t>®</w:t>
      </w:r>
      <w:r w:rsidRPr="007A5011">
        <w:t xml:space="preserve"> 20 %.</w:t>
      </w:r>
    </w:p>
    <w:p w14:paraId="4BB2FA58" w14:textId="77777777" w:rsidR="00850D14" w:rsidRDefault="00850D14" w:rsidP="00850D14">
      <w:pPr>
        <w:spacing w:line="260" w:lineRule="atLeast"/>
        <w:rPr>
          <w:rFonts w:eastAsia="Calibri"/>
          <w:iCs/>
          <w:lang w:eastAsia="en-US"/>
        </w:rPr>
      </w:pPr>
    </w:p>
    <w:p w14:paraId="2C3AD537" w14:textId="77777777" w:rsidR="00850D14" w:rsidRDefault="00850D14" w:rsidP="00850D14">
      <w:pPr>
        <w:spacing w:line="260" w:lineRule="atLeast"/>
        <w:rPr>
          <w:rFonts w:eastAsia="Calibri"/>
          <w:iCs/>
          <w:lang w:eastAsia="en-US"/>
        </w:rPr>
      </w:pPr>
      <w:r w:rsidRPr="00273631">
        <w:rPr>
          <w:rFonts w:eastAsia="Calibri"/>
          <w:iCs/>
          <w:lang w:eastAsia="en-US"/>
        </w:rPr>
        <w:t xml:space="preserve">No </w:t>
      </w:r>
      <w:r w:rsidRPr="00273631">
        <w:rPr>
          <w:rFonts w:eastAsia="Calibri"/>
          <w:i/>
          <w:iCs/>
          <w:lang w:eastAsia="en-US"/>
        </w:rPr>
        <w:t>in vitro</w:t>
      </w:r>
      <w:r w:rsidRPr="00273631">
        <w:rPr>
          <w:rFonts w:eastAsia="Calibri"/>
          <w:iCs/>
          <w:lang w:eastAsia="en-US"/>
        </w:rPr>
        <w:t xml:space="preserve"> or human data are available for eye corrosion/irritation.</w:t>
      </w:r>
    </w:p>
    <w:p w14:paraId="68127140" w14:textId="77777777" w:rsidR="00DF4781" w:rsidRPr="00BD2EF1" w:rsidRDefault="00DF4781" w:rsidP="00DF478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80"/>
        <w:gridCol w:w="6619"/>
      </w:tblGrid>
      <w:tr w:rsidR="00DF4781" w:rsidRPr="00BD2EF1" w14:paraId="6C6EACCC" w14:textId="77777777" w:rsidTr="006B32B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68F8F06" w14:textId="77777777" w:rsidR="00DF4781" w:rsidRPr="00BD2EF1" w:rsidRDefault="00DF4781" w:rsidP="00DF4781">
            <w:pPr>
              <w:rPr>
                <w:rFonts w:eastAsia="Calibri"/>
                <w:b/>
                <w:lang w:eastAsia="en-US"/>
              </w:rPr>
            </w:pPr>
            <w:r w:rsidRPr="00BD2EF1">
              <w:rPr>
                <w:rFonts w:eastAsia="Calibri"/>
                <w:b/>
                <w:lang w:eastAsia="en-US"/>
              </w:rPr>
              <w:t xml:space="preserve">Conclusion used in Risk Assessment – Eye irritation </w:t>
            </w:r>
          </w:p>
        </w:tc>
      </w:tr>
      <w:tr w:rsidR="006B32B5" w:rsidRPr="00BD2EF1" w14:paraId="279681D1" w14:textId="77777777" w:rsidTr="006B32B5">
        <w:trPr>
          <w:trHeight w:val="298"/>
        </w:trPr>
        <w:tc>
          <w:tcPr>
            <w:tcW w:w="1479" w:type="pct"/>
            <w:tcBorders>
              <w:top w:val="single" w:sz="6" w:space="0" w:color="auto"/>
              <w:left w:val="single" w:sz="4" w:space="0" w:color="auto"/>
              <w:bottom w:val="single" w:sz="6" w:space="0" w:color="auto"/>
              <w:right w:val="single" w:sz="6" w:space="0" w:color="auto"/>
            </w:tcBorders>
            <w:shd w:val="clear" w:color="auto" w:fill="auto"/>
          </w:tcPr>
          <w:p w14:paraId="6CE80338" w14:textId="77777777" w:rsidR="006B32B5" w:rsidRPr="00BD2EF1" w:rsidRDefault="006B32B5" w:rsidP="006B32B5">
            <w:pPr>
              <w:rPr>
                <w:rFonts w:eastAsia="Calibri"/>
                <w:lang w:eastAsia="en-US"/>
              </w:rPr>
            </w:pPr>
            <w:r w:rsidRPr="00BD2EF1">
              <w:rPr>
                <w:rFonts w:eastAsia="Calibri"/>
                <w:lang w:eastAsia="en-US"/>
              </w:rPr>
              <w:t>Value/conclusion</w:t>
            </w:r>
          </w:p>
        </w:tc>
        <w:tc>
          <w:tcPr>
            <w:tcW w:w="3521" w:type="pct"/>
            <w:tcBorders>
              <w:top w:val="single" w:sz="6" w:space="0" w:color="auto"/>
              <w:left w:val="single" w:sz="6" w:space="0" w:color="auto"/>
              <w:bottom w:val="single" w:sz="6" w:space="0" w:color="auto"/>
              <w:right w:val="single" w:sz="6" w:space="0" w:color="auto"/>
            </w:tcBorders>
          </w:tcPr>
          <w:p w14:paraId="1BD077F4" w14:textId="77777777" w:rsidR="006B32B5" w:rsidRPr="00BD2EF1" w:rsidRDefault="006B32B5" w:rsidP="006B32B5">
            <w:pPr>
              <w:rPr>
                <w:rFonts w:eastAsia="Calibri"/>
                <w:lang w:eastAsia="en-US"/>
              </w:rPr>
            </w:pPr>
            <w:r w:rsidRPr="0037315A">
              <w:rPr>
                <w:rFonts w:eastAsia="Calibri"/>
                <w:lang w:eastAsia="en-US"/>
              </w:rPr>
              <w:t>the biocidal product has to be classified as a potential eye irritant according to (EU) nr. 1272/2008 (Eye Irrit. 2, H319)</w:t>
            </w:r>
          </w:p>
        </w:tc>
      </w:tr>
      <w:tr w:rsidR="006B32B5" w:rsidRPr="00BD2EF1" w14:paraId="53E26E7C" w14:textId="77777777" w:rsidTr="006B32B5">
        <w:tc>
          <w:tcPr>
            <w:tcW w:w="1479" w:type="pct"/>
            <w:tcBorders>
              <w:top w:val="single" w:sz="6" w:space="0" w:color="auto"/>
              <w:left w:val="single" w:sz="4" w:space="0" w:color="auto"/>
              <w:bottom w:val="single" w:sz="6" w:space="0" w:color="auto"/>
              <w:right w:val="single" w:sz="6" w:space="0" w:color="auto"/>
            </w:tcBorders>
            <w:shd w:val="clear" w:color="auto" w:fill="auto"/>
          </w:tcPr>
          <w:p w14:paraId="53FEEEEA" w14:textId="77777777" w:rsidR="006B32B5" w:rsidRPr="00BD2EF1" w:rsidRDefault="006B32B5" w:rsidP="006B32B5">
            <w:pPr>
              <w:rPr>
                <w:rFonts w:eastAsia="Calibri"/>
                <w:lang w:eastAsia="en-US"/>
              </w:rPr>
            </w:pPr>
            <w:r w:rsidRPr="00BD2EF1">
              <w:rPr>
                <w:rFonts w:eastAsia="Calibri"/>
                <w:lang w:eastAsia="en-US"/>
              </w:rPr>
              <w:t>Justification for the value/conclusion</w:t>
            </w:r>
          </w:p>
        </w:tc>
        <w:tc>
          <w:tcPr>
            <w:tcW w:w="3521" w:type="pct"/>
            <w:tcBorders>
              <w:top w:val="single" w:sz="6" w:space="0" w:color="auto"/>
              <w:left w:val="single" w:sz="6" w:space="0" w:color="auto"/>
              <w:bottom w:val="single" w:sz="6" w:space="0" w:color="auto"/>
              <w:right w:val="single" w:sz="6" w:space="0" w:color="auto"/>
            </w:tcBorders>
          </w:tcPr>
          <w:p w14:paraId="7620657D" w14:textId="77777777" w:rsidR="006B32B5" w:rsidRPr="00BD2EF1" w:rsidRDefault="006B32B5" w:rsidP="006B32B5">
            <w:pPr>
              <w:rPr>
                <w:rFonts w:eastAsia="Calibri"/>
                <w:lang w:eastAsia="en-US"/>
              </w:rPr>
            </w:pPr>
            <w:r w:rsidRPr="003F48A5">
              <w:rPr>
                <w:rFonts w:eastAsia="Calibri"/>
                <w:lang w:eastAsia="en-US"/>
              </w:rPr>
              <w:t>Test performed on similar formulation.</w:t>
            </w:r>
            <w:r w:rsidRPr="0037315A">
              <w:rPr>
                <w:rFonts w:eastAsia="Calibri"/>
                <w:lang w:eastAsia="en-US"/>
              </w:rPr>
              <w:t xml:space="preserve"> </w:t>
            </w:r>
            <w:r>
              <w:rPr>
                <w:rFonts w:eastAsia="Calibri"/>
                <w:lang w:eastAsia="en-US"/>
              </w:rPr>
              <w:t>A</w:t>
            </w:r>
            <w:r w:rsidRPr="0037315A">
              <w:rPr>
                <w:rFonts w:eastAsia="Calibri"/>
                <w:lang w:eastAsia="en-US"/>
              </w:rPr>
              <w:t xml:space="preserve">verage score was </w:t>
            </w:r>
            <w:r w:rsidRPr="0037315A">
              <w:rPr>
                <w:rFonts w:eastAsia="Calibri"/>
                <w:lang w:eastAsia="en-US"/>
              </w:rPr>
              <w:sym w:font="Symbol" w:char="F0B3"/>
            </w:r>
            <w:r w:rsidRPr="0037315A">
              <w:rPr>
                <w:rFonts w:eastAsia="Calibri"/>
                <w:lang w:eastAsia="en-US"/>
              </w:rPr>
              <w:t xml:space="preserve"> 1 for corneal opacity and </w:t>
            </w:r>
            <w:r w:rsidRPr="0037315A">
              <w:rPr>
                <w:rFonts w:eastAsia="Calibri"/>
                <w:lang w:eastAsia="en-US"/>
              </w:rPr>
              <w:sym w:font="Symbol" w:char="F0B3"/>
            </w:r>
            <w:r w:rsidRPr="0037315A">
              <w:rPr>
                <w:rFonts w:eastAsia="Calibri"/>
                <w:lang w:eastAsia="en-US"/>
              </w:rPr>
              <w:t> 2 for conjunctival redness and chemosis in 2 out of 3 animals</w:t>
            </w:r>
          </w:p>
        </w:tc>
      </w:tr>
      <w:tr w:rsidR="006B32B5" w:rsidRPr="00BD2EF1" w14:paraId="124ED7BD" w14:textId="77777777" w:rsidTr="006B32B5">
        <w:tc>
          <w:tcPr>
            <w:tcW w:w="1479" w:type="pct"/>
            <w:tcBorders>
              <w:top w:val="single" w:sz="6" w:space="0" w:color="auto"/>
              <w:left w:val="single" w:sz="4" w:space="0" w:color="auto"/>
              <w:bottom w:val="single" w:sz="6" w:space="0" w:color="auto"/>
              <w:right w:val="single" w:sz="6" w:space="0" w:color="auto"/>
            </w:tcBorders>
            <w:shd w:val="clear" w:color="auto" w:fill="auto"/>
          </w:tcPr>
          <w:p w14:paraId="30B5717A" w14:textId="77777777" w:rsidR="006B32B5" w:rsidRPr="00BD2EF1" w:rsidRDefault="006B32B5" w:rsidP="006B32B5">
            <w:pPr>
              <w:rPr>
                <w:rFonts w:eastAsia="Calibri"/>
                <w:lang w:eastAsia="en-US"/>
              </w:rPr>
            </w:pPr>
            <w:r w:rsidRPr="00BD2EF1">
              <w:rPr>
                <w:rFonts w:eastAsia="Calibri"/>
                <w:lang w:eastAsia="en-US"/>
              </w:rPr>
              <w:lastRenderedPageBreak/>
              <w:t>Classification of the product according to CLP and DSD</w:t>
            </w:r>
          </w:p>
        </w:tc>
        <w:tc>
          <w:tcPr>
            <w:tcW w:w="3521" w:type="pct"/>
            <w:tcBorders>
              <w:top w:val="single" w:sz="6" w:space="0" w:color="auto"/>
              <w:left w:val="single" w:sz="6" w:space="0" w:color="auto"/>
              <w:bottom w:val="single" w:sz="6" w:space="0" w:color="auto"/>
              <w:right w:val="single" w:sz="6" w:space="0" w:color="auto"/>
            </w:tcBorders>
          </w:tcPr>
          <w:p w14:paraId="3BCF1469" w14:textId="77777777" w:rsidR="006B32B5" w:rsidRPr="00BD2EF1" w:rsidRDefault="006B32B5" w:rsidP="006B32B5">
            <w:pPr>
              <w:rPr>
                <w:rFonts w:eastAsia="Calibri"/>
                <w:lang w:eastAsia="en-US"/>
              </w:rPr>
            </w:pPr>
            <w:r w:rsidRPr="0037315A">
              <w:rPr>
                <w:rFonts w:eastAsia="Calibri"/>
                <w:lang w:eastAsia="en-US"/>
              </w:rPr>
              <w:t>Eye damage/irritation cat 2, H319</w:t>
            </w:r>
          </w:p>
        </w:tc>
      </w:tr>
    </w:tbl>
    <w:p w14:paraId="75B72E18" w14:textId="77777777" w:rsidR="00DF4781" w:rsidRPr="00BD2EF1" w:rsidRDefault="00DF4781" w:rsidP="00DF4781">
      <w:pPr>
        <w:rPr>
          <w:rFonts w:eastAsia="Calibri"/>
          <w:lang w:eastAsia="en-US"/>
        </w:rPr>
      </w:pPr>
    </w:p>
    <w:p w14:paraId="0F705704" w14:textId="2895A99E" w:rsidR="00653427" w:rsidRDefault="00653427" w:rsidP="00653427">
      <w:pPr>
        <w:pStyle w:val="Titre5"/>
        <w:rPr>
          <w:lang w:val="en-GB"/>
        </w:rPr>
      </w:pPr>
      <w:bookmarkStart w:id="197" w:name="_Toc93326550"/>
      <w:r w:rsidRPr="00BD2EF1">
        <w:rPr>
          <w:lang w:val="en-GB"/>
        </w:rPr>
        <w:t>Respiratory tract irritation</w:t>
      </w:r>
      <w:bookmarkEnd w:id="197"/>
    </w:p>
    <w:p w14:paraId="621AF9C7" w14:textId="77777777" w:rsidR="00B24C59" w:rsidRPr="009461FB" w:rsidRDefault="00B24C59" w:rsidP="00B24C59">
      <w:pPr>
        <w:pStyle w:val="Paragraphedeliste"/>
        <w:numPr>
          <w:ilvl w:val="0"/>
          <w:numId w:val="68"/>
        </w:numPr>
        <w:rPr>
          <w:b/>
        </w:rPr>
      </w:pPr>
      <w:r w:rsidRPr="009461FB">
        <w:rPr>
          <w:b/>
        </w:rPr>
        <w:t>FIRST AUTHORISATION – 2017 (BE CA)</w:t>
      </w:r>
    </w:p>
    <w:p w14:paraId="1098E6EC" w14:textId="77777777" w:rsidR="00B24C59" w:rsidRPr="00B24C59" w:rsidRDefault="00B24C59" w:rsidP="00B24C59">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24"/>
        <w:gridCol w:w="6675"/>
      </w:tblGrid>
      <w:tr w:rsidR="00653427" w:rsidRPr="00BD2EF1" w14:paraId="63124C3B" w14:textId="77777777" w:rsidTr="00B4366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3C6F783" w14:textId="77777777" w:rsidR="00653427" w:rsidRPr="00BD2EF1" w:rsidRDefault="00653427" w:rsidP="007614DB">
            <w:pPr>
              <w:rPr>
                <w:rFonts w:eastAsia="Calibri"/>
                <w:b/>
                <w:lang w:eastAsia="da-DK"/>
              </w:rPr>
            </w:pPr>
            <w:r w:rsidRPr="00BD2EF1">
              <w:rPr>
                <w:rFonts w:eastAsia="Calibri"/>
                <w:b/>
                <w:lang w:eastAsia="en-US"/>
              </w:rPr>
              <w:t>Conclusion used in the Risk Assessment – Respiratory tract irritation</w:t>
            </w:r>
          </w:p>
        </w:tc>
      </w:tr>
      <w:tr w:rsidR="00B43664" w:rsidRPr="00BD2EF1" w14:paraId="33ADD0E2" w14:textId="77777777" w:rsidTr="00B43664">
        <w:tc>
          <w:tcPr>
            <w:tcW w:w="1449" w:type="pct"/>
            <w:tcBorders>
              <w:top w:val="single" w:sz="6" w:space="0" w:color="auto"/>
              <w:left w:val="single" w:sz="4" w:space="0" w:color="auto"/>
              <w:bottom w:val="single" w:sz="6" w:space="0" w:color="auto"/>
              <w:right w:val="single" w:sz="6" w:space="0" w:color="auto"/>
            </w:tcBorders>
            <w:shd w:val="clear" w:color="auto" w:fill="auto"/>
          </w:tcPr>
          <w:p w14:paraId="50036600" w14:textId="77777777" w:rsidR="00B43664" w:rsidRPr="00BD2EF1" w:rsidRDefault="00B43664" w:rsidP="00B43664">
            <w:pPr>
              <w:rPr>
                <w:rFonts w:eastAsia="Calibri"/>
                <w:lang w:eastAsia="en-US"/>
              </w:rPr>
            </w:pPr>
            <w:r w:rsidRPr="00BD2EF1">
              <w:rPr>
                <w:rFonts w:eastAsia="Calibri"/>
                <w:lang w:eastAsia="en-US"/>
              </w:rPr>
              <w:t>Justification for the conclusion</w:t>
            </w:r>
          </w:p>
        </w:tc>
        <w:tc>
          <w:tcPr>
            <w:tcW w:w="3551" w:type="pct"/>
            <w:tcBorders>
              <w:top w:val="single" w:sz="6" w:space="0" w:color="auto"/>
              <w:left w:val="single" w:sz="6" w:space="0" w:color="auto"/>
              <w:bottom w:val="single" w:sz="6" w:space="0" w:color="auto"/>
              <w:right w:val="single" w:sz="6" w:space="0" w:color="auto"/>
            </w:tcBorders>
          </w:tcPr>
          <w:p w14:paraId="2D6CDD6D" w14:textId="77777777" w:rsidR="00B43664" w:rsidRPr="00D91AC4" w:rsidRDefault="00B43664" w:rsidP="00B43664">
            <w:r w:rsidRPr="00D91AC4">
              <w:t xml:space="preserve">Neither the active ingredient nor one of the other </w:t>
            </w:r>
            <w:r w:rsidRPr="00B9088B">
              <w:t>relevant i</w:t>
            </w:r>
            <w:r w:rsidRPr="00D91AC4">
              <w:t xml:space="preserve">ngredients of the biocidal product are classified with respect to </w:t>
            </w:r>
            <w:r>
              <w:t>respiratory tract irritation</w:t>
            </w:r>
            <w:r w:rsidRPr="00D91AC4">
              <w:t xml:space="preserve">. </w:t>
            </w:r>
          </w:p>
          <w:p w14:paraId="447766C1" w14:textId="77777777" w:rsidR="00B43664" w:rsidRPr="00BD2EF1" w:rsidRDefault="00B43664" w:rsidP="00B43664">
            <w:pPr>
              <w:rPr>
                <w:rFonts w:eastAsia="Calibri"/>
                <w:lang w:eastAsia="en-US"/>
              </w:rPr>
            </w:pPr>
            <w:r w:rsidRPr="00C24B13">
              <w:rPr>
                <w:rFonts w:eastAsia="Calibri"/>
                <w:lang w:eastAsia="en-US"/>
              </w:rPr>
              <w:t>Insect Repellent Pump Spray</w:t>
            </w:r>
            <w:r>
              <w:rPr>
                <w:rFonts w:eastAsia="Calibri"/>
                <w:lang w:eastAsia="en-US"/>
              </w:rPr>
              <w:t xml:space="preserve"> Lice</w:t>
            </w:r>
            <w:r w:rsidRPr="00C24B13">
              <w:rPr>
                <w:rFonts w:eastAsia="Calibri"/>
                <w:lang w:eastAsia="en-US"/>
              </w:rPr>
              <w:t xml:space="preserve"> IR3535</w:t>
            </w:r>
            <w:r w:rsidRPr="00407AC3">
              <w:rPr>
                <w:rFonts w:eastAsia="Calibri"/>
                <w:vertAlign w:val="superscript"/>
                <w:lang w:eastAsia="en-US"/>
              </w:rPr>
              <w:t>®</w:t>
            </w:r>
            <w:r w:rsidRPr="00C24B13">
              <w:rPr>
                <w:rFonts w:eastAsia="Calibri"/>
                <w:lang w:eastAsia="en-US"/>
              </w:rPr>
              <w:t xml:space="preserve"> 20 % does not pose a</w:t>
            </w:r>
            <w:r>
              <w:rPr>
                <w:rFonts w:eastAsia="Calibri"/>
                <w:lang w:eastAsia="en-US"/>
              </w:rPr>
              <w:t xml:space="preserve"> respiratory tract irritation hazard.</w:t>
            </w:r>
          </w:p>
        </w:tc>
      </w:tr>
      <w:tr w:rsidR="00B43664" w:rsidRPr="00BD2EF1" w14:paraId="410C270D" w14:textId="77777777" w:rsidTr="00B43664">
        <w:tc>
          <w:tcPr>
            <w:tcW w:w="1449" w:type="pct"/>
            <w:tcBorders>
              <w:top w:val="single" w:sz="6" w:space="0" w:color="auto"/>
              <w:left w:val="single" w:sz="4" w:space="0" w:color="auto"/>
              <w:bottom w:val="single" w:sz="6" w:space="0" w:color="auto"/>
              <w:right w:val="single" w:sz="6" w:space="0" w:color="auto"/>
            </w:tcBorders>
            <w:shd w:val="clear" w:color="auto" w:fill="auto"/>
          </w:tcPr>
          <w:p w14:paraId="2E332E9E" w14:textId="77777777" w:rsidR="00B43664" w:rsidRPr="00BD2EF1" w:rsidRDefault="00B43664" w:rsidP="00B43664">
            <w:pPr>
              <w:rPr>
                <w:rFonts w:eastAsia="Calibri"/>
                <w:lang w:eastAsia="en-US"/>
              </w:rPr>
            </w:pPr>
            <w:r w:rsidRPr="00BD2EF1">
              <w:rPr>
                <w:rFonts w:eastAsia="Calibri"/>
                <w:lang w:eastAsia="en-US"/>
              </w:rPr>
              <w:t>Classification of the product according to CLP and DSD</w:t>
            </w:r>
          </w:p>
        </w:tc>
        <w:tc>
          <w:tcPr>
            <w:tcW w:w="3551" w:type="pct"/>
            <w:tcBorders>
              <w:top w:val="single" w:sz="6" w:space="0" w:color="auto"/>
              <w:left w:val="single" w:sz="6" w:space="0" w:color="auto"/>
              <w:bottom w:val="single" w:sz="6" w:space="0" w:color="auto"/>
              <w:right w:val="single" w:sz="6" w:space="0" w:color="auto"/>
            </w:tcBorders>
          </w:tcPr>
          <w:p w14:paraId="7C9025EE" w14:textId="77777777" w:rsidR="00B43664" w:rsidRPr="00BD2EF1" w:rsidRDefault="00B43664" w:rsidP="00B43664">
            <w:pPr>
              <w:rPr>
                <w:rFonts w:eastAsia="Calibri"/>
                <w:lang w:eastAsia="en-US"/>
              </w:rPr>
            </w:pPr>
            <w:r>
              <w:t>T</w:t>
            </w:r>
            <w:r w:rsidRPr="00541C92">
              <w:t xml:space="preserve">here is no indication that a classification with respect to respiratory tract irritation is necessary for Insect Repellent Pump Spray </w:t>
            </w:r>
            <w:r>
              <w:t xml:space="preserve">Lice </w:t>
            </w:r>
            <w:r w:rsidRPr="00541C92">
              <w:t>IR3535</w:t>
            </w:r>
            <w:r w:rsidRPr="00407AC3">
              <w:rPr>
                <w:vertAlign w:val="superscript"/>
              </w:rPr>
              <w:t>®</w:t>
            </w:r>
            <w:r w:rsidRPr="00541C92">
              <w:t xml:space="preserve"> 20 %.</w:t>
            </w:r>
          </w:p>
        </w:tc>
      </w:tr>
    </w:tbl>
    <w:p w14:paraId="0A4306DA" w14:textId="77777777" w:rsidR="00653427" w:rsidRPr="00BD2EF1" w:rsidRDefault="00653427" w:rsidP="007614DB">
      <w:pPr>
        <w:rPr>
          <w:lang w:eastAsia="en-US"/>
        </w:rPr>
      </w:pPr>
    </w:p>
    <w:p w14:paraId="486A869A" w14:textId="77777777" w:rsidR="00BD2EF1" w:rsidRPr="00BD2EF1" w:rsidRDefault="00BD2EF1">
      <w:pPr>
        <w:spacing w:before="0" w:after="160" w:line="259" w:lineRule="auto"/>
        <w:rPr>
          <w:lang w:eastAsia="en-US"/>
        </w:rPr>
      </w:pPr>
      <w:r w:rsidRPr="00BD2EF1">
        <w:rPr>
          <w:lang w:eastAsia="en-US"/>
        </w:rPr>
        <w:br w:type="page"/>
      </w:r>
    </w:p>
    <w:p w14:paraId="39BA9EA2" w14:textId="4310AD82" w:rsidR="00653427" w:rsidRDefault="00BD2EF1" w:rsidP="00BD2EF1">
      <w:pPr>
        <w:pStyle w:val="Titre5"/>
        <w:rPr>
          <w:lang w:val="en-GB"/>
        </w:rPr>
      </w:pPr>
      <w:bookmarkStart w:id="198" w:name="_Toc93326551"/>
      <w:r w:rsidRPr="00BD2EF1">
        <w:rPr>
          <w:lang w:val="en-GB"/>
        </w:rPr>
        <w:lastRenderedPageBreak/>
        <w:t>Skin sensitization</w:t>
      </w:r>
      <w:bookmarkEnd w:id="198"/>
    </w:p>
    <w:p w14:paraId="7CC8B21D" w14:textId="77777777" w:rsidR="00B24C59" w:rsidRPr="009461FB" w:rsidRDefault="00B24C59" w:rsidP="00B24C59">
      <w:pPr>
        <w:pStyle w:val="Paragraphedeliste"/>
        <w:numPr>
          <w:ilvl w:val="0"/>
          <w:numId w:val="68"/>
        </w:numPr>
        <w:rPr>
          <w:b/>
        </w:rPr>
      </w:pPr>
      <w:r w:rsidRPr="009461FB">
        <w:rPr>
          <w:b/>
        </w:rPr>
        <w:t>FIRST AUTHORISATION – 2017 (BE CA)</w:t>
      </w:r>
    </w:p>
    <w:p w14:paraId="71DD3C4D" w14:textId="77777777" w:rsidR="00B24C59" w:rsidRPr="00B24C59" w:rsidRDefault="00B24C59" w:rsidP="00B24C59">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7"/>
        <w:gridCol w:w="1134"/>
        <w:gridCol w:w="2010"/>
        <w:gridCol w:w="1626"/>
        <w:gridCol w:w="2316"/>
        <w:gridCol w:w="1159"/>
      </w:tblGrid>
      <w:tr w:rsidR="00332357" w:rsidRPr="00332357" w14:paraId="74C6FA88" w14:textId="77777777" w:rsidTr="00332357">
        <w:trPr>
          <w:trHeight w:val="348"/>
          <w:tblHeader/>
        </w:trPr>
        <w:tc>
          <w:tcPr>
            <w:tcW w:w="5000" w:type="pct"/>
            <w:gridSpan w:val="6"/>
            <w:shd w:val="clear" w:color="auto" w:fill="FFFFCC"/>
          </w:tcPr>
          <w:p w14:paraId="47647AC7" w14:textId="77777777" w:rsidR="00332357" w:rsidRPr="00332357" w:rsidRDefault="00332357" w:rsidP="00332357">
            <w:pPr>
              <w:pStyle w:val="Standaard-Tabellen"/>
              <w:jc w:val="center"/>
              <w:rPr>
                <w:rFonts w:eastAsia="Calibri"/>
                <w:b/>
              </w:rPr>
            </w:pPr>
            <w:r w:rsidRPr="00332357">
              <w:rPr>
                <w:rFonts w:eastAsia="Calibri"/>
                <w:b/>
              </w:rPr>
              <w:t>Summary table of animal studies on skin sensitisation</w:t>
            </w:r>
          </w:p>
        </w:tc>
      </w:tr>
      <w:tr w:rsidR="00332357" w:rsidRPr="00332357" w14:paraId="59A9255B" w14:textId="77777777" w:rsidTr="00332357">
        <w:trPr>
          <w:trHeight w:val="651"/>
          <w:tblHeader/>
        </w:trPr>
        <w:tc>
          <w:tcPr>
            <w:tcW w:w="510" w:type="pct"/>
            <w:shd w:val="clear" w:color="auto" w:fill="BFBFBF" w:themeFill="background1" w:themeFillShade="BF"/>
            <w:tcMar>
              <w:top w:w="57" w:type="dxa"/>
              <w:bottom w:w="57" w:type="dxa"/>
            </w:tcMar>
          </w:tcPr>
          <w:p w14:paraId="1086363C" w14:textId="77777777" w:rsidR="00332357" w:rsidRPr="00332357" w:rsidRDefault="00332357" w:rsidP="00332357">
            <w:pPr>
              <w:pStyle w:val="Standaard-Tabellen"/>
              <w:rPr>
                <w:rFonts w:eastAsia="Calibri"/>
                <w:b/>
              </w:rPr>
            </w:pPr>
            <w:r w:rsidRPr="00332357">
              <w:rPr>
                <w:rFonts w:eastAsia="Calibri"/>
                <w:b/>
              </w:rPr>
              <w:t>Method,</w:t>
            </w:r>
            <w:r w:rsidRPr="00332357">
              <w:rPr>
                <w:rFonts w:eastAsia="Calibri"/>
                <w:b/>
              </w:rPr>
              <w:br/>
              <w:t>Guideline, GLP status, . Reliability</w:t>
            </w:r>
          </w:p>
        </w:tc>
        <w:tc>
          <w:tcPr>
            <w:tcW w:w="485" w:type="pct"/>
            <w:shd w:val="clear" w:color="auto" w:fill="BFBFBF" w:themeFill="background1" w:themeFillShade="BF"/>
          </w:tcPr>
          <w:p w14:paraId="07DB54F9" w14:textId="77777777" w:rsidR="00332357" w:rsidRPr="00332357" w:rsidRDefault="00332357" w:rsidP="00332357">
            <w:pPr>
              <w:pStyle w:val="Standaard-Tabellen"/>
              <w:rPr>
                <w:rFonts w:eastAsia="Calibri"/>
                <w:b/>
              </w:rPr>
            </w:pPr>
            <w:r w:rsidRPr="00332357">
              <w:rPr>
                <w:rFonts w:eastAsia="Calibri"/>
                <w:b/>
              </w:rPr>
              <w:t>Species,</w:t>
            </w:r>
            <w:r w:rsidRPr="00332357">
              <w:rPr>
                <w:rFonts w:eastAsia="Calibri"/>
                <w:b/>
              </w:rPr>
              <w:br/>
              <w:t>Strain,</w:t>
            </w:r>
            <w:r w:rsidRPr="00332357">
              <w:rPr>
                <w:rFonts w:eastAsia="Calibri"/>
                <w:b/>
              </w:rPr>
              <w:br/>
              <w:t>Sex,</w:t>
            </w:r>
            <w:r w:rsidRPr="00332357">
              <w:rPr>
                <w:rFonts w:eastAsia="Calibri"/>
                <w:b/>
              </w:rPr>
              <w:br/>
              <w:t>No/group</w:t>
            </w:r>
          </w:p>
        </w:tc>
        <w:tc>
          <w:tcPr>
            <w:tcW w:w="1015" w:type="pct"/>
            <w:shd w:val="clear" w:color="auto" w:fill="BFBFBF" w:themeFill="background1" w:themeFillShade="BF"/>
            <w:tcMar>
              <w:top w:w="57" w:type="dxa"/>
              <w:bottom w:w="57" w:type="dxa"/>
            </w:tcMar>
          </w:tcPr>
          <w:p w14:paraId="04577847" w14:textId="77777777" w:rsidR="00332357" w:rsidRPr="00332357" w:rsidRDefault="00332357" w:rsidP="00332357">
            <w:pPr>
              <w:pStyle w:val="Standaard-Tabellen"/>
              <w:rPr>
                <w:rFonts w:eastAsia="Calibri"/>
                <w:b/>
              </w:rPr>
            </w:pPr>
            <w:r w:rsidRPr="00332357">
              <w:rPr>
                <w:rFonts w:eastAsia="Calibri"/>
                <w:b/>
              </w:rPr>
              <w:t>Test substance, Vehicle,</w:t>
            </w:r>
          </w:p>
          <w:p w14:paraId="2AADE887" w14:textId="77777777" w:rsidR="00332357" w:rsidRPr="00332357" w:rsidRDefault="00332357" w:rsidP="00332357">
            <w:pPr>
              <w:pStyle w:val="Standaard-Tabellen"/>
              <w:rPr>
                <w:rFonts w:eastAsia="Calibri"/>
                <w:b/>
              </w:rPr>
            </w:pPr>
            <w:r w:rsidRPr="00332357">
              <w:rPr>
                <w:rFonts w:eastAsia="Calibri"/>
                <w:b/>
              </w:rPr>
              <w:t xml:space="preserve">Dose levels, </w:t>
            </w:r>
            <w:r w:rsidRPr="00332357">
              <w:rPr>
                <w:rFonts w:eastAsia="Calibri"/>
                <w:b/>
              </w:rPr>
              <w:br/>
              <w:t xml:space="preserve">duration of exposure Route of exposure </w:t>
            </w:r>
            <w:r w:rsidRPr="00332357">
              <w:rPr>
                <w:rFonts w:eastAsia="Calibri"/>
                <w:i/>
              </w:rPr>
              <w:t>(topical/intradermal, if relevant)</w:t>
            </w:r>
          </w:p>
        </w:tc>
        <w:tc>
          <w:tcPr>
            <w:tcW w:w="1090" w:type="pct"/>
            <w:shd w:val="clear" w:color="auto" w:fill="BFBFBF" w:themeFill="background1" w:themeFillShade="BF"/>
            <w:tcMar>
              <w:top w:w="57" w:type="dxa"/>
              <w:bottom w:w="57" w:type="dxa"/>
            </w:tcMar>
          </w:tcPr>
          <w:p w14:paraId="6CBE4760" w14:textId="77777777" w:rsidR="00332357" w:rsidRPr="00332357" w:rsidRDefault="00332357" w:rsidP="00332357">
            <w:pPr>
              <w:pStyle w:val="Standaard-Tabellen"/>
              <w:rPr>
                <w:rFonts w:eastAsia="Calibri"/>
                <w:b/>
              </w:rPr>
            </w:pPr>
            <w:r w:rsidRPr="00332357">
              <w:rPr>
                <w:rFonts w:eastAsia="Calibri"/>
                <w:b/>
              </w:rPr>
              <w:t xml:space="preserve">Results </w:t>
            </w:r>
          </w:p>
          <w:p w14:paraId="5AC520E3" w14:textId="77777777" w:rsidR="00332357" w:rsidRPr="00332357" w:rsidRDefault="00332357" w:rsidP="00332357">
            <w:pPr>
              <w:pStyle w:val="Standaard-Tabellen"/>
              <w:rPr>
                <w:rFonts w:eastAsia="Calibri"/>
              </w:rPr>
            </w:pPr>
            <w:r w:rsidRPr="00332357">
              <w:rPr>
                <w:rFonts w:eastAsia="Calibri"/>
                <w:i/>
              </w:rPr>
              <w:t>(EC3-value or amount of sensitised animals at induction dose); evidence for local or systemic toxicity (time course of onset)</w:t>
            </w:r>
          </w:p>
        </w:tc>
        <w:tc>
          <w:tcPr>
            <w:tcW w:w="1457" w:type="pct"/>
            <w:shd w:val="clear" w:color="auto" w:fill="BFBFBF" w:themeFill="background1" w:themeFillShade="BF"/>
          </w:tcPr>
          <w:p w14:paraId="578B9DC6" w14:textId="77777777" w:rsidR="00332357" w:rsidRPr="00332357" w:rsidRDefault="00332357" w:rsidP="00332357">
            <w:pPr>
              <w:pStyle w:val="Standaard-Tabellen"/>
              <w:rPr>
                <w:rFonts w:eastAsia="Calibri"/>
                <w:b/>
              </w:rPr>
            </w:pPr>
            <w:r w:rsidRPr="00332357">
              <w:rPr>
                <w:rFonts w:eastAsia="Calibri"/>
                <w:b/>
              </w:rPr>
              <w:t>Remarks</w:t>
            </w:r>
          </w:p>
          <w:p w14:paraId="223091B1" w14:textId="77777777" w:rsidR="00332357" w:rsidRPr="00332357" w:rsidRDefault="00332357" w:rsidP="00332357">
            <w:pPr>
              <w:pStyle w:val="Standaard-Tabellen"/>
              <w:rPr>
                <w:rFonts w:eastAsia="Calibri"/>
                <w:i/>
              </w:rPr>
            </w:pPr>
            <w:r w:rsidRPr="00332357">
              <w:rPr>
                <w:rFonts w:eastAsia="Calibri"/>
                <w:i/>
              </w:rPr>
              <w:t>(e.g. major deviations)</w:t>
            </w:r>
          </w:p>
        </w:tc>
        <w:tc>
          <w:tcPr>
            <w:tcW w:w="442" w:type="pct"/>
            <w:shd w:val="clear" w:color="auto" w:fill="BFBFBF" w:themeFill="background1" w:themeFillShade="BF"/>
            <w:tcMar>
              <w:top w:w="57" w:type="dxa"/>
              <w:bottom w:w="57" w:type="dxa"/>
            </w:tcMar>
          </w:tcPr>
          <w:p w14:paraId="3C520832" w14:textId="77777777" w:rsidR="00332357" w:rsidRPr="00332357" w:rsidRDefault="00332357" w:rsidP="00332357">
            <w:pPr>
              <w:pStyle w:val="Standaard-Tabellen"/>
              <w:rPr>
                <w:rFonts w:eastAsia="Calibri"/>
                <w:b/>
              </w:rPr>
            </w:pPr>
            <w:r w:rsidRPr="00332357">
              <w:rPr>
                <w:rFonts w:eastAsia="Calibri"/>
                <w:b/>
              </w:rPr>
              <w:t xml:space="preserve">Reference </w:t>
            </w:r>
          </w:p>
          <w:p w14:paraId="32113849" w14:textId="77777777" w:rsidR="00332357" w:rsidRPr="00332357" w:rsidRDefault="00332357" w:rsidP="00332357">
            <w:pPr>
              <w:pStyle w:val="Standaard-Tabellen"/>
              <w:rPr>
                <w:rFonts w:eastAsia="Calibri"/>
                <w:b/>
              </w:rPr>
            </w:pPr>
          </w:p>
        </w:tc>
      </w:tr>
      <w:tr w:rsidR="00332357" w:rsidRPr="006C26F1" w14:paraId="2B27CBC7" w14:textId="77777777" w:rsidTr="00332357">
        <w:trPr>
          <w:trHeight w:val="227"/>
          <w:tblHeader/>
        </w:trPr>
        <w:tc>
          <w:tcPr>
            <w:tcW w:w="510" w:type="pct"/>
            <w:shd w:val="clear" w:color="auto" w:fill="auto"/>
          </w:tcPr>
          <w:p w14:paraId="490AEFEC" w14:textId="77777777" w:rsidR="00332357" w:rsidRPr="006C26F1" w:rsidRDefault="00332357" w:rsidP="00332357">
            <w:pPr>
              <w:pStyle w:val="Standaard-Tabellen"/>
              <w:rPr>
                <w:rFonts w:eastAsia="Calibri"/>
                <w:lang w:val="de-DE"/>
              </w:rPr>
            </w:pPr>
            <w:r w:rsidRPr="006C26F1">
              <w:rPr>
                <w:rFonts w:eastAsia="Calibri"/>
                <w:lang w:val="de-DE"/>
              </w:rPr>
              <w:t>OECD 406</w:t>
            </w:r>
          </w:p>
          <w:p w14:paraId="43A2FEBC" w14:textId="77777777" w:rsidR="00332357" w:rsidRPr="006C26F1" w:rsidRDefault="00332357" w:rsidP="00332357">
            <w:pPr>
              <w:pStyle w:val="Standaard-Tabellen"/>
              <w:rPr>
                <w:rFonts w:eastAsia="Calibri"/>
                <w:lang w:val="de-DE"/>
              </w:rPr>
            </w:pPr>
            <w:r w:rsidRPr="006C26F1">
              <w:rPr>
                <w:rFonts w:eastAsia="Calibri"/>
                <w:lang w:val="de-DE"/>
              </w:rPr>
              <w:t>OPPTS 870.2600</w:t>
            </w:r>
          </w:p>
          <w:p w14:paraId="5F134F82" w14:textId="77777777" w:rsidR="00332357" w:rsidRPr="006C26F1" w:rsidRDefault="00332357" w:rsidP="00332357">
            <w:pPr>
              <w:pStyle w:val="Standaard-Tabellen"/>
              <w:rPr>
                <w:rFonts w:eastAsia="Calibri"/>
                <w:lang w:val="de-DE"/>
              </w:rPr>
            </w:pPr>
            <w:r w:rsidRPr="006C26F1">
              <w:rPr>
                <w:rFonts w:eastAsia="Calibri"/>
                <w:lang w:val="de-DE"/>
              </w:rPr>
              <w:t>EU 92/69 Anex V, B6</w:t>
            </w:r>
          </w:p>
        </w:tc>
        <w:tc>
          <w:tcPr>
            <w:tcW w:w="485" w:type="pct"/>
          </w:tcPr>
          <w:p w14:paraId="02DE0692" w14:textId="77777777" w:rsidR="00332357" w:rsidRPr="006C26F1" w:rsidRDefault="00332357" w:rsidP="00332357">
            <w:pPr>
              <w:pStyle w:val="Standaard-Tabellen"/>
              <w:rPr>
                <w:rFonts w:eastAsia="Calibri"/>
                <w:lang w:val="en-US"/>
              </w:rPr>
            </w:pPr>
            <w:r w:rsidRPr="006C26F1">
              <w:rPr>
                <w:rFonts w:eastAsia="Calibri"/>
                <w:lang w:val="en-US"/>
              </w:rPr>
              <w:t>Guinea pig</w:t>
            </w:r>
          </w:p>
          <w:p w14:paraId="1AAEC870" w14:textId="77777777" w:rsidR="00332357" w:rsidRPr="006C26F1" w:rsidRDefault="00332357" w:rsidP="00332357">
            <w:pPr>
              <w:pStyle w:val="Standaard-Tabellen"/>
              <w:rPr>
                <w:rFonts w:eastAsia="Calibri"/>
                <w:lang w:val="en-US"/>
              </w:rPr>
            </w:pPr>
            <w:r w:rsidRPr="006C26F1">
              <w:rPr>
                <w:rFonts w:eastAsia="Calibri"/>
                <w:lang w:val="en-US"/>
              </w:rPr>
              <w:t xml:space="preserve">Hartley [Crl: HA] </w:t>
            </w:r>
          </w:p>
          <w:p w14:paraId="3E4C2969" w14:textId="77777777" w:rsidR="00332357" w:rsidRPr="006C26F1" w:rsidRDefault="00332357" w:rsidP="00332357">
            <w:pPr>
              <w:pStyle w:val="Standaard-Tabellen"/>
              <w:rPr>
                <w:rFonts w:eastAsia="Calibri"/>
                <w:lang w:val="en-US"/>
              </w:rPr>
            </w:pPr>
            <w:r w:rsidRPr="006C26F1">
              <w:rPr>
                <w:rFonts w:eastAsia="Calibri"/>
                <w:lang w:val="en-US"/>
              </w:rPr>
              <w:t xml:space="preserve">10 </w:t>
            </w:r>
            <w:r w:rsidRPr="006C26F1">
              <w:rPr>
                <w:rFonts w:ascii="Segoe UI Symbol" w:eastAsia="Calibri" w:hAnsi="Segoe UI Symbol" w:cs="Segoe UI Symbol"/>
                <w:lang w:val="en-US"/>
              </w:rPr>
              <w:t>♂</w:t>
            </w:r>
            <w:r w:rsidRPr="006C26F1">
              <w:rPr>
                <w:rFonts w:eastAsia="Calibri"/>
                <w:lang w:val="en-US"/>
              </w:rPr>
              <w:t xml:space="preserve"> and 10 </w:t>
            </w:r>
            <w:r w:rsidRPr="006C26F1">
              <w:rPr>
                <w:rFonts w:ascii="Segoe UI Symbol" w:eastAsia="Calibri" w:hAnsi="Segoe UI Symbol" w:cs="Segoe UI Symbol"/>
                <w:lang w:val="en-US"/>
              </w:rPr>
              <w:t>♀</w:t>
            </w:r>
            <w:r w:rsidRPr="006C26F1">
              <w:rPr>
                <w:rFonts w:eastAsia="Calibri"/>
                <w:lang w:val="en-US"/>
              </w:rPr>
              <w:t>/ test group</w:t>
            </w:r>
          </w:p>
          <w:p w14:paraId="0ADD7EE2" w14:textId="77777777" w:rsidR="00332357" w:rsidRPr="006C26F1" w:rsidRDefault="00332357" w:rsidP="00332357">
            <w:pPr>
              <w:pStyle w:val="Standaard-Tabellen"/>
              <w:rPr>
                <w:rFonts w:eastAsia="Calibri"/>
                <w:lang w:val="en-US"/>
              </w:rPr>
            </w:pPr>
            <w:r w:rsidRPr="006C26F1">
              <w:rPr>
                <w:rFonts w:eastAsia="Calibri"/>
                <w:lang w:val="en-US"/>
              </w:rPr>
              <w:t xml:space="preserve">5 </w:t>
            </w:r>
            <w:r w:rsidRPr="006C26F1">
              <w:rPr>
                <w:rFonts w:ascii="Segoe UI Symbol" w:eastAsia="Calibri" w:hAnsi="Segoe UI Symbol" w:cs="Segoe UI Symbol"/>
                <w:lang w:val="en-US"/>
              </w:rPr>
              <w:t>♂</w:t>
            </w:r>
            <w:r w:rsidRPr="006C26F1">
              <w:rPr>
                <w:rFonts w:eastAsia="Calibri"/>
                <w:lang w:val="en-US"/>
              </w:rPr>
              <w:t xml:space="preserve"> and 5 </w:t>
            </w:r>
            <w:r w:rsidRPr="006C26F1">
              <w:rPr>
                <w:rFonts w:ascii="Segoe UI Symbol" w:eastAsia="Calibri" w:hAnsi="Segoe UI Symbol" w:cs="Segoe UI Symbol"/>
                <w:lang w:val="en-US"/>
              </w:rPr>
              <w:t>♀</w:t>
            </w:r>
            <w:r w:rsidRPr="006C26F1">
              <w:rPr>
                <w:rFonts w:eastAsia="Calibri"/>
                <w:lang w:val="en-US"/>
              </w:rPr>
              <w:t>/ na</w:t>
            </w:r>
            <w:r w:rsidRPr="006C26F1">
              <w:rPr>
                <w:rFonts w:eastAsia="Calibri" w:cs="Verdana"/>
                <w:lang w:val="en-US"/>
              </w:rPr>
              <w:t>ï</w:t>
            </w:r>
            <w:r w:rsidRPr="006C26F1">
              <w:rPr>
                <w:rFonts w:eastAsia="Calibri"/>
                <w:lang w:val="en-US"/>
              </w:rPr>
              <w:t>ve control group</w:t>
            </w:r>
          </w:p>
          <w:p w14:paraId="6E59607E" w14:textId="77777777" w:rsidR="00332357" w:rsidRPr="006C26F1" w:rsidRDefault="00332357" w:rsidP="00332357">
            <w:pPr>
              <w:pStyle w:val="Standaard-Tabellen"/>
              <w:rPr>
                <w:rFonts w:eastAsia="Calibri"/>
                <w:lang w:val="en-US"/>
              </w:rPr>
            </w:pPr>
          </w:p>
        </w:tc>
        <w:tc>
          <w:tcPr>
            <w:tcW w:w="1015" w:type="pct"/>
          </w:tcPr>
          <w:p w14:paraId="75D7AB0B" w14:textId="77777777" w:rsidR="00332357" w:rsidRPr="006C26F1" w:rsidRDefault="00332357" w:rsidP="00332357">
            <w:pPr>
              <w:pStyle w:val="Standaard-Tabellen"/>
              <w:rPr>
                <w:rFonts w:eastAsia="Calibri"/>
              </w:rPr>
            </w:pPr>
            <w:r w:rsidRPr="006C26F1">
              <w:rPr>
                <w:rFonts w:eastAsia="Calibri"/>
              </w:rPr>
              <w:t xml:space="preserve">EUS26-15 Insect Repellent </w:t>
            </w:r>
            <w:r>
              <w:rPr>
                <w:rFonts w:eastAsia="Calibri"/>
              </w:rPr>
              <w:t>Spray</w:t>
            </w:r>
          </w:p>
          <w:p w14:paraId="6DC9CD23" w14:textId="77777777" w:rsidR="00332357" w:rsidRPr="006C26F1" w:rsidRDefault="00332357" w:rsidP="00332357">
            <w:pPr>
              <w:pStyle w:val="Standaard-Tabellen"/>
              <w:rPr>
                <w:rFonts w:eastAsia="Calibri"/>
              </w:rPr>
            </w:pPr>
            <w:r w:rsidRPr="006C26F1">
              <w:rPr>
                <w:rFonts w:eastAsia="Calibri"/>
              </w:rPr>
              <w:t>No vehicle</w:t>
            </w:r>
          </w:p>
          <w:p w14:paraId="71CFB990" w14:textId="77777777" w:rsidR="00332357" w:rsidRPr="006C26F1" w:rsidRDefault="00332357" w:rsidP="00332357">
            <w:pPr>
              <w:pStyle w:val="Standaard-Tabellen"/>
              <w:rPr>
                <w:rFonts w:eastAsia="Calibri"/>
              </w:rPr>
            </w:pPr>
            <w:r w:rsidRPr="006C26F1">
              <w:rPr>
                <w:rFonts w:eastAsia="Calibri"/>
              </w:rPr>
              <w:t>Undiluted</w:t>
            </w:r>
          </w:p>
          <w:p w14:paraId="490EC146" w14:textId="77777777" w:rsidR="00332357" w:rsidRPr="006C26F1" w:rsidRDefault="00332357" w:rsidP="00332357">
            <w:pPr>
              <w:pStyle w:val="Standaard-Tabellen"/>
              <w:rPr>
                <w:rFonts w:eastAsia="Calibri"/>
              </w:rPr>
            </w:pPr>
            <w:r w:rsidRPr="006C26F1">
              <w:rPr>
                <w:rFonts w:eastAsia="Calibri"/>
              </w:rPr>
              <w:t>0.3 ml/site</w:t>
            </w:r>
          </w:p>
          <w:p w14:paraId="56196CED" w14:textId="77777777" w:rsidR="00332357" w:rsidRPr="006C26F1" w:rsidRDefault="00332357" w:rsidP="00332357">
            <w:pPr>
              <w:pStyle w:val="Standaard-Tabellen"/>
              <w:rPr>
                <w:rFonts w:eastAsia="Calibri"/>
              </w:rPr>
            </w:pPr>
            <w:r w:rsidRPr="006C26F1">
              <w:rPr>
                <w:rFonts w:eastAsia="Calibri"/>
              </w:rPr>
              <w:t>6h exposure</w:t>
            </w:r>
          </w:p>
          <w:p w14:paraId="2874996A" w14:textId="5EE3A881" w:rsidR="00332357" w:rsidRPr="006C26F1" w:rsidRDefault="00332357" w:rsidP="00332357">
            <w:pPr>
              <w:pStyle w:val="Standaard-Tabellen"/>
              <w:rPr>
                <w:rFonts w:eastAsia="Calibri"/>
                <w:lang w:val="en-US"/>
              </w:rPr>
            </w:pPr>
            <w:r w:rsidRPr="006C26F1">
              <w:rPr>
                <w:rFonts w:eastAsia="Calibri"/>
              </w:rPr>
              <w:t>Epicutaneous, occlusive</w:t>
            </w:r>
          </w:p>
        </w:tc>
        <w:tc>
          <w:tcPr>
            <w:tcW w:w="1090" w:type="pct"/>
            <w:shd w:val="clear" w:color="auto" w:fill="auto"/>
          </w:tcPr>
          <w:p w14:paraId="1C2E3EC4" w14:textId="77777777" w:rsidR="00332357" w:rsidRPr="006C26F1" w:rsidRDefault="00332357" w:rsidP="00332357">
            <w:pPr>
              <w:pStyle w:val="Standaard-Tabellen"/>
              <w:rPr>
                <w:rFonts w:eastAsia="Calibri"/>
                <w:lang w:val="en-US"/>
              </w:rPr>
            </w:pPr>
            <w:r w:rsidRPr="006C26F1">
              <w:rPr>
                <w:rFonts w:eastAsia="Calibri"/>
                <w:lang w:val="en-US"/>
              </w:rPr>
              <w:t>No positive dermal reactions in the test or the naive control groups</w:t>
            </w:r>
          </w:p>
          <w:p w14:paraId="352AB514" w14:textId="77777777" w:rsidR="00332357" w:rsidRPr="006C26F1" w:rsidRDefault="00332357" w:rsidP="00332357">
            <w:pPr>
              <w:pStyle w:val="Standaard-Tabellen"/>
              <w:rPr>
                <w:rFonts w:eastAsia="Calibri"/>
                <w:lang w:val="en-US"/>
              </w:rPr>
            </w:pPr>
            <w:r w:rsidRPr="006C26F1">
              <w:rPr>
                <w:rFonts w:eastAsia="Calibri"/>
                <w:lang w:val="en-US"/>
              </w:rPr>
              <w:t>No deaths, no test article related clinical findings, no remarkable bw changes</w:t>
            </w:r>
          </w:p>
          <w:p w14:paraId="42718BDE" w14:textId="77777777" w:rsidR="00332357" w:rsidRPr="006C26F1" w:rsidRDefault="00332357" w:rsidP="00332357">
            <w:pPr>
              <w:pStyle w:val="Standaard-Tabellen"/>
              <w:rPr>
                <w:rFonts w:eastAsia="Calibri"/>
                <w:lang w:val="en-US"/>
              </w:rPr>
            </w:pPr>
          </w:p>
        </w:tc>
        <w:tc>
          <w:tcPr>
            <w:tcW w:w="1457" w:type="pct"/>
            <w:shd w:val="clear" w:color="auto" w:fill="auto"/>
          </w:tcPr>
          <w:p w14:paraId="190FA80E" w14:textId="5EC44503" w:rsidR="00F43AF3" w:rsidRDefault="00332357" w:rsidP="00614E77">
            <w:pPr>
              <w:pStyle w:val="Standaard-Tabellen"/>
              <w:rPr>
                <w:rFonts w:eastAsia="Calibri"/>
              </w:rPr>
            </w:pPr>
            <w:r w:rsidRPr="003E6E58">
              <w:rPr>
                <w:rFonts w:eastAsia="Calibri"/>
              </w:rPr>
              <w:t>Tested on similar formulation;</w:t>
            </w:r>
          </w:p>
          <w:p w14:paraId="08AEE3DA" w14:textId="77777777" w:rsidR="00F43AF3" w:rsidRDefault="00F43AF3" w:rsidP="00F43AF3">
            <w:pPr>
              <w:pStyle w:val="Standaard-Tabellen"/>
              <w:rPr>
                <w:rFonts w:eastAsia="Calibri"/>
              </w:rPr>
            </w:pPr>
            <w:r>
              <w:rPr>
                <w:rFonts w:eastAsia="Calibri"/>
              </w:rPr>
              <w:t>US Pump Spray Formulation</w:t>
            </w:r>
          </w:p>
          <w:p w14:paraId="3867CF9A" w14:textId="77777777" w:rsidR="00332357" w:rsidRPr="006C26F1" w:rsidRDefault="00332357" w:rsidP="00614E77">
            <w:pPr>
              <w:pStyle w:val="Standaard-Tabellen"/>
              <w:rPr>
                <w:rFonts w:eastAsia="Calibri"/>
                <w:lang w:val="en-US"/>
              </w:rPr>
            </w:pPr>
          </w:p>
        </w:tc>
        <w:tc>
          <w:tcPr>
            <w:tcW w:w="442" w:type="pct"/>
          </w:tcPr>
          <w:p w14:paraId="019423A3" w14:textId="77777777" w:rsidR="00332357" w:rsidRPr="006C26F1" w:rsidRDefault="00332357" w:rsidP="00332357">
            <w:pPr>
              <w:pStyle w:val="Standaard-Tabellen"/>
              <w:rPr>
                <w:rFonts w:eastAsia="Calibri"/>
                <w:lang w:val="de-DE"/>
              </w:rPr>
            </w:pPr>
            <w:r w:rsidRPr="006C26F1">
              <w:rPr>
                <w:rFonts w:eastAsia="Calibri"/>
                <w:lang w:val="de-DE"/>
              </w:rPr>
              <w:t>Hurley, J.M. (2006)</w:t>
            </w:r>
            <w:r>
              <w:rPr>
                <w:rFonts w:eastAsia="Calibri"/>
                <w:lang w:val="de-DE"/>
              </w:rPr>
              <w:t xml:space="preserve"> (c)</w:t>
            </w:r>
          </w:p>
        </w:tc>
      </w:tr>
    </w:tbl>
    <w:p w14:paraId="30C1678A" w14:textId="77777777" w:rsidR="00BD2EF1" w:rsidRDefault="00BD2EF1" w:rsidP="00BD2EF1">
      <w:pPr>
        <w:rPr>
          <w:rFonts w:eastAsia="Calibri"/>
          <w:lang w:eastAsia="en-US"/>
        </w:rPr>
      </w:pPr>
    </w:p>
    <w:tbl>
      <w:tblPr>
        <w:tblStyle w:val="Grilledutableau"/>
        <w:tblW w:w="0" w:type="auto"/>
        <w:tblLook w:val="04A0" w:firstRow="1" w:lastRow="0" w:firstColumn="1" w:lastColumn="0" w:noHBand="0" w:noVBand="1"/>
      </w:tblPr>
      <w:tblGrid>
        <w:gridCol w:w="9402"/>
      </w:tblGrid>
      <w:tr w:rsidR="00332357" w:rsidRPr="00D63744" w14:paraId="56AD25F7" w14:textId="77777777" w:rsidTr="00224DD4">
        <w:tc>
          <w:tcPr>
            <w:tcW w:w="14334" w:type="dxa"/>
            <w:shd w:val="clear" w:color="auto" w:fill="FFFFCC"/>
          </w:tcPr>
          <w:p w14:paraId="06ADDABD" w14:textId="77777777" w:rsidR="00332357" w:rsidRPr="00D63744" w:rsidRDefault="00332357" w:rsidP="00224DD4">
            <w:pPr>
              <w:pStyle w:val="Standaard-Tabellen"/>
              <w:jc w:val="center"/>
              <w:rPr>
                <w:b/>
              </w:rPr>
            </w:pPr>
            <w:r>
              <w:rPr>
                <w:b/>
              </w:rPr>
              <w:t>Dermal Observations and Severity Indices (Hurley, J.M., 2006 (c))</w:t>
            </w:r>
          </w:p>
        </w:tc>
      </w:tr>
      <w:tr w:rsidR="00332357" w14:paraId="61B128D4" w14:textId="77777777" w:rsidTr="00224DD4">
        <w:tc>
          <w:tcPr>
            <w:tcW w:w="14334" w:type="dxa"/>
          </w:tcPr>
          <w:p w14:paraId="4B9657BF" w14:textId="77777777" w:rsidR="00332357" w:rsidRDefault="00332357" w:rsidP="00224DD4">
            <w:pPr>
              <w:pStyle w:val="Standaard-Tabellen"/>
              <w:rPr>
                <w:highlight w:val="yellow"/>
              </w:rPr>
            </w:pPr>
            <w:r>
              <w:rPr>
                <w:noProof/>
                <w:lang w:val="fr-FR" w:eastAsia="fr-FR"/>
              </w:rPr>
              <w:drawing>
                <wp:inline distT="0" distB="0" distL="0" distR="0" wp14:anchorId="182D05B0" wp14:editId="032EBD7A">
                  <wp:extent cx="5886450" cy="171467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6072605" cy="1768896"/>
                          </a:xfrm>
                          <a:prstGeom prst="rect">
                            <a:avLst/>
                          </a:prstGeom>
                        </pic:spPr>
                      </pic:pic>
                    </a:graphicData>
                  </a:graphic>
                </wp:inline>
              </w:drawing>
            </w:r>
          </w:p>
        </w:tc>
      </w:tr>
    </w:tbl>
    <w:p w14:paraId="6478432D" w14:textId="77777777" w:rsidR="00B43664" w:rsidRDefault="00B43664" w:rsidP="00BD2EF1">
      <w:pPr>
        <w:rPr>
          <w:rFonts w:eastAsia="Calibri"/>
          <w:lang w:eastAsia="en-US"/>
        </w:rPr>
      </w:pPr>
    </w:p>
    <w:p w14:paraId="74B60058" w14:textId="77777777" w:rsidR="00332357" w:rsidRPr="00332357" w:rsidRDefault="00332357" w:rsidP="00332357">
      <w:pPr>
        <w:rPr>
          <w:rFonts w:eastAsia="Calibri"/>
          <w:lang w:eastAsia="en-US"/>
        </w:rPr>
      </w:pPr>
      <w:r w:rsidRPr="00332357">
        <w:rPr>
          <w:rFonts w:eastAsia="Calibri"/>
          <w:lang w:eastAsia="en-US"/>
        </w:rPr>
        <w:t>Skin sensitization was assessed on EUS26-15 Insect Repellent Spray, a formulation similar to Insect Repellent Pump Spray Lice IR3535</w:t>
      </w:r>
      <w:r w:rsidR="00407AC3" w:rsidRPr="00407AC3">
        <w:rPr>
          <w:rFonts w:eastAsia="Calibri"/>
          <w:vertAlign w:val="superscript"/>
          <w:lang w:eastAsia="en-US"/>
        </w:rPr>
        <w:t>®</w:t>
      </w:r>
      <w:r w:rsidRPr="00332357">
        <w:rPr>
          <w:rFonts w:eastAsia="Calibri"/>
          <w:lang w:eastAsia="en-US"/>
        </w:rPr>
        <w:t xml:space="preserve"> 20%.</w:t>
      </w:r>
    </w:p>
    <w:p w14:paraId="5835ADF1" w14:textId="3986D14F" w:rsidR="00B8021A" w:rsidRDefault="00332357" w:rsidP="00B8021A">
      <w:r w:rsidRPr="00332357">
        <w:t>The skin sensitisation potential of EUS26-15 Insect Repellent Spray was evaluated using the modified Buehler test method.</w:t>
      </w:r>
      <w:r w:rsidR="00B8021A" w:rsidRPr="00B8021A">
        <w:t xml:space="preserve"> </w:t>
      </w:r>
    </w:p>
    <w:p w14:paraId="1E5EE513" w14:textId="77777777" w:rsidR="00B8021A" w:rsidRDefault="00B8021A" w:rsidP="00B8021A">
      <w:pPr>
        <w:rPr>
          <w:color w:val="FF0000"/>
        </w:rPr>
      </w:pPr>
      <w:r>
        <w:rPr>
          <w:color w:val="002060"/>
        </w:rPr>
        <w:t>Animal welfare benefits and scientific advantages make the LLNA the preferred test for sensitization. However, exi</w:t>
      </w:r>
      <w:r w:rsidRPr="000F5567">
        <w:rPr>
          <w:color w:val="002060"/>
        </w:rPr>
        <w:t>sting data of good quality deriv</w:t>
      </w:r>
      <w:r>
        <w:rPr>
          <w:color w:val="002060"/>
        </w:rPr>
        <w:t>ed from a Buehler test should</w:t>
      </w:r>
      <w:r w:rsidRPr="000F5567">
        <w:rPr>
          <w:color w:val="002060"/>
        </w:rPr>
        <w:t xml:space="preserve"> be acceptable </w:t>
      </w:r>
      <w:r>
        <w:rPr>
          <w:color w:val="002060"/>
        </w:rPr>
        <w:t xml:space="preserve">as they </w:t>
      </w:r>
      <w:r w:rsidRPr="000F5567">
        <w:rPr>
          <w:color w:val="002060"/>
        </w:rPr>
        <w:t>preclude the need for further in vivo testin</w:t>
      </w:r>
      <w:r>
        <w:rPr>
          <w:color w:val="002060"/>
        </w:rPr>
        <w:t xml:space="preserve">g.  </w:t>
      </w:r>
      <w:r w:rsidRPr="00A85722">
        <w:rPr>
          <w:color w:val="FF0000"/>
        </w:rPr>
        <w:t>As none of the cosmetic ingredients i</w:t>
      </w:r>
      <w:r>
        <w:rPr>
          <w:color w:val="FF0000"/>
        </w:rPr>
        <w:t>n the formulation have a sensitizing potential</w:t>
      </w:r>
      <w:r w:rsidRPr="00A85722">
        <w:rPr>
          <w:color w:val="FF0000"/>
        </w:rPr>
        <w:t xml:space="preserve"> and </w:t>
      </w:r>
      <w:r>
        <w:rPr>
          <w:color w:val="FF0000"/>
        </w:rPr>
        <w:t xml:space="preserve">as the active substance </w:t>
      </w:r>
      <w:r w:rsidRPr="00A85722">
        <w:rPr>
          <w:color w:val="FF0000"/>
        </w:rPr>
        <w:t xml:space="preserve">is not </w:t>
      </w:r>
      <w:r>
        <w:rPr>
          <w:color w:val="FF0000"/>
        </w:rPr>
        <w:t xml:space="preserve">considered as </w:t>
      </w:r>
      <w:r w:rsidRPr="00A85722">
        <w:rPr>
          <w:color w:val="FF0000"/>
        </w:rPr>
        <w:t>sensitizing</w:t>
      </w:r>
      <w:r>
        <w:rPr>
          <w:color w:val="FF0000"/>
        </w:rPr>
        <w:t xml:space="preserve"> (Buehler test and Photoallergenicity maximisation test)</w:t>
      </w:r>
      <w:r w:rsidRPr="00A85722">
        <w:rPr>
          <w:color w:val="FF0000"/>
        </w:rPr>
        <w:t xml:space="preserve">, the Buehler test </w:t>
      </w:r>
      <w:r>
        <w:rPr>
          <w:color w:val="FF0000"/>
        </w:rPr>
        <w:t>was regarded as</w:t>
      </w:r>
      <w:r w:rsidRPr="00A85722">
        <w:rPr>
          <w:color w:val="FF0000"/>
        </w:rPr>
        <w:t xml:space="preserve"> acceptable.</w:t>
      </w:r>
    </w:p>
    <w:p w14:paraId="0538187F" w14:textId="77777777" w:rsidR="00332357" w:rsidRPr="00332357" w:rsidRDefault="00332357" w:rsidP="00332357"/>
    <w:p w14:paraId="54108299" w14:textId="77777777" w:rsidR="00332357" w:rsidRPr="00332357" w:rsidRDefault="00332357" w:rsidP="00332357">
      <w:pPr>
        <w:rPr>
          <w:iCs/>
        </w:rPr>
      </w:pPr>
      <w:r w:rsidRPr="00332357">
        <w:t xml:space="preserve">There were no deaths, nor were there any test article-related clinical findings or remarkable body weight changes during the study period. Following challenge dosing with EUS26-15 Insect Repellent Spray, there were no positive dermal reactions (score ≥ 1) in the test or </w:t>
      </w:r>
      <w:r w:rsidRPr="00332357">
        <w:lastRenderedPageBreak/>
        <w:t>the naive control groups. The Incidence Index for the test group with a score ≥ 1 was 0 % (0/20) following challenge dosing</w:t>
      </w:r>
      <w:r w:rsidRPr="00332357">
        <w:rPr>
          <w:iCs/>
        </w:rPr>
        <w:t>.</w:t>
      </w:r>
    </w:p>
    <w:p w14:paraId="186F05D8" w14:textId="77777777" w:rsidR="00332357" w:rsidRDefault="00332357" w:rsidP="00332357">
      <w:r w:rsidRPr="00332357">
        <w:t>In the positive control experiments which were performed as a separate study, the positive control substance HCA was a sensitizer when administered as both a 10 % concentration in 70/30 (v/v) in acetone/PEG 400 and a 20 % concentration in 70/30 (v/v) in acetone/PEG 400 under the conditions of the study. The mean incidence indices for the positive controls were 20 % and 60 % at a concentration of 10 % and 20 %, respectively. This confirms the reliability of the test system as indicated by the dose-response relationship.</w:t>
      </w:r>
    </w:p>
    <w:p w14:paraId="763FF646" w14:textId="77777777" w:rsidR="00332357" w:rsidRPr="00332357" w:rsidRDefault="00332357" w:rsidP="00332357">
      <w:r w:rsidRPr="00332357">
        <w:t>EUS26-15 Insect Repellent induced no skin sensitisation reactions in albino guinea pigs when using the modified Buehler test method. A classification with respect to skin sensitisation is not required.</w:t>
      </w:r>
    </w:p>
    <w:p w14:paraId="0ED7CE39" w14:textId="77777777" w:rsidR="00332357" w:rsidRPr="00332357" w:rsidRDefault="00332357" w:rsidP="00332357">
      <w:r w:rsidRPr="00332357">
        <w:t>Since EUS26-15 Insect Repellent and Insect Repellent Pump Spray Lice IR3535</w:t>
      </w:r>
      <w:r w:rsidRPr="00407AC3">
        <w:rPr>
          <w:vertAlign w:val="superscript"/>
        </w:rPr>
        <w:t>®</w:t>
      </w:r>
      <w:r w:rsidRPr="00332357">
        <w:t xml:space="preserve"> 20 % are nearly identical in composition, the results obtained in the test described here are considered relevant for Insect Repellent Pump Spray Lice IR3535</w:t>
      </w:r>
      <w:r w:rsidRPr="00407AC3">
        <w:rPr>
          <w:vertAlign w:val="superscript"/>
        </w:rPr>
        <w:t>®</w:t>
      </w:r>
      <w:r w:rsidRPr="00332357">
        <w:t xml:space="preserve"> 20 %.</w:t>
      </w:r>
    </w:p>
    <w:p w14:paraId="080F1EAD" w14:textId="77777777" w:rsidR="00332357" w:rsidRDefault="00332357" w:rsidP="00332357">
      <w:pPr>
        <w:rPr>
          <w:rFonts w:eastAsia="Calibri"/>
          <w:lang w:eastAsia="en-US"/>
        </w:rPr>
      </w:pPr>
    </w:p>
    <w:p w14:paraId="47188EA4" w14:textId="77777777" w:rsidR="00332357" w:rsidRPr="00332357" w:rsidRDefault="00332357" w:rsidP="00332357">
      <w:pPr>
        <w:rPr>
          <w:rFonts w:eastAsia="Calibri"/>
          <w:lang w:val="en-US" w:eastAsia="en-US"/>
        </w:rPr>
      </w:pPr>
      <w:r w:rsidRPr="00332357">
        <w:rPr>
          <w:rFonts w:eastAsia="Calibri"/>
          <w:iCs/>
          <w:lang w:eastAsia="en-US"/>
        </w:rPr>
        <w:t>No in vitro or human data are available for skin sensitisation.</w:t>
      </w:r>
    </w:p>
    <w:p w14:paraId="14250179" w14:textId="77777777" w:rsidR="00B43664" w:rsidRPr="00332357" w:rsidRDefault="00B43664" w:rsidP="00BD2EF1">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92"/>
        <w:gridCol w:w="7307"/>
      </w:tblGrid>
      <w:tr w:rsidR="00BD2EF1" w:rsidRPr="00BD2EF1" w14:paraId="6B1879BA" w14:textId="77777777" w:rsidTr="00332357">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AB634E7" w14:textId="77777777" w:rsidR="00BD2EF1" w:rsidRPr="00BD2EF1" w:rsidRDefault="00BD2EF1" w:rsidP="00BD2EF1">
            <w:pPr>
              <w:rPr>
                <w:rFonts w:eastAsia="Calibri"/>
                <w:b/>
                <w:lang w:eastAsia="en-US"/>
              </w:rPr>
            </w:pPr>
            <w:r w:rsidRPr="00BD2EF1">
              <w:rPr>
                <w:rFonts w:eastAsia="Calibri"/>
                <w:b/>
                <w:lang w:eastAsia="en-US"/>
              </w:rPr>
              <w:t>Conclusion used in Risk Assessment – Skin sensitisation</w:t>
            </w:r>
          </w:p>
        </w:tc>
      </w:tr>
      <w:tr w:rsidR="00332357" w:rsidRPr="00FD2055" w14:paraId="557FA73C" w14:textId="77777777" w:rsidTr="00332357">
        <w:trPr>
          <w:trHeight w:val="298"/>
        </w:trPr>
        <w:tc>
          <w:tcPr>
            <w:tcW w:w="1113" w:type="pct"/>
            <w:tcBorders>
              <w:top w:val="single" w:sz="6" w:space="0" w:color="auto"/>
              <w:left w:val="single" w:sz="4" w:space="0" w:color="auto"/>
              <w:bottom w:val="single" w:sz="6" w:space="0" w:color="auto"/>
              <w:right w:val="single" w:sz="6" w:space="0" w:color="auto"/>
            </w:tcBorders>
            <w:shd w:val="clear" w:color="auto" w:fill="auto"/>
          </w:tcPr>
          <w:p w14:paraId="2502BF6C" w14:textId="77777777" w:rsidR="00332357" w:rsidRPr="00FD2055" w:rsidRDefault="00332357" w:rsidP="00332357">
            <w:pPr>
              <w:rPr>
                <w:rFonts w:eastAsia="Calibri"/>
                <w:lang w:eastAsia="en-US"/>
              </w:rPr>
            </w:pPr>
            <w:r w:rsidRPr="00FD2055">
              <w:rPr>
                <w:rFonts w:eastAsia="Calibri"/>
                <w:lang w:eastAsia="en-US"/>
              </w:rPr>
              <w:t>Value/conclusion</w:t>
            </w:r>
          </w:p>
        </w:tc>
        <w:tc>
          <w:tcPr>
            <w:tcW w:w="3887" w:type="pct"/>
            <w:tcBorders>
              <w:top w:val="single" w:sz="6" w:space="0" w:color="auto"/>
              <w:left w:val="single" w:sz="6" w:space="0" w:color="auto"/>
              <w:bottom w:val="single" w:sz="6" w:space="0" w:color="auto"/>
              <w:right w:val="single" w:sz="6" w:space="0" w:color="auto"/>
            </w:tcBorders>
          </w:tcPr>
          <w:p w14:paraId="7576469B" w14:textId="77777777" w:rsidR="00332357" w:rsidRPr="00FD2055" w:rsidRDefault="00332357" w:rsidP="00332357">
            <w:pPr>
              <w:rPr>
                <w:rFonts w:eastAsia="Calibri"/>
                <w:lang w:eastAsia="en-US"/>
              </w:rPr>
            </w:pPr>
            <w:r w:rsidRPr="006C26F1">
              <w:rPr>
                <w:rFonts w:eastAsia="Calibri"/>
                <w:lang w:eastAsia="en-US"/>
              </w:rPr>
              <w:t>Biocidal product not classified for skin sensitisation according to (EU) nr. 1272/2008</w:t>
            </w:r>
          </w:p>
        </w:tc>
      </w:tr>
      <w:tr w:rsidR="00332357" w:rsidRPr="00FD2055" w14:paraId="69C65E7E" w14:textId="77777777" w:rsidTr="00332357">
        <w:tc>
          <w:tcPr>
            <w:tcW w:w="1113" w:type="pct"/>
            <w:tcBorders>
              <w:top w:val="single" w:sz="6" w:space="0" w:color="auto"/>
              <w:left w:val="single" w:sz="4" w:space="0" w:color="auto"/>
              <w:bottom w:val="single" w:sz="6" w:space="0" w:color="auto"/>
              <w:right w:val="single" w:sz="6" w:space="0" w:color="auto"/>
            </w:tcBorders>
            <w:shd w:val="clear" w:color="auto" w:fill="auto"/>
          </w:tcPr>
          <w:p w14:paraId="1D3F9D9D" w14:textId="77777777" w:rsidR="00332357" w:rsidRPr="00FD2055" w:rsidRDefault="00332357" w:rsidP="00332357">
            <w:pPr>
              <w:rPr>
                <w:rFonts w:eastAsia="Calibri"/>
                <w:lang w:eastAsia="en-US"/>
              </w:rPr>
            </w:pPr>
            <w:r w:rsidRPr="00FD2055">
              <w:rPr>
                <w:rFonts w:eastAsia="Calibri"/>
                <w:lang w:eastAsia="en-US"/>
              </w:rPr>
              <w:t>Justification for the value/conclusion</w:t>
            </w:r>
          </w:p>
        </w:tc>
        <w:tc>
          <w:tcPr>
            <w:tcW w:w="3887" w:type="pct"/>
            <w:tcBorders>
              <w:top w:val="single" w:sz="6" w:space="0" w:color="auto"/>
              <w:left w:val="single" w:sz="6" w:space="0" w:color="auto"/>
              <w:bottom w:val="single" w:sz="6" w:space="0" w:color="auto"/>
              <w:right w:val="single" w:sz="6" w:space="0" w:color="auto"/>
            </w:tcBorders>
          </w:tcPr>
          <w:p w14:paraId="2C8E4A55" w14:textId="77777777" w:rsidR="00332357" w:rsidRPr="00FD2055" w:rsidRDefault="00332357" w:rsidP="00332357">
            <w:pPr>
              <w:rPr>
                <w:rFonts w:eastAsia="Calibri"/>
                <w:lang w:eastAsia="en-US"/>
              </w:rPr>
            </w:pPr>
            <w:r w:rsidRPr="00AF6147">
              <w:rPr>
                <w:rFonts w:eastAsia="Calibri"/>
                <w:lang w:eastAsia="en-US"/>
              </w:rPr>
              <w:t>Test performed on similar formulation</w:t>
            </w:r>
            <w:r w:rsidRPr="0037315A">
              <w:rPr>
                <w:rFonts w:eastAsia="Calibri"/>
                <w:lang w:eastAsia="en-US"/>
              </w:rPr>
              <w:t>.</w:t>
            </w:r>
            <w:r>
              <w:rPr>
                <w:rFonts w:eastAsia="Calibri"/>
                <w:lang w:eastAsia="en-US"/>
              </w:rPr>
              <w:t xml:space="preserve"> </w:t>
            </w:r>
            <w:r w:rsidRPr="006C26F1">
              <w:t xml:space="preserve">Following challenge dosing with EUS26-15 Insect Repellent </w:t>
            </w:r>
            <w:r>
              <w:t>Spray</w:t>
            </w:r>
            <w:r w:rsidRPr="006C26F1">
              <w:t>, there were no positive dermal reactions (score ≥ 1) in the test or the naive control groups. The Incidence Index for the test group with a score ≥ 1 was 0 % (0/20) following challenge dosing.</w:t>
            </w:r>
          </w:p>
        </w:tc>
      </w:tr>
      <w:tr w:rsidR="00332357" w:rsidRPr="00FD2055" w14:paraId="12AFB04E" w14:textId="77777777" w:rsidTr="00332357">
        <w:tc>
          <w:tcPr>
            <w:tcW w:w="1113" w:type="pct"/>
            <w:tcBorders>
              <w:top w:val="single" w:sz="6" w:space="0" w:color="auto"/>
              <w:left w:val="single" w:sz="4" w:space="0" w:color="auto"/>
              <w:bottom w:val="single" w:sz="6" w:space="0" w:color="auto"/>
              <w:right w:val="single" w:sz="6" w:space="0" w:color="auto"/>
            </w:tcBorders>
            <w:shd w:val="clear" w:color="auto" w:fill="auto"/>
          </w:tcPr>
          <w:p w14:paraId="7A23E9C7" w14:textId="77777777" w:rsidR="00332357" w:rsidRPr="00FD2055" w:rsidRDefault="00332357" w:rsidP="00332357">
            <w:pPr>
              <w:rPr>
                <w:rFonts w:eastAsia="Calibri"/>
                <w:lang w:eastAsia="en-US"/>
              </w:rPr>
            </w:pPr>
            <w:r w:rsidRPr="00FD2055">
              <w:rPr>
                <w:rFonts w:eastAsia="Calibri"/>
                <w:lang w:eastAsia="en-US"/>
              </w:rPr>
              <w:t>Classification of the product according to CLP and DSD</w:t>
            </w:r>
          </w:p>
        </w:tc>
        <w:tc>
          <w:tcPr>
            <w:tcW w:w="3887" w:type="pct"/>
            <w:tcBorders>
              <w:top w:val="single" w:sz="6" w:space="0" w:color="auto"/>
              <w:left w:val="single" w:sz="6" w:space="0" w:color="auto"/>
              <w:bottom w:val="single" w:sz="6" w:space="0" w:color="auto"/>
              <w:right w:val="single" w:sz="6" w:space="0" w:color="auto"/>
            </w:tcBorders>
          </w:tcPr>
          <w:p w14:paraId="4ECC679C" w14:textId="77777777" w:rsidR="00332357" w:rsidRPr="00FD2055" w:rsidRDefault="00332357" w:rsidP="00332357">
            <w:pPr>
              <w:rPr>
                <w:rFonts w:eastAsia="Calibri"/>
                <w:lang w:eastAsia="en-US"/>
              </w:rPr>
            </w:pPr>
            <w:r w:rsidRPr="006C26F1">
              <w:rPr>
                <w:rFonts w:eastAsia="Calibri"/>
                <w:lang w:eastAsia="en-US"/>
              </w:rPr>
              <w:t>none</w:t>
            </w:r>
          </w:p>
        </w:tc>
      </w:tr>
    </w:tbl>
    <w:p w14:paraId="790B51A3" w14:textId="77777777" w:rsidR="00BD2EF1" w:rsidRDefault="00BD2EF1" w:rsidP="00BD2EF1">
      <w:pPr>
        <w:rPr>
          <w:rFonts w:eastAsia="Calibri"/>
          <w:lang w:eastAsia="en-US"/>
        </w:rPr>
      </w:pPr>
    </w:p>
    <w:p w14:paraId="4247C7FC" w14:textId="77777777" w:rsidR="002C597D" w:rsidRDefault="002C597D">
      <w:pPr>
        <w:spacing w:before="0" w:after="160" w:line="259" w:lineRule="auto"/>
        <w:rPr>
          <w:rFonts w:eastAsia="Calibri"/>
          <w:lang w:eastAsia="en-US"/>
        </w:rPr>
      </w:pPr>
      <w:r>
        <w:rPr>
          <w:rFonts w:eastAsia="Calibri"/>
          <w:lang w:eastAsia="en-US"/>
        </w:rPr>
        <w:br w:type="page"/>
      </w:r>
    </w:p>
    <w:p w14:paraId="56CFEC6E" w14:textId="1DDA3DFD" w:rsidR="002C597D" w:rsidRDefault="00D21344" w:rsidP="00D21344">
      <w:pPr>
        <w:pStyle w:val="Titre5"/>
        <w:rPr>
          <w:color w:val="595959" w:themeColor="text1" w:themeTint="A6"/>
        </w:rPr>
      </w:pPr>
      <w:bookmarkStart w:id="199" w:name="_Toc93326552"/>
      <w:r w:rsidRPr="00D21344">
        <w:rPr>
          <w:color w:val="595959" w:themeColor="text1" w:themeTint="A6"/>
        </w:rPr>
        <w:lastRenderedPageBreak/>
        <w:t>Respiratory sensitization (ADS)</w:t>
      </w:r>
      <w:bookmarkEnd w:id="199"/>
    </w:p>
    <w:p w14:paraId="35EFF79D" w14:textId="77777777" w:rsidR="00B24C59" w:rsidRPr="009461FB" w:rsidRDefault="00B24C59" w:rsidP="00B24C59">
      <w:pPr>
        <w:pStyle w:val="Paragraphedeliste"/>
        <w:numPr>
          <w:ilvl w:val="0"/>
          <w:numId w:val="68"/>
        </w:numPr>
        <w:rPr>
          <w:b/>
        </w:rPr>
      </w:pPr>
      <w:r w:rsidRPr="009461FB">
        <w:rPr>
          <w:b/>
        </w:rPr>
        <w:t>FIRST AUTHORISATION – 2017 (BE CA)</w:t>
      </w:r>
    </w:p>
    <w:p w14:paraId="5888E70E" w14:textId="77777777" w:rsidR="00B24C59" w:rsidRPr="00B24C59" w:rsidRDefault="00B24C59" w:rsidP="00B24C59">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38"/>
        <w:gridCol w:w="7361"/>
      </w:tblGrid>
      <w:tr w:rsidR="00EB5E7D" w:rsidRPr="00EB5E7D" w14:paraId="115A6FB4" w14:textId="77777777" w:rsidTr="00682DC6">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1AE28A8" w14:textId="77777777" w:rsidR="00EB5E7D" w:rsidRPr="00EB5E7D" w:rsidRDefault="00EB5E7D" w:rsidP="00EB5E7D">
            <w:pPr>
              <w:rPr>
                <w:rFonts w:eastAsia="Calibri"/>
                <w:b/>
                <w:lang w:eastAsia="en-US"/>
              </w:rPr>
            </w:pPr>
            <w:r w:rsidRPr="00EB5E7D">
              <w:rPr>
                <w:rFonts w:eastAsia="Calibri"/>
                <w:b/>
                <w:lang w:eastAsia="en-US"/>
              </w:rPr>
              <w:t>Conclusion used in Risk Assessment – Respiratory sensitisation</w:t>
            </w:r>
          </w:p>
        </w:tc>
      </w:tr>
      <w:tr w:rsidR="00682DC6" w:rsidRPr="00FD2055" w14:paraId="49CD61E7" w14:textId="77777777" w:rsidTr="00682DC6">
        <w:trPr>
          <w:trHeight w:val="298"/>
        </w:trPr>
        <w:tc>
          <w:tcPr>
            <w:tcW w:w="1084" w:type="pct"/>
            <w:tcBorders>
              <w:top w:val="single" w:sz="6" w:space="0" w:color="auto"/>
              <w:left w:val="single" w:sz="4" w:space="0" w:color="auto"/>
              <w:bottom w:val="single" w:sz="6" w:space="0" w:color="auto"/>
              <w:right w:val="single" w:sz="6" w:space="0" w:color="auto"/>
            </w:tcBorders>
            <w:shd w:val="clear" w:color="auto" w:fill="auto"/>
          </w:tcPr>
          <w:p w14:paraId="557C087C" w14:textId="77777777" w:rsidR="00682DC6" w:rsidRPr="00FD2055" w:rsidRDefault="00682DC6" w:rsidP="00682DC6">
            <w:pPr>
              <w:rPr>
                <w:rFonts w:eastAsia="Calibri"/>
                <w:lang w:eastAsia="en-US"/>
              </w:rPr>
            </w:pPr>
            <w:r w:rsidRPr="00FD2055">
              <w:rPr>
                <w:rFonts w:eastAsia="Calibri"/>
                <w:lang w:eastAsia="en-US"/>
              </w:rPr>
              <w:t>Value/conclusion</w:t>
            </w:r>
          </w:p>
        </w:tc>
        <w:tc>
          <w:tcPr>
            <w:tcW w:w="3916" w:type="pct"/>
            <w:tcBorders>
              <w:top w:val="single" w:sz="6" w:space="0" w:color="auto"/>
              <w:left w:val="single" w:sz="6" w:space="0" w:color="auto"/>
              <w:bottom w:val="single" w:sz="6" w:space="0" w:color="auto"/>
              <w:right w:val="single" w:sz="6" w:space="0" w:color="auto"/>
            </w:tcBorders>
          </w:tcPr>
          <w:p w14:paraId="125E6174" w14:textId="77777777" w:rsidR="00682DC6" w:rsidRPr="00FD2055" w:rsidRDefault="00682DC6" w:rsidP="00682DC6">
            <w:pPr>
              <w:rPr>
                <w:rFonts w:eastAsia="Calibri"/>
                <w:lang w:eastAsia="en-US"/>
              </w:rPr>
            </w:pPr>
          </w:p>
        </w:tc>
      </w:tr>
      <w:tr w:rsidR="00682DC6" w:rsidRPr="00FD2055" w14:paraId="381DF2F7" w14:textId="77777777" w:rsidTr="00682DC6">
        <w:tc>
          <w:tcPr>
            <w:tcW w:w="1084" w:type="pct"/>
            <w:tcBorders>
              <w:top w:val="single" w:sz="6" w:space="0" w:color="auto"/>
              <w:left w:val="single" w:sz="4" w:space="0" w:color="auto"/>
              <w:bottom w:val="single" w:sz="6" w:space="0" w:color="auto"/>
              <w:right w:val="single" w:sz="6" w:space="0" w:color="auto"/>
            </w:tcBorders>
            <w:shd w:val="clear" w:color="auto" w:fill="auto"/>
          </w:tcPr>
          <w:p w14:paraId="6731AEB0" w14:textId="77777777" w:rsidR="00682DC6" w:rsidRPr="00FD2055" w:rsidRDefault="00682DC6" w:rsidP="00682DC6">
            <w:pPr>
              <w:rPr>
                <w:rFonts w:eastAsia="Calibri"/>
                <w:lang w:eastAsia="en-US"/>
              </w:rPr>
            </w:pPr>
            <w:r w:rsidRPr="00FD2055">
              <w:rPr>
                <w:rFonts w:eastAsia="Calibri"/>
                <w:lang w:eastAsia="en-US"/>
              </w:rPr>
              <w:t>Justification for the value/conclusion</w:t>
            </w:r>
          </w:p>
        </w:tc>
        <w:tc>
          <w:tcPr>
            <w:tcW w:w="3916" w:type="pct"/>
            <w:tcBorders>
              <w:top w:val="single" w:sz="6" w:space="0" w:color="auto"/>
              <w:left w:val="single" w:sz="6" w:space="0" w:color="auto"/>
              <w:bottom w:val="single" w:sz="6" w:space="0" w:color="auto"/>
              <w:right w:val="single" w:sz="6" w:space="0" w:color="auto"/>
            </w:tcBorders>
          </w:tcPr>
          <w:p w14:paraId="7807729F" w14:textId="77777777" w:rsidR="00682DC6" w:rsidRPr="00585EC9" w:rsidRDefault="00682DC6" w:rsidP="00682DC6">
            <w:pPr>
              <w:rPr>
                <w:rFonts w:eastAsia="Calibri"/>
                <w:lang w:eastAsia="en-US"/>
              </w:rPr>
            </w:pPr>
            <w:r w:rsidRPr="00585EC9">
              <w:rPr>
                <w:rFonts w:eastAsia="Calibri"/>
                <w:lang w:eastAsia="en-US"/>
              </w:rPr>
              <w:t xml:space="preserve">None of the ingredients of the product is known to be sensitizing to the respiratory tract. Moreover, from tests in guinea pigs </w:t>
            </w:r>
            <w:r>
              <w:rPr>
                <w:rFonts w:eastAsia="Calibri"/>
                <w:lang w:eastAsia="en-US"/>
              </w:rPr>
              <w:t>a similar formulation</w:t>
            </w:r>
            <w:r w:rsidRPr="00585EC9">
              <w:rPr>
                <w:rFonts w:eastAsia="Calibri"/>
                <w:lang w:eastAsia="en-US"/>
              </w:rPr>
              <w:t xml:space="preserve"> was proven not to exert any skin sensitizing properties. In addition, the active ingredient IR3535 did not show a sensitizing or photosensitizing potential from tests in guinea pigs. Finally, IR3535 products are on the market for more than 40 years and there are no indications for any sensitizing potential neither to the skin nor to the respiratory tract. </w:t>
            </w:r>
          </w:p>
          <w:p w14:paraId="50C5320D" w14:textId="77777777" w:rsidR="00682DC6" w:rsidRPr="00FD2055" w:rsidRDefault="00682DC6" w:rsidP="00682DC6">
            <w:pPr>
              <w:rPr>
                <w:rFonts w:eastAsia="Calibri"/>
                <w:lang w:eastAsia="en-US"/>
              </w:rPr>
            </w:pPr>
            <w:r w:rsidRPr="00585EC9">
              <w:rPr>
                <w:rFonts w:eastAsia="Calibri"/>
                <w:lang w:eastAsia="en-US"/>
              </w:rPr>
              <w:t>Based on all this data it is thus concluded that the product is not sensitizing to the respiratory tract.</w:t>
            </w:r>
          </w:p>
        </w:tc>
      </w:tr>
      <w:tr w:rsidR="00682DC6" w:rsidRPr="00FD2055" w14:paraId="31C482C2" w14:textId="77777777" w:rsidTr="00682DC6">
        <w:tc>
          <w:tcPr>
            <w:tcW w:w="1084" w:type="pct"/>
            <w:tcBorders>
              <w:top w:val="single" w:sz="6" w:space="0" w:color="auto"/>
              <w:left w:val="single" w:sz="4" w:space="0" w:color="auto"/>
              <w:bottom w:val="single" w:sz="6" w:space="0" w:color="auto"/>
              <w:right w:val="single" w:sz="6" w:space="0" w:color="auto"/>
            </w:tcBorders>
            <w:shd w:val="clear" w:color="auto" w:fill="auto"/>
          </w:tcPr>
          <w:p w14:paraId="6FFECA30" w14:textId="77777777" w:rsidR="00682DC6" w:rsidRPr="00FD2055" w:rsidRDefault="00682DC6" w:rsidP="00682DC6">
            <w:pPr>
              <w:rPr>
                <w:rFonts w:eastAsia="Calibri"/>
                <w:lang w:eastAsia="en-US"/>
              </w:rPr>
            </w:pPr>
            <w:r w:rsidRPr="00FD2055">
              <w:rPr>
                <w:rFonts w:eastAsia="Calibri"/>
                <w:lang w:eastAsia="en-US"/>
              </w:rPr>
              <w:t>Classification of the product according to CLP and DSD</w:t>
            </w:r>
          </w:p>
        </w:tc>
        <w:tc>
          <w:tcPr>
            <w:tcW w:w="3916" w:type="pct"/>
            <w:tcBorders>
              <w:top w:val="single" w:sz="6" w:space="0" w:color="auto"/>
              <w:left w:val="single" w:sz="6" w:space="0" w:color="auto"/>
              <w:bottom w:val="single" w:sz="6" w:space="0" w:color="auto"/>
              <w:right w:val="single" w:sz="6" w:space="0" w:color="auto"/>
            </w:tcBorders>
          </w:tcPr>
          <w:p w14:paraId="1C9F9930" w14:textId="77777777" w:rsidR="00682DC6" w:rsidRPr="00FD2055" w:rsidRDefault="00682DC6" w:rsidP="00682DC6">
            <w:pPr>
              <w:rPr>
                <w:rFonts w:eastAsia="Calibri"/>
                <w:lang w:eastAsia="en-US"/>
              </w:rPr>
            </w:pPr>
            <w:r>
              <w:rPr>
                <w:rFonts w:eastAsia="Calibri"/>
                <w:lang w:eastAsia="en-US"/>
              </w:rPr>
              <w:t>none</w:t>
            </w:r>
          </w:p>
        </w:tc>
      </w:tr>
    </w:tbl>
    <w:p w14:paraId="5AD9086B" w14:textId="469F81FD" w:rsidR="00BD2EF1" w:rsidRDefault="00EF0FF2" w:rsidP="00EF0FF2">
      <w:pPr>
        <w:pStyle w:val="Titre5"/>
      </w:pPr>
      <w:bookmarkStart w:id="200" w:name="_Toc93326553"/>
      <w:r>
        <w:t>Acute toxicity</w:t>
      </w:r>
      <w:bookmarkEnd w:id="200"/>
    </w:p>
    <w:p w14:paraId="3C702F56" w14:textId="77777777" w:rsidR="00B24C59" w:rsidRPr="009461FB" w:rsidRDefault="00B24C59" w:rsidP="00B24C59">
      <w:pPr>
        <w:pStyle w:val="Paragraphedeliste"/>
        <w:numPr>
          <w:ilvl w:val="0"/>
          <w:numId w:val="68"/>
        </w:numPr>
        <w:rPr>
          <w:b/>
        </w:rPr>
      </w:pPr>
      <w:r w:rsidRPr="009461FB">
        <w:rPr>
          <w:b/>
        </w:rPr>
        <w:t>FIRST AUTHORISATION – 2017 (BE CA)</w:t>
      </w:r>
    </w:p>
    <w:p w14:paraId="704AA278" w14:textId="77777777" w:rsidR="00B24C59" w:rsidRPr="00B24C59" w:rsidRDefault="00B24C59" w:rsidP="00B24C59">
      <w:pPr>
        <w:rPr>
          <w:lang w:val="en-US" w:eastAsia="en-US"/>
        </w:rPr>
      </w:pPr>
    </w:p>
    <w:p w14:paraId="5324D6B3" w14:textId="77777777" w:rsidR="00653427" w:rsidRDefault="00EF0FF2" w:rsidP="00D471B6">
      <w:pPr>
        <w:pStyle w:val="Titre6"/>
        <w:numPr>
          <w:ilvl w:val="0"/>
          <w:numId w:val="3"/>
        </w:numPr>
      </w:pPr>
      <w:r>
        <w:t>Acute toxicity by oral route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4"/>
        <w:gridCol w:w="7495"/>
      </w:tblGrid>
      <w:tr w:rsidR="000F4416" w:rsidRPr="000F4416" w14:paraId="7F2C4246" w14:textId="77777777" w:rsidTr="00432E86">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74D6519" w14:textId="77777777" w:rsidR="000F4416" w:rsidRPr="000F4416" w:rsidRDefault="000F4416" w:rsidP="000F4416">
            <w:pPr>
              <w:rPr>
                <w:rFonts w:eastAsia="Calibri"/>
                <w:b/>
                <w:lang w:eastAsia="en-US"/>
              </w:rPr>
            </w:pPr>
            <w:r w:rsidRPr="000F4416">
              <w:rPr>
                <w:rFonts w:eastAsia="Calibri"/>
                <w:b/>
                <w:lang w:eastAsia="en-US"/>
              </w:rPr>
              <w:t>Value used in the Risk Assessment – Acute oral toxicity</w:t>
            </w:r>
          </w:p>
        </w:tc>
      </w:tr>
      <w:tr w:rsidR="00432E86" w:rsidRPr="00FD2055" w14:paraId="18E71888" w14:textId="77777777" w:rsidTr="00432E86">
        <w:tc>
          <w:tcPr>
            <w:tcW w:w="1013" w:type="pct"/>
            <w:tcBorders>
              <w:top w:val="single" w:sz="6" w:space="0" w:color="auto"/>
              <w:left w:val="single" w:sz="4" w:space="0" w:color="auto"/>
              <w:bottom w:val="single" w:sz="6" w:space="0" w:color="auto"/>
              <w:right w:val="single" w:sz="6" w:space="0" w:color="auto"/>
            </w:tcBorders>
            <w:shd w:val="clear" w:color="auto" w:fill="auto"/>
          </w:tcPr>
          <w:p w14:paraId="5FF78199" w14:textId="77777777" w:rsidR="00432E86" w:rsidRPr="00FD2055" w:rsidRDefault="00432E86" w:rsidP="00432E86">
            <w:pPr>
              <w:rPr>
                <w:rFonts w:eastAsia="Calibri"/>
                <w:lang w:eastAsia="en-US"/>
              </w:rPr>
            </w:pPr>
            <w:r w:rsidRPr="00FD2055">
              <w:rPr>
                <w:rFonts w:eastAsia="Calibri"/>
                <w:lang w:eastAsia="en-US"/>
              </w:rPr>
              <w:t>Value</w:t>
            </w:r>
          </w:p>
        </w:tc>
        <w:tc>
          <w:tcPr>
            <w:tcW w:w="3987" w:type="pct"/>
            <w:tcBorders>
              <w:top w:val="single" w:sz="6" w:space="0" w:color="auto"/>
              <w:left w:val="single" w:sz="6" w:space="0" w:color="auto"/>
              <w:bottom w:val="single" w:sz="6" w:space="0" w:color="auto"/>
              <w:right w:val="single" w:sz="6" w:space="0" w:color="auto"/>
            </w:tcBorders>
          </w:tcPr>
          <w:p w14:paraId="3533A253" w14:textId="77777777" w:rsidR="00432E86" w:rsidRPr="00FD2055" w:rsidRDefault="00432E86" w:rsidP="00432E86">
            <w:pPr>
              <w:rPr>
                <w:rFonts w:eastAsia="Calibri"/>
                <w:lang w:eastAsia="en-US"/>
              </w:rPr>
            </w:pPr>
            <w:r w:rsidRPr="00B817D4">
              <w:rPr>
                <w:rFonts w:eastAsia="Calibri"/>
                <w:lang w:eastAsia="en-US"/>
              </w:rPr>
              <w:t>Biocidal product not classified for acute oral toxicity according to (EU) nr. 1272/2008</w:t>
            </w:r>
          </w:p>
        </w:tc>
      </w:tr>
      <w:tr w:rsidR="00432E86" w:rsidRPr="00FD2055" w14:paraId="594FB257" w14:textId="77777777" w:rsidTr="00432E86">
        <w:tc>
          <w:tcPr>
            <w:tcW w:w="1013" w:type="pct"/>
            <w:tcBorders>
              <w:top w:val="single" w:sz="6" w:space="0" w:color="auto"/>
              <w:left w:val="single" w:sz="4" w:space="0" w:color="auto"/>
              <w:bottom w:val="single" w:sz="6" w:space="0" w:color="auto"/>
              <w:right w:val="single" w:sz="6" w:space="0" w:color="auto"/>
            </w:tcBorders>
            <w:shd w:val="clear" w:color="auto" w:fill="auto"/>
          </w:tcPr>
          <w:p w14:paraId="74A4CCBB" w14:textId="77777777" w:rsidR="00432E86" w:rsidRPr="00FD2055" w:rsidRDefault="00432E86" w:rsidP="00432E86">
            <w:pPr>
              <w:rPr>
                <w:rFonts w:eastAsia="Calibri"/>
                <w:lang w:eastAsia="en-US"/>
              </w:rPr>
            </w:pPr>
            <w:r w:rsidRPr="00FD2055">
              <w:rPr>
                <w:rFonts w:eastAsia="Calibri"/>
                <w:lang w:eastAsia="en-US"/>
              </w:rPr>
              <w:t>Justification for the selected value</w:t>
            </w:r>
          </w:p>
        </w:tc>
        <w:tc>
          <w:tcPr>
            <w:tcW w:w="3987" w:type="pct"/>
            <w:tcBorders>
              <w:top w:val="single" w:sz="6" w:space="0" w:color="auto"/>
              <w:left w:val="single" w:sz="6" w:space="0" w:color="auto"/>
              <w:bottom w:val="single" w:sz="6" w:space="0" w:color="auto"/>
              <w:right w:val="single" w:sz="6" w:space="0" w:color="auto"/>
            </w:tcBorders>
          </w:tcPr>
          <w:p w14:paraId="714F0C08" w14:textId="77777777" w:rsidR="00432E86" w:rsidRDefault="00432E86" w:rsidP="00432E86">
            <w:pPr>
              <w:pStyle w:val="Standard-italics"/>
              <w:keepNext w:val="0"/>
              <w:widowControl w:val="0"/>
              <w:spacing w:after="0"/>
              <w:rPr>
                <w:i w:val="0"/>
              </w:rPr>
            </w:pPr>
            <w:r w:rsidRPr="00B817D4">
              <w:rPr>
                <w:i w:val="0"/>
              </w:rPr>
              <w:t xml:space="preserve">Neither the active ingredient nor one of the other </w:t>
            </w:r>
            <w:r>
              <w:rPr>
                <w:rFonts w:cs="36jii"/>
                <w:i w:val="0"/>
                <w:lang w:val="en-US" w:eastAsia="fr-BE"/>
              </w:rPr>
              <w:t>relevant</w:t>
            </w:r>
            <w:r w:rsidRPr="00B817D4">
              <w:rPr>
                <w:rFonts w:cs="36jii"/>
                <w:lang w:val="en-US" w:eastAsia="fr-BE"/>
              </w:rPr>
              <w:t xml:space="preserve"> </w:t>
            </w:r>
            <w:r w:rsidRPr="00B817D4">
              <w:rPr>
                <w:i w:val="0"/>
              </w:rPr>
              <w:t xml:space="preserve">ingredients of the biocidal product are classified with respect to acute oral toxicity. Thus, Insect Repellent Pump Spray </w:t>
            </w:r>
            <w:r>
              <w:rPr>
                <w:i w:val="0"/>
              </w:rPr>
              <w:t xml:space="preserve">Lice </w:t>
            </w:r>
            <w:r w:rsidRPr="00B817D4">
              <w:rPr>
                <w:i w:val="0"/>
              </w:rPr>
              <w:t>IR3535</w:t>
            </w:r>
            <w:r w:rsidRPr="00407AC3">
              <w:rPr>
                <w:i w:val="0"/>
                <w:vertAlign w:val="superscript"/>
              </w:rPr>
              <w:t>®</w:t>
            </w:r>
            <w:r w:rsidRPr="00B817D4">
              <w:rPr>
                <w:i w:val="0"/>
              </w:rPr>
              <w:t xml:space="preserve"> 20 % has no potential for an acute oral toxicity hazard and no classification with respect to acute oral toxicity is required.</w:t>
            </w:r>
          </w:p>
          <w:p w14:paraId="008D708B" w14:textId="77777777" w:rsidR="00432E86" w:rsidRDefault="00432E86" w:rsidP="00432E86">
            <w:pPr>
              <w:pStyle w:val="Standard-italics"/>
              <w:keepNext w:val="0"/>
              <w:widowControl w:val="0"/>
              <w:spacing w:after="0"/>
              <w:rPr>
                <w:i w:val="0"/>
              </w:rPr>
            </w:pPr>
          </w:p>
          <w:p w14:paraId="4D232BAF" w14:textId="77777777" w:rsidR="00432E86" w:rsidRPr="00FD2055" w:rsidRDefault="00432E86" w:rsidP="00432E86">
            <w:pPr>
              <w:spacing w:line="260" w:lineRule="atLeast"/>
              <w:rPr>
                <w:rFonts w:eastAsia="Calibri"/>
                <w:lang w:eastAsia="en-US"/>
              </w:rPr>
            </w:pPr>
            <w:r w:rsidRPr="00B817D4">
              <w:rPr>
                <w:rFonts w:eastAsia="Calibri"/>
                <w:bCs/>
                <w:lang w:eastAsia="en-US"/>
              </w:rPr>
              <w:t>No human data are available for acute oral toxicity.</w:t>
            </w:r>
          </w:p>
        </w:tc>
      </w:tr>
      <w:tr w:rsidR="00432E86" w:rsidRPr="00FD2055" w14:paraId="424580BD" w14:textId="77777777" w:rsidTr="00432E86">
        <w:tc>
          <w:tcPr>
            <w:tcW w:w="1013" w:type="pct"/>
            <w:tcBorders>
              <w:top w:val="single" w:sz="6" w:space="0" w:color="auto"/>
              <w:left w:val="single" w:sz="4" w:space="0" w:color="auto"/>
              <w:bottom w:val="single" w:sz="6" w:space="0" w:color="auto"/>
              <w:right w:val="single" w:sz="6" w:space="0" w:color="auto"/>
            </w:tcBorders>
            <w:shd w:val="clear" w:color="auto" w:fill="auto"/>
          </w:tcPr>
          <w:p w14:paraId="617989C5" w14:textId="77777777" w:rsidR="00432E86" w:rsidRPr="00FD2055" w:rsidRDefault="00432E86" w:rsidP="00432E86">
            <w:pPr>
              <w:rPr>
                <w:rFonts w:eastAsia="Calibri"/>
                <w:lang w:eastAsia="en-US"/>
              </w:rPr>
            </w:pPr>
            <w:r w:rsidRPr="00FD2055">
              <w:rPr>
                <w:rFonts w:eastAsia="Calibri"/>
                <w:lang w:eastAsia="en-US"/>
              </w:rPr>
              <w:t>Classification of the product according to CLP and DSD</w:t>
            </w:r>
          </w:p>
        </w:tc>
        <w:tc>
          <w:tcPr>
            <w:tcW w:w="3987" w:type="pct"/>
            <w:tcBorders>
              <w:top w:val="single" w:sz="6" w:space="0" w:color="auto"/>
              <w:left w:val="single" w:sz="6" w:space="0" w:color="auto"/>
              <w:bottom w:val="single" w:sz="6" w:space="0" w:color="auto"/>
              <w:right w:val="single" w:sz="6" w:space="0" w:color="auto"/>
            </w:tcBorders>
          </w:tcPr>
          <w:p w14:paraId="0EA7466D" w14:textId="77777777" w:rsidR="00432E86" w:rsidRPr="00FD2055" w:rsidRDefault="00432E86" w:rsidP="00432E86">
            <w:pPr>
              <w:rPr>
                <w:rFonts w:eastAsia="Calibri"/>
                <w:lang w:eastAsia="en-US"/>
              </w:rPr>
            </w:pPr>
            <w:r w:rsidRPr="00B817D4">
              <w:rPr>
                <w:rFonts w:eastAsia="Calibri"/>
                <w:lang w:eastAsia="en-US"/>
              </w:rPr>
              <w:t>none</w:t>
            </w:r>
          </w:p>
        </w:tc>
      </w:tr>
    </w:tbl>
    <w:p w14:paraId="7F68B4E3" w14:textId="77777777" w:rsidR="000F4416" w:rsidRPr="000F4416" w:rsidRDefault="000F4416" w:rsidP="000F4416">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51"/>
        <w:gridCol w:w="7948"/>
      </w:tblGrid>
      <w:tr w:rsidR="000F4416" w:rsidRPr="000F4416" w14:paraId="18ACD148" w14:textId="77777777" w:rsidTr="00432E86">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EF06DAF" w14:textId="77777777" w:rsidR="000F4416" w:rsidRPr="000F4416" w:rsidRDefault="000F4416" w:rsidP="000F4416">
            <w:pPr>
              <w:rPr>
                <w:rFonts w:eastAsia="Calibri"/>
                <w:b/>
                <w:lang w:eastAsia="en-US"/>
              </w:rPr>
            </w:pPr>
            <w:r w:rsidRPr="000F4416">
              <w:rPr>
                <w:rFonts w:eastAsia="Calibri"/>
                <w:b/>
                <w:lang w:eastAsia="en-US"/>
              </w:rPr>
              <w:t>Data waiving</w:t>
            </w:r>
          </w:p>
        </w:tc>
      </w:tr>
      <w:tr w:rsidR="00432E86" w:rsidRPr="00FD2055" w14:paraId="108DF753" w14:textId="77777777" w:rsidTr="00432E86">
        <w:tc>
          <w:tcPr>
            <w:tcW w:w="664" w:type="pct"/>
            <w:tcBorders>
              <w:top w:val="single" w:sz="6" w:space="0" w:color="auto"/>
              <w:left w:val="single" w:sz="4" w:space="0" w:color="auto"/>
              <w:bottom w:val="single" w:sz="6" w:space="0" w:color="auto"/>
              <w:right w:val="single" w:sz="6" w:space="0" w:color="auto"/>
            </w:tcBorders>
            <w:shd w:val="clear" w:color="auto" w:fill="auto"/>
          </w:tcPr>
          <w:p w14:paraId="38E570A1" w14:textId="77777777" w:rsidR="00432E86" w:rsidRPr="00FD2055" w:rsidRDefault="00432E86" w:rsidP="00432E86">
            <w:pPr>
              <w:rPr>
                <w:rFonts w:eastAsia="Calibri"/>
                <w:lang w:eastAsia="en-US"/>
              </w:rPr>
            </w:pPr>
            <w:r w:rsidRPr="00FD2055">
              <w:rPr>
                <w:rFonts w:eastAsia="Calibri"/>
                <w:lang w:eastAsia="en-US"/>
              </w:rPr>
              <w:t>Information requirement</w:t>
            </w:r>
          </w:p>
        </w:tc>
        <w:tc>
          <w:tcPr>
            <w:tcW w:w="4336" w:type="pct"/>
            <w:tcBorders>
              <w:top w:val="single" w:sz="6" w:space="0" w:color="auto"/>
              <w:left w:val="single" w:sz="6" w:space="0" w:color="auto"/>
              <w:bottom w:val="single" w:sz="6" w:space="0" w:color="auto"/>
              <w:right w:val="single" w:sz="6" w:space="0" w:color="auto"/>
            </w:tcBorders>
          </w:tcPr>
          <w:p w14:paraId="551E902D" w14:textId="77777777" w:rsidR="00432E86" w:rsidRPr="00FD2055" w:rsidRDefault="00432E86" w:rsidP="00432E86">
            <w:pPr>
              <w:rPr>
                <w:rFonts w:eastAsia="Calibri"/>
                <w:lang w:eastAsia="en-US"/>
              </w:rPr>
            </w:pPr>
            <w:r w:rsidRPr="00B817D4">
              <w:rPr>
                <w:rFonts w:eastAsia="Calibri"/>
                <w:lang w:eastAsia="en-US"/>
              </w:rPr>
              <w:t>Acute oral toxicity: Study scientifically unjustified</w:t>
            </w:r>
          </w:p>
        </w:tc>
      </w:tr>
      <w:tr w:rsidR="00432E86" w:rsidRPr="00FD2055" w14:paraId="15841E6D" w14:textId="77777777" w:rsidTr="00432E86">
        <w:tc>
          <w:tcPr>
            <w:tcW w:w="664" w:type="pct"/>
            <w:tcBorders>
              <w:top w:val="single" w:sz="6" w:space="0" w:color="auto"/>
              <w:left w:val="single" w:sz="4" w:space="0" w:color="auto"/>
              <w:bottom w:val="single" w:sz="6" w:space="0" w:color="auto"/>
              <w:right w:val="single" w:sz="6" w:space="0" w:color="auto"/>
            </w:tcBorders>
            <w:shd w:val="clear" w:color="auto" w:fill="auto"/>
          </w:tcPr>
          <w:p w14:paraId="3155F0FD" w14:textId="77777777" w:rsidR="00432E86" w:rsidRPr="00FD2055" w:rsidRDefault="00432E86" w:rsidP="00432E86">
            <w:pPr>
              <w:rPr>
                <w:rFonts w:eastAsia="Calibri"/>
                <w:lang w:eastAsia="en-US"/>
              </w:rPr>
            </w:pPr>
            <w:r w:rsidRPr="00FD2055">
              <w:rPr>
                <w:rFonts w:eastAsia="Calibri"/>
                <w:lang w:eastAsia="en-US"/>
              </w:rPr>
              <w:t>Justification</w:t>
            </w:r>
          </w:p>
        </w:tc>
        <w:tc>
          <w:tcPr>
            <w:tcW w:w="4336" w:type="pct"/>
            <w:tcBorders>
              <w:top w:val="single" w:sz="6" w:space="0" w:color="auto"/>
              <w:left w:val="single" w:sz="6" w:space="0" w:color="auto"/>
              <w:bottom w:val="single" w:sz="6" w:space="0" w:color="auto"/>
              <w:right w:val="single" w:sz="6" w:space="0" w:color="auto"/>
            </w:tcBorders>
          </w:tcPr>
          <w:p w14:paraId="490AD87A" w14:textId="77777777" w:rsidR="00432E86" w:rsidRPr="00B817D4" w:rsidRDefault="00432E86" w:rsidP="00432E86">
            <w:pPr>
              <w:pStyle w:val="Standard-italics"/>
              <w:keepNext w:val="0"/>
              <w:widowControl w:val="0"/>
              <w:spacing w:after="0"/>
              <w:rPr>
                <w:i w:val="0"/>
              </w:rPr>
            </w:pPr>
            <w:r w:rsidRPr="00B817D4">
              <w:rPr>
                <w:i w:val="0"/>
              </w:rPr>
              <w:t xml:space="preserve">Since the acute oral toxicity of Insect Repellent Pump Spray </w:t>
            </w:r>
            <w:r>
              <w:rPr>
                <w:i w:val="0"/>
              </w:rPr>
              <w:t xml:space="preserve">Lice </w:t>
            </w:r>
            <w:r w:rsidRPr="00B817D4">
              <w:rPr>
                <w:i w:val="0"/>
              </w:rPr>
              <w:t>IR3535</w:t>
            </w:r>
            <w:r w:rsidRPr="00407AC3">
              <w:rPr>
                <w:i w:val="0"/>
                <w:vertAlign w:val="superscript"/>
              </w:rPr>
              <w:t>®</w:t>
            </w:r>
            <w:r w:rsidRPr="00B817D4">
              <w:rPr>
                <w:i w:val="0"/>
              </w:rPr>
              <w:t xml:space="preserve"> 20 % can be assessed on the basis of the properties of the ingredients, the performance of an acute oral toxicity study with the biocidal product is scientifically not justified</w:t>
            </w:r>
            <w:r w:rsidRPr="00D647A4">
              <w:rPr>
                <w:i w:val="0"/>
              </w:rPr>
              <w:t xml:space="preserve">. </w:t>
            </w:r>
            <w:r w:rsidRPr="00D647A4">
              <w:rPr>
                <w:rFonts w:cs="36jii"/>
                <w:i w:val="0"/>
                <w:lang w:val="en-US" w:eastAsia="fr-BE"/>
              </w:rPr>
              <w:t>See IUCLID data point 8.5.1 Endpoint study record: Acute toxicity: oral.001.</w:t>
            </w:r>
          </w:p>
          <w:p w14:paraId="401F8D7F" w14:textId="77777777" w:rsidR="00432E86" w:rsidRPr="00FD2055" w:rsidRDefault="00432E86" w:rsidP="00432E86">
            <w:pPr>
              <w:spacing w:line="260" w:lineRule="atLeast"/>
              <w:rPr>
                <w:rFonts w:eastAsia="Calibri"/>
                <w:lang w:eastAsia="en-US"/>
              </w:rPr>
            </w:pPr>
            <w:r w:rsidRPr="00B817D4">
              <w:rPr>
                <w:rFonts w:cs="36jii"/>
                <w:lang w:val="en-US" w:eastAsia="fr-BE"/>
              </w:rPr>
              <w:lastRenderedPageBreak/>
              <w:t xml:space="preserve"> </w:t>
            </w:r>
            <w:r w:rsidRPr="00CF64AE">
              <w:rPr>
                <w:rFonts w:cs="Verdana"/>
                <w:lang w:val="en-US" w:eastAsia="fr-BE"/>
              </w:rPr>
              <w:t>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15A55423" w14:textId="77777777" w:rsidR="000F4416" w:rsidRPr="000F4416" w:rsidRDefault="000F4416" w:rsidP="00D471B6">
      <w:pPr>
        <w:pStyle w:val="Titre6"/>
        <w:numPr>
          <w:ilvl w:val="0"/>
          <w:numId w:val="3"/>
        </w:numPr>
      </w:pPr>
      <w:bookmarkStart w:id="201" w:name="_Toc389729056"/>
      <w:r w:rsidRPr="000F4416">
        <w:lastRenderedPageBreak/>
        <w:t>Acute toxicity by inhalation</w:t>
      </w:r>
      <w:bookmarkEnd w:id="201"/>
    </w:p>
    <w:p w14:paraId="02997BD0" w14:textId="77777777" w:rsidR="006A242E" w:rsidRPr="006A242E" w:rsidRDefault="006A242E" w:rsidP="006A242E">
      <w:pPr>
        <w:rPr>
          <w:rFonts w:eastAsia="Calibri"/>
          <w:lang w:eastAsia="en-US"/>
        </w:rPr>
      </w:pPr>
      <w:r w:rsidRPr="006A242E">
        <w:rPr>
          <w:rFonts w:eastAsia="Calibri"/>
          <w:lang w:eastAsia="en-US"/>
        </w:rPr>
        <w:t>No human data are available for acute inhalation toxicity.</w:t>
      </w:r>
    </w:p>
    <w:p w14:paraId="552F9DC6" w14:textId="77777777" w:rsidR="000F4416" w:rsidRPr="00C574E1" w:rsidRDefault="000F4416" w:rsidP="00C574E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47"/>
        <w:gridCol w:w="6252"/>
      </w:tblGrid>
      <w:tr w:rsidR="000F4416" w:rsidRPr="00C574E1" w14:paraId="754168C4" w14:textId="77777777" w:rsidTr="006A242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EC48C27" w14:textId="77777777" w:rsidR="000F4416" w:rsidRPr="00C574E1" w:rsidRDefault="000F4416" w:rsidP="00C574E1">
            <w:pPr>
              <w:rPr>
                <w:rFonts w:eastAsia="Calibri"/>
                <w:b/>
                <w:lang w:eastAsia="en-US"/>
              </w:rPr>
            </w:pPr>
            <w:r w:rsidRPr="00C574E1">
              <w:rPr>
                <w:rFonts w:eastAsia="Calibri"/>
                <w:b/>
                <w:lang w:eastAsia="en-US"/>
              </w:rPr>
              <w:t>Value used in the Risk Assessment – Acute inhalation toxicity</w:t>
            </w:r>
          </w:p>
        </w:tc>
      </w:tr>
      <w:tr w:rsidR="006A242E" w:rsidRPr="00FD2055" w14:paraId="13E7BCBD" w14:textId="77777777" w:rsidTr="006A242E">
        <w:tc>
          <w:tcPr>
            <w:tcW w:w="1674" w:type="pct"/>
            <w:tcBorders>
              <w:top w:val="single" w:sz="6" w:space="0" w:color="auto"/>
              <w:left w:val="single" w:sz="4" w:space="0" w:color="auto"/>
              <w:bottom w:val="single" w:sz="6" w:space="0" w:color="auto"/>
              <w:right w:val="single" w:sz="6" w:space="0" w:color="auto"/>
            </w:tcBorders>
            <w:shd w:val="clear" w:color="auto" w:fill="auto"/>
          </w:tcPr>
          <w:p w14:paraId="695D14AC" w14:textId="77777777" w:rsidR="006A242E" w:rsidRPr="00FD2055" w:rsidRDefault="006A242E" w:rsidP="006A242E">
            <w:pPr>
              <w:rPr>
                <w:rFonts w:eastAsia="Calibri"/>
                <w:lang w:eastAsia="en-US"/>
              </w:rPr>
            </w:pPr>
            <w:r w:rsidRPr="00FD2055">
              <w:rPr>
                <w:rFonts w:eastAsia="Calibri"/>
                <w:lang w:eastAsia="en-US"/>
              </w:rPr>
              <w:t>Value</w:t>
            </w:r>
          </w:p>
        </w:tc>
        <w:tc>
          <w:tcPr>
            <w:tcW w:w="3326" w:type="pct"/>
            <w:tcBorders>
              <w:top w:val="single" w:sz="6" w:space="0" w:color="auto"/>
              <w:left w:val="single" w:sz="6" w:space="0" w:color="auto"/>
              <w:bottom w:val="single" w:sz="6" w:space="0" w:color="auto"/>
              <w:right w:val="single" w:sz="6" w:space="0" w:color="auto"/>
            </w:tcBorders>
          </w:tcPr>
          <w:p w14:paraId="32EEF2DC" w14:textId="77777777" w:rsidR="006A242E" w:rsidRPr="00FD2055" w:rsidRDefault="006A242E" w:rsidP="006A242E">
            <w:pPr>
              <w:rPr>
                <w:rFonts w:eastAsia="Calibri"/>
                <w:lang w:eastAsia="en-US"/>
              </w:rPr>
            </w:pPr>
            <w:r w:rsidRPr="00F821B3">
              <w:rPr>
                <w:rFonts w:eastAsia="Calibri"/>
                <w:lang w:eastAsia="en-US"/>
              </w:rPr>
              <w:t>Biocidal product not classified for acute toxicity (inhalation) according to (EU) nr. 1272/2008</w:t>
            </w:r>
          </w:p>
        </w:tc>
      </w:tr>
      <w:tr w:rsidR="006A242E" w:rsidRPr="00FD2055" w14:paraId="54FD510B" w14:textId="77777777" w:rsidTr="006A242E">
        <w:tc>
          <w:tcPr>
            <w:tcW w:w="1674" w:type="pct"/>
            <w:tcBorders>
              <w:top w:val="single" w:sz="6" w:space="0" w:color="auto"/>
              <w:left w:val="single" w:sz="4" w:space="0" w:color="auto"/>
              <w:bottom w:val="single" w:sz="6" w:space="0" w:color="auto"/>
              <w:right w:val="single" w:sz="6" w:space="0" w:color="auto"/>
            </w:tcBorders>
            <w:shd w:val="clear" w:color="auto" w:fill="auto"/>
          </w:tcPr>
          <w:p w14:paraId="3C4057D5" w14:textId="77777777" w:rsidR="006A242E" w:rsidRPr="00FD2055" w:rsidRDefault="006A242E" w:rsidP="006A242E">
            <w:pPr>
              <w:rPr>
                <w:rFonts w:eastAsia="Calibri"/>
                <w:lang w:eastAsia="en-US"/>
              </w:rPr>
            </w:pPr>
            <w:r w:rsidRPr="00FD2055">
              <w:rPr>
                <w:rFonts w:eastAsia="Calibri"/>
                <w:lang w:eastAsia="en-US"/>
              </w:rPr>
              <w:t>Justification for the selected value</w:t>
            </w:r>
          </w:p>
        </w:tc>
        <w:tc>
          <w:tcPr>
            <w:tcW w:w="3326" w:type="pct"/>
            <w:tcBorders>
              <w:top w:val="single" w:sz="6" w:space="0" w:color="auto"/>
              <w:left w:val="single" w:sz="6" w:space="0" w:color="auto"/>
              <w:bottom w:val="single" w:sz="6" w:space="0" w:color="auto"/>
              <w:right w:val="single" w:sz="6" w:space="0" w:color="auto"/>
            </w:tcBorders>
          </w:tcPr>
          <w:p w14:paraId="0B765090" w14:textId="77777777" w:rsidR="006A242E" w:rsidRPr="00FD2055" w:rsidRDefault="006A242E" w:rsidP="006A242E">
            <w:pPr>
              <w:rPr>
                <w:rFonts w:eastAsia="Calibri"/>
                <w:lang w:eastAsia="en-US"/>
              </w:rPr>
            </w:pPr>
            <w:r w:rsidRPr="00A70ABF">
              <w:rPr>
                <w:rFonts w:eastAsia="Calibri"/>
                <w:lang w:eastAsia="en-US"/>
              </w:rPr>
              <w:t>None of the components of the biocide are classified for  acute inhalation toxicity according to (EU) nr. 1272/2008.</w:t>
            </w:r>
            <w:r>
              <w:rPr>
                <w:rFonts w:eastAsia="Calibri"/>
                <w:lang w:eastAsia="en-US"/>
              </w:rPr>
              <w:t xml:space="preserve"> </w:t>
            </w:r>
          </w:p>
        </w:tc>
      </w:tr>
      <w:tr w:rsidR="006A242E" w:rsidRPr="00FD2055" w14:paraId="165F904D" w14:textId="77777777" w:rsidTr="006A242E">
        <w:tc>
          <w:tcPr>
            <w:tcW w:w="1674" w:type="pct"/>
            <w:tcBorders>
              <w:top w:val="single" w:sz="6" w:space="0" w:color="auto"/>
              <w:left w:val="single" w:sz="4" w:space="0" w:color="auto"/>
              <w:bottom w:val="single" w:sz="6" w:space="0" w:color="auto"/>
              <w:right w:val="single" w:sz="6" w:space="0" w:color="auto"/>
            </w:tcBorders>
            <w:shd w:val="clear" w:color="auto" w:fill="auto"/>
          </w:tcPr>
          <w:p w14:paraId="151AFDB2" w14:textId="77777777" w:rsidR="006A242E" w:rsidRPr="00FD2055" w:rsidRDefault="006A242E" w:rsidP="006A242E">
            <w:pPr>
              <w:rPr>
                <w:rFonts w:eastAsia="Calibri"/>
                <w:lang w:eastAsia="en-US"/>
              </w:rPr>
            </w:pPr>
            <w:r w:rsidRPr="00FD2055">
              <w:rPr>
                <w:rFonts w:eastAsia="Calibri"/>
                <w:lang w:eastAsia="en-US"/>
              </w:rPr>
              <w:t>Classification of the product according to CLP and DSD</w:t>
            </w:r>
          </w:p>
        </w:tc>
        <w:tc>
          <w:tcPr>
            <w:tcW w:w="3326" w:type="pct"/>
            <w:tcBorders>
              <w:top w:val="single" w:sz="6" w:space="0" w:color="auto"/>
              <w:left w:val="single" w:sz="6" w:space="0" w:color="auto"/>
              <w:bottom w:val="single" w:sz="6" w:space="0" w:color="auto"/>
              <w:right w:val="single" w:sz="6" w:space="0" w:color="auto"/>
            </w:tcBorders>
          </w:tcPr>
          <w:p w14:paraId="47836251" w14:textId="77777777" w:rsidR="006A242E" w:rsidRPr="00FD2055" w:rsidRDefault="006A242E" w:rsidP="006A242E">
            <w:pPr>
              <w:rPr>
                <w:rFonts w:eastAsia="Calibri"/>
                <w:lang w:eastAsia="en-US"/>
              </w:rPr>
            </w:pPr>
            <w:r>
              <w:rPr>
                <w:rFonts w:eastAsia="Calibri"/>
                <w:lang w:eastAsia="en-US"/>
              </w:rPr>
              <w:t>none</w:t>
            </w:r>
          </w:p>
        </w:tc>
      </w:tr>
    </w:tbl>
    <w:p w14:paraId="6B2F8966" w14:textId="77777777" w:rsidR="000F4416" w:rsidRPr="00C574E1" w:rsidRDefault="000F4416" w:rsidP="00C574E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51"/>
        <w:gridCol w:w="7948"/>
      </w:tblGrid>
      <w:tr w:rsidR="000F4416" w:rsidRPr="00C574E1" w14:paraId="1E8B2D13" w14:textId="77777777" w:rsidTr="006A242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9B70D6F" w14:textId="77777777" w:rsidR="000F4416" w:rsidRPr="00C574E1" w:rsidRDefault="000F4416" w:rsidP="00C574E1">
            <w:pPr>
              <w:rPr>
                <w:rFonts w:eastAsia="Calibri"/>
                <w:b/>
                <w:lang w:eastAsia="en-US"/>
              </w:rPr>
            </w:pPr>
            <w:r w:rsidRPr="00C574E1">
              <w:rPr>
                <w:rFonts w:eastAsia="Calibri"/>
                <w:b/>
                <w:lang w:eastAsia="en-US"/>
              </w:rPr>
              <w:t>Data waiving</w:t>
            </w:r>
          </w:p>
        </w:tc>
      </w:tr>
      <w:tr w:rsidR="006A242E" w:rsidRPr="00FD2055" w14:paraId="15DA3F86" w14:textId="77777777" w:rsidTr="006A242E">
        <w:tc>
          <w:tcPr>
            <w:tcW w:w="662" w:type="pct"/>
            <w:tcBorders>
              <w:top w:val="single" w:sz="6" w:space="0" w:color="auto"/>
              <w:left w:val="single" w:sz="4" w:space="0" w:color="auto"/>
              <w:bottom w:val="single" w:sz="6" w:space="0" w:color="auto"/>
              <w:right w:val="single" w:sz="6" w:space="0" w:color="auto"/>
            </w:tcBorders>
            <w:shd w:val="clear" w:color="auto" w:fill="auto"/>
          </w:tcPr>
          <w:p w14:paraId="5C4CEBE5" w14:textId="77777777" w:rsidR="006A242E" w:rsidRPr="00FD2055" w:rsidRDefault="006A242E" w:rsidP="006A242E">
            <w:pPr>
              <w:rPr>
                <w:rFonts w:eastAsia="Calibri"/>
                <w:lang w:eastAsia="en-US"/>
              </w:rPr>
            </w:pPr>
            <w:r w:rsidRPr="00FD2055">
              <w:rPr>
                <w:rFonts w:eastAsia="Calibri"/>
                <w:lang w:eastAsia="en-US"/>
              </w:rPr>
              <w:t>Information requirement</w:t>
            </w:r>
          </w:p>
        </w:tc>
        <w:tc>
          <w:tcPr>
            <w:tcW w:w="4338" w:type="pct"/>
            <w:tcBorders>
              <w:top w:val="single" w:sz="6" w:space="0" w:color="auto"/>
              <w:left w:val="single" w:sz="6" w:space="0" w:color="auto"/>
              <w:bottom w:val="single" w:sz="6" w:space="0" w:color="auto"/>
              <w:right w:val="single" w:sz="6" w:space="0" w:color="auto"/>
            </w:tcBorders>
          </w:tcPr>
          <w:p w14:paraId="0E02A0AA" w14:textId="77777777" w:rsidR="006A242E" w:rsidRPr="00FD2055" w:rsidRDefault="006A242E" w:rsidP="006A242E">
            <w:pPr>
              <w:rPr>
                <w:rFonts w:eastAsia="Calibri"/>
                <w:lang w:eastAsia="en-US"/>
              </w:rPr>
            </w:pPr>
            <w:r w:rsidRPr="00F821B3">
              <w:rPr>
                <w:rFonts w:eastAsia="Calibri"/>
                <w:lang w:eastAsia="en-US"/>
              </w:rPr>
              <w:t>Acute inhalation toxicity: Study scientifically unjustified</w:t>
            </w:r>
          </w:p>
        </w:tc>
      </w:tr>
      <w:tr w:rsidR="006A242E" w:rsidRPr="00FD2055" w14:paraId="3F68859B" w14:textId="77777777" w:rsidTr="006A242E">
        <w:tc>
          <w:tcPr>
            <w:tcW w:w="662" w:type="pct"/>
            <w:tcBorders>
              <w:top w:val="single" w:sz="6" w:space="0" w:color="auto"/>
              <w:left w:val="single" w:sz="4" w:space="0" w:color="auto"/>
              <w:bottom w:val="single" w:sz="6" w:space="0" w:color="auto"/>
              <w:right w:val="single" w:sz="6" w:space="0" w:color="auto"/>
            </w:tcBorders>
            <w:shd w:val="clear" w:color="auto" w:fill="auto"/>
          </w:tcPr>
          <w:p w14:paraId="70C3C022" w14:textId="77777777" w:rsidR="006A242E" w:rsidRPr="00FD2055" w:rsidRDefault="006A242E" w:rsidP="006A242E">
            <w:pPr>
              <w:rPr>
                <w:rFonts w:eastAsia="Calibri"/>
                <w:lang w:eastAsia="en-US"/>
              </w:rPr>
            </w:pPr>
            <w:r w:rsidRPr="00FD2055">
              <w:rPr>
                <w:rFonts w:eastAsia="Calibri"/>
                <w:lang w:eastAsia="en-US"/>
              </w:rPr>
              <w:t>Justification</w:t>
            </w:r>
          </w:p>
        </w:tc>
        <w:tc>
          <w:tcPr>
            <w:tcW w:w="4338" w:type="pct"/>
            <w:tcBorders>
              <w:top w:val="single" w:sz="6" w:space="0" w:color="auto"/>
              <w:left w:val="single" w:sz="6" w:space="0" w:color="auto"/>
              <w:bottom w:val="single" w:sz="6" w:space="0" w:color="auto"/>
              <w:right w:val="single" w:sz="6" w:space="0" w:color="auto"/>
            </w:tcBorders>
          </w:tcPr>
          <w:p w14:paraId="20AECAFE" w14:textId="77777777" w:rsidR="006A242E" w:rsidRPr="00FD2055" w:rsidRDefault="006A242E" w:rsidP="006A242E">
            <w:pPr>
              <w:rPr>
                <w:rFonts w:eastAsia="Calibri"/>
                <w:lang w:eastAsia="en-US"/>
              </w:rPr>
            </w:pPr>
            <w:r w:rsidRPr="00C24B13">
              <w:rPr>
                <w:rFonts w:eastAsia="Calibri"/>
                <w:lang w:eastAsia="en-US"/>
              </w:rPr>
              <w:t xml:space="preserve">Since the acute inhalation toxicity of Insect Repellent Pump Spray </w:t>
            </w:r>
            <w:r>
              <w:rPr>
                <w:rFonts w:eastAsia="Calibri"/>
                <w:lang w:eastAsia="en-US"/>
              </w:rPr>
              <w:t xml:space="preserve">Lice </w:t>
            </w:r>
            <w:r w:rsidRPr="00C24B13">
              <w:rPr>
                <w:rFonts w:eastAsia="Calibri"/>
                <w:lang w:eastAsia="en-US"/>
              </w:rPr>
              <w:t>IR3535</w:t>
            </w:r>
            <w:r w:rsidRPr="00407AC3">
              <w:rPr>
                <w:rFonts w:eastAsia="Calibri"/>
                <w:vertAlign w:val="superscript"/>
                <w:lang w:eastAsia="en-US"/>
              </w:rPr>
              <w:t>®</w:t>
            </w:r>
            <w:r w:rsidRPr="00C24B13">
              <w:rPr>
                <w:rFonts w:eastAsia="Calibri"/>
                <w:lang w:eastAsia="en-US"/>
              </w:rPr>
              <w:t xml:space="preserve"> 20 % can be assessed on the basis of the properties of the ingredients, the performance of an acute inhalation toxicity study with the biocidal product is scientifically not justified.</w:t>
            </w:r>
            <w:r>
              <w:rPr>
                <w:rFonts w:eastAsia="Calibri"/>
                <w:lang w:eastAsia="en-US"/>
              </w:rPr>
              <w:t xml:space="preserve"> </w:t>
            </w:r>
            <w:r w:rsidRPr="008F383F">
              <w:rPr>
                <w:rFonts w:cs="36jii"/>
                <w:lang w:val="en-US" w:eastAsia="fr-BE"/>
              </w:rPr>
              <w:t>See IUCLID data point 8.5.2 Endpoint study record: Acute toxicity: inhalation.001.</w:t>
            </w:r>
          </w:p>
          <w:p w14:paraId="6CAE48D0" w14:textId="77777777" w:rsidR="006A242E" w:rsidRDefault="006A242E" w:rsidP="006A242E">
            <w:pPr>
              <w:rPr>
                <w:rFonts w:cs="Verdana"/>
                <w:color w:val="000000"/>
                <w:lang w:val="en-US" w:eastAsia="fr-BE"/>
              </w:rPr>
            </w:pPr>
            <w:r w:rsidRPr="001B380A">
              <w:rPr>
                <w:rFonts w:cs="Verdana"/>
                <w:color w:val="000000"/>
                <w:lang w:val="en-US" w:eastAsia="fr-BE"/>
              </w:rPr>
              <w:t>There are valid data available on each of the components in the mixture sufficient to allow classification of the mixture according to the rules laid down in Regulation (EC) No 1272/2008 (CLP), and synergistic effects between any of the components are not expected.</w:t>
            </w:r>
          </w:p>
          <w:p w14:paraId="752C4BE5" w14:textId="77777777" w:rsidR="006A242E" w:rsidRPr="00FD2055" w:rsidRDefault="006A242E" w:rsidP="006A242E">
            <w:pPr>
              <w:rPr>
                <w:rFonts w:eastAsia="Calibri"/>
                <w:lang w:eastAsia="en-US"/>
              </w:rPr>
            </w:pPr>
          </w:p>
        </w:tc>
      </w:tr>
    </w:tbl>
    <w:p w14:paraId="27DA5710" w14:textId="77777777" w:rsidR="000F4416" w:rsidRPr="00C574E1" w:rsidRDefault="000F4416" w:rsidP="00C574E1">
      <w:pPr>
        <w:rPr>
          <w:rFonts w:eastAsia="Calibri"/>
          <w:lang w:eastAsia="en-US"/>
        </w:rPr>
      </w:pPr>
    </w:p>
    <w:p w14:paraId="7E4ACCC9" w14:textId="77777777" w:rsidR="000F4416" w:rsidRPr="006C0848" w:rsidRDefault="000F4416" w:rsidP="00D471B6">
      <w:pPr>
        <w:pStyle w:val="Titre6"/>
        <w:numPr>
          <w:ilvl w:val="0"/>
          <w:numId w:val="3"/>
        </w:numPr>
        <w:rPr>
          <w:lang w:val="en-US"/>
        </w:rPr>
      </w:pPr>
      <w:bookmarkStart w:id="202" w:name="_Toc389729057"/>
      <w:r w:rsidRPr="006C0848">
        <w:rPr>
          <w:lang w:val="en-US"/>
        </w:rPr>
        <w:t>Acute toxicity by dermal route</w:t>
      </w:r>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240"/>
        <w:gridCol w:w="1488"/>
        <w:gridCol w:w="1353"/>
        <w:gridCol w:w="822"/>
        <w:gridCol w:w="2031"/>
        <w:gridCol w:w="1235"/>
      </w:tblGrid>
      <w:tr w:rsidR="00715919" w:rsidRPr="00715919" w14:paraId="76BDFF4B" w14:textId="77777777" w:rsidTr="00715919">
        <w:trPr>
          <w:trHeight w:val="253"/>
        </w:trPr>
        <w:tc>
          <w:tcPr>
            <w:tcW w:w="5000" w:type="pct"/>
            <w:gridSpan w:val="7"/>
            <w:shd w:val="clear" w:color="auto" w:fill="FFFFCC"/>
          </w:tcPr>
          <w:p w14:paraId="169F4245" w14:textId="77777777" w:rsidR="00715919" w:rsidRPr="00715919" w:rsidRDefault="00715919" w:rsidP="00715919">
            <w:pPr>
              <w:pStyle w:val="Standaard-Tabellen"/>
              <w:jc w:val="center"/>
              <w:rPr>
                <w:rFonts w:eastAsia="Calibri"/>
                <w:b/>
              </w:rPr>
            </w:pPr>
            <w:r w:rsidRPr="00715919">
              <w:rPr>
                <w:rFonts w:eastAsia="Calibri"/>
                <w:b/>
              </w:rPr>
              <w:t>Summary table of animal studies on acute dermal toxicity</w:t>
            </w:r>
          </w:p>
        </w:tc>
      </w:tr>
      <w:tr w:rsidR="00715919" w:rsidRPr="00715919" w14:paraId="223CF53B" w14:textId="77777777" w:rsidTr="00715919">
        <w:trPr>
          <w:trHeight w:val="2519"/>
        </w:trPr>
        <w:tc>
          <w:tcPr>
            <w:tcW w:w="483" w:type="pct"/>
            <w:shd w:val="clear" w:color="auto" w:fill="BFBFBF" w:themeFill="background1" w:themeFillShade="BF"/>
          </w:tcPr>
          <w:p w14:paraId="71F7E338" w14:textId="77777777" w:rsidR="00715919" w:rsidRPr="00715919" w:rsidRDefault="00715919" w:rsidP="00715919">
            <w:pPr>
              <w:pStyle w:val="Standaard-Tabellen"/>
              <w:rPr>
                <w:rFonts w:eastAsia="Calibri"/>
                <w:b/>
              </w:rPr>
            </w:pPr>
            <w:r w:rsidRPr="00715919">
              <w:rPr>
                <w:rFonts w:eastAsia="Calibri"/>
                <w:b/>
              </w:rPr>
              <w:t>Method, Guideline,</w:t>
            </w:r>
          </w:p>
          <w:p w14:paraId="4DD4C8AA" w14:textId="77777777" w:rsidR="00715919" w:rsidRPr="00715919" w:rsidRDefault="00715919" w:rsidP="00715919">
            <w:pPr>
              <w:pStyle w:val="Standaard-Tabellen"/>
              <w:rPr>
                <w:rFonts w:eastAsia="Calibri"/>
                <w:b/>
              </w:rPr>
            </w:pPr>
            <w:r w:rsidRPr="00715919">
              <w:rPr>
                <w:rFonts w:eastAsia="Calibri"/>
                <w:b/>
              </w:rPr>
              <w:t>GLP status,</w:t>
            </w:r>
          </w:p>
          <w:p w14:paraId="7722FC31" w14:textId="77777777" w:rsidR="00715919" w:rsidRPr="00715919" w:rsidRDefault="00715919" w:rsidP="00715919">
            <w:pPr>
              <w:pStyle w:val="Standaard-Tabellen"/>
              <w:rPr>
                <w:rFonts w:eastAsia="Calibri"/>
                <w:b/>
              </w:rPr>
            </w:pPr>
            <w:r w:rsidRPr="00715919">
              <w:rPr>
                <w:rFonts w:eastAsia="Calibri"/>
                <w:b/>
              </w:rPr>
              <w:t>Reliability</w:t>
            </w:r>
          </w:p>
        </w:tc>
        <w:tc>
          <w:tcPr>
            <w:tcW w:w="560" w:type="pct"/>
            <w:shd w:val="clear" w:color="auto" w:fill="BFBFBF" w:themeFill="background1" w:themeFillShade="BF"/>
          </w:tcPr>
          <w:p w14:paraId="1431ED39" w14:textId="77777777" w:rsidR="00715919" w:rsidRPr="00715919" w:rsidDel="0048714C" w:rsidRDefault="00715919" w:rsidP="00715919">
            <w:pPr>
              <w:pStyle w:val="Standaard-Tabellen"/>
              <w:rPr>
                <w:rFonts w:eastAsia="Calibri"/>
                <w:b/>
              </w:rPr>
            </w:pPr>
            <w:r w:rsidRPr="00715919">
              <w:rPr>
                <w:rFonts w:eastAsia="Calibri"/>
                <w:b/>
              </w:rPr>
              <w:t>Species, strain, Sex, No/group</w:t>
            </w:r>
          </w:p>
        </w:tc>
        <w:tc>
          <w:tcPr>
            <w:tcW w:w="759" w:type="pct"/>
            <w:shd w:val="clear" w:color="auto" w:fill="BFBFBF" w:themeFill="background1" w:themeFillShade="BF"/>
          </w:tcPr>
          <w:p w14:paraId="5A665C47" w14:textId="77777777" w:rsidR="00715919" w:rsidRPr="00715919" w:rsidRDefault="00715919" w:rsidP="00715919">
            <w:pPr>
              <w:pStyle w:val="Standaard-Tabellen"/>
              <w:rPr>
                <w:rFonts w:eastAsia="Calibri"/>
                <w:b/>
              </w:rPr>
            </w:pPr>
            <w:r w:rsidRPr="00715919">
              <w:rPr>
                <w:rFonts w:eastAsia="Calibri"/>
                <w:b/>
              </w:rPr>
              <w:t>Test substance, Vehicle, Dose levels, Surface area</w:t>
            </w:r>
          </w:p>
        </w:tc>
        <w:tc>
          <w:tcPr>
            <w:tcW w:w="813" w:type="pct"/>
            <w:shd w:val="clear" w:color="auto" w:fill="BFBFBF" w:themeFill="background1" w:themeFillShade="BF"/>
          </w:tcPr>
          <w:p w14:paraId="23EEEEF4" w14:textId="77777777" w:rsidR="00715919" w:rsidRPr="00715919" w:rsidRDefault="00715919" w:rsidP="00715919">
            <w:pPr>
              <w:pStyle w:val="Standaard-Tabellen"/>
              <w:rPr>
                <w:rFonts w:eastAsia="Calibri"/>
                <w:b/>
              </w:rPr>
            </w:pPr>
            <w:r w:rsidRPr="00715919">
              <w:rPr>
                <w:rFonts w:eastAsia="Calibri"/>
                <w:b/>
              </w:rPr>
              <w:t xml:space="preserve">Signs of toxicity </w:t>
            </w:r>
            <w:r w:rsidRPr="00715919">
              <w:rPr>
                <w:rFonts w:eastAsia="Calibri"/>
                <w:i/>
              </w:rPr>
              <w:t>(nature, onset, duration, severity, reversibility)</w:t>
            </w:r>
          </w:p>
        </w:tc>
        <w:tc>
          <w:tcPr>
            <w:tcW w:w="358" w:type="pct"/>
            <w:shd w:val="clear" w:color="auto" w:fill="BFBFBF" w:themeFill="background1" w:themeFillShade="BF"/>
          </w:tcPr>
          <w:p w14:paraId="2051D458" w14:textId="77777777" w:rsidR="00715919" w:rsidRPr="00715919" w:rsidRDefault="00715919" w:rsidP="00715919">
            <w:pPr>
              <w:pStyle w:val="Standaard-Tabellen"/>
              <w:rPr>
                <w:rFonts w:eastAsia="Calibri"/>
                <w:b/>
              </w:rPr>
            </w:pPr>
            <w:r w:rsidRPr="00715919">
              <w:rPr>
                <w:rFonts w:eastAsia="Calibri"/>
                <w:b/>
              </w:rPr>
              <w:t>LD50</w:t>
            </w:r>
          </w:p>
        </w:tc>
        <w:tc>
          <w:tcPr>
            <w:tcW w:w="1549" w:type="pct"/>
            <w:shd w:val="clear" w:color="auto" w:fill="BFBFBF" w:themeFill="background1" w:themeFillShade="BF"/>
          </w:tcPr>
          <w:p w14:paraId="7E4BF54E" w14:textId="77777777" w:rsidR="00715919" w:rsidRPr="00715919" w:rsidRDefault="00715919" w:rsidP="00715919">
            <w:pPr>
              <w:pStyle w:val="Standaard-Tabellen"/>
              <w:rPr>
                <w:rFonts w:eastAsia="Calibri"/>
                <w:b/>
              </w:rPr>
            </w:pPr>
            <w:r w:rsidRPr="00715919">
              <w:rPr>
                <w:rFonts w:eastAsia="Calibri"/>
                <w:b/>
              </w:rPr>
              <w:t xml:space="preserve">Remarks </w:t>
            </w:r>
            <w:r w:rsidRPr="00715919">
              <w:rPr>
                <w:rFonts w:eastAsia="Calibri"/>
                <w:i/>
              </w:rPr>
              <w:t>(e.g. major deviations)</w:t>
            </w:r>
          </w:p>
        </w:tc>
        <w:tc>
          <w:tcPr>
            <w:tcW w:w="478" w:type="pct"/>
            <w:shd w:val="clear" w:color="auto" w:fill="BFBFBF" w:themeFill="background1" w:themeFillShade="BF"/>
          </w:tcPr>
          <w:p w14:paraId="430E9A29" w14:textId="77777777" w:rsidR="00715919" w:rsidRPr="00715919" w:rsidRDefault="00715919" w:rsidP="00715919">
            <w:pPr>
              <w:pStyle w:val="Standaard-Tabellen"/>
              <w:rPr>
                <w:rFonts w:eastAsia="Calibri"/>
                <w:b/>
              </w:rPr>
            </w:pPr>
            <w:r w:rsidRPr="00715919">
              <w:rPr>
                <w:rFonts w:eastAsia="Calibri"/>
                <w:b/>
              </w:rPr>
              <w:t>Reference</w:t>
            </w:r>
          </w:p>
        </w:tc>
      </w:tr>
      <w:tr w:rsidR="00715919" w:rsidRPr="00CB4B3F" w14:paraId="0C10FB8D" w14:textId="77777777" w:rsidTr="00715919">
        <w:trPr>
          <w:trHeight w:val="362"/>
        </w:trPr>
        <w:tc>
          <w:tcPr>
            <w:tcW w:w="483" w:type="pct"/>
            <w:shd w:val="clear" w:color="auto" w:fill="auto"/>
          </w:tcPr>
          <w:p w14:paraId="1798A636" w14:textId="77777777" w:rsidR="00715919" w:rsidRPr="00CB4B3F" w:rsidRDefault="00715919" w:rsidP="00715919">
            <w:pPr>
              <w:pStyle w:val="Standaard-Tabellen"/>
              <w:rPr>
                <w:rFonts w:eastAsia="Calibri"/>
                <w:lang w:val="de-DE"/>
              </w:rPr>
            </w:pPr>
            <w:r w:rsidRPr="00CB4B3F">
              <w:rPr>
                <w:rFonts w:eastAsia="Calibri"/>
                <w:lang w:val="de-DE"/>
              </w:rPr>
              <w:t>OECD 402</w:t>
            </w:r>
          </w:p>
          <w:p w14:paraId="562D2DEC" w14:textId="77777777" w:rsidR="00715919" w:rsidRPr="00CB4B3F" w:rsidRDefault="00715919" w:rsidP="00715919">
            <w:pPr>
              <w:pStyle w:val="Standaard-Tabellen"/>
              <w:rPr>
                <w:rFonts w:eastAsia="Calibri"/>
                <w:lang w:val="de-DE"/>
              </w:rPr>
            </w:pPr>
            <w:r w:rsidRPr="00CB4B3F">
              <w:rPr>
                <w:rFonts w:eastAsia="Calibri"/>
                <w:lang w:val="de-DE"/>
              </w:rPr>
              <w:t xml:space="preserve">EU </w:t>
            </w:r>
            <w:r w:rsidRPr="001C338A">
              <w:rPr>
                <w:rFonts w:eastAsia="Calibri"/>
                <w:lang w:val="de-DE"/>
              </w:rPr>
              <w:t>92/69 An</w:t>
            </w:r>
            <w:r>
              <w:rPr>
                <w:rFonts w:eastAsia="Calibri"/>
                <w:lang w:val="de-DE"/>
              </w:rPr>
              <w:t>n</w:t>
            </w:r>
            <w:r w:rsidRPr="001C338A">
              <w:rPr>
                <w:rFonts w:eastAsia="Calibri"/>
                <w:lang w:val="de-DE"/>
              </w:rPr>
              <w:t xml:space="preserve">ex V, </w:t>
            </w:r>
            <w:r w:rsidRPr="00D53A24">
              <w:rPr>
                <w:rFonts w:eastAsia="Calibri"/>
                <w:lang w:val="de-DE"/>
              </w:rPr>
              <w:t xml:space="preserve"> </w:t>
            </w:r>
            <w:r w:rsidRPr="00CB4B3F">
              <w:rPr>
                <w:rFonts w:eastAsia="Calibri"/>
                <w:lang w:val="de-DE"/>
              </w:rPr>
              <w:t>B.3</w:t>
            </w:r>
          </w:p>
          <w:p w14:paraId="1E479B71" w14:textId="77777777" w:rsidR="00715919" w:rsidRPr="00D56C04" w:rsidRDefault="005E2D04" w:rsidP="00715919">
            <w:pPr>
              <w:pStyle w:val="Standaard-Tabellen"/>
              <w:rPr>
                <w:rFonts w:eastAsia="Calibri"/>
                <w:lang w:val="fr-FR"/>
              </w:rPr>
            </w:pPr>
            <w:r w:rsidRPr="00D56C04">
              <w:rPr>
                <w:rFonts w:eastAsia="Calibri"/>
                <w:lang w:val="fr-FR"/>
              </w:rPr>
              <w:t>EPA OPPTS 870.1200</w:t>
            </w:r>
          </w:p>
          <w:p w14:paraId="3C22F653" w14:textId="77777777" w:rsidR="00715919" w:rsidRPr="005E5F5C" w:rsidRDefault="005E2D04" w:rsidP="00715919">
            <w:pPr>
              <w:pStyle w:val="Standaard-Tabellen"/>
              <w:rPr>
                <w:rFonts w:eastAsia="Calibri"/>
                <w:lang w:val="en-US"/>
              </w:rPr>
            </w:pPr>
            <w:r w:rsidRPr="005E5F5C">
              <w:rPr>
                <w:rFonts w:eastAsia="Calibri"/>
                <w:lang w:val="en-US"/>
              </w:rPr>
              <w:t>GLP=yes</w:t>
            </w:r>
          </w:p>
          <w:p w14:paraId="24509171" w14:textId="77777777" w:rsidR="00715919" w:rsidRPr="005E5F5C" w:rsidRDefault="005E2D04" w:rsidP="00715919">
            <w:pPr>
              <w:pStyle w:val="Standaard-Tabellen"/>
              <w:rPr>
                <w:rFonts w:eastAsia="Calibri"/>
                <w:lang w:val="en-US"/>
              </w:rPr>
            </w:pPr>
            <w:r w:rsidRPr="005E5F5C">
              <w:rPr>
                <w:rFonts w:eastAsia="Calibri"/>
                <w:lang w:val="en-US"/>
              </w:rPr>
              <w:t>Rel=1</w:t>
            </w:r>
          </w:p>
        </w:tc>
        <w:tc>
          <w:tcPr>
            <w:tcW w:w="560" w:type="pct"/>
          </w:tcPr>
          <w:p w14:paraId="41E853DF" w14:textId="77777777" w:rsidR="00715919" w:rsidRPr="00CB4B3F" w:rsidRDefault="00715919" w:rsidP="00715919">
            <w:pPr>
              <w:pStyle w:val="Standaard-Tabellen"/>
              <w:rPr>
                <w:rFonts w:eastAsia="Calibri"/>
                <w:lang w:val="de-DE"/>
              </w:rPr>
            </w:pPr>
            <w:r w:rsidRPr="00CB4B3F">
              <w:rPr>
                <w:rFonts w:eastAsia="Calibri"/>
                <w:lang w:val="de-DE"/>
              </w:rPr>
              <w:t>Rat</w:t>
            </w:r>
          </w:p>
          <w:p w14:paraId="08E67838" w14:textId="77777777" w:rsidR="00715919" w:rsidRPr="00CB4B3F" w:rsidRDefault="00715919" w:rsidP="00715919">
            <w:pPr>
              <w:pStyle w:val="Standaard-Tabellen"/>
              <w:rPr>
                <w:rFonts w:eastAsia="Calibri"/>
                <w:lang w:val="de-DE"/>
              </w:rPr>
            </w:pPr>
            <w:r w:rsidRPr="00CB4B3F">
              <w:rPr>
                <w:rFonts w:eastAsia="Calibri"/>
                <w:lang w:val="de-DE"/>
              </w:rPr>
              <w:t>Crl:CD(SD)</w:t>
            </w:r>
          </w:p>
          <w:p w14:paraId="0C9EA688" w14:textId="77777777" w:rsidR="00715919" w:rsidRPr="00CB4B3F" w:rsidRDefault="00715919" w:rsidP="00715919">
            <w:pPr>
              <w:pStyle w:val="Standaard-Tabellen"/>
              <w:rPr>
                <w:rFonts w:eastAsia="Calibri"/>
                <w:lang w:val="de-DE"/>
              </w:rPr>
            </w:pPr>
            <w:r w:rsidRPr="00CB4B3F">
              <w:rPr>
                <w:rFonts w:eastAsia="Calibri"/>
                <w:lang w:val="de-DE"/>
              </w:rPr>
              <w:t>5</w:t>
            </w:r>
            <w:r w:rsidRPr="00CB4B3F">
              <w:rPr>
                <w:rFonts w:ascii="Arial" w:eastAsia="Calibri" w:hAnsi="Arial" w:cs="Arial"/>
                <w:lang w:val="de-DE"/>
              </w:rPr>
              <w:t>♀</w:t>
            </w:r>
            <w:r w:rsidRPr="00CB4B3F">
              <w:rPr>
                <w:rFonts w:eastAsia="Calibri"/>
                <w:lang w:val="de-DE"/>
              </w:rPr>
              <w:t>, 5</w:t>
            </w:r>
            <w:r w:rsidRPr="00CB4B3F">
              <w:rPr>
                <w:rFonts w:ascii="Arial" w:eastAsia="Calibri" w:hAnsi="Arial" w:cs="Arial"/>
                <w:lang w:val="de-DE"/>
              </w:rPr>
              <w:t>♂</w:t>
            </w:r>
            <w:r w:rsidRPr="00CB4B3F">
              <w:rPr>
                <w:rFonts w:eastAsia="Calibri"/>
                <w:lang w:val="de-DE"/>
              </w:rPr>
              <w:t>/dose</w:t>
            </w:r>
          </w:p>
          <w:p w14:paraId="3D676CFF" w14:textId="77777777" w:rsidR="00715919" w:rsidRPr="00CB4B3F" w:rsidRDefault="00715919" w:rsidP="00715919">
            <w:pPr>
              <w:pStyle w:val="Standaard-Tabellen"/>
              <w:rPr>
                <w:rFonts w:eastAsia="Calibri"/>
                <w:lang w:val="de-DE"/>
              </w:rPr>
            </w:pPr>
          </w:p>
        </w:tc>
        <w:tc>
          <w:tcPr>
            <w:tcW w:w="759" w:type="pct"/>
            <w:shd w:val="clear" w:color="auto" w:fill="auto"/>
          </w:tcPr>
          <w:p w14:paraId="43CD5851" w14:textId="77777777" w:rsidR="00715919" w:rsidRPr="00CB4B3F" w:rsidRDefault="00715919" w:rsidP="00715919">
            <w:pPr>
              <w:pStyle w:val="Standaard-Tabellen"/>
              <w:rPr>
                <w:rFonts w:eastAsia="Calibri"/>
                <w:lang w:val="en-US"/>
              </w:rPr>
            </w:pPr>
            <w:r w:rsidRPr="00CB4B3F">
              <w:rPr>
                <w:rFonts w:eastAsia="Calibri"/>
                <w:lang w:val="en-US"/>
              </w:rPr>
              <w:t>EUS26-15</w:t>
            </w:r>
          </w:p>
          <w:p w14:paraId="37C1E18F" w14:textId="77777777" w:rsidR="00715919" w:rsidRPr="00CB4B3F" w:rsidRDefault="00715919" w:rsidP="00715919">
            <w:pPr>
              <w:pStyle w:val="Standaard-Tabellen"/>
              <w:rPr>
                <w:rFonts w:eastAsia="Calibri"/>
                <w:lang w:val="en-US"/>
              </w:rPr>
            </w:pPr>
            <w:r w:rsidRPr="00CB4B3F">
              <w:rPr>
                <w:rFonts w:eastAsia="Calibri"/>
                <w:lang w:val="en-US"/>
              </w:rPr>
              <w:t>Undiluted</w:t>
            </w:r>
          </w:p>
          <w:p w14:paraId="23F70564" w14:textId="77777777" w:rsidR="00715919" w:rsidRPr="00CB4B3F" w:rsidRDefault="00715919" w:rsidP="00715919">
            <w:pPr>
              <w:pStyle w:val="Standaard-Tabellen"/>
              <w:rPr>
                <w:rFonts w:eastAsia="Calibri"/>
                <w:lang w:val="en-US"/>
              </w:rPr>
            </w:pPr>
            <w:r w:rsidRPr="00CB4B3F">
              <w:rPr>
                <w:rFonts w:eastAsia="Calibri"/>
                <w:lang w:val="en-US"/>
              </w:rPr>
              <w:t>5000 mg/kg bw</w:t>
            </w:r>
          </w:p>
          <w:p w14:paraId="56968A05" w14:textId="77777777" w:rsidR="00715919" w:rsidRPr="00CB4B3F" w:rsidRDefault="00715919" w:rsidP="00715919">
            <w:pPr>
              <w:pStyle w:val="Standaard-Tabellen"/>
              <w:rPr>
                <w:rFonts w:eastAsia="Calibri"/>
                <w:lang w:val="en-US"/>
              </w:rPr>
            </w:pPr>
            <w:r w:rsidRPr="00CB4B3F">
              <w:rPr>
                <w:rFonts w:eastAsia="Calibri"/>
                <w:lang w:val="en-US"/>
              </w:rPr>
              <w:t>10% of body area</w:t>
            </w:r>
          </w:p>
          <w:p w14:paraId="6839C099" w14:textId="77777777" w:rsidR="00715919" w:rsidRPr="00CB4B3F" w:rsidRDefault="00715919" w:rsidP="00715919">
            <w:pPr>
              <w:pStyle w:val="Standaard-Tabellen"/>
              <w:rPr>
                <w:rFonts w:eastAsia="Calibri"/>
                <w:lang w:val="en-US"/>
              </w:rPr>
            </w:pPr>
            <w:r w:rsidRPr="00CB4B3F">
              <w:rPr>
                <w:rFonts w:eastAsia="Calibri"/>
                <w:lang w:val="en-US"/>
              </w:rPr>
              <w:t>Semiocclusive</w:t>
            </w:r>
          </w:p>
        </w:tc>
        <w:tc>
          <w:tcPr>
            <w:tcW w:w="813" w:type="pct"/>
            <w:shd w:val="clear" w:color="auto" w:fill="auto"/>
          </w:tcPr>
          <w:p w14:paraId="0A9EA52C" w14:textId="77777777" w:rsidR="00715919" w:rsidRPr="00CB4B3F" w:rsidRDefault="00715919" w:rsidP="00715919">
            <w:pPr>
              <w:pStyle w:val="Standaard-Tabellen"/>
              <w:rPr>
                <w:rFonts w:eastAsia="Calibri"/>
                <w:lang w:val="en-US"/>
              </w:rPr>
            </w:pPr>
            <w:r>
              <w:rPr>
                <w:rFonts w:cs="06rbj"/>
                <w:lang w:val="en-US" w:eastAsia="fr-BE"/>
              </w:rPr>
              <w:t>See below</w:t>
            </w:r>
          </w:p>
        </w:tc>
        <w:tc>
          <w:tcPr>
            <w:tcW w:w="358" w:type="pct"/>
            <w:shd w:val="clear" w:color="auto" w:fill="auto"/>
          </w:tcPr>
          <w:p w14:paraId="03333891" w14:textId="77777777" w:rsidR="00715919" w:rsidRPr="00CB4B3F" w:rsidRDefault="00715919" w:rsidP="00715919">
            <w:pPr>
              <w:pStyle w:val="Standaard-Tabellen"/>
              <w:rPr>
                <w:rFonts w:eastAsia="Calibri"/>
                <w:lang w:val="en-US"/>
              </w:rPr>
            </w:pPr>
            <w:r w:rsidRPr="00CB4B3F">
              <w:rPr>
                <w:rFonts w:eastAsia="Calibri"/>
                <w:lang w:val="en-US"/>
              </w:rPr>
              <w:t>&gt;5000 mg/kg bw</w:t>
            </w:r>
          </w:p>
        </w:tc>
        <w:tc>
          <w:tcPr>
            <w:tcW w:w="1549" w:type="pct"/>
          </w:tcPr>
          <w:p w14:paraId="5F0DD343" w14:textId="351B6552" w:rsidR="00F43AF3" w:rsidRDefault="00715919" w:rsidP="00614E77">
            <w:pPr>
              <w:pStyle w:val="Standaard-Tabellen"/>
              <w:rPr>
                <w:rFonts w:eastAsia="Calibri"/>
              </w:rPr>
            </w:pPr>
            <w:r w:rsidRPr="003E6E58">
              <w:rPr>
                <w:rFonts w:eastAsia="Calibri"/>
              </w:rPr>
              <w:t>Tested on similar formulation;</w:t>
            </w:r>
          </w:p>
          <w:p w14:paraId="306EA136" w14:textId="77777777" w:rsidR="00F43AF3" w:rsidRDefault="00F43AF3" w:rsidP="00F43AF3">
            <w:pPr>
              <w:pStyle w:val="Standaard-Tabellen"/>
              <w:rPr>
                <w:rFonts w:eastAsia="Calibri"/>
              </w:rPr>
            </w:pPr>
            <w:r>
              <w:rPr>
                <w:rFonts w:eastAsia="Calibri"/>
              </w:rPr>
              <w:t>US Pump Spray Formulation</w:t>
            </w:r>
          </w:p>
          <w:p w14:paraId="1F2B665E" w14:textId="77777777" w:rsidR="00715919" w:rsidRPr="00CB4B3F" w:rsidRDefault="00715919" w:rsidP="00614E77">
            <w:pPr>
              <w:pStyle w:val="Standaard-Tabellen"/>
              <w:rPr>
                <w:rFonts w:eastAsia="Calibri"/>
                <w:lang w:val="en-US"/>
              </w:rPr>
            </w:pPr>
          </w:p>
        </w:tc>
        <w:tc>
          <w:tcPr>
            <w:tcW w:w="478" w:type="pct"/>
            <w:shd w:val="clear" w:color="auto" w:fill="auto"/>
          </w:tcPr>
          <w:p w14:paraId="5F02DE24" w14:textId="77777777" w:rsidR="00715919" w:rsidRPr="00CB4B3F" w:rsidRDefault="00715919" w:rsidP="00715919">
            <w:pPr>
              <w:pStyle w:val="Standaard-Tabellen"/>
              <w:rPr>
                <w:rFonts w:eastAsia="Calibri"/>
                <w:lang w:val="en-US"/>
              </w:rPr>
            </w:pPr>
            <w:r w:rsidRPr="00CB4B3F">
              <w:rPr>
                <w:rFonts w:eastAsia="Calibri"/>
                <w:lang w:val="en-US"/>
              </w:rPr>
              <w:t>Hurley, J.M. (2006)</w:t>
            </w:r>
            <w:r>
              <w:rPr>
                <w:rFonts w:eastAsia="Calibri"/>
                <w:lang w:val="en-US"/>
              </w:rPr>
              <w:t xml:space="preserve"> (d)</w:t>
            </w:r>
          </w:p>
        </w:tc>
      </w:tr>
    </w:tbl>
    <w:p w14:paraId="028EF5FE" w14:textId="77777777" w:rsidR="000F4416" w:rsidRDefault="000F4416" w:rsidP="00C574E1">
      <w:pPr>
        <w:rPr>
          <w:rFonts w:eastAsia="Calibri"/>
          <w:lang w:eastAsia="en-US"/>
        </w:rPr>
      </w:pPr>
    </w:p>
    <w:p w14:paraId="417FB35E" w14:textId="77777777" w:rsidR="00715919" w:rsidRPr="00250872" w:rsidRDefault="00715919" w:rsidP="00715919">
      <w:r w:rsidRPr="00250872">
        <w:t xml:space="preserve">Acute dermal toxicity was assessed on EUS26-15 </w:t>
      </w:r>
      <w:r w:rsidRPr="00250872">
        <w:rPr>
          <w:rFonts w:eastAsia="Calibri"/>
          <w:lang w:eastAsia="en-US"/>
        </w:rPr>
        <w:t>Insect Repellent Spray</w:t>
      </w:r>
      <w:r w:rsidRPr="00250872">
        <w:t>, a formulation similar to Insect Repellent Pump Spray Lice IR3535</w:t>
      </w:r>
      <w:r w:rsidR="00407AC3" w:rsidRPr="00407AC3">
        <w:rPr>
          <w:vertAlign w:val="superscript"/>
        </w:rPr>
        <w:t>®</w:t>
      </w:r>
      <w:r w:rsidRPr="00250872">
        <w:t xml:space="preserve"> 20%.</w:t>
      </w:r>
    </w:p>
    <w:p w14:paraId="5B10E96D" w14:textId="77777777" w:rsidR="00715919" w:rsidRDefault="00715919" w:rsidP="00715919">
      <w:r w:rsidRPr="00CB4B3F">
        <w:t>There were no deaths, remarkable body weight changes or macroscopic findings at the scheduled necropsy. Clinical findings noted persisted until day 1 post-dosing and included abnormal excretion, and various discoloured areas due to discharges/excretions which were observed. Dermal findings noted during the study consisted of very slight erythema (grade 1) and pinpoint scabbing at the dose sites. Very slight erythema (grade 1) persisted until study termination on day 14.</w:t>
      </w:r>
    </w:p>
    <w:p w14:paraId="32D7E7FE" w14:textId="77777777" w:rsidR="00715919" w:rsidRDefault="00715919" w:rsidP="00715919">
      <w:pPr>
        <w:rPr>
          <w:rFonts w:eastAsia="Calibri"/>
          <w:lang w:eastAsia="en-US"/>
        </w:rPr>
      </w:pPr>
      <w:r w:rsidRPr="00CB4B3F">
        <w:t>Based on the results of this study, the LD</w:t>
      </w:r>
      <w:r w:rsidRPr="00CB4B3F">
        <w:rPr>
          <w:vertAlign w:val="subscript"/>
        </w:rPr>
        <w:t>50</w:t>
      </w:r>
      <w:r w:rsidRPr="00CB4B3F">
        <w:t xml:space="preserve"> of EUS26-15 Insect Repellent Spray was greater than 5000 mg/kg bw when administered once for 24 hours to the clipped, unabraded skin of male and female albino rats. A classification of the biocidal product with respect to acute dermal toxicity is not required.</w:t>
      </w:r>
    </w:p>
    <w:p w14:paraId="1FEBDC9C" w14:textId="77777777" w:rsidR="00715919" w:rsidRDefault="00715919" w:rsidP="00715919">
      <w:pPr>
        <w:rPr>
          <w:rFonts w:eastAsia="Calibri"/>
          <w:lang w:eastAsia="en-US"/>
        </w:rPr>
      </w:pPr>
    </w:p>
    <w:p w14:paraId="367AFE46" w14:textId="77777777" w:rsidR="00715919" w:rsidRPr="00D23E7F" w:rsidRDefault="00715919" w:rsidP="00715919">
      <w:r w:rsidRPr="00D23E7F">
        <w:t>Since EUS26-15 Insect Repellent Spray and Insect Repellent Pump Spray Lice IR3535</w:t>
      </w:r>
      <w:r w:rsidRPr="00407AC3">
        <w:rPr>
          <w:vertAlign w:val="superscript"/>
        </w:rPr>
        <w:t>®</w:t>
      </w:r>
      <w:r w:rsidRPr="00D23E7F">
        <w:t xml:space="preserve"> 20 % are nearly identical in composition, the results obtained in the test described here are considered relevant for Insect Repellent Pump Spray Lice IR3535</w:t>
      </w:r>
      <w:r w:rsidRPr="00407AC3">
        <w:rPr>
          <w:vertAlign w:val="superscript"/>
        </w:rPr>
        <w:t>®</w:t>
      </w:r>
      <w:r w:rsidRPr="00D23E7F">
        <w:t xml:space="preserve"> 20 %.</w:t>
      </w:r>
    </w:p>
    <w:p w14:paraId="2779A6B6" w14:textId="77777777" w:rsidR="00715919" w:rsidRPr="005349CB" w:rsidRDefault="00715919" w:rsidP="00715919">
      <w:pPr>
        <w:rPr>
          <w:rFonts w:eastAsia="Calibri"/>
          <w:lang w:eastAsia="en-US"/>
        </w:rPr>
      </w:pPr>
    </w:p>
    <w:p w14:paraId="00FD6173" w14:textId="77777777" w:rsidR="00715919" w:rsidRPr="00CB4B3F" w:rsidRDefault="00715919" w:rsidP="00715919">
      <w:pPr>
        <w:rPr>
          <w:rFonts w:eastAsia="Calibri"/>
          <w:bCs/>
          <w:lang w:eastAsia="en-US"/>
        </w:rPr>
      </w:pPr>
      <w:r w:rsidRPr="00CB4B3F">
        <w:rPr>
          <w:rFonts w:eastAsia="Calibri"/>
          <w:bCs/>
          <w:lang w:eastAsia="en-US"/>
        </w:rPr>
        <w:t>No human data are available for acute dermal toxicity.</w:t>
      </w:r>
    </w:p>
    <w:p w14:paraId="13901747" w14:textId="77777777" w:rsidR="000F4416" w:rsidRPr="00C574E1" w:rsidRDefault="000F4416" w:rsidP="00C574E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1"/>
        <w:gridCol w:w="6728"/>
      </w:tblGrid>
      <w:tr w:rsidR="000F4416" w:rsidRPr="00C574E1" w14:paraId="4F2E8306" w14:textId="77777777" w:rsidTr="00715919">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9D9AF80" w14:textId="77777777" w:rsidR="000F4416" w:rsidRPr="00C574E1" w:rsidRDefault="000F4416" w:rsidP="00C574E1">
            <w:pPr>
              <w:rPr>
                <w:rFonts w:eastAsia="Calibri"/>
                <w:b/>
                <w:lang w:eastAsia="en-US"/>
              </w:rPr>
            </w:pPr>
            <w:r w:rsidRPr="00C574E1">
              <w:rPr>
                <w:rFonts w:eastAsia="Calibri"/>
                <w:b/>
                <w:lang w:eastAsia="en-US"/>
              </w:rPr>
              <w:t>Value used in the Risk Assessment – Acute dermal toxicity</w:t>
            </w:r>
          </w:p>
        </w:tc>
      </w:tr>
      <w:tr w:rsidR="00715919" w:rsidRPr="00FD2055" w14:paraId="79EA2290" w14:textId="77777777" w:rsidTr="00715919">
        <w:tc>
          <w:tcPr>
            <w:tcW w:w="1421" w:type="pct"/>
            <w:tcBorders>
              <w:top w:val="single" w:sz="6" w:space="0" w:color="auto"/>
              <w:left w:val="single" w:sz="4" w:space="0" w:color="auto"/>
              <w:bottom w:val="single" w:sz="6" w:space="0" w:color="auto"/>
              <w:right w:val="single" w:sz="6" w:space="0" w:color="auto"/>
            </w:tcBorders>
            <w:shd w:val="clear" w:color="auto" w:fill="auto"/>
          </w:tcPr>
          <w:p w14:paraId="4665643E" w14:textId="77777777" w:rsidR="00715919" w:rsidRPr="00FD2055" w:rsidRDefault="00715919" w:rsidP="00715919">
            <w:pPr>
              <w:rPr>
                <w:rFonts w:eastAsia="Calibri"/>
                <w:lang w:eastAsia="en-US"/>
              </w:rPr>
            </w:pPr>
            <w:r w:rsidRPr="00FD2055">
              <w:rPr>
                <w:rFonts w:eastAsia="Calibri"/>
                <w:lang w:eastAsia="en-US"/>
              </w:rPr>
              <w:t>Value</w:t>
            </w:r>
          </w:p>
        </w:tc>
        <w:tc>
          <w:tcPr>
            <w:tcW w:w="3579" w:type="pct"/>
            <w:tcBorders>
              <w:top w:val="single" w:sz="6" w:space="0" w:color="auto"/>
              <w:left w:val="single" w:sz="6" w:space="0" w:color="auto"/>
              <w:bottom w:val="single" w:sz="6" w:space="0" w:color="auto"/>
              <w:right w:val="single" w:sz="6" w:space="0" w:color="auto"/>
            </w:tcBorders>
          </w:tcPr>
          <w:p w14:paraId="3AC385A0" w14:textId="77777777" w:rsidR="00715919" w:rsidRPr="00FD2055" w:rsidRDefault="00715919" w:rsidP="00715919">
            <w:pPr>
              <w:rPr>
                <w:rFonts w:eastAsia="Calibri"/>
                <w:lang w:eastAsia="en-US"/>
              </w:rPr>
            </w:pPr>
            <w:r w:rsidRPr="00CB4B3F">
              <w:rPr>
                <w:rFonts w:eastAsia="Calibri"/>
                <w:lang w:eastAsia="en-US"/>
              </w:rPr>
              <w:t>Biocidal product not classified for acute dermal toxicity according to (EU) nr. 1272/2008</w:t>
            </w:r>
          </w:p>
        </w:tc>
      </w:tr>
      <w:tr w:rsidR="00715919" w:rsidRPr="00FD2055" w14:paraId="46B1A5AD" w14:textId="77777777" w:rsidTr="00715919">
        <w:tc>
          <w:tcPr>
            <w:tcW w:w="1421" w:type="pct"/>
            <w:tcBorders>
              <w:top w:val="single" w:sz="6" w:space="0" w:color="auto"/>
              <w:left w:val="single" w:sz="4" w:space="0" w:color="auto"/>
              <w:bottom w:val="single" w:sz="6" w:space="0" w:color="auto"/>
              <w:right w:val="single" w:sz="6" w:space="0" w:color="auto"/>
            </w:tcBorders>
            <w:shd w:val="clear" w:color="auto" w:fill="auto"/>
          </w:tcPr>
          <w:p w14:paraId="263CED8B" w14:textId="77777777" w:rsidR="00715919" w:rsidRPr="00FD2055" w:rsidRDefault="00715919" w:rsidP="00715919">
            <w:pPr>
              <w:rPr>
                <w:rFonts w:eastAsia="Calibri"/>
                <w:lang w:eastAsia="en-US"/>
              </w:rPr>
            </w:pPr>
            <w:r w:rsidRPr="00FD2055">
              <w:rPr>
                <w:rFonts w:eastAsia="Calibri"/>
                <w:lang w:eastAsia="en-US"/>
              </w:rPr>
              <w:t>Justification for the selected value</w:t>
            </w:r>
          </w:p>
        </w:tc>
        <w:tc>
          <w:tcPr>
            <w:tcW w:w="3579" w:type="pct"/>
            <w:tcBorders>
              <w:top w:val="single" w:sz="6" w:space="0" w:color="auto"/>
              <w:left w:val="single" w:sz="6" w:space="0" w:color="auto"/>
              <w:bottom w:val="single" w:sz="6" w:space="0" w:color="auto"/>
              <w:right w:val="single" w:sz="6" w:space="0" w:color="auto"/>
            </w:tcBorders>
          </w:tcPr>
          <w:p w14:paraId="0A71B176" w14:textId="77777777" w:rsidR="00715919" w:rsidRPr="00FD2055" w:rsidRDefault="00715919" w:rsidP="00715919">
            <w:pPr>
              <w:rPr>
                <w:rFonts w:eastAsia="Calibri"/>
                <w:lang w:eastAsia="en-US"/>
              </w:rPr>
            </w:pPr>
            <w:r w:rsidRPr="00D23E7F">
              <w:rPr>
                <w:rFonts w:eastAsia="Calibri"/>
                <w:lang w:eastAsia="en-US"/>
              </w:rPr>
              <w:t>Test performed on similar formulation</w:t>
            </w:r>
            <w:r w:rsidRPr="0037315A">
              <w:rPr>
                <w:rFonts w:eastAsia="Calibri"/>
                <w:lang w:eastAsia="en-US"/>
              </w:rPr>
              <w:t>.</w:t>
            </w:r>
            <w:r>
              <w:rPr>
                <w:rFonts w:eastAsia="Calibri"/>
                <w:lang w:eastAsia="en-US"/>
              </w:rPr>
              <w:t xml:space="preserve"> </w:t>
            </w:r>
            <w:r w:rsidRPr="00CB4B3F">
              <w:t>In an acute dermal toxicity study, the LD</w:t>
            </w:r>
            <w:r w:rsidRPr="00CB4B3F">
              <w:rPr>
                <w:vertAlign w:val="subscript"/>
              </w:rPr>
              <w:t>50</w:t>
            </w:r>
            <w:r w:rsidRPr="00CB4B3F">
              <w:t xml:space="preserve"> of EUS26-15 Insect Repellent Spray was greater than 5000 mg/kg bw.</w:t>
            </w:r>
          </w:p>
        </w:tc>
      </w:tr>
      <w:tr w:rsidR="00715919" w:rsidRPr="00FD2055" w14:paraId="04B5FE2A" w14:textId="77777777" w:rsidTr="00715919">
        <w:tc>
          <w:tcPr>
            <w:tcW w:w="1421" w:type="pct"/>
            <w:tcBorders>
              <w:top w:val="single" w:sz="6" w:space="0" w:color="auto"/>
              <w:left w:val="single" w:sz="4" w:space="0" w:color="auto"/>
              <w:bottom w:val="single" w:sz="6" w:space="0" w:color="auto"/>
              <w:right w:val="single" w:sz="6" w:space="0" w:color="auto"/>
            </w:tcBorders>
            <w:shd w:val="clear" w:color="auto" w:fill="auto"/>
          </w:tcPr>
          <w:p w14:paraId="282DC553" w14:textId="77777777" w:rsidR="00715919" w:rsidRPr="00FD2055" w:rsidRDefault="00715919" w:rsidP="00715919">
            <w:pPr>
              <w:rPr>
                <w:rFonts w:eastAsia="Calibri"/>
                <w:lang w:eastAsia="en-US"/>
              </w:rPr>
            </w:pPr>
            <w:r w:rsidRPr="00FD2055">
              <w:rPr>
                <w:rFonts w:eastAsia="Calibri"/>
                <w:lang w:eastAsia="en-US"/>
              </w:rPr>
              <w:t>Classification of the product according to CLP and DSD</w:t>
            </w:r>
          </w:p>
        </w:tc>
        <w:tc>
          <w:tcPr>
            <w:tcW w:w="3579" w:type="pct"/>
            <w:tcBorders>
              <w:top w:val="single" w:sz="6" w:space="0" w:color="auto"/>
              <w:left w:val="single" w:sz="6" w:space="0" w:color="auto"/>
              <w:bottom w:val="single" w:sz="6" w:space="0" w:color="auto"/>
              <w:right w:val="single" w:sz="6" w:space="0" w:color="auto"/>
            </w:tcBorders>
          </w:tcPr>
          <w:p w14:paraId="7EF7D512" w14:textId="77777777" w:rsidR="00715919" w:rsidRPr="00FD2055" w:rsidRDefault="00715919" w:rsidP="00715919">
            <w:pPr>
              <w:rPr>
                <w:rFonts w:eastAsia="Calibri"/>
                <w:lang w:eastAsia="en-US"/>
              </w:rPr>
            </w:pPr>
            <w:r w:rsidRPr="00CB4B3F">
              <w:rPr>
                <w:rFonts w:eastAsia="Calibri"/>
                <w:lang w:eastAsia="en-US"/>
              </w:rPr>
              <w:t>none</w:t>
            </w:r>
          </w:p>
        </w:tc>
      </w:tr>
    </w:tbl>
    <w:p w14:paraId="54E45704" w14:textId="597FDC16" w:rsidR="00EF0FF2" w:rsidRDefault="008459ED" w:rsidP="008459ED">
      <w:pPr>
        <w:pStyle w:val="Titre5"/>
      </w:pPr>
      <w:bookmarkStart w:id="203" w:name="_Toc93326554"/>
      <w:r>
        <w:t>Information on dermal absorption</w:t>
      </w:r>
      <w:bookmarkEnd w:id="203"/>
    </w:p>
    <w:p w14:paraId="096F831F" w14:textId="77777777" w:rsidR="00B24C59" w:rsidRPr="009461FB" w:rsidRDefault="00B24C59" w:rsidP="00B24C59">
      <w:pPr>
        <w:pStyle w:val="Paragraphedeliste"/>
        <w:numPr>
          <w:ilvl w:val="0"/>
          <w:numId w:val="68"/>
        </w:numPr>
        <w:rPr>
          <w:b/>
        </w:rPr>
      </w:pPr>
      <w:r w:rsidRPr="009461FB">
        <w:rPr>
          <w:b/>
        </w:rPr>
        <w:t>FIRST AUTHORISATION – 2017 (BE CA)</w:t>
      </w:r>
    </w:p>
    <w:p w14:paraId="192B2278" w14:textId="77777777" w:rsidR="00B24C59" w:rsidRPr="00B24C59" w:rsidRDefault="00B24C59" w:rsidP="00B24C59">
      <w:pPr>
        <w:rPr>
          <w:lang w:val="en-US" w:eastAsia="en-US"/>
        </w:rPr>
      </w:pPr>
    </w:p>
    <w:p w14:paraId="56EB126A" w14:textId="4E485B95" w:rsidR="0031037A" w:rsidRPr="00A144A5" w:rsidRDefault="0031037A" w:rsidP="0031037A">
      <w:pPr>
        <w:rPr>
          <w:rFonts w:eastAsia="Calibri"/>
          <w:lang w:eastAsia="en-US"/>
        </w:rPr>
      </w:pPr>
      <w:r w:rsidRPr="00A144A5">
        <w:rPr>
          <w:rFonts w:eastAsia="Calibri"/>
          <w:lang w:eastAsia="en-US"/>
        </w:rPr>
        <w:t>In a dermal toxicokinetics/metabolism study with 5 male and 5 female human volunteers, the dermal absorption of the active substance IR3535® from a pump spray containing 20% IR3535® has been determined in parallel</w:t>
      </w:r>
      <w:r>
        <w:rPr>
          <w:rFonts w:eastAsia="Calibri"/>
          <w:lang w:eastAsia="en-US"/>
        </w:rPr>
        <w:t xml:space="preserve"> (Dekant, 2010)</w:t>
      </w:r>
      <w:r w:rsidRPr="00A144A5">
        <w:rPr>
          <w:rFonts w:eastAsia="Calibri"/>
          <w:lang w:eastAsia="en-US"/>
        </w:rPr>
        <w:t xml:space="preserve">. In this study, approx. 3 grams of the formulation were applied once to hands, arms, legs, feet, face and neck of each volunteer (ca. </w:t>
      </w:r>
      <w:r w:rsidR="00B8021A">
        <w:rPr>
          <w:rFonts w:eastAsia="Calibri"/>
          <w:lang w:eastAsia="en-US"/>
        </w:rPr>
        <w:t>64</w:t>
      </w:r>
      <w:r w:rsidRPr="00A144A5">
        <w:rPr>
          <w:rFonts w:eastAsia="Calibri"/>
          <w:lang w:eastAsia="en-US"/>
        </w:rPr>
        <w:t>% of total body area). The total amount of IR3535® and its metabolite IR3535®-free acid excreted with the urine over a period of 48 hours presented 13.3% of the dermal dose of IR3535® applied. Since IR3535® is rapidly and extensively metabolized and as IR3535®-free acid has a low molecular weight and high water solubility, it is expected that urinary excretion of IR3535®-free acid and IR3535® represents the total extent of absorption of IR3535® in humans and a distribution to organs and tissues is considered to be negligible. The results of this study have been summarized in in the active substance dossier and were assessed for the approval of IR3535®.</w:t>
      </w:r>
    </w:p>
    <w:p w14:paraId="132E3DCF" w14:textId="77777777" w:rsidR="0031037A" w:rsidRPr="00A144A5" w:rsidRDefault="0031037A" w:rsidP="0031037A">
      <w:pPr>
        <w:rPr>
          <w:rFonts w:eastAsia="Calibri"/>
          <w:lang w:eastAsia="en-US"/>
        </w:rPr>
      </w:pPr>
      <w:r w:rsidRPr="00A144A5">
        <w:rPr>
          <w:rFonts w:eastAsia="Calibri"/>
          <w:lang w:eastAsia="en-US"/>
        </w:rPr>
        <w:t>The assessment of this study resulted in an overall dermal penetration of 14% IR3535®.</w:t>
      </w:r>
    </w:p>
    <w:p w14:paraId="7005E4BF" w14:textId="77777777" w:rsidR="0031037A" w:rsidRPr="00A144A5" w:rsidRDefault="0031037A" w:rsidP="0031037A">
      <w:pPr>
        <w:rPr>
          <w:rFonts w:ascii="Times New Roman" w:eastAsia="Calibri" w:hAnsi="Times New Roman"/>
          <w:i/>
          <w:lang w:eastAsia="en-US"/>
        </w:rPr>
      </w:pPr>
      <w:r w:rsidRPr="00A144A5">
        <w:rPr>
          <w:rFonts w:eastAsia="Calibri"/>
          <w:lang w:eastAsia="en-US"/>
        </w:rPr>
        <w:t xml:space="preserve">Since the composition of Insect Repellent Pump Spray </w:t>
      </w:r>
      <w:r>
        <w:rPr>
          <w:rFonts w:eastAsia="Calibri"/>
          <w:lang w:eastAsia="en-US"/>
        </w:rPr>
        <w:t xml:space="preserve">Lice </w:t>
      </w:r>
      <w:r w:rsidRPr="00A144A5">
        <w:rPr>
          <w:rFonts w:eastAsia="Calibri"/>
          <w:lang w:eastAsia="en-US"/>
        </w:rPr>
        <w:t>IR3535</w:t>
      </w:r>
      <w:r w:rsidRPr="00407AC3">
        <w:rPr>
          <w:rFonts w:eastAsia="Calibri"/>
          <w:vertAlign w:val="superscript"/>
          <w:lang w:eastAsia="en-US"/>
        </w:rPr>
        <w:t>®</w:t>
      </w:r>
      <w:r w:rsidRPr="00A144A5">
        <w:rPr>
          <w:rFonts w:eastAsia="Calibri"/>
          <w:lang w:eastAsia="en-US"/>
        </w:rPr>
        <w:t xml:space="preserve"> 20 % is </w:t>
      </w:r>
      <w:r>
        <w:rPr>
          <w:rFonts w:eastAsia="Calibri"/>
          <w:lang w:eastAsia="en-US"/>
        </w:rPr>
        <w:t xml:space="preserve">nearly </w:t>
      </w:r>
      <w:r w:rsidRPr="00A144A5">
        <w:rPr>
          <w:rFonts w:eastAsia="Calibri"/>
          <w:lang w:eastAsia="en-US"/>
        </w:rPr>
        <w:t xml:space="preserve">identical to the product tested in the dermal toxicokinetics/metabolism study, a separate skin absorption study with the biocidal product </w:t>
      </w:r>
      <w:r w:rsidRPr="00BA5779">
        <w:rPr>
          <w:rFonts w:eastAsia="Calibri"/>
          <w:lang w:eastAsia="en-US"/>
        </w:rPr>
        <w:t>can be waived.</w:t>
      </w:r>
      <w:r w:rsidRPr="00A144A5">
        <w:rPr>
          <w:rFonts w:eastAsia="Calibri"/>
          <w:lang w:eastAsia="en-US"/>
        </w:rPr>
        <w:t xml:space="preserve"> Instead, the skin absorption of 14% for IR3535® can be applied to Insect Repellent Pump Spray </w:t>
      </w:r>
      <w:r>
        <w:rPr>
          <w:rFonts w:eastAsia="Calibri"/>
          <w:lang w:eastAsia="en-US"/>
        </w:rPr>
        <w:t xml:space="preserve">Lice </w:t>
      </w:r>
      <w:r w:rsidRPr="00A144A5">
        <w:rPr>
          <w:rFonts w:eastAsia="Calibri"/>
          <w:lang w:eastAsia="en-US"/>
        </w:rPr>
        <w:t>IR3535</w:t>
      </w:r>
      <w:r w:rsidRPr="00407AC3">
        <w:rPr>
          <w:rFonts w:eastAsia="Calibri"/>
          <w:vertAlign w:val="superscript"/>
          <w:lang w:eastAsia="en-US"/>
        </w:rPr>
        <w:t>®</w:t>
      </w:r>
      <w:r w:rsidRPr="00A144A5">
        <w:rPr>
          <w:rFonts w:eastAsia="Calibri"/>
          <w:lang w:eastAsia="en-US"/>
        </w:rPr>
        <w:t xml:space="preserve"> 20%. A </w:t>
      </w:r>
      <w:r w:rsidRPr="00A144A5">
        <w:rPr>
          <w:rFonts w:eastAsia="Calibri"/>
          <w:lang w:eastAsia="en-US"/>
        </w:rPr>
        <w:lastRenderedPageBreak/>
        <w:t xml:space="preserve">dermal penetration of 14% </w:t>
      </w:r>
      <w:r w:rsidRPr="00BA5779">
        <w:rPr>
          <w:rFonts w:eastAsia="Calibri"/>
          <w:lang w:eastAsia="en-US"/>
        </w:rPr>
        <w:t>will be</w:t>
      </w:r>
      <w:r w:rsidRPr="00A144A5">
        <w:rPr>
          <w:rFonts w:eastAsia="Calibri"/>
          <w:lang w:eastAsia="en-US"/>
        </w:rPr>
        <w:t xml:space="preserve"> used in the human exposure assessments for the intended use of the biocidal product.</w:t>
      </w:r>
    </w:p>
    <w:p w14:paraId="2D255638" w14:textId="77777777" w:rsidR="0031037A" w:rsidRPr="00A144A5" w:rsidRDefault="0031037A" w:rsidP="0031037A">
      <w:pPr>
        <w:rPr>
          <w:rFonts w:ascii="Times New Roman" w:eastAsia="Calibri" w:hAnsi="Times New Roman"/>
          <w:i/>
          <w:lang w:eastAsia="en-US"/>
        </w:rPr>
      </w:pPr>
    </w:p>
    <w:p w14:paraId="0C696C4D" w14:textId="77777777" w:rsidR="0031037A" w:rsidRPr="00A144A5" w:rsidRDefault="0031037A" w:rsidP="0031037A">
      <w:pPr>
        <w:rPr>
          <w:rFonts w:cs="36jii"/>
          <w:lang w:val="en-US" w:eastAsia="fr-BE"/>
        </w:rPr>
      </w:pPr>
      <w:r w:rsidRPr="00A144A5">
        <w:rPr>
          <w:rFonts w:cs="36jii"/>
          <w:lang w:val="en-US" w:eastAsia="fr-BE"/>
        </w:rPr>
        <w:t>See IUCLID datapoint 8.6 Dermal absorption Endpoint study record: Dermal absorption.001.</w:t>
      </w:r>
    </w:p>
    <w:p w14:paraId="436C842A" w14:textId="77777777" w:rsidR="008459ED" w:rsidRPr="00FD2055" w:rsidRDefault="008459ED" w:rsidP="008F144D">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91"/>
        <w:gridCol w:w="6664"/>
        <w:gridCol w:w="222"/>
        <w:gridCol w:w="222"/>
      </w:tblGrid>
      <w:tr w:rsidR="008459ED" w:rsidRPr="008F144D" w14:paraId="50CBF588" w14:textId="77777777" w:rsidTr="0031037A">
        <w:tc>
          <w:tcPr>
            <w:tcW w:w="5000" w:type="pct"/>
            <w:gridSpan w:val="4"/>
            <w:tcBorders>
              <w:top w:val="single" w:sz="4" w:space="0" w:color="auto"/>
              <w:left w:val="single" w:sz="4" w:space="0" w:color="auto"/>
              <w:bottom w:val="single" w:sz="6" w:space="0" w:color="auto"/>
              <w:right w:val="single" w:sz="6" w:space="0" w:color="auto"/>
            </w:tcBorders>
            <w:shd w:val="clear" w:color="auto" w:fill="CCFFCC"/>
          </w:tcPr>
          <w:p w14:paraId="35170FF5" w14:textId="77777777" w:rsidR="008459ED" w:rsidRPr="008F144D" w:rsidRDefault="008459ED" w:rsidP="00F07537">
            <w:pPr>
              <w:keepNext/>
              <w:rPr>
                <w:rFonts w:eastAsia="Calibri"/>
                <w:b/>
                <w:lang w:eastAsia="en-US"/>
              </w:rPr>
            </w:pPr>
            <w:r w:rsidRPr="008F144D">
              <w:rPr>
                <w:rFonts w:eastAsia="Calibri"/>
                <w:b/>
                <w:lang w:eastAsia="en-US"/>
              </w:rPr>
              <w:t>Value(s) used in the Risk Assessment – Dermal absorption</w:t>
            </w:r>
          </w:p>
        </w:tc>
      </w:tr>
      <w:tr w:rsidR="0031037A" w:rsidRPr="00FD2055" w14:paraId="6D9238D7" w14:textId="77777777" w:rsidTr="00825C08">
        <w:tc>
          <w:tcPr>
            <w:tcW w:w="1219" w:type="pct"/>
            <w:tcBorders>
              <w:top w:val="single" w:sz="6" w:space="0" w:color="auto"/>
              <w:left w:val="single" w:sz="4" w:space="0" w:color="auto"/>
              <w:bottom w:val="single" w:sz="6" w:space="0" w:color="auto"/>
              <w:right w:val="single" w:sz="6" w:space="0" w:color="auto"/>
            </w:tcBorders>
            <w:shd w:val="clear" w:color="auto" w:fill="auto"/>
          </w:tcPr>
          <w:p w14:paraId="3B973FD8" w14:textId="77777777" w:rsidR="0031037A" w:rsidRPr="00FD2055" w:rsidRDefault="0031037A" w:rsidP="00F07537">
            <w:pPr>
              <w:keepNext/>
              <w:rPr>
                <w:rFonts w:eastAsia="Calibri"/>
                <w:lang w:eastAsia="en-US"/>
              </w:rPr>
            </w:pPr>
            <w:r w:rsidRPr="00FD2055">
              <w:rPr>
                <w:rFonts w:eastAsia="Calibri"/>
                <w:lang w:eastAsia="en-US"/>
              </w:rPr>
              <w:t>Substance</w:t>
            </w:r>
          </w:p>
        </w:tc>
        <w:tc>
          <w:tcPr>
            <w:tcW w:w="3545" w:type="pct"/>
            <w:tcBorders>
              <w:top w:val="single" w:sz="6" w:space="0" w:color="auto"/>
              <w:left w:val="single" w:sz="6" w:space="0" w:color="auto"/>
              <w:bottom w:val="single" w:sz="6" w:space="0" w:color="auto"/>
              <w:right w:val="single" w:sz="4" w:space="0" w:color="auto"/>
            </w:tcBorders>
          </w:tcPr>
          <w:p w14:paraId="3479085A" w14:textId="77777777" w:rsidR="0031037A" w:rsidRPr="00FD2055" w:rsidRDefault="0031037A" w:rsidP="00F07537">
            <w:pPr>
              <w:keepNext/>
              <w:rPr>
                <w:rFonts w:eastAsia="Calibri"/>
                <w:lang w:eastAsia="en-US"/>
              </w:rPr>
            </w:pPr>
            <w:r w:rsidRPr="001579BE">
              <w:rPr>
                <w:rFonts w:eastAsia="Calibri"/>
                <w:iCs/>
                <w:lang w:eastAsia="en-US"/>
              </w:rPr>
              <w:t xml:space="preserve">Insect Repellent Pump Spray </w:t>
            </w:r>
            <w:r>
              <w:rPr>
                <w:rFonts w:eastAsia="Calibri"/>
                <w:iCs/>
                <w:lang w:eastAsia="en-US"/>
              </w:rPr>
              <w:t xml:space="preserve">Lice </w:t>
            </w:r>
            <w:r w:rsidRPr="001579BE">
              <w:rPr>
                <w:rFonts w:eastAsia="Calibri"/>
                <w:iCs/>
                <w:lang w:eastAsia="en-US"/>
              </w:rPr>
              <w:t>IR3535</w:t>
            </w:r>
            <w:r w:rsidRPr="00407AC3">
              <w:rPr>
                <w:rFonts w:eastAsia="Calibri"/>
                <w:iCs/>
                <w:vertAlign w:val="superscript"/>
                <w:lang w:eastAsia="en-US"/>
              </w:rPr>
              <w:t>®</w:t>
            </w:r>
            <w:r w:rsidRPr="001579BE">
              <w:rPr>
                <w:rFonts w:eastAsia="Calibri"/>
                <w:iCs/>
                <w:lang w:eastAsia="en-US"/>
              </w:rPr>
              <w:t xml:space="preserve"> 20%</w:t>
            </w:r>
          </w:p>
        </w:tc>
        <w:tc>
          <w:tcPr>
            <w:tcW w:w="118" w:type="pct"/>
            <w:tcBorders>
              <w:top w:val="single" w:sz="6" w:space="0" w:color="auto"/>
              <w:left w:val="single" w:sz="4" w:space="0" w:color="auto"/>
              <w:bottom w:val="single" w:sz="6" w:space="0" w:color="auto"/>
              <w:right w:val="single" w:sz="4" w:space="0" w:color="auto"/>
            </w:tcBorders>
          </w:tcPr>
          <w:p w14:paraId="22423818" w14:textId="77777777" w:rsidR="0031037A" w:rsidRPr="00FD2055" w:rsidRDefault="0031037A" w:rsidP="00F07537">
            <w:pPr>
              <w:keepNext/>
              <w:rPr>
                <w:rFonts w:eastAsia="Calibri"/>
                <w:lang w:eastAsia="en-US"/>
              </w:rPr>
            </w:pPr>
          </w:p>
        </w:tc>
        <w:tc>
          <w:tcPr>
            <w:tcW w:w="118" w:type="pct"/>
            <w:tcBorders>
              <w:top w:val="single" w:sz="6" w:space="0" w:color="auto"/>
              <w:left w:val="single" w:sz="4" w:space="0" w:color="auto"/>
              <w:bottom w:val="single" w:sz="6" w:space="0" w:color="auto"/>
              <w:right w:val="single" w:sz="6" w:space="0" w:color="auto"/>
            </w:tcBorders>
          </w:tcPr>
          <w:p w14:paraId="616EAA90" w14:textId="77777777" w:rsidR="0031037A" w:rsidRPr="00FD2055" w:rsidRDefault="0031037A" w:rsidP="00F07537">
            <w:pPr>
              <w:keepNext/>
              <w:rPr>
                <w:rFonts w:eastAsia="Calibri"/>
                <w:lang w:eastAsia="en-US"/>
              </w:rPr>
            </w:pPr>
          </w:p>
        </w:tc>
      </w:tr>
      <w:tr w:rsidR="0031037A" w:rsidRPr="00FD2055" w14:paraId="1F85DE68" w14:textId="77777777" w:rsidTr="00825C08">
        <w:tc>
          <w:tcPr>
            <w:tcW w:w="1219" w:type="pct"/>
            <w:tcBorders>
              <w:top w:val="single" w:sz="6" w:space="0" w:color="auto"/>
              <w:left w:val="single" w:sz="4" w:space="0" w:color="auto"/>
              <w:bottom w:val="single" w:sz="6" w:space="0" w:color="auto"/>
              <w:right w:val="single" w:sz="6" w:space="0" w:color="auto"/>
            </w:tcBorders>
            <w:shd w:val="clear" w:color="auto" w:fill="auto"/>
          </w:tcPr>
          <w:p w14:paraId="1D9B8AD7" w14:textId="77777777" w:rsidR="0031037A" w:rsidRPr="00FD2055" w:rsidRDefault="0031037A" w:rsidP="00F07537">
            <w:pPr>
              <w:keepNext/>
              <w:rPr>
                <w:rFonts w:eastAsia="Calibri"/>
                <w:lang w:eastAsia="en-US"/>
              </w:rPr>
            </w:pPr>
            <w:r w:rsidRPr="00FD2055">
              <w:rPr>
                <w:rFonts w:eastAsia="Calibri"/>
                <w:lang w:eastAsia="en-US"/>
              </w:rPr>
              <w:t>Value(s)*</w:t>
            </w:r>
          </w:p>
        </w:tc>
        <w:tc>
          <w:tcPr>
            <w:tcW w:w="3545" w:type="pct"/>
            <w:tcBorders>
              <w:top w:val="single" w:sz="6" w:space="0" w:color="auto"/>
              <w:left w:val="single" w:sz="6" w:space="0" w:color="auto"/>
              <w:bottom w:val="single" w:sz="6" w:space="0" w:color="auto"/>
              <w:right w:val="single" w:sz="4" w:space="0" w:color="auto"/>
            </w:tcBorders>
          </w:tcPr>
          <w:p w14:paraId="732A21F5" w14:textId="77777777" w:rsidR="0031037A" w:rsidRPr="00FD2055" w:rsidRDefault="0031037A" w:rsidP="00F07537">
            <w:pPr>
              <w:keepNext/>
              <w:rPr>
                <w:rFonts w:eastAsia="Calibri"/>
                <w:lang w:eastAsia="en-US"/>
              </w:rPr>
            </w:pPr>
            <w:r w:rsidRPr="001579BE">
              <w:rPr>
                <w:rFonts w:eastAsia="Calibri"/>
                <w:lang w:eastAsia="en-US"/>
              </w:rPr>
              <w:t>14%</w:t>
            </w:r>
          </w:p>
        </w:tc>
        <w:tc>
          <w:tcPr>
            <w:tcW w:w="118" w:type="pct"/>
            <w:tcBorders>
              <w:top w:val="single" w:sz="6" w:space="0" w:color="auto"/>
              <w:left w:val="single" w:sz="4" w:space="0" w:color="auto"/>
              <w:bottom w:val="single" w:sz="6" w:space="0" w:color="auto"/>
              <w:right w:val="single" w:sz="4" w:space="0" w:color="auto"/>
            </w:tcBorders>
          </w:tcPr>
          <w:p w14:paraId="3265BBA0" w14:textId="77777777" w:rsidR="0031037A" w:rsidRPr="00FD2055" w:rsidRDefault="0031037A" w:rsidP="00F07537">
            <w:pPr>
              <w:keepNext/>
              <w:rPr>
                <w:rFonts w:eastAsia="Calibri"/>
                <w:lang w:eastAsia="en-US"/>
              </w:rPr>
            </w:pPr>
          </w:p>
        </w:tc>
        <w:tc>
          <w:tcPr>
            <w:tcW w:w="118" w:type="pct"/>
            <w:tcBorders>
              <w:top w:val="single" w:sz="6" w:space="0" w:color="auto"/>
              <w:left w:val="single" w:sz="4" w:space="0" w:color="auto"/>
              <w:bottom w:val="single" w:sz="6" w:space="0" w:color="auto"/>
              <w:right w:val="single" w:sz="6" w:space="0" w:color="auto"/>
            </w:tcBorders>
          </w:tcPr>
          <w:p w14:paraId="03DBBA47" w14:textId="77777777" w:rsidR="0031037A" w:rsidRPr="00FD2055" w:rsidRDefault="0031037A" w:rsidP="00F07537">
            <w:pPr>
              <w:keepNext/>
              <w:rPr>
                <w:rFonts w:eastAsia="Calibri"/>
                <w:lang w:eastAsia="en-US"/>
              </w:rPr>
            </w:pPr>
          </w:p>
        </w:tc>
      </w:tr>
      <w:tr w:rsidR="0031037A" w:rsidRPr="00FD2055" w14:paraId="739DB072" w14:textId="77777777" w:rsidTr="00825C08">
        <w:tc>
          <w:tcPr>
            <w:tcW w:w="1219" w:type="pct"/>
            <w:tcBorders>
              <w:top w:val="single" w:sz="6" w:space="0" w:color="auto"/>
              <w:left w:val="single" w:sz="4" w:space="0" w:color="auto"/>
              <w:bottom w:val="single" w:sz="6" w:space="0" w:color="auto"/>
              <w:right w:val="single" w:sz="6" w:space="0" w:color="auto"/>
            </w:tcBorders>
            <w:shd w:val="clear" w:color="auto" w:fill="auto"/>
          </w:tcPr>
          <w:p w14:paraId="6DB2007D" w14:textId="77777777" w:rsidR="0031037A" w:rsidRPr="00FD2055" w:rsidRDefault="0031037A" w:rsidP="00F07537">
            <w:pPr>
              <w:keepNext/>
              <w:rPr>
                <w:rFonts w:eastAsia="Calibri"/>
                <w:lang w:eastAsia="en-US"/>
              </w:rPr>
            </w:pPr>
            <w:r w:rsidRPr="00FD2055">
              <w:rPr>
                <w:rFonts w:eastAsia="Calibri"/>
                <w:lang w:eastAsia="en-US"/>
              </w:rPr>
              <w:t>Justification for the selected value(s)</w:t>
            </w:r>
          </w:p>
        </w:tc>
        <w:tc>
          <w:tcPr>
            <w:tcW w:w="3545" w:type="pct"/>
            <w:tcBorders>
              <w:top w:val="single" w:sz="6" w:space="0" w:color="auto"/>
              <w:left w:val="single" w:sz="6" w:space="0" w:color="auto"/>
              <w:bottom w:val="single" w:sz="6" w:space="0" w:color="auto"/>
              <w:right w:val="single" w:sz="4" w:space="0" w:color="auto"/>
            </w:tcBorders>
          </w:tcPr>
          <w:p w14:paraId="60C9AAE7" w14:textId="77777777" w:rsidR="0031037A" w:rsidRPr="00FD2055" w:rsidRDefault="0031037A" w:rsidP="00F07537">
            <w:pPr>
              <w:keepNext/>
              <w:rPr>
                <w:rFonts w:eastAsia="Calibri"/>
                <w:lang w:eastAsia="en-US"/>
              </w:rPr>
            </w:pPr>
            <w:r>
              <w:rPr>
                <w:rFonts w:eastAsia="Calibri"/>
                <w:lang w:eastAsia="en-US"/>
              </w:rPr>
              <w:t>Read-across from h</w:t>
            </w:r>
            <w:r w:rsidRPr="001579BE">
              <w:rPr>
                <w:rFonts w:eastAsia="Calibri"/>
                <w:lang w:eastAsia="en-US"/>
              </w:rPr>
              <w:t>uman volunteer study on a water/ethanol-based 20 % IR3535® formulation</w:t>
            </w:r>
            <w:r>
              <w:rPr>
                <w:rFonts w:eastAsia="Calibri"/>
                <w:lang w:eastAsia="en-US"/>
              </w:rPr>
              <w:t xml:space="preserve"> (Dekant, 2010)</w:t>
            </w:r>
          </w:p>
        </w:tc>
        <w:tc>
          <w:tcPr>
            <w:tcW w:w="118" w:type="pct"/>
            <w:tcBorders>
              <w:top w:val="single" w:sz="6" w:space="0" w:color="auto"/>
              <w:left w:val="single" w:sz="4" w:space="0" w:color="auto"/>
              <w:bottom w:val="single" w:sz="6" w:space="0" w:color="auto"/>
              <w:right w:val="single" w:sz="4" w:space="0" w:color="auto"/>
            </w:tcBorders>
          </w:tcPr>
          <w:p w14:paraId="33AE448C" w14:textId="77777777" w:rsidR="0031037A" w:rsidRPr="00FD2055" w:rsidRDefault="0031037A" w:rsidP="00F07537">
            <w:pPr>
              <w:keepNext/>
              <w:rPr>
                <w:rFonts w:eastAsia="Calibri"/>
                <w:lang w:eastAsia="en-US"/>
              </w:rPr>
            </w:pPr>
          </w:p>
        </w:tc>
        <w:tc>
          <w:tcPr>
            <w:tcW w:w="118" w:type="pct"/>
            <w:tcBorders>
              <w:top w:val="single" w:sz="6" w:space="0" w:color="auto"/>
              <w:left w:val="single" w:sz="4" w:space="0" w:color="auto"/>
              <w:bottom w:val="single" w:sz="6" w:space="0" w:color="auto"/>
              <w:right w:val="single" w:sz="6" w:space="0" w:color="auto"/>
            </w:tcBorders>
          </w:tcPr>
          <w:p w14:paraId="3F888687" w14:textId="77777777" w:rsidR="0031037A" w:rsidRPr="00FD2055" w:rsidRDefault="0031037A" w:rsidP="00F07537">
            <w:pPr>
              <w:keepNext/>
              <w:rPr>
                <w:rFonts w:eastAsia="Calibri"/>
                <w:lang w:eastAsia="en-US"/>
              </w:rPr>
            </w:pPr>
          </w:p>
        </w:tc>
      </w:tr>
    </w:tbl>
    <w:p w14:paraId="460975D6" w14:textId="77777777" w:rsidR="00825C08" w:rsidRDefault="00825C08"/>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7"/>
        <w:gridCol w:w="7382"/>
      </w:tblGrid>
      <w:tr w:rsidR="00825C08" w:rsidRPr="008F144D" w14:paraId="64290ECA" w14:textId="77777777" w:rsidTr="00825C08">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8411756" w14:textId="77777777" w:rsidR="00825C08" w:rsidRPr="008F144D" w:rsidRDefault="00825C08" w:rsidP="00825C08">
            <w:pPr>
              <w:rPr>
                <w:rFonts w:eastAsia="Calibri"/>
                <w:b/>
                <w:lang w:eastAsia="en-US"/>
              </w:rPr>
            </w:pPr>
            <w:r w:rsidRPr="008F144D">
              <w:rPr>
                <w:rFonts w:eastAsia="Calibri"/>
                <w:b/>
                <w:lang w:eastAsia="en-US"/>
              </w:rPr>
              <w:t>Data waiving</w:t>
            </w:r>
          </w:p>
        </w:tc>
      </w:tr>
      <w:tr w:rsidR="00825C08" w:rsidRPr="00FD2055" w14:paraId="222342DF" w14:textId="77777777" w:rsidTr="00825C08">
        <w:tc>
          <w:tcPr>
            <w:tcW w:w="1073" w:type="pct"/>
            <w:tcBorders>
              <w:top w:val="single" w:sz="6" w:space="0" w:color="auto"/>
              <w:left w:val="single" w:sz="4" w:space="0" w:color="auto"/>
              <w:bottom w:val="single" w:sz="6" w:space="0" w:color="auto"/>
              <w:right w:val="single" w:sz="6" w:space="0" w:color="auto"/>
            </w:tcBorders>
            <w:shd w:val="clear" w:color="auto" w:fill="auto"/>
          </w:tcPr>
          <w:p w14:paraId="16293F57" w14:textId="77777777" w:rsidR="00825C08" w:rsidRPr="00FD2055" w:rsidRDefault="00825C08" w:rsidP="00825C08">
            <w:pPr>
              <w:rPr>
                <w:rFonts w:eastAsia="Calibri"/>
                <w:lang w:eastAsia="en-US"/>
              </w:rPr>
            </w:pPr>
            <w:r w:rsidRPr="00FD2055">
              <w:rPr>
                <w:rFonts w:eastAsia="Calibri"/>
                <w:lang w:eastAsia="en-US"/>
              </w:rPr>
              <w:t>Information requirement</w:t>
            </w:r>
          </w:p>
        </w:tc>
        <w:tc>
          <w:tcPr>
            <w:tcW w:w="3927" w:type="pct"/>
            <w:tcBorders>
              <w:top w:val="single" w:sz="6" w:space="0" w:color="auto"/>
              <w:left w:val="single" w:sz="6" w:space="0" w:color="auto"/>
              <w:bottom w:val="single" w:sz="6" w:space="0" w:color="auto"/>
              <w:right w:val="single" w:sz="6" w:space="0" w:color="auto"/>
            </w:tcBorders>
          </w:tcPr>
          <w:p w14:paraId="476FABEB" w14:textId="77777777" w:rsidR="00825C08" w:rsidRPr="00FD2055" w:rsidRDefault="00825C08" w:rsidP="00825C08">
            <w:pPr>
              <w:rPr>
                <w:rFonts w:eastAsia="Calibri"/>
                <w:lang w:eastAsia="en-US"/>
              </w:rPr>
            </w:pPr>
            <w:r w:rsidRPr="00C53CBB">
              <w:rPr>
                <w:rFonts w:eastAsia="Calibri"/>
                <w:lang w:eastAsia="en-US"/>
              </w:rPr>
              <w:t xml:space="preserve">Skin absorption study </w:t>
            </w:r>
          </w:p>
        </w:tc>
      </w:tr>
      <w:tr w:rsidR="00825C08" w:rsidRPr="00FD2055" w14:paraId="78435F24" w14:textId="77777777" w:rsidTr="00825C08">
        <w:tc>
          <w:tcPr>
            <w:tcW w:w="1073" w:type="pct"/>
            <w:tcBorders>
              <w:top w:val="single" w:sz="6" w:space="0" w:color="auto"/>
              <w:left w:val="single" w:sz="4" w:space="0" w:color="auto"/>
              <w:bottom w:val="single" w:sz="6" w:space="0" w:color="auto"/>
              <w:right w:val="single" w:sz="6" w:space="0" w:color="auto"/>
            </w:tcBorders>
            <w:shd w:val="clear" w:color="auto" w:fill="auto"/>
          </w:tcPr>
          <w:p w14:paraId="3DC91916" w14:textId="77777777" w:rsidR="00825C08" w:rsidRPr="00FD2055" w:rsidRDefault="00825C08" w:rsidP="00825C08">
            <w:pPr>
              <w:rPr>
                <w:rFonts w:eastAsia="Calibri"/>
                <w:lang w:eastAsia="en-US"/>
              </w:rPr>
            </w:pPr>
            <w:r w:rsidRPr="00FD2055">
              <w:rPr>
                <w:rFonts w:eastAsia="Calibri"/>
                <w:lang w:eastAsia="en-US"/>
              </w:rPr>
              <w:t>Justification</w:t>
            </w:r>
          </w:p>
        </w:tc>
        <w:tc>
          <w:tcPr>
            <w:tcW w:w="3927" w:type="pct"/>
            <w:tcBorders>
              <w:top w:val="single" w:sz="6" w:space="0" w:color="auto"/>
              <w:left w:val="single" w:sz="6" w:space="0" w:color="auto"/>
              <w:bottom w:val="single" w:sz="6" w:space="0" w:color="auto"/>
              <w:right w:val="single" w:sz="6" w:space="0" w:color="auto"/>
            </w:tcBorders>
          </w:tcPr>
          <w:p w14:paraId="66D4440C" w14:textId="77777777" w:rsidR="00825C08" w:rsidRPr="00FD2055" w:rsidRDefault="00825C08" w:rsidP="00825C08">
            <w:pPr>
              <w:rPr>
                <w:rFonts w:eastAsia="Calibri"/>
                <w:lang w:eastAsia="en-US"/>
              </w:rPr>
            </w:pPr>
            <w:r>
              <w:rPr>
                <w:rFonts w:eastAsia="Calibri"/>
                <w:lang w:eastAsia="en-US"/>
              </w:rPr>
              <w:t>Read-across from human</w:t>
            </w:r>
            <w:r w:rsidRPr="00C53CBB">
              <w:rPr>
                <w:rFonts w:eastAsia="Calibri"/>
                <w:lang w:eastAsia="en-US"/>
              </w:rPr>
              <w:t xml:space="preserve"> volunteer study on a water/ethanol-based 20 % IR3535® formulation</w:t>
            </w:r>
          </w:p>
        </w:tc>
      </w:tr>
    </w:tbl>
    <w:p w14:paraId="03870997" w14:textId="77777777" w:rsidR="008459ED" w:rsidRDefault="008459ED" w:rsidP="008D7EDC">
      <w:pPr>
        <w:shd w:val="clear" w:color="auto" w:fill="FFFFFF" w:themeFill="background1"/>
        <w:rPr>
          <w:rFonts w:eastAsia="Calibri"/>
          <w:lang w:eastAsia="en-US"/>
        </w:rPr>
      </w:pPr>
    </w:p>
    <w:p w14:paraId="74D02271" w14:textId="77777777" w:rsidR="00B24C59" w:rsidRPr="008D7EDC" w:rsidRDefault="00B24C59" w:rsidP="008D7EDC">
      <w:pPr>
        <w:pStyle w:val="Paragraphedeliste"/>
        <w:numPr>
          <w:ilvl w:val="0"/>
          <w:numId w:val="68"/>
        </w:numPr>
        <w:shd w:val="clear" w:color="auto" w:fill="FFFFFF" w:themeFill="background1"/>
        <w:rPr>
          <w:rFonts w:eastAsia="Calibri"/>
          <w:b/>
          <w:lang w:eastAsia="en-US"/>
        </w:rPr>
      </w:pPr>
      <w:r>
        <w:rPr>
          <w:lang w:eastAsia="en-US"/>
        </w:rPr>
        <w:tab/>
      </w:r>
      <w:r w:rsidRPr="008D7EDC">
        <w:rPr>
          <w:rFonts w:eastAsia="Calibri"/>
          <w:b/>
          <w:lang w:eastAsia="en-US"/>
        </w:rPr>
        <w:t>MAJOR CHANGE FOR SPRAY REPULSIF IR200 – 2019 (FR CA)</w:t>
      </w:r>
    </w:p>
    <w:p w14:paraId="047F3E70" w14:textId="77777777" w:rsidR="00780E5B" w:rsidRPr="007E29F8" w:rsidRDefault="00780E5B" w:rsidP="008D7EDC">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spacing w:val="1"/>
          <w:lang w:eastAsia="fr-FR"/>
        </w:rPr>
      </w:pPr>
      <w:r>
        <w:rPr>
          <w:rFonts w:cs="Arial"/>
          <w:spacing w:val="1"/>
          <w:lang w:eastAsia="fr-FR"/>
        </w:rPr>
        <w:t>The major change has no impact on the dermal absorption and the classification</w:t>
      </w:r>
      <w:r w:rsidRPr="007E29F8">
        <w:rPr>
          <w:rFonts w:cs="Arial"/>
          <w:spacing w:val="1"/>
          <w:lang w:eastAsia="fr-FR"/>
        </w:rPr>
        <w:t>.</w:t>
      </w:r>
    </w:p>
    <w:p w14:paraId="1772E03F" w14:textId="176654B0" w:rsidR="00825C08" w:rsidRPr="00FD2055" w:rsidRDefault="00825C08" w:rsidP="008D7EDC">
      <w:pPr>
        <w:shd w:val="clear" w:color="auto" w:fill="FFFFFF" w:themeFill="background1"/>
        <w:rPr>
          <w:rFonts w:eastAsia="Calibri"/>
          <w:lang w:eastAsia="en-US"/>
        </w:rPr>
      </w:pPr>
    </w:p>
    <w:p w14:paraId="1756B856" w14:textId="5DBD59F1" w:rsidR="00653427" w:rsidRDefault="00957052" w:rsidP="008D7EDC">
      <w:pPr>
        <w:pStyle w:val="Titre5"/>
        <w:shd w:val="clear" w:color="auto" w:fill="FFFFFF" w:themeFill="background1"/>
      </w:pPr>
      <w:bookmarkStart w:id="204" w:name="_Toc93326555"/>
      <w:r>
        <w:t xml:space="preserve">Available toxicological data relating to </w:t>
      </w:r>
      <w:r w:rsidR="006C0848">
        <w:t>non-active</w:t>
      </w:r>
      <w:r>
        <w:t xml:space="preserve"> substance(s) (i.e. substance(s) of concern)</w:t>
      </w:r>
      <w:bookmarkEnd w:id="204"/>
    </w:p>
    <w:p w14:paraId="44306BC9" w14:textId="144EBE8E" w:rsidR="00C41691" w:rsidRDefault="00C41691" w:rsidP="008D7EDC">
      <w:pPr>
        <w:shd w:val="clear" w:color="auto" w:fill="FFFFFF" w:themeFill="background1"/>
        <w:rPr>
          <w:lang w:val="en-US" w:eastAsia="en-US"/>
        </w:rPr>
      </w:pPr>
    </w:p>
    <w:p w14:paraId="552B995D" w14:textId="77777777" w:rsidR="00C41691" w:rsidRPr="009461FB" w:rsidRDefault="00C41691" w:rsidP="008D7EDC">
      <w:pPr>
        <w:pStyle w:val="Paragraphedeliste"/>
        <w:numPr>
          <w:ilvl w:val="0"/>
          <w:numId w:val="68"/>
        </w:numPr>
        <w:shd w:val="clear" w:color="auto" w:fill="FFFFFF" w:themeFill="background1"/>
        <w:rPr>
          <w:b/>
        </w:rPr>
      </w:pPr>
      <w:r w:rsidRPr="009461FB">
        <w:rPr>
          <w:b/>
        </w:rPr>
        <w:t>FIRST AUTHORISATION – 2017 (BE CA)</w:t>
      </w:r>
    </w:p>
    <w:p w14:paraId="2BF0FED1" w14:textId="77777777" w:rsidR="00C41691" w:rsidRPr="00C41691" w:rsidRDefault="00C41691" w:rsidP="008D7EDC">
      <w:pPr>
        <w:shd w:val="clear" w:color="auto" w:fill="FFFFFF" w:themeFill="background1"/>
        <w:rPr>
          <w:lang w:val="en-US" w:eastAsia="en-US"/>
        </w:rPr>
      </w:pPr>
    </w:p>
    <w:p w14:paraId="74EA70D0" w14:textId="1107EB6F" w:rsidR="00224DD4" w:rsidRDefault="00224DD4" w:rsidP="008D7EDC">
      <w:pPr>
        <w:shd w:val="clear" w:color="auto" w:fill="FFFFFF" w:themeFill="background1"/>
        <w:rPr>
          <w:lang w:val="en-US" w:eastAsia="fr-BE"/>
        </w:rPr>
      </w:pPr>
      <w:r w:rsidRPr="009759BF">
        <w:rPr>
          <w:lang w:val="en-US" w:eastAsia="fr-BE"/>
        </w:rPr>
        <w:t>There are valid data available on each of the components in the mixture sufficient to allow classification of the mixture according to the rules laid down in Directive 1999/45/EC and Regulation (EC) No 1272/2008 (CLP), and synergistic effects between any of the components are not expected.</w:t>
      </w:r>
    </w:p>
    <w:p w14:paraId="77DFBA7E" w14:textId="77777777" w:rsidR="00B24C59" w:rsidRDefault="00B24C59" w:rsidP="008D7EDC">
      <w:pPr>
        <w:shd w:val="clear" w:color="auto" w:fill="FFFFFF" w:themeFill="background1"/>
        <w:rPr>
          <w:lang w:val="en-US" w:eastAsia="fr-BE"/>
        </w:rPr>
      </w:pPr>
    </w:p>
    <w:p w14:paraId="3DC31A5C" w14:textId="77777777" w:rsidR="00B24C59" w:rsidRPr="008D7EDC" w:rsidRDefault="00B24C59" w:rsidP="008D7EDC">
      <w:pPr>
        <w:pStyle w:val="Paragraphedeliste"/>
        <w:numPr>
          <w:ilvl w:val="0"/>
          <w:numId w:val="68"/>
        </w:numPr>
        <w:shd w:val="clear" w:color="auto" w:fill="FFFFFF" w:themeFill="background1"/>
        <w:rPr>
          <w:rFonts w:eastAsia="Calibri"/>
          <w:b/>
          <w:lang w:eastAsia="en-US"/>
        </w:rPr>
      </w:pPr>
      <w:r>
        <w:rPr>
          <w:lang w:eastAsia="en-US"/>
        </w:rPr>
        <w:tab/>
      </w:r>
      <w:r w:rsidRPr="008D7EDC">
        <w:rPr>
          <w:rFonts w:eastAsia="Calibri"/>
          <w:b/>
          <w:lang w:eastAsia="en-US"/>
        </w:rPr>
        <w:t>MAJOR CHANGE FOR SPRAY REPULSIF IR200 – 2019 (FR CA)</w:t>
      </w:r>
    </w:p>
    <w:p w14:paraId="47AEA6AD" w14:textId="77777777" w:rsidR="00780E5B" w:rsidRPr="007E29F8"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lang w:eastAsia="fr-FR"/>
        </w:rPr>
      </w:pPr>
      <w:r>
        <w:rPr>
          <w:rFonts w:cs="Arial"/>
          <w:spacing w:val="1"/>
          <w:lang w:eastAsia="fr-FR"/>
        </w:rPr>
        <w:t>The major change has no impact on the determination of SOC.</w:t>
      </w:r>
    </w:p>
    <w:p w14:paraId="1EBE0135" w14:textId="77777777" w:rsidR="00825C08" w:rsidRPr="00780E5B" w:rsidRDefault="00825C08" w:rsidP="00224DD4">
      <w:pPr>
        <w:rPr>
          <w:lang w:eastAsia="fr-BE"/>
        </w:rPr>
      </w:pPr>
    </w:p>
    <w:p w14:paraId="60F6D6E5" w14:textId="5D260ADB" w:rsidR="00957052" w:rsidRDefault="00957052" w:rsidP="00957052">
      <w:pPr>
        <w:pStyle w:val="Titre5"/>
      </w:pPr>
      <w:bookmarkStart w:id="205" w:name="_Toc93326556"/>
      <w:r>
        <w:t>Available toxicological data relating to a mixture</w:t>
      </w:r>
      <w:bookmarkEnd w:id="205"/>
    </w:p>
    <w:p w14:paraId="7B8D503F" w14:textId="77777777" w:rsidR="00C41691" w:rsidRPr="009461FB" w:rsidRDefault="00C41691" w:rsidP="00C41691">
      <w:pPr>
        <w:pStyle w:val="Paragraphedeliste"/>
        <w:numPr>
          <w:ilvl w:val="0"/>
          <w:numId w:val="68"/>
        </w:numPr>
        <w:rPr>
          <w:b/>
        </w:rPr>
      </w:pPr>
      <w:r w:rsidRPr="009461FB">
        <w:rPr>
          <w:b/>
        </w:rPr>
        <w:t>FIRST AUTHORISATION – 2017 (BE CA)</w:t>
      </w:r>
    </w:p>
    <w:p w14:paraId="177B5E2F" w14:textId="77777777" w:rsidR="00C41691" w:rsidRPr="00C41691" w:rsidRDefault="00C41691" w:rsidP="00C41691">
      <w:pPr>
        <w:rPr>
          <w:lang w:val="en-US" w:eastAsia="en-US"/>
        </w:rPr>
      </w:pPr>
    </w:p>
    <w:p w14:paraId="6F691D2D" w14:textId="77777777" w:rsidR="00224DD4" w:rsidRPr="00FD6EAA" w:rsidRDefault="00224DD4" w:rsidP="00224DD4">
      <w:pPr>
        <w:autoSpaceDE w:val="0"/>
        <w:autoSpaceDN w:val="0"/>
        <w:adjustRightInd w:val="0"/>
        <w:rPr>
          <w:rFonts w:cs="36jii"/>
          <w:lang w:val="en-US" w:eastAsia="fr-BE"/>
        </w:rPr>
      </w:pPr>
      <w:bookmarkStart w:id="206" w:name="_Toc389729061"/>
      <w:bookmarkStart w:id="207" w:name="_Toc403472763"/>
      <w:r w:rsidRPr="009759BF">
        <w:rPr>
          <w:rFonts w:cs="36jii"/>
          <w:lang w:val="en-US" w:eastAsia="fr-BE"/>
        </w:rPr>
        <w:t>There are valid data available on each of the components in the mixture sufficient to allow classification of the mixture according to the rules laid down in Directive 1999/45/EC and Regulation (EC) No 1272/2008 (CLP), and synergistic effects between any of the components are not expected.</w:t>
      </w:r>
    </w:p>
    <w:p w14:paraId="2E9146E1" w14:textId="77777777" w:rsidR="00957052" w:rsidRPr="00FD2055" w:rsidRDefault="00957052" w:rsidP="00957052">
      <w:pPr>
        <w:pStyle w:val="Titre5"/>
      </w:pPr>
      <w:bookmarkStart w:id="208" w:name="_Toc93326557"/>
      <w:r w:rsidRPr="00FD2055">
        <w:t>Other</w:t>
      </w:r>
      <w:bookmarkEnd w:id="206"/>
      <w:bookmarkEnd w:id="207"/>
      <w:bookmarkEnd w:id="208"/>
    </w:p>
    <w:p w14:paraId="1658F624" w14:textId="77777777" w:rsidR="00CA2A5C" w:rsidRDefault="00CA2A5C" w:rsidP="00CA2A5C">
      <w:pPr>
        <w:rPr>
          <w:rFonts w:eastAsia="Calibri"/>
          <w:lang w:eastAsia="en-US"/>
        </w:rPr>
      </w:pPr>
      <w:r>
        <w:rPr>
          <w:rFonts w:eastAsia="Calibri"/>
          <w:lang w:eastAsia="en-US"/>
        </w:rPr>
        <w:t>Not applicable.</w:t>
      </w:r>
    </w:p>
    <w:p w14:paraId="6DE772BB" w14:textId="77777777" w:rsidR="00CA2A5C" w:rsidRDefault="00CA2A5C" w:rsidP="00CA2A5C">
      <w:pPr>
        <w:rPr>
          <w:rFonts w:eastAsia="Calibri"/>
          <w:lang w:eastAsia="en-US"/>
        </w:rPr>
      </w:pPr>
    </w:p>
    <w:p w14:paraId="45026004" w14:textId="36844A57" w:rsidR="00957052" w:rsidRDefault="003249B1" w:rsidP="003249B1">
      <w:pPr>
        <w:pStyle w:val="Titre4"/>
        <w:rPr>
          <w:lang w:val="en-US"/>
        </w:rPr>
      </w:pPr>
      <w:bookmarkStart w:id="209" w:name="_Toc93326558"/>
      <w:r>
        <w:rPr>
          <w:lang w:val="en-US"/>
        </w:rPr>
        <w:lastRenderedPageBreak/>
        <w:t>Exposure assessment</w:t>
      </w:r>
      <w:bookmarkEnd w:id="209"/>
    </w:p>
    <w:p w14:paraId="6D94685A" w14:textId="77777777" w:rsidR="00C41691" w:rsidRPr="009461FB" w:rsidRDefault="00C41691" w:rsidP="00C41691">
      <w:pPr>
        <w:pStyle w:val="Paragraphedeliste"/>
        <w:numPr>
          <w:ilvl w:val="0"/>
          <w:numId w:val="68"/>
        </w:numPr>
        <w:rPr>
          <w:b/>
        </w:rPr>
      </w:pPr>
      <w:r w:rsidRPr="009461FB">
        <w:rPr>
          <w:b/>
        </w:rPr>
        <w:t>FIRST AUTHORISATION – 2017 (BE CA)</w:t>
      </w:r>
    </w:p>
    <w:p w14:paraId="0C24B291" w14:textId="77777777" w:rsidR="00C41691" w:rsidRPr="00C41691" w:rsidRDefault="00C41691" w:rsidP="00C41691">
      <w:pPr>
        <w:rPr>
          <w:lang w:val="en-US" w:eastAsia="en-US"/>
        </w:rPr>
      </w:pPr>
    </w:p>
    <w:p w14:paraId="072A61E8" w14:textId="77777777" w:rsidR="00217A51" w:rsidRDefault="00217A51" w:rsidP="00217A51">
      <w:pPr>
        <w:rPr>
          <w:rFonts w:eastAsia="Calibri"/>
          <w:lang w:eastAsia="en-US"/>
        </w:rPr>
      </w:pPr>
      <w:r w:rsidRPr="00DC0950">
        <w:rPr>
          <w:rFonts w:eastAsia="Calibri"/>
          <w:lang w:eastAsia="en-US"/>
        </w:rPr>
        <w:t xml:space="preserve">The active substance contained in the product Insect Repellent Pump Spray </w:t>
      </w:r>
      <w:r>
        <w:rPr>
          <w:rFonts w:eastAsia="Calibri"/>
          <w:lang w:eastAsia="en-US"/>
        </w:rPr>
        <w:t>Lice</w:t>
      </w:r>
      <w:r w:rsidRPr="00DC0950">
        <w:rPr>
          <w:rFonts w:eastAsia="Calibri"/>
          <w:lang w:eastAsia="en-US"/>
        </w:rPr>
        <w:t xml:space="preserve"> 20 % is the same as evaluated in the CAR for IR3535</w:t>
      </w:r>
      <w:r w:rsidRPr="00DC0950">
        <w:rPr>
          <w:rFonts w:eastAsia="Calibri"/>
          <w:vertAlign w:val="superscript"/>
          <w:lang w:eastAsia="en-US"/>
        </w:rPr>
        <w:t>®</w:t>
      </w:r>
      <w:r w:rsidRPr="00DC0950">
        <w:rPr>
          <w:rFonts w:eastAsia="Calibri"/>
          <w:lang w:eastAsia="en-US"/>
        </w:rPr>
        <w:t xml:space="preserve">  and therefore no new data/information </w:t>
      </w:r>
      <w:r w:rsidRPr="00F56860">
        <w:rPr>
          <w:rFonts w:eastAsia="Calibri"/>
          <w:lang w:eastAsia="en-US"/>
        </w:rPr>
        <w:t xml:space="preserve">on the active substance </w:t>
      </w:r>
      <w:r w:rsidRPr="002534B6">
        <w:rPr>
          <w:rFonts w:eastAsia="Calibri"/>
          <w:lang w:eastAsia="en-US"/>
        </w:rPr>
        <w:t>is required.</w:t>
      </w:r>
    </w:p>
    <w:p w14:paraId="7FFABCB2" w14:textId="77777777" w:rsidR="00217A51" w:rsidRPr="002534B6" w:rsidRDefault="00217A51" w:rsidP="00217A51">
      <w:pPr>
        <w:rPr>
          <w:rFonts w:eastAsia="Calibri"/>
          <w:highlight w:val="yellow"/>
          <w:lang w:eastAsia="en-US"/>
        </w:rPr>
      </w:pPr>
    </w:p>
    <w:p w14:paraId="5125FA70" w14:textId="77777777" w:rsidR="00217A51" w:rsidRPr="002534B6" w:rsidRDefault="00217A51" w:rsidP="00217A51">
      <w:pPr>
        <w:rPr>
          <w:rFonts w:eastAsia="Calibri"/>
          <w:highlight w:val="yellow"/>
          <w:lang w:eastAsia="en-US"/>
        </w:rPr>
      </w:pPr>
      <w:r w:rsidRPr="002534B6">
        <w:rPr>
          <w:rFonts w:eastAsia="Calibri"/>
          <w:lang w:eastAsia="en-US"/>
        </w:rPr>
        <w:t>The product Insect Repellent Pump Spray Lice IR3535</w:t>
      </w:r>
      <w:r w:rsidRPr="002534B6">
        <w:rPr>
          <w:rFonts w:eastAsia="Calibri"/>
          <w:vertAlign w:val="superscript"/>
          <w:lang w:eastAsia="en-US"/>
        </w:rPr>
        <w:t>®</w:t>
      </w:r>
      <w:r w:rsidRPr="002534B6">
        <w:rPr>
          <w:rFonts w:eastAsia="Calibri"/>
          <w:lang w:eastAsia="en-US"/>
        </w:rPr>
        <w:t xml:space="preserve"> 20 % is a clear solution containing IR3535</w:t>
      </w:r>
      <w:r w:rsidRPr="002534B6">
        <w:rPr>
          <w:rFonts w:eastAsia="Calibri"/>
          <w:vertAlign w:val="superscript"/>
          <w:lang w:eastAsia="en-US"/>
        </w:rPr>
        <w:t>®</w:t>
      </w:r>
      <w:r w:rsidRPr="002534B6">
        <w:rPr>
          <w:rFonts w:eastAsia="Calibri"/>
          <w:lang w:eastAsia="en-US"/>
        </w:rPr>
        <w:t xml:space="preserve"> at a concentration of 20 %. It does not contain substances</w:t>
      </w:r>
      <w:r>
        <w:rPr>
          <w:rFonts w:eastAsia="Calibri"/>
          <w:lang w:eastAsia="en-US"/>
        </w:rPr>
        <w:t xml:space="preserve"> of toxicological concern</w:t>
      </w:r>
      <w:r w:rsidRPr="00BF02C1">
        <w:t xml:space="preserve"> </w:t>
      </w:r>
      <w:r w:rsidRPr="00BF02C1">
        <w:rPr>
          <w:rFonts w:eastAsia="Calibri"/>
          <w:lang w:eastAsia="en-US"/>
        </w:rPr>
        <w:t>apart IR3535</w:t>
      </w:r>
      <w:r w:rsidRPr="003175A4">
        <w:rPr>
          <w:rFonts w:eastAsia="Calibri"/>
          <w:vertAlign w:val="superscript"/>
          <w:lang w:eastAsia="en-US"/>
        </w:rPr>
        <w:t>®</w:t>
      </w:r>
      <w:r w:rsidRPr="00BF02C1">
        <w:rPr>
          <w:rFonts w:eastAsia="Calibri"/>
          <w:lang w:eastAsia="en-US"/>
        </w:rPr>
        <w:t>.</w:t>
      </w:r>
    </w:p>
    <w:p w14:paraId="39058B9B" w14:textId="77777777" w:rsidR="006F2452" w:rsidRPr="00FD2055" w:rsidRDefault="006F2452" w:rsidP="006F2452">
      <w:pPr>
        <w:pStyle w:val="Titre5"/>
        <w:numPr>
          <w:ilvl w:val="0"/>
          <w:numId w:val="0"/>
        </w:numPr>
      </w:pPr>
      <w:bookmarkStart w:id="210" w:name="_Toc93326559"/>
      <w:r w:rsidRPr="00FD2055">
        <w:t>Identification of main paths of human exposure towards active substance(s) and substances of concern from its use in biocidal product</w:t>
      </w:r>
      <w:bookmarkEnd w:id="21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1139"/>
        <w:gridCol w:w="1404"/>
        <w:gridCol w:w="1439"/>
        <w:gridCol w:w="1188"/>
        <w:gridCol w:w="1379"/>
        <w:gridCol w:w="853"/>
        <w:gridCol w:w="782"/>
      </w:tblGrid>
      <w:tr w:rsidR="006F2452" w:rsidRPr="006F2452" w14:paraId="62951C31" w14:textId="77777777" w:rsidTr="00C82D5E">
        <w:trPr>
          <w:tblHeader/>
        </w:trPr>
        <w:tc>
          <w:tcPr>
            <w:tcW w:w="5000" w:type="pct"/>
            <w:gridSpan w:val="8"/>
            <w:shd w:val="clear" w:color="auto" w:fill="FFFFCC"/>
          </w:tcPr>
          <w:p w14:paraId="24C988E2" w14:textId="77777777" w:rsidR="006F2452" w:rsidRPr="006F2452" w:rsidRDefault="006F2452" w:rsidP="006F2452">
            <w:pPr>
              <w:pStyle w:val="Standaard-Tabellen"/>
              <w:jc w:val="center"/>
              <w:rPr>
                <w:rFonts w:eastAsia="Calibri"/>
                <w:b/>
              </w:rPr>
            </w:pPr>
            <w:r w:rsidRPr="006F2452">
              <w:rPr>
                <w:rFonts w:eastAsia="Calibri"/>
                <w:b/>
              </w:rPr>
              <w:t>Summary table: relevant paths of human exposure</w:t>
            </w:r>
          </w:p>
        </w:tc>
      </w:tr>
      <w:tr w:rsidR="006F2452" w:rsidRPr="00FD2055" w14:paraId="5F234900" w14:textId="77777777" w:rsidTr="006F2452">
        <w:trPr>
          <w:tblHeader/>
        </w:trPr>
        <w:tc>
          <w:tcPr>
            <w:tcW w:w="645" w:type="pct"/>
            <w:vMerge w:val="restart"/>
            <w:shd w:val="clear" w:color="auto" w:fill="BFBFBF" w:themeFill="background1" w:themeFillShade="BF"/>
            <w:tcMar>
              <w:top w:w="57" w:type="dxa"/>
              <w:bottom w:w="57" w:type="dxa"/>
            </w:tcMar>
            <w:vAlign w:val="center"/>
          </w:tcPr>
          <w:p w14:paraId="0D6778B1" w14:textId="77777777" w:rsidR="006F2452" w:rsidRPr="006F2452" w:rsidRDefault="006F2452" w:rsidP="006F2452">
            <w:pPr>
              <w:pStyle w:val="Standaard-Tabellen"/>
              <w:rPr>
                <w:rFonts w:eastAsia="Calibri"/>
                <w:b/>
              </w:rPr>
            </w:pPr>
            <w:r w:rsidRPr="006F2452">
              <w:rPr>
                <w:rFonts w:eastAsia="Calibri"/>
                <w:b/>
              </w:rPr>
              <w:t>Exposure path</w:t>
            </w:r>
          </w:p>
        </w:tc>
        <w:tc>
          <w:tcPr>
            <w:tcW w:w="2119" w:type="pct"/>
            <w:gridSpan w:val="3"/>
            <w:shd w:val="clear" w:color="auto" w:fill="BFBFBF" w:themeFill="background1" w:themeFillShade="BF"/>
            <w:tcMar>
              <w:top w:w="57" w:type="dxa"/>
              <w:bottom w:w="57" w:type="dxa"/>
            </w:tcMar>
            <w:vAlign w:val="center"/>
          </w:tcPr>
          <w:p w14:paraId="558DDF90" w14:textId="77777777" w:rsidR="006F2452" w:rsidRPr="006F2452" w:rsidRDefault="006F2452" w:rsidP="006F2452">
            <w:pPr>
              <w:pStyle w:val="Standaard-Tabellen"/>
              <w:rPr>
                <w:rFonts w:eastAsia="Calibri"/>
                <w:b/>
              </w:rPr>
            </w:pPr>
            <w:r w:rsidRPr="006F2452">
              <w:rPr>
                <w:rFonts w:eastAsia="Calibri"/>
                <w:b/>
              </w:rPr>
              <w:t xml:space="preserve">Primary (direct) exposure </w:t>
            </w:r>
          </w:p>
        </w:tc>
        <w:tc>
          <w:tcPr>
            <w:tcW w:w="2236" w:type="pct"/>
            <w:gridSpan w:val="4"/>
            <w:shd w:val="clear" w:color="auto" w:fill="BFBFBF" w:themeFill="background1" w:themeFillShade="BF"/>
          </w:tcPr>
          <w:p w14:paraId="3EC6792B" w14:textId="77777777" w:rsidR="006F2452" w:rsidRPr="006F2452" w:rsidRDefault="006F2452" w:rsidP="006F2452">
            <w:pPr>
              <w:pStyle w:val="Standaard-Tabellen"/>
              <w:rPr>
                <w:rFonts w:eastAsia="Calibri"/>
                <w:b/>
              </w:rPr>
            </w:pPr>
            <w:r w:rsidRPr="006F2452">
              <w:rPr>
                <w:rFonts w:eastAsia="Calibri"/>
                <w:b/>
              </w:rPr>
              <w:t xml:space="preserve">Secondary (indirect) exposure </w:t>
            </w:r>
          </w:p>
        </w:tc>
      </w:tr>
      <w:tr w:rsidR="006F2452" w:rsidRPr="00FD2055" w14:paraId="6C13AC3B" w14:textId="77777777" w:rsidTr="006F2452">
        <w:trPr>
          <w:tblHeader/>
        </w:trPr>
        <w:tc>
          <w:tcPr>
            <w:tcW w:w="645" w:type="pct"/>
            <w:vMerge/>
            <w:shd w:val="clear" w:color="auto" w:fill="BFBFBF" w:themeFill="background1" w:themeFillShade="BF"/>
            <w:tcMar>
              <w:top w:w="57" w:type="dxa"/>
              <w:bottom w:w="57" w:type="dxa"/>
            </w:tcMar>
          </w:tcPr>
          <w:p w14:paraId="67B471CB" w14:textId="77777777" w:rsidR="006F2452" w:rsidRPr="006F2452" w:rsidRDefault="006F2452" w:rsidP="006F2452">
            <w:pPr>
              <w:pStyle w:val="Standaard-Tabellen"/>
              <w:rPr>
                <w:rFonts w:eastAsia="Calibri"/>
                <w:b/>
              </w:rPr>
            </w:pPr>
          </w:p>
        </w:tc>
        <w:tc>
          <w:tcPr>
            <w:tcW w:w="606" w:type="pct"/>
            <w:shd w:val="clear" w:color="auto" w:fill="BFBFBF" w:themeFill="background1" w:themeFillShade="BF"/>
            <w:tcMar>
              <w:top w:w="57" w:type="dxa"/>
              <w:bottom w:w="57" w:type="dxa"/>
            </w:tcMar>
          </w:tcPr>
          <w:p w14:paraId="107E6F10" w14:textId="77777777" w:rsidR="006F2452" w:rsidRPr="006F2452" w:rsidRDefault="006F2452" w:rsidP="006F2452">
            <w:pPr>
              <w:pStyle w:val="Standaard-Tabellen"/>
              <w:rPr>
                <w:rFonts w:eastAsia="Calibri"/>
                <w:b/>
              </w:rPr>
            </w:pPr>
            <w:r w:rsidRPr="006F2452">
              <w:rPr>
                <w:rFonts w:eastAsia="Calibri"/>
                <w:b/>
              </w:rPr>
              <w:t>Industrial use</w:t>
            </w:r>
          </w:p>
        </w:tc>
        <w:tc>
          <w:tcPr>
            <w:tcW w:w="747" w:type="pct"/>
            <w:shd w:val="clear" w:color="auto" w:fill="BFBFBF" w:themeFill="background1" w:themeFillShade="BF"/>
            <w:tcMar>
              <w:top w:w="57" w:type="dxa"/>
              <w:bottom w:w="57" w:type="dxa"/>
            </w:tcMar>
          </w:tcPr>
          <w:p w14:paraId="5D776505" w14:textId="77777777" w:rsidR="006F2452" w:rsidRPr="006F2452" w:rsidRDefault="006F2452" w:rsidP="006F2452">
            <w:pPr>
              <w:pStyle w:val="Standaard-Tabellen"/>
              <w:rPr>
                <w:rFonts w:eastAsia="Calibri"/>
                <w:b/>
              </w:rPr>
            </w:pPr>
            <w:r w:rsidRPr="006F2452">
              <w:rPr>
                <w:rFonts w:eastAsia="Calibri"/>
                <w:b/>
              </w:rPr>
              <w:t>Professional use</w:t>
            </w:r>
          </w:p>
        </w:tc>
        <w:tc>
          <w:tcPr>
            <w:tcW w:w="766" w:type="pct"/>
            <w:shd w:val="clear" w:color="auto" w:fill="BFBFBF" w:themeFill="background1" w:themeFillShade="BF"/>
            <w:tcMar>
              <w:top w:w="57" w:type="dxa"/>
              <w:bottom w:w="57" w:type="dxa"/>
            </w:tcMar>
          </w:tcPr>
          <w:p w14:paraId="486B5119" w14:textId="77777777" w:rsidR="006F2452" w:rsidRPr="006F2452" w:rsidRDefault="006F2452" w:rsidP="006F2452">
            <w:pPr>
              <w:pStyle w:val="Standaard-Tabellen"/>
              <w:rPr>
                <w:rFonts w:eastAsia="Calibri"/>
                <w:b/>
              </w:rPr>
            </w:pPr>
            <w:r w:rsidRPr="006F2452">
              <w:rPr>
                <w:rFonts w:eastAsia="Calibri"/>
                <w:b/>
              </w:rPr>
              <w:t>Non-professional use</w:t>
            </w:r>
          </w:p>
        </w:tc>
        <w:tc>
          <w:tcPr>
            <w:tcW w:w="632" w:type="pct"/>
            <w:shd w:val="clear" w:color="auto" w:fill="BFBFBF" w:themeFill="background1" w:themeFillShade="BF"/>
          </w:tcPr>
          <w:p w14:paraId="58131594" w14:textId="77777777" w:rsidR="006F2452" w:rsidRPr="006F2452" w:rsidRDefault="006F2452" w:rsidP="006F2452">
            <w:pPr>
              <w:pStyle w:val="Standaard-Tabellen"/>
              <w:rPr>
                <w:rFonts w:eastAsia="Calibri"/>
                <w:b/>
              </w:rPr>
            </w:pPr>
            <w:r w:rsidRPr="006F2452">
              <w:rPr>
                <w:rFonts w:eastAsia="Calibri"/>
                <w:b/>
              </w:rPr>
              <w:t>Industrial use</w:t>
            </w:r>
          </w:p>
        </w:tc>
        <w:tc>
          <w:tcPr>
            <w:tcW w:w="734" w:type="pct"/>
            <w:shd w:val="clear" w:color="auto" w:fill="BFBFBF" w:themeFill="background1" w:themeFillShade="BF"/>
          </w:tcPr>
          <w:p w14:paraId="6F2FC560" w14:textId="77777777" w:rsidR="006F2452" w:rsidRPr="006F2452" w:rsidRDefault="006F2452" w:rsidP="006F2452">
            <w:pPr>
              <w:pStyle w:val="Standaard-Tabellen"/>
              <w:rPr>
                <w:rFonts w:eastAsia="Calibri"/>
                <w:b/>
              </w:rPr>
            </w:pPr>
            <w:r w:rsidRPr="006F2452">
              <w:rPr>
                <w:rFonts w:eastAsia="Calibri"/>
                <w:b/>
              </w:rPr>
              <w:t>Professional use</w:t>
            </w:r>
          </w:p>
        </w:tc>
        <w:tc>
          <w:tcPr>
            <w:tcW w:w="454" w:type="pct"/>
            <w:shd w:val="clear" w:color="auto" w:fill="BFBFBF" w:themeFill="background1" w:themeFillShade="BF"/>
          </w:tcPr>
          <w:p w14:paraId="16B3E252" w14:textId="77777777" w:rsidR="006F2452" w:rsidRPr="006F2452" w:rsidRDefault="006F2452" w:rsidP="006F2452">
            <w:pPr>
              <w:pStyle w:val="Standaard-Tabellen"/>
              <w:rPr>
                <w:rFonts w:eastAsia="Calibri"/>
                <w:b/>
              </w:rPr>
            </w:pPr>
            <w:r w:rsidRPr="006F2452">
              <w:rPr>
                <w:rFonts w:eastAsia="Calibri"/>
                <w:b/>
              </w:rPr>
              <w:t>General public</w:t>
            </w:r>
          </w:p>
        </w:tc>
        <w:tc>
          <w:tcPr>
            <w:tcW w:w="416" w:type="pct"/>
            <w:shd w:val="clear" w:color="auto" w:fill="BFBFBF" w:themeFill="background1" w:themeFillShade="BF"/>
          </w:tcPr>
          <w:p w14:paraId="0DFE33BE" w14:textId="77777777" w:rsidR="006F2452" w:rsidRPr="006F2452" w:rsidRDefault="006F2452" w:rsidP="006F2452">
            <w:pPr>
              <w:pStyle w:val="Standaard-Tabellen"/>
              <w:rPr>
                <w:rFonts w:eastAsia="Calibri"/>
                <w:b/>
              </w:rPr>
            </w:pPr>
            <w:r w:rsidRPr="006F2452">
              <w:rPr>
                <w:rFonts w:eastAsia="Calibri"/>
                <w:b/>
              </w:rPr>
              <w:t>Via food</w:t>
            </w:r>
          </w:p>
        </w:tc>
      </w:tr>
      <w:tr w:rsidR="00217A51" w:rsidRPr="00FD2055" w14:paraId="1FDE96E1" w14:textId="77777777" w:rsidTr="00C82D5E">
        <w:trPr>
          <w:tblHeader/>
        </w:trPr>
        <w:tc>
          <w:tcPr>
            <w:tcW w:w="645" w:type="pct"/>
            <w:shd w:val="clear" w:color="auto" w:fill="auto"/>
            <w:tcMar>
              <w:top w:w="57" w:type="dxa"/>
              <w:bottom w:w="57" w:type="dxa"/>
            </w:tcMar>
          </w:tcPr>
          <w:p w14:paraId="49C333B7" w14:textId="77777777" w:rsidR="00217A51" w:rsidRPr="00FD2055" w:rsidRDefault="00217A51" w:rsidP="00217A51">
            <w:pPr>
              <w:pStyle w:val="Standaard-Tabellen"/>
              <w:rPr>
                <w:rFonts w:eastAsia="Calibri"/>
              </w:rPr>
            </w:pPr>
            <w:r w:rsidRPr="00FD2055">
              <w:rPr>
                <w:rFonts w:eastAsia="Calibri"/>
              </w:rPr>
              <w:t>Inhalation</w:t>
            </w:r>
          </w:p>
        </w:tc>
        <w:tc>
          <w:tcPr>
            <w:tcW w:w="606" w:type="pct"/>
            <w:tcMar>
              <w:top w:w="57" w:type="dxa"/>
              <w:bottom w:w="57" w:type="dxa"/>
            </w:tcMar>
          </w:tcPr>
          <w:p w14:paraId="60A3DD0E" w14:textId="77777777" w:rsidR="00217A51" w:rsidRPr="00FD2055" w:rsidRDefault="00217A51" w:rsidP="00217A51">
            <w:pPr>
              <w:pStyle w:val="Standaard-Tabellen"/>
              <w:rPr>
                <w:rFonts w:eastAsia="Calibri"/>
              </w:rPr>
            </w:pPr>
            <w:r>
              <w:rPr>
                <w:rFonts w:eastAsia="Calibri"/>
              </w:rPr>
              <w:t>n.a.</w:t>
            </w:r>
          </w:p>
        </w:tc>
        <w:tc>
          <w:tcPr>
            <w:tcW w:w="747" w:type="pct"/>
            <w:shd w:val="clear" w:color="auto" w:fill="auto"/>
            <w:tcMar>
              <w:top w:w="57" w:type="dxa"/>
              <w:bottom w:w="57" w:type="dxa"/>
            </w:tcMar>
          </w:tcPr>
          <w:p w14:paraId="0964394E" w14:textId="77777777" w:rsidR="00217A51" w:rsidRPr="00FD2055" w:rsidRDefault="00217A51" w:rsidP="00217A51">
            <w:pPr>
              <w:pStyle w:val="Standaard-Tabellen"/>
              <w:rPr>
                <w:rFonts w:eastAsia="Calibri"/>
              </w:rPr>
            </w:pPr>
            <w:r>
              <w:rPr>
                <w:rFonts w:eastAsia="Calibri"/>
              </w:rPr>
              <w:t>n.a.</w:t>
            </w:r>
          </w:p>
        </w:tc>
        <w:tc>
          <w:tcPr>
            <w:tcW w:w="766" w:type="pct"/>
            <w:shd w:val="clear" w:color="auto" w:fill="auto"/>
            <w:tcMar>
              <w:top w:w="57" w:type="dxa"/>
              <w:bottom w:w="57" w:type="dxa"/>
            </w:tcMar>
          </w:tcPr>
          <w:p w14:paraId="64F7294B" w14:textId="77777777" w:rsidR="00217A51" w:rsidRPr="00FD2055" w:rsidRDefault="00217A51" w:rsidP="00217A51">
            <w:pPr>
              <w:pStyle w:val="Standaard-Tabellen"/>
              <w:rPr>
                <w:rFonts w:eastAsia="Calibri"/>
              </w:rPr>
            </w:pPr>
            <w:r>
              <w:rPr>
                <w:rFonts w:eastAsia="Calibri"/>
              </w:rPr>
              <w:t>Yes</w:t>
            </w:r>
          </w:p>
        </w:tc>
        <w:tc>
          <w:tcPr>
            <w:tcW w:w="632" w:type="pct"/>
          </w:tcPr>
          <w:p w14:paraId="78F818C8" w14:textId="77777777" w:rsidR="00217A51" w:rsidRPr="00FD2055" w:rsidRDefault="00217A51" w:rsidP="00217A51">
            <w:pPr>
              <w:pStyle w:val="Standaard-Tabellen"/>
              <w:rPr>
                <w:rFonts w:eastAsia="Calibri"/>
              </w:rPr>
            </w:pPr>
            <w:r>
              <w:rPr>
                <w:rFonts w:eastAsia="Calibri"/>
              </w:rPr>
              <w:t>n.a.</w:t>
            </w:r>
          </w:p>
        </w:tc>
        <w:tc>
          <w:tcPr>
            <w:tcW w:w="734" w:type="pct"/>
          </w:tcPr>
          <w:p w14:paraId="60DB9821" w14:textId="77777777" w:rsidR="00217A51" w:rsidRPr="00FD2055" w:rsidRDefault="00217A51" w:rsidP="00217A51">
            <w:pPr>
              <w:pStyle w:val="Standaard-Tabellen"/>
              <w:rPr>
                <w:rFonts w:eastAsia="Calibri"/>
              </w:rPr>
            </w:pPr>
            <w:r>
              <w:rPr>
                <w:rFonts w:eastAsia="Calibri"/>
              </w:rPr>
              <w:t>n.a.</w:t>
            </w:r>
          </w:p>
        </w:tc>
        <w:tc>
          <w:tcPr>
            <w:tcW w:w="454" w:type="pct"/>
          </w:tcPr>
          <w:p w14:paraId="63682458" w14:textId="77777777" w:rsidR="00217A51" w:rsidRPr="00FD2055" w:rsidRDefault="00217A51" w:rsidP="00217A51">
            <w:pPr>
              <w:pStyle w:val="Standaard-Tabellen"/>
              <w:rPr>
                <w:rFonts w:eastAsia="Calibri"/>
              </w:rPr>
            </w:pPr>
            <w:r>
              <w:rPr>
                <w:rFonts w:eastAsia="Calibri"/>
              </w:rPr>
              <w:t>Yes</w:t>
            </w:r>
          </w:p>
        </w:tc>
        <w:tc>
          <w:tcPr>
            <w:tcW w:w="416" w:type="pct"/>
          </w:tcPr>
          <w:p w14:paraId="2D473590" w14:textId="77777777" w:rsidR="00217A51" w:rsidRPr="00FD2055" w:rsidRDefault="00217A51" w:rsidP="00217A51">
            <w:pPr>
              <w:pStyle w:val="Standaard-Tabellen"/>
              <w:rPr>
                <w:rFonts w:eastAsia="Calibri"/>
              </w:rPr>
            </w:pPr>
            <w:r w:rsidRPr="00E26C7F">
              <w:rPr>
                <w:rFonts w:eastAsia="Calibri"/>
              </w:rPr>
              <w:t>n.a.</w:t>
            </w:r>
          </w:p>
        </w:tc>
      </w:tr>
      <w:tr w:rsidR="00217A51" w:rsidRPr="00FD2055" w14:paraId="30846055" w14:textId="77777777" w:rsidTr="00C82D5E">
        <w:trPr>
          <w:tblHeader/>
        </w:trPr>
        <w:tc>
          <w:tcPr>
            <w:tcW w:w="645" w:type="pct"/>
            <w:shd w:val="clear" w:color="auto" w:fill="auto"/>
            <w:tcMar>
              <w:top w:w="57" w:type="dxa"/>
              <w:bottom w:w="57" w:type="dxa"/>
            </w:tcMar>
          </w:tcPr>
          <w:p w14:paraId="394EE6BE" w14:textId="77777777" w:rsidR="00217A51" w:rsidRPr="00FD2055" w:rsidRDefault="00217A51" w:rsidP="00217A51">
            <w:pPr>
              <w:pStyle w:val="Standaard-Tabellen"/>
              <w:rPr>
                <w:rFonts w:eastAsia="Calibri"/>
              </w:rPr>
            </w:pPr>
            <w:r w:rsidRPr="00FD2055">
              <w:rPr>
                <w:rFonts w:eastAsia="Calibri"/>
              </w:rPr>
              <w:t>Dermal</w:t>
            </w:r>
          </w:p>
        </w:tc>
        <w:tc>
          <w:tcPr>
            <w:tcW w:w="606" w:type="pct"/>
            <w:tcMar>
              <w:top w:w="57" w:type="dxa"/>
              <w:bottom w:w="57" w:type="dxa"/>
            </w:tcMar>
          </w:tcPr>
          <w:p w14:paraId="22F6D8EC" w14:textId="48EE4655" w:rsidR="00217A51" w:rsidRPr="00FD2055" w:rsidRDefault="00552621" w:rsidP="00217A51">
            <w:pPr>
              <w:pStyle w:val="Standaard-Tabellen"/>
              <w:rPr>
                <w:rFonts w:eastAsia="Calibri"/>
              </w:rPr>
            </w:pPr>
            <w:r>
              <w:rPr>
                <w:rFonts w:eastAsia="Calibri"/>
              </w:rPr>
              <w:t>yes</w:t>
            </w:r>
          </w:p>
        </w:tc>
        <w:tc>
          <w:tcPr>
            <w:tcW w:w="747" w:type="pct"/>
            <w:shd w:val="clear" w:color="auto" w:fill="auto"/>
            <w:tcMar>
              <w:top w:w="57" w:type="dxa"/>
              <w:bottom w:w="57" w:type="dxa"/>
            </w:tcMar>
          </w:tcPr>
          <w:p w14:paraId="72EC9DAA" w14:textId="77777777" w:rsidR="00217A51" w:rsidRPr="00FD2055" w:rsidRDefault="00217A51" w:rsidP="00217A51">
            <w:pPr>
              <w:pStyle w:val="Standaard-Tabellen"/>
              <w:rPr>
                <w:rFonts w:eastAsia="Calibri"/>
              </w:rPr>
            </w:pPr>
            <w:r>
              <w:rPr>
                <w:rFonts w:eastAsia="Calibri"/>
              </w:rPr>
              <w:t>n.a.</w:t>
            </w:r>
          </w:p>
        </w:tc>
        <w:tc>
          <w:tcPr>
            <w:tcW w:w="766" w:type="pct"/>
            <w:shd w:val="clear" w:color="auto" w:fill="auto"/>
            <w:tcMar>
              <w:top w:w="57" w:type="dxa"/>
              <w:bottom w:w="57" w:type="dxa"/>
            </w:tcMar>
          </w:tcPr>
          <w:p w14:paraId="7A696AFB" w14:textId="77777777" w:rsidR="00217A51" w:rsidRPr="00FD2055" w:rsidRDefault="00217A51" w:rsidP="00217A51">
            <w:pPr>
              <w:pStyle w:val="Standaard-Tabellen"/>
              <w:rPr>
                <w:rFonts w:eastAsia="Calibri"/>
              </w:rPr>
            </w:pPr>
            <w:r>
              <w:rPr>
                <w:rFonts w:eastAsia="Calibri"/>
              </w:rPr>
              <w:t>Yes</w:t>
            </w:r>
          </w:p>
        </w:tc>
        <w:tc>
          <w:tcPr>
            <w:tcW w:w="632" w:type="pct"/>
          </w:tcPr>
          <w:p w14:paraId="393A1280" w14:textId="77777777" w:rsidR="00217A51" w:rsidRPr="00FD2055" w:rsidRDefault="00217A51" w:rsidP="00217A51">
            <w:pPr>
              <w:pStyle w:val="Standaard-Tabellen"/>
              <w:rPr>
                <w:rFonts w:eastAsia="Calibri"/>
              </w:rPr>
            </w:pPr>
            <w:r>
              <w:rPr>
                <w:rFonts w:eastAsia="Calibri"/>
              </w:rPr>
              <w:t>n.a.</w:t>
            </w:r>
          </w:p>
        </w:tc>
        <w:tc>
          <w:tcPr>
            <w:tcW w:w="734" w:type="pct"/>
          </w:tcPr>
          <w:p w14:paraId="03E480F6" w14:textId="77777777" w:rsidR="00217A51" w:rsidRPr="00FD2055" w:rsidRDefault="00217A51" w:rsidP="00217A51">
            <w:pPr>
              <w:pStyle w:val="Standaard-Tabellen"/>
              <w:rPr>
                <w:rFonts w:eastAsia="Calibri"/>
              </w:rPr>
            </w:pPr>
            <w:r>
              <w:rPr>
                <w:rFonts w:eastAsia="Calibri"/>
              </w:rPr>
              <w:t>n.a.</w:t>
            </w:r>
          </w:p>
        </w:tc>
        <w:tc>
          <w:tcPr>
            <w:tcW w:w="454" w:type="pct"/>
          </w:tcPr>
          <w:p w14:paraId="70340347" w14:textId="77777777" w:rsidR="00217A51" w:rsidRPr="00FD2055" w:rsidRDefault="00217A51" w:rsidP="00217A51">
            <w:pPr>
              <w:pStyle w:val="Standaard-Tabellen"/>
              <w:rPr>
                <w:rFonts w:eastAsia="Calibri"/>
              </w:rPr>
            </w:pPr>
            <w:r>
              <w:rPr>
                <w:rFonts w:eastAsia="Calibri"/>
              </w:rPr>
              <w:t>Yes</w:t>
            </w:r>
          </w:p>
        </w:tc>
        <w:tc>
          <w:tcPr>
            <w:tcW w:w="416" w:type="pct"/>
          </w:tcPr>
          <w:p w14:paraId="166EB78D" w14:textId="77777777" w:rsidR="00217A51" w:rsidRPr="00FD2055" w:rsidRDefault="00217A51" w:rsidP="00217A51">
            <w:pPr>
              <w:pStyle w:val="Standaard-Tabellen"/>
              <w:rPr>
                <w:rFonts w:eastAsia="Calibri"/>
              </w:rPr>
            </w:pPr>
            <w:r w:rsidRPr="00E26C7F">
              <w:rPr>
                <w:rFonts w:eastAsia="Calibri"/>
              </w:rPr>
              <w:t>n.a.</w:t>
            </w:r>
          </w:p>
        </w:tc>
      </w:tr>
      <w:tr w:rsidR="00217A51" w:rsidRPr="00FD2055" w14:paraId="1497D89F" w14:textId="77777777" w:rsidTr="00C82D5E">
        <w:trPr>
          <w:tblHeader/>
        </w:trPr>
        <w:tc>
          <w:tcPr>
            <w:tcW w:w="645" w:type="pct"/>
            <w:shd w:val="clear" w:color="auto" w:fill="auto"/>
            <w:tcMar>
              <w:top w:w="57" w:type="dxa"/>
              <w:bottom w:w="57" w:type="dxa"/>
            </w:tcMar>
          </w:tcPr>
          <w:p w14:paraId="61707AFD" w14:textId="77777777" w:rsidR="00217A51" w:rsidRPr="00FD2055" w:rsidRDefault="00217A51" w:rsidP="00217A51">
            <w:pPr>
              <w:pStyle w:val="Standaard-Tabellen"/>
              <w:rPr>
                <w:rFonts w:eastAsia="Calibri"/>
              </w:rPr>
            </w:pPr>
            <w:r w:rsidRPr="00FD2055">
              <w:rPr>
                <w:rFonts w:eastAsia="Calibri"/>
              </w:rPr>
              <w:t>Oral</w:t>
            </w:r>
          </w:p>
        </w:tc>
        <w:tc>
          <w:tcPr>
            <w:tcW w:w="606" w:type="pct"/>
            <w:tcMar>
              <w:top w:w="57" w:type="dxa"/>
              <w:bottom w:w="57" w:type="dxa"/>
            </w:tcMar>
          </w:tcPr>
          <w:p w14:paraId="332B1B25" w14:textId="77777777" w:rsidR="00217A51" w:rsidRPr="00FD2055" w:rsidRDefault="00217A51" w:rsidP="00217A51">
            <w:pPr>
              <w:pStyle w:val="Standaard-Tabellen"/>
              <w:rPr>
                <w:rFonts w:eastAsia="Calibri"/>
              </w:rPr>
            </w:pPr>
            <w:r>
              <w:rPr>
                <w:rFonts w:eastAsia="Calibri"/>
              </w:rPr>
              <w:t>n.a.</w:t>
            </w:r>
          </w:p>
        </w:tc>
        <w:tc>
          <w:tcPr>
            <w:tcW w:w="747" w:type="pct"/>
            <w:shd w:val="clear" w:color="auto" w:fill="auto"/>
            <w:tcMar>
              <w:top w:w="57" w:type="dxa"/>
              <w:bottom w:w="57" w:type="dxa"/>
            </w:tcMar>
          </w:tcPr>
          <w:p w14:paraId="17BD2F1D" w14:textId="77777777" w:rsidR="00217A51" w:rsidRPr="00FD2055" w:rsidRDefault="00217A51" w:rsidP="00217A51">
            <w:pPr>
              <w:pStyle w:val="Standaard-Tabellen"/>
              <w:rPr>
                <w:rFonts w:eastAsia="Calibri"/>
              </w:rPr>
            </w:pPr>
            <w:r>
              <w:rPr>
                <w:rFonts w:eastAsia="Calibri"/>
              </w:rPr>
              <w:t>n.a.</w:t>
            </w:r>
          </w:p>
        </w:tc>
        <w:tc>
          <w:tcPr>
            <w:tcW w:w="766" w:type="pct"/>
            <w:shd w:val="clear" w:color="auto" w:fill="auto"/>
            <w:tcMar>
              <w:top w:w="57" w:type="dxa"/>
              <w:bottom w:w="57" w:type="dxa"/>
            </w:tcMar>
          </w:tcPr>
          <w:p w14:paraId="4FC528C0" w14:textId="77777777" w:rsidR="00217A51" w:rsidRPr="00FD2055" w:rsidRDefault="00217A51" w:rsidP="00217A51">
            <w:pPr>
              <w:pStyle w:val="Standaard-Tabellen"/>
              <w:rPr>
                <w:rFonts w:eastAsia="Calibri"/>
              </w:rPr>
            </w:pPr>
            <w:r>
              <w:rPr>
                <w:rFonts w:eastAsia="Calibri"/>
              </w:rPr>
              <w:t>n.a.</w:t>
            </w:r>
          </w:p>
        </w:tc>
        <w:tc>
          <w:tcPr>
            <w:tcW w:w="632" w:type="pct"/>
          </w:tcPr>
          <w:p w14:paraId="59B936F3" w14:textId="77777777" w:rsidR="00217A51" w:rsidRPr="00FD2055" w:rsidRDefault="00217A51" w:rsidP="00217A51">
            <w:pPr>
              <w:pStyle w:val="Standaard-Tabellen"/>
              <w:rPr>
                <w:rFonts w:eastAsia="Calibri"/>
              </w:rPr>
            </w:pPr>
            <w:r>
              <w:rPr>
                <w:rFonts w:eastAsia="Calibri"/>
              </w:rPr>
              <w:t>n.a.</w:t>
            </w:r>
          </w:p>
        </w:tc>
        <w:tc>
          <w:tcPr>
            <w:tcW w:w="734" w:type="pct"/>
          </w:tcPr>
          <w:p w14:paraId="317DE304" w14:textId="77777777" w:rsidR="00217A51" w:rsidRPr="00FD2055" w:rsidRDefault="00217A51" w:rsidP="00217A51">
            <w:pPr>
              <w:pStyle w:val="Standaard-Tabellen"/>
              <w:rPr>
                <w:rFonts w:eastAsia="Calibri"/>
              </w:rPr>
            </w:pPr>
            <w:r>
              <w:rPr>
                <w:rFonts w:eastAsia="Calibri"/>
              </w:rPr>
              <w:t>n.a.</w:t>
            </w:r>
          </w:p>
        </w:tc>
        <w:tc>
          <w:tcPr>
            <w:tcW w:w="454" w:type="pct"/>
          </w:tcPr>
          <w:p w14:paraId="457AE905" w14:textId="77777777" w:rsidR="00217A51" w:rsidRPr="00FD2055" w:rsidRDefault="00217A51" w:rsidP="00217A51">
            <w:pPr>
              <w:pStyle w:val="Standaard-Tabellen"/>
              <w:rPr>
                <w:rFonts w:eastAsia="Calibri"/>
              </w:rPr>
            </w:pPr>
            <w:r>
              <w:rPr>
                <w:rFonts w:eastAsia="Calibri"/>
              </w:rPr>
              <w:t>Yes</w:t>
            </w:r>
          </w:p>
        </w:tc>
        <w:tc>
          <w:tcPr>
            <w:tcW w:w="416" w:type="pct"/>
          </w:tcPr>
          <w:p w14:paraId="174A331F" w14:textId="77777777" w:rsidR="00217A51" w:rsidRPr="00FD2055" w:rsidRDefault="00217A51" w:rsidP="00217A51">
            <w:pPr>
              <w:pStyle w:val="Standaard-Tabellen"/>
              <w:rPr>
                <w:rFonts w:eastAsia="Calibri"/>
              </w:rPr>
            </w:pPr>
            <w:r w:rsidRPr="00E26C7F">
              <w:rPr>
                <w:rFonts w:eastAsia="Calibri"/>
              </w:rPr>
              <w:t>n.a.</w:t>
            </w:r>
          </w:p>
        </w:tc>
      </w:tr>
    </w:tbl>
    <w:p w14:paraId="205E139F" w14:textId="77777777" w:rsidR="00217A51" w:rsidRDefault="00217A51" w:rsidP="00217A51">
      <w:pPr>
        <w:rPr>
          <w:rFonts w:eastAsia="Calibri"/>
          <w:lang w:eastAsia="en-US"/>
        </w:rPr>
      </w:pPr>
      <w:bookmarkStart w:id="211" w:name="_Toc367976935"/>
      <w:bookmarkStart w:id="212" w:name="_Toc387138973"/>
      <w:bookmarkStart w:id="213" w:name="_Toc387142780"/>
      <w:bookmarkStart w:id="214" w:name="_Toc387146344"/>
      <w:bookmarkStart w:id="215" w:name="_Toc389729063"/>
      <w:bookmarkStart w:id="216" w:name="_Toc403472765"/>
    </w:p>
    <w:p w14:paraId="542375A8" w14:textId="780D1799" w:rsidR="00217A51" w:rsidRDefault="00217A51" w:rsidP="00217A51">
      <w:pPr>
        <w:rPr>
          <w:rFonts w:eastAsia="Calibri"/>
          <w:lang w:eastAsia="en-US"/>
        </w:rPr>
      </w:pPr>
      <w:r w:rsidRPr="00C578BE">
        <w:rPr>
          <w:rFonts w:eastAsia="Calibri"/>
          <w:lang w:eastAsia="en-US"/>
        </w:rPr>
        <w:t xml:space="preserve">For primary exposure, the most relevant </w:t>
      </w:r>
      <w:r>
        <w:rPr>
          <w:rFonts w:eastAsia="Calibri"/>
          <w:lang w:eastAsia="en-US"/>
        </w:rPr>
        <w:t>route</w:t>
      </w:r>
      <w:r w:rsidRPr="00C578BE">
        <w:rPr>
          <w:rFonts w:eastAsia="Calibri"/>
          <w:lang w:eastAsia="en-US"/>
        </w:rPr>
        <w:t xml:space="preserve"> of exposure is the dermal route. </w:t>
      </w:r>
      <w:r>
        <w:rPr>
          <w:rFonts w:eastAsia="Calibri"/>
          <w:lang w:eastAsia="en-US"/>
        </w:rPr>
        <w:t>During the application phase, inhalation exposure is possible resulting from respiring aerosols after spraying</w:t>
      </w:r>
      <w:r w:rsidRPr="00C578BE">
        <w:rPr>
          <w:rFonts w:eastAsia="Calibri"/>
          <w:lang w:eastAsia="en-US"/>
        </w:rPr>
        <w:t>.</w:t>
      </w:r>
      <w:r>
        <w:rPr>
          <w:rFonts w:eastAsia="Calibri"/>
          <w:lang w:eastAsia="en-US"/>
        </w:rPr>
        <w:t xml:space="preserve"> It was considered that the respirable particles will be absorbed via the lower airways and that t</w:t>
      </w:r>
      <w:r w:rsidRPr="00C578BE">
        <w:rPr>
          <w:rFonts w:eastAsia="Calibri"/>
          <w:lang w:eastAsia="en-US"/>
        </w:rPr>
        <w:t xml:space="preserve">he non-respirable particles will precipitate in the upper airways and be taken in orally. </w:t>
      </w:r>
      <w:r w:rsidRPr="001B2835">
        <w:rPr>
          <w:rFonts w:eastAsia="Calibri"/>
          <w:lang w:eastAsia="en-US"/>
        </w:rPr>
        <w:t xml:space="preserve">Direct oral exposure is not considered to be relevant because of the repellent taste (bad palatability) of the active substance and because the biocidal product is not intended to be applied by children younger than </w:t>
      </w:r>
      <w:r w:rsidR="00552621">
        <w:rPr>
          <w:rFonts w:eastAsia="Calibri"/>
          <w:lang w:eastAsia="en-US"/>
        </w:rPr>
        <w:t>11</w:t>
      </w:r>
      <w:r w:rsidR="00552621" w:rsidRPr="001B2835">
        <w:rPr>
          <w:rFonts w:eastAsia="Calibri"/>
          <w:lang w:eastAsia="en-US"/>
        </w:rPr>
        <w:t xml:space="preserve"> </w:t>
      </w:r>
      <w:r w:rsidRPr="001B2835">
        <w:rPr>
          <w:rFonts w:eastAsia="Calibri"/>
          <w:lang w:eastAsia="en-US"/>
        </w:rPr>
        <w:t>years</w:t>
      </w:r>
      <w:r>
        <w:rPr>
          <w:rFonts w:eastAsia="Calibri"/>
          <w:lang w:eastAsia="en-US"/>
        </w:rPr>
        <w:t>.</w:t>
      </w:r>
    </w:p>
    <w:p w14:paraId="6F657F07" w14:textId="77777777" w:rsidR="00217A51" w:rsidRDefault="00217A51" w:rsidP="00217A51">
      <w:pPr>
        <w:rPr>
          <w:rFonts w:eastAsia="Calibri"/>
          <w:lang w:eastAsia="en-US"/>
        </w:rPr>
      </w:pPr>
    </w:p>
    <w:p w14:paraId="23C716F2" w14:textId="0D95BDE0" w:rsidR="00217A51" w:rsidRDefault="00217A51" w:rsidP="00217A51">
      <w:pPr>
        <w:rPr>
          <w:rFonts w:eastAsia="Calibri"/>
          <w:lang w:eastAsia="en-US"/>
        </w:rPr>
      </w:pPr>
      <w:r>
        <w:rPr>
          <w:rFonts w:eastAsia="Calibri"/>
          <w:lang w:eastAsia="en-US"/>
        </w:rPr>
        <w:t>For secondary exposure, dermal exposure is possible for adults treating or handling children. However this scenario is fully covered by primary adult dermal exposure. H</w:t>
      </w:r>
      <w:r w:rsidRPr="001B2835">
        <w:rPr>
          <w:rFonts w:eastAsia="Calibri"/>
          <w:lang w:eastAsia="en-US"/>
        </w:rPr>
        <w:t xml:space="preserve">and to mouth transfer is also possible for adults and children; </w:t>
      </w:r>
      <w:r>
        <w:rPr>
          <w:rFonts w:eastAsia="Calibri"/>
          <w:lang w:eastAsia="en-US"/>
        </w:rPr>
        <w:t>nonetheless</w:t>
      </w:r>
      <w:r w:rsidRPr="001B2835">
        <w:rPr>
          <w:rFonts w:eastAsia="Calibri"/>
          <w:lang w:eastAsia="en-US"/>
        </w:rPr>
        <w:t>, the biocidal product is not intended to be applied on children’s hands which reduces potential oral uptake of the dermally applied active substance</w:t>
      </w:r>
      <w:r>
        <w:rPr>
          <w:rFonts w:eastAsia="Calibri"/>
          <w:lang w:eastAsia="en-US"/>
        </w:rPr>
        <w:t xml:space="preserve">. For inhalative exposure, the inhalation of volatilized residues after application is also relevant. </w:t>
      </w:r>
    </w:p>
    <w:p w14:paraId="1FA7F345" w14:textId="57DF5026" w:rsidR="00825C08" w:rsidRDefault="00825C08" w:rsidP="00217A51">
      <w:pPr>
        <w:rPr>
          <w:rFonts w:eastAsia="Calibri"/>
          <w:lang w:eastAsia="en-US"/>
        </w:rPr>
      </w:pPr>
    </w:p>
    <w:p w14:paraId="4A7E6D73" w14:textId="77777777" w:rsidR="0071179F" w:rsidRPr="008D7EDC" w:rsidRDefault="0071179F" w:rsidP="008D7EDC">
      <w:pPr>
        <w:pStyle w:val="Paragraphedeliste"/>
        <w:keepNext/>
        <w:widowControl w:val="0"/>
        <w:numPr>
          <w:ilvl w:val="0"/>
          <w:numId w:val="68"/>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8D7EDC">
        <w:rPr>
          <w:rFonts w:eastAsia="Calibri"/>
          <w:b/>
          <w:lang w:eastAsia="en-US"/>
        </w:rPr>
        <w:lastRenderedPageBreak/>
        <w:t>MAJOR CHANGE FOR SPRAY REPULSIF IR200 – 2019 (FR CA)</w:t>
      </w:r>
    </w:p>
    <w:p w14:paraId="5FB6E664" w14:textId="3CD174E6" w:rsidR="00780E5B" w:rsidRPr="00780E5B" w:rsidRDefault="00780E5B" w:rsidP="008D7EDC">
      <w:pPr>
        <w:keepNext/>
        <w:widowControl w:val="0"/>
        <w:shd w:val="clear" w:color="auto" w:fill="FFFFFF" w:themeFill="background1"/>
        <w:kinsoku w:val="0"/>
        <w:overflowPunct w:val="0"/>
        <w:autoSpaceDE w:val="0"/>
        <w:autoSpaceDN w:val="0"/>
        <w:adjustRightInd w:val="0"/>
        <w:spacing w:before="292" w:after="0" w:line="290" w:lineRule="exact"/>
        <w:ind w:right="215"/>
        <w:jc w:val="both"/>
        <w:textAlignment w:val="baseline"/>
        <w:rPr>
          <w:rFonts w:cs="Arial"/>
          <w:spacing w:val="1"/>
          <w:u w:val="single"/>
          <w:lang w:eastAsia="fr-FR"/>
        </w:rPr>
      </w:pPr>
      <w:r w:rsidRPr="00780E5B">
        <w:rPr>
          <w:rFonts w:cs="Arial"/>
          <w:spacing w:val="1"/>
          <w:u w:val="single"/>
          <w:lang w:eastAsia="fr-FR"/>
        </w:rPr>
        <w:t>The product is intended to be use:</w:t>
      </w:r>
    </w:p>
    <w:p w14:paraId="06B16F09" w14:textId="77777777" w:rsidR="00780E5B" w:rsidRPr="00780E5B" w:rsidRDefault="00780E5B" w:rsidP="008D7EDC">
      <w:pPr>
        <w:keepNext/>
        <w:widowControl w:val="0"/>
        <w:shd w:val="clear" w:color="auto" w:fill="FFFFFF" w:themeFill="background1"/>
        <w:kinsoku w:val="0"/>
        <w:overflowPunct w:val="0"/>
        <w:autoSpaceDE w:val="0"/>
        <w:autoSpaceDN w:val="0"/>
        <w:adjustRightInd w:val="0"/>
        <w:spacing w:before="292" w:after="0" w:line="290" w:lineRule="exact"/>
        <w:ind w:right="215"/>
        <w:jc w:val="both"/>
        <w:textAlignment w:val="baseline"/>
        <w:rPr>
          <w:rFonts w:cs="Arial"/>
          <w:spacing w:val="1"/>
          <w:u w:val="single"/>
          <w:lang w:eastAsia="fr-FR"/>
        </w:rPr>
      </w:pPr>
      <w:r w:rsidRPr="00780E5B">
        <w:rPr>
          <w:rFonts w:cs="Arial"/>
          <w:spacing w:val="1"/>
          <w:u w:val="single"/>
          <w:lang w:eastAsia="fr-FR"/>
        </w:rPr>
        <w:t>- against head lice on skin or on clothes/bed linen,</w:t>
      </w:r>
    </w:p>
    <w:p w14:paraId="5FFD648A" w14:textId="77777777" w:rsidR="00780E5B" w:rsidRPr="00780E5B" w:rsidRDefault="00780E5B" w:rsidP="008D7EDC">
      <w:pPr>
        <w:keepNext/>
        <w:widowControl w:val="0"/>
        <w:shd w:val="clear" w:color="auto" w:fill="FFFFFF" w:themeFill="background1"/>
        <w:kinsoku w:val="0"/>
        <w:overflowPunct w:val="0"/>
        <w:autoSpaceDE w:val="0"/>
        <w:autoSpaceDN w:val="0"/>
        <w:adjustRightInd w:val="0"/>
        <w:spacing w:before="292" w:after="0" w:line="290" w:lineRule="exact"/>
        <w:ind w:right="215"/>
        <w:jc w:val="both"/>
        <w:textAlignment w:val="baseline"/>
        <w:rPr>
          <w:rFonts w:cs="Arial"/>
          <w:spacing w:val="1"/>
          <w:u w:val="single"/>
          <w:lang w:eastAsia="fr-FR"/>
        </w:rPr>
      </w:pPr>
      <w:r w:rsidRPr="00780E5B">
        <w:rPr>
          <w:rFonts w:cs="Arial"/>
          <w:spacing w:val="1"/>
          <w:u w:val="single"/>
          <w:lang w:eastAsia="fr-FR"/>
        </w:rPr>
        <w:t>- against mosquitos and ticks on skin or on clothes,</w:t>
      </w:r>
    </w:p>
    <w:p w14:paraId="1706EBC9" w14:textId="77777777" w:rsidR="00780E5B" w:rsidRPr="00780E5B" w:rsidRDefault="00780E5B" w:rsidP="008D7EDC">
      <w:pPr>
        <w:keepNext/>
        <w:widowControl w:val="0"/>
        <w:shd w:val="clear" w:color="auto" w:fill="FFFFFF" w:themeFill="background1"/>
        <w:kinsoku w:val="0"/>
        <w:overflowPunct w:val="0"/>
        <w:autoSpaceDE w:val="0"/>
        <w:autoSpaceDN w:val="0"/>
        <w:adjustRightInd w:val="0"/>
        <w:spacing w:before="292" w:after="0" w:line="290" w:lineRule="exact"/>
        <w:ind w:right="215"/>
        <w:jc w:val="both"/>
        <w:textAlignment w:val="baseline"/>
        <w:rPr>
          <w:rFonts w:cs="Arial"/>
          <w:spacing w:val="1"/>
          <w:u w:val="single"/>
          <w:lang w:eastAsia="fr-FR"/>
        </w:rPr>
      </w:pPr>
      <w:r w:rsidRPr="00780E5B">
        <w:rPr>
          <w:rFonts w:cs="Arial"/>
          <w:spacing w:val="1"/>
          <w:u w:val="single"/>
          <w:lang w:eastAsia="fr-FR"/>
        </w:rPr>
        <w:t xml:space="preserve">- against dust mites on bed linen.  </w:t>
      </w:r>
    </w:p>
    <w:p w14:paraId="7F9035D6" w14:textId="77777777" w:rsidR="00780E5B" w:rsidRPr="00780E5B"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lang w:eastAsia="fr-FR"/>
        </w:rPr>
      </w:pPr>
      <w:r w:rsidRPr="00780E5B">
        <w:rPr>
          <w:rFonts w:cs="Arial"/>
          <w:spacing w:val="1"/>
          <w:lang w:eastAsia="fr-FR"/>
        </w:rPr>
        <w:t>Exposure can occur during application and post-application.</w:t>
      </w:r>
    </w:p>
    <w:p w14:paraId="6EAEF38D" w14:textId="00A82374" w:rsidR="00F1647E" w:rsidRPr="00780E5B" w:rsidRDefault="00F1647E"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u w:val="single"/>
          <w:lang w:eastAsia="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1139"/>
        <w:gridCol w:w="1404"/>
        <w:gridCol w:w="1439"/>
        <w:gridCol w:w="1188"/>
        <w:gridCol w:w="1379"/>
        <w:gridCol w:w="853"/>
        <w:gridCol w:w="782"/>
      </w:tblGrid>
      <w:tr w:rsidR="00780E5B" w:rsidRPr="007E29F8" w14:paraId="79A096D6" w14:textId="77777777" w:rsidTr="002655EE">
        <w:trPr>
          <w:tblHeader/>
        </w:trPr>
        <w:tc>
          <w:tcPr>
            <w:tcW w:w="5000" w:type="pct"/>
            <w:gridSpan w:val="8"/>
            <w:shd w:val="clear" w:color="auto" w:fill="FFFFCC"/>
          </w:tcPr>
          <w:p w14:paraId="574B2A3F" w14:textId="77777777" w:rsidR="00780E5B" w:rsidRPr="007E29F8" w:rsidRDefault="00780E5B" w:rsidP="008D7EDC">
            <w:pPr>
              <w:pStyle w:val="Standaard-Tabellen"/>
              <w:shd w:val="clear" w:color="auto" w:fill="FFFFFF" w:themeFill="background1"/>
              <w:jc w:val="center"/>
              <w:rPr>
                <w:rFonts w:eastAsia="Calibri"/>
                <w:b/>
              </w:rPr>
            </w:pPr>
            <w:r w:rsidRPr="007E29F8">
              <w:rPr>
                <w:rFonts w:eastAsia="Calibri"/>
                <w:b/>
              </w:rPr>
              <w:t>Summary table: relevant paths of human exposure</w:t>
            </w:r>
          </w:p>
        </w:tc>
      </w:tr>
      <w:tr w:rsidR="00780E5B" w:rsidRPr="007E29F8" w14:paraId="565E0541" w14:textId="77777777" w:rsidTr="002655EE">
        <w:trPr>
          <w:tblHeader/>
        </w:trPr>
        <w:tc>
          <w:tcPr>
            <w:tcW w:w="645" w:type="pct"/>
            <w:vMerge w:val="restart"/>
            <w:shd w:val="clear" w:color="auto" w:fill="BFBFBF" w:themeFill="background1" w:themeFillShade="BF"/>
            <w:tcMar>
              <w:top w:w="57" w:type="dxa"/>
              <w:bottom w:w="57" w:type="dxa"/>
            </w:tcMar>
            <w:vAlign w:val="center"/>
          </w:tcPr>
          <w:p w14:paraId="20C79BC9" w14:textId="77777777" w:rsidR="00780E5B" w:rsidRPr="007E29F8" w:rsidRDefault="00780E5B" w:rsidP="008D7EDC">
            <w:pPr>
              <w:pStyle w:val="Standaard-Tabellen"/>
              <w:shd w:val="clear" w:color="auto" w:fill="FFFFFF" w:themeFill="background1"/>
              <w:rPr>
                <w:rFonts w:eastAsia="Calibri"/>
                <w:b/>
              </w:rPr>
            </w:pPr>
            <w:r w:rsidRPr="007E29F8">
              <w:rPr>
                <w:rFonts w:eastAsia="Calibri"/>
                <w:b/>
              </w:rPr>
              <w:t>Exposure path</w:t>
            </w:r>
          </w:p>
        </w:tc>
        <w:tc>
          <w:tcPr>
            <w:tcW w:w="2119" w:type="pct"/>
            <w:gridSpan w:val="3"/>
            <w:shd w:val="clear" w:color="auto" w:fill="BFBFBF" w:themeFill="background1" w:themeFillShade="BF"/>
            <w:tcMar>
              <w:top w:w="57" w:type="dxa"/>
              <w:bottom w:w="57" w:type="dxa"/>
            </w:tcMar>
            <w:vAlign w:val="center"/>
          </w:tcPr>
          <w:p w14:paraId="24B0343B" w14:textId="77777777" w:rsidR="00780E5B" w:rsidRPr="007E29F8" w:rsidRDefault="00780E5B" w:rsidP="008D7EDC">
            <w:pPr>
              <w:pStyle w:val="Standaard-Tabellen"/>
              <w:shd w:val="clear" w:color="auto" w:fill="FFFFFF" w:themeFill="background1"/>
              <w:rPr>
                <w:rFonts w:eastAsia="Calibri"/>
                <w:b/>
              </w:rPr>
            </w:pPr>
            <w:r w:rsidRPr="007E29F8">
              <w:rPr>
                <w:rFonts w:eastAsia="Calibri"/>
                <w:b/>
              </w:rPr>
              <w:t xml:space="preserve">Primary (direct) exposure </w:t>
            </w:r>
          </w:p>
        </w:tc>
        <w:tc>
          <w:tcPr>
            <w:tcW w:w="2236" w:type="pct"/>
            <w:gridSpan w:val="4"/>
            <w:shd w:val="clear" w:color="auto" w:fill="BFBFBF" w:themeFill="background1" w:themeFillShade="BF"/>
          </w:tcPr>
          <w:p w14:paraId="16D0767B" w14:textId="77777777" w:rsidR="00780E5B" w:rsidRPr="007E29F8" w:rsidRDefault="00780E5B" w:rsidP="008D7EDC">
            <w:pPr>
              <w:pStyle w:val="Standaard-Tabellen"/>
              <w:shd w:val="clear" w:color="auto" w:fill="FFFFFF" w:themeFill="background1"/>
              <w:rPr>
                <w:rFonts w:eastAsia="Calibri"/>
                <w:b/>
              </w:rPr>
            </w:pPr>
            <w:r w:rsidRPr="007E29F8">
              <w:rPr>
                <w:rFonts w:eastAsia="Calibri"/>
                <w:b/>
              </w:rPr>
              <w:t xml:space="preserve">Secondary (indirect) exposure </w:t>
            </w:r>
          </w:p>
        </w:tc>
      </w:tr>
      <w:tr w:rsidR="00780E5B" w:rsidRPr="007E29F8" w14:paraId="6D19B10C" w14:textId="77777777" w:rsidTr="002655EE">
        <w:trPr>
          <w:tblHeader/>
        </w:trPr>
        <w:tc>
          <w:tcPr>
            <w:tcW w:w="645" w:type="pct"/>
            <w:vMerge/>
            <w:shd w:val="clear" w:color="auto" w:fill="BFBFBF" w:themeFill="background1" w:themeFillShade="BF"/>
            <w:tcMar>
              <w:top w:w="57" w:type="dxa"/>
              <w:bottom w:w="57" w:type="dxa"/>
            </w:tcMar>
          </w:tcPr>
          <w:p w14:paraId="6FFC6DC5" w14:textId="77777777" w:rsidR="00780E5B" w:rsidRPr="007E29F8" w:rsidRDefault="00780E5B" w:rsidP="008D7EDC">
            <w:pPr>
              <w:pStyle w:val="Standaard-Tabellen"/>
              <w:shd w:val="clear" w:color="auto" w:fill="FFFFFF" w:themeFill="background1"/>
              <w:rPr>
                <w:rFonts w:eastAsia="Calibri"/>
                <w:b/>
              </w:rPr>
            </w:pPr>
          </w:p>
        </w:tc>
        <w:tc>
          <w:tcPr>
            <w:tcW w:w="606" w:type="pct"/>
            <w:shd w:val="clear" w:color="auto" w:fill="BFBFBF" w:themeFill="background1" w:themeFillShade="BF"/>
            <w:tcMar>
              <w:top w:w="57" w:type="dxa"/>
              <w:bottom w:w="57" w:type="dxa"/>
            </w:tcMar>
          </w:tcPr>
          <w:p w14:paraId="420C12A1" w14:textId="77777777" w:rsidR="00780E5B" w:rsidRPr="007E29F8" w:rsidRDefault="00780E5B" w:rsidP="008D7EDC">
            <w:pPr>
              <w:pStyle w:val="Standaard-Tabellen"/>
              <w:shd w:val="clear" w:color="auto" w:fill="FFFFFF" w:themeFill="background1"/>
              <w:rPr>
                <w:rFonts w:eastAsia="Calibri"/>
                <w:b/>
              </w:rPr>
            </w:pPr>
            <w:r w:rsidRPr="007E29F8">
              <w:rPr>
                <w:rFonts w:eastAsia="Calibri"/>
                <w:b/>
              </w:rPr>
              <w:t>Industrial use</w:t>
            </w:r>
          </w:p>
        </w:tc>
        <w:tc>
          <w:tcPr>
            <w:tcW w:w="747" w:type="pct"/>
            <w:shd w:val="clear" w:color="auto" w:fill="BFBFBF" w:themeFill="background1" w:themeFillShade="BF"/>
            <w:tcMar>
              <w:top w:w="57" w:type="dxa"/>
              <w:bottom w:w="57" w:type="dxa"/>
            </w:tcMar>
          </w:tcPr>
          <w:p w14:paraId="64339243" w14:textId="77777777" w:rsidR="00780E5B" w:rsidRPr="007E29F8" w:rsidRDefault="00780E5B" w:rsidP="008D7EDC">
            <w:pPr>
              <w:pStyle w:val="Standaard-Tabellen"/>
              <w:shd w:val="clear" w:color="auto" w:fill="FFFFFF" w:themeFill="background1"/>
              <w:rPr>
                <w:rFonts w:eastAsia="Calibri"/>
                <w:b/>
              </w:rPr>
            </w:pPr>
            <w:r w:rsidRPr="007E29F8">
              <w:rPr>
                <w:rFonts w:eastAsia="Calibri"/>
                <w:b/>
              </w:rPr>
              <w:t>Professional use</w:t>
            </w:r>
          </w:p>
        </w:tc>
        <w:tc>
          <w:tcPr>
            <w:tcW w:w="766" w:type="pct"/>
            <w:shd w:val="clear" w:color="auto" w:fill="BFBFBF" w:themeFill="background1" w:themeFillShade="BF"/>
            <w:tcMar>
              <w:top w:w="57" w:type="dxa"/>
              <w:bottom w:w="57" w:type="dxa"/>
            </w:tcMar>
          </w:tcPr>
          <w:p w14:paraId="297F0422" w14:textId="77777777" w:rsidR="00780E5B" w:rsidRPr="007E29F8" w:rsidRDefault="00780E5B" w:rsidP="008D7EDC">
            <w:pPr>
              <w:pStyle w:val="Standaard-Tabellen"/>
              <w:shd w:val="clear" w:color="auto" w:fill="FFFFFF" w:themeFill="background1"/>
              <w:rPr>
                <w:rFonts w:eastAsia="Calibri"/>
                <w:b/>
              </w:rPr>
            </w:pPr>
            <w:r w:rsidRPr="007E29F8">
              <w:rPr>
                <w:rFonts w:eastAsia="Calibri"/>
                <w:b/>
              </w:rPr>
              <w:t>Non-professional use</w:t>
            </w:r>
          </w:p>
        </w:tc>
        <w:tc>
          <w:tcPr>
            <w:tcW w:w="632" w:type="pct"/>
            <w:shd w:val="clear" w:color="auto" w:fill="BFBFBF" w:themeFill="background1" w:themeFillShade="BF"/>
          </w:tcPr>
          <w:p w14:paraId="08CE667E" w14:textId="77777777" w:rsidR="00780E5B" w:rsidRPr="007E29F8" w:rsidRDefault="00780E5B" w:rsidP="008D7EDC">
            <w:pPr>
              <w:pStyle w:val="Standaard-Tabellen"/>
              <w:shd w:val="clear" w:color="auto" w:fill="FFFFFF" w:themeFill="background1"/>
              <w:rPr>
                <w:rFonts w:eastAsia="Calibri"/>
                <w:b/>
              </w:rPr>
            </w:pPr>
            <w:r w:rsidRPr="007E29F8">
              <w:rPr>
                <w:rFonts w:eastAsia="Calibri"/>
                <w:b/>
              </w:rPr>
              <w:t>Industrial use</w:t>
            </w:r>
          </w:p>
        </w:tc>
        <w:tc>
          <w:tcPr>
            <w:tcW w:w="734" w:type="pct"/>
            <w:shd w:val="clear" w:color="auto" w:fill="BFBFBF" w:themeFill="background1" w:themeFillShade="BF"/>
          </w:tcPr>
          <w:p w14:paraId="713EB6F4" w14:textId="77777777" w:rsidR="00780E5B" w:rsidRPr="007E29F8" w:rsidRDefault="00780E5B" w:rsidP="008D7EDC">
            <w:pPr>
              <w:pStyle w:val="Standaard-Tabellen"/>
              <w:shd w:val="clear" w:color="auto" w:fill="FFFFFF" w:themeFill="background1"/>
              <w:rPr>
                <w:rFonts w:eastAsia="Calibri"/>
                <w:b/>
              </w:rPr>
            </w:pPr>
            <w:r w:rsidRPr="007E29F8">
              <w:rPr>
                <w:rFonts w:eastAsia="Calibri"/>
                <w:b/>
              </w:rPr>
              <w:t>Professional use</w:t>
            </w:r>
          </w:p>
        </w:tc>
        <w:tc>
          <w:tcPr>
            <w:tcW w:w="454" w:type="pct"/>
            <w:shd w:val="clear" w:color="auto" w:fill="BFBFBF" w:themeFill="background1" w:themeFillShade="BF"/>
          </w:tcPr>
          <w:p w14:paraId="0DFD9DEA" w14:textId="77777777" w:rsidR="00780E5B" w:rsidRPr="007E29F8" w:rsidRDefault="00780E5B" w:rsidP="008D7EDC">
            <w:pPr>
              <w:pStyle w:val="Standaard-Tabellen"/>
              <w:shd w:val="clear" w:color="auto" w:fill="FFFFFF" w:themeFill="background1"/>
              <w:rPr>
                <w:rFonts w:eastAsia="Calibri"/>
                <w:b/>
              </w:rPr>
            </w:pPr>
            <w:r w:rsidRPr="007E29F8">
              <w:rPr>
                <w:rFonts w:eastAsia="Calibri"/>
                <w:b/>
              </w:rPr>
              <w:t>General public</w:t>
            </w:r>
          </w:p>
        </w:tc>
        <w:tc>
          <w:tcPr>
            <w:tcW w:w="416" w:type="pct"/>
            <w:shd w:val="clear" w:color="auto" w:fill="BFBFBF" w:themeFill="background1" w:themeFillShade="BF"/>
          </w:tcPr>
          <w:p w14:paraId="559FC371" w14:textId="77777777" w:rsidR="00780E5B" w:rsidRPr="007E29F8" w:rsidRDefault="00780E5B" w:rsidP="008D7EDC">
            <w:pPr>
              <w:pStyle w:val="Standaard-Tabellen"/>
              <w:shd w:val="clear" w:color="auto" w:fill="FFFFFF" w:themeFill="background1"/>
              <w:rPr>
                <w:rFonts w:eastAsia="Calibri"/>
                <w:b/>
                <w:highlight w:val="yellow"/>
              </w:rPr>
            </w:pPr>
            <w:r w:rsidRPr="007E29F8">
              <w:rPr>
                <w:rFonts w:eastAsia="Calibri"/>
                <w:b/>
                <w:highlight w:val="yellow"/>
              </w:rPr>
              <w:t>Via food</w:t>
            </w:r>
          </w:p>
        </w:tc>
      </w:tr>
      <w:tr w:rsidR="00780E5B" w:rsidRPr="007E29F8" w14:paraId="170A5CCD" w14:textId="77777777" w:rsidTr="002655EE">
        <w:trPr>
          <w:tblHeader/>
        </w:trPr>
        <w:tc>
          <w:tcPr>
            <w:tcW w:w="645" w:type="pct"/>
            <w:shd w:val="clear" w:color="auto" w:fill="auto"/>
            <w:tcMar>
              <w:top w:w="57" w:type="dxa"/>
              <w:bottom w:w="57" w:type="dxa"/>
            </w:tcMar>
          </w:tcPr>
          <w:p w14:paraId="0DAA01E3"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Inhalation</w:t>
            </w:r>
          </w:p>
        </w:tc>
        <w:tc>
          <w:tcPr>
            <w:tcW w:w="606" w:type="pct"/>
            <w:tcMar>
              <w:top w:w="57" w:type="dxa"/>
              <w:bottom w:w="57" w:type="dxa"/>
            </w:tcMar>
          </w:tcPr>
          <w:p w14:paraId="4E1723ED"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747" w:type="pct"/>
            <w:shd w:val="clear" w:color="auto" w:fill="auto"/>
            <w:tcMar>
              <w:top w:w="57" w:type="dxa"/>
              <w:bottom w:w="57" w:type="dxa"/>
            </w:tcMar>
          </w:tcPr>
          <w:p w14:paraId="68CA195B"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766" w:type="pct"/>
            <w:shd w:val="clear" w:color="auto" w:fill="auto"/>
            <w:tcMar>
              <w:top w:w="57" w:type="dxa"/>
              <w:bottom w:w="57" w:type="dxa"/>
            </w:tcMar>
          </w:tcPr>
          <w:p w14:paraId="2C3BA53B"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Yes</w:t>
            </w:r>
          </w:p>
        </w:tc>
        <w:tc>
          <w:tcPr>
            <w:tcW w:w="632" w:type="pct"/>
          </w:tcPr>
          <w:p w14:paraId="073E94DD"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734" w:type="pct"/>
          </w:tcPr>
          <w:p w14:paraId="06E1A041"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454" w:type="pct"/>
          </w:tcPr>
          <w:p w14:paraId="18CD9969"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Yes</w:t>
            </w:r>
          </w:p>
        </w:tc>
        <w:tc>
          <w:tcPr>
            <w:tcW w:w="416" w:type="pct"/>
          </w:tcPr>
          <w:p w14:paraId="228302AD" w14:textId="77777777" w:rsidR="00780E5B" w:rsidRPr="007E29F8" w:rsidRDefault="00780E5B" w:rsidP="008D7EDC">
            <w:pPr>
              <w:pStyle w:val="Standaard-Tabellen"/>
              <w:shd w:val="clear" w:color="auto" w:fill="FFFFFF" w:themeFill="background1"/>
              <w:rPr>
                <w:rFonts w:eastAsia="Calibri"/>
                <w:highlight w:val="yellow"/>
              </w:rPr>
            </w:pPr>
            <w:r w:rsidRPr="007E29F8">
              <w:rPr>
                <w:rFonts w:eastAsia="Calibri"/>
                <w:highlight w:val="yellow"/>
              </w:rPr>
              <w:t>n.a.</w:t>
            </w:r>
          </w:p>
        </w:tc>
      </w:tr>
      <w:tr w:rsidR="00780E5B" w:rsidRPr="007E29F8" w14:paraId="4DF412E4" w14:textId="77777777" w:rsidTr="002655EE">
        <w:trPr>
          <w:tblHeader/>
        </w:trPr>
        <w:tc>
          <w:tcPr>
            <w:tcW w:w="645" w:type="pct"/>
            <w:shd w:val="clear" w:color="auto" w:fill="auto"/>
            <w:tcMar>
              <w:top w:w="57" w:type="dxa"/>
              <w:bottom w:w="57" w:type="dxa"/>
            </w:tcMar>
          </w:tcPr>
          <w:p w14:paraId="0396CF8F"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Dermal</w:t>
            </w:r>
          </w:p>
        </w:tc>
        <w:tc>
          <w:tcPr>
            <w:tcW w:w="606" w:type="pct"/>
            <w:tcMar>
              <w:top w:w="57" w:type="dxa"/>
              <w:bottom w:w="57" w:type="dxa"/>
            </w:tcMar>
          </w:tcPr>
          <w:p w14:paraId="4BA5656F"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747" w:type="pct"/>
            <w:shd w:val="clear" w:color="auto" w:fill="auto"/>
            <w:tcMar>
              <w:top w:w="57" w:type="dxa"/>
              <w:bottom w:w="57" w:type="dxa"/>
            </w:tcMar>
          </w:tcPr>
          <w:p w14:paraId="23312DEA"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766" w:type="pct"/>
            <w:shd w:val="clear" w:color="auto" w:fill="auto"/>
            <w:tcMar>
              <w:top w:w="57" w:type="dxa"/>
              <w:bottom w:w="57" w:type="dxa"/>
            </w:tcMar>
          </w:tcPr>
          <w:p w14:paraId="30BB34A3"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Yes</w:t>
            </w:r>
          </w:p>
        </w:tc>
        <w:tc>
          <w:tcPr>
            <w:tcW w:w="632" w:type="pct"/>
          </w:tcPr>
          <w:p w14:paraId="18DF27C2"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734" w:type="pct"/>
          </w:tcPr>
          <w:p w14:paraId="44050F73"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454" w:type="pct"/>
          </w:tcPr>
          <w:p w14:paraId="112E7DAE"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Yes</w:t>
            </w:r>
          </w:p>
        </w:tc>
        <w:tc>
          <w:tcPr>
            <w:tcW w:w="416" w:type="pct"/>
          </w:tcPr>
          <w:p w14:paraId="3F9839F4" w14:textId="77777777" w:rsidR="00780E5B" w:rsidRPr="007E29F8" w:rsidRDefault="00780E5B" w:rsidP="008D7EDC">
            <w:pPr>
              <w:pStyle w:val="Standaard-Tabellen"/>
              <w:shd w:val="clear" w:color="auto" w:fill="FFFFFF" w:themeFill="background1"/>
              <w:rPr>
                <w:rFonts w:eastAsia="Calibri"/>
                <w:highlight w:val="yellow"/>
              </w:rPr>
            </w:pPr>
            <w:r w:rsidRPr="007E29F8">
              <w:rPr>
                <w:rFonts w:eastAsia="Calibri"/>
                <w:highlight w:val="yellow"/>
              </w:rPr>
              <w:t>n.a.</w:t>
            </w:r>
          </w:p>
        </w:tc>
      </w:tr>
      <w:tr w:rsidR="00780E5B" w:rsidRPr="007E29F8" w14:paraId="7093F5C1" w14:textId="77777777" w:rsidTr="002655EE">
        <w:trPr>
          <w:tblHeader/>
        </w:trPr>
        <w:tc>
          <w:tcPr>
            <w:tcW w:w="645" w:type="pct"/>
            <w:shd w:val="clear" w:color="auto" w:fill="auto"/>
            <w:tcMar>
              <w:top w:w="57" w:type="dxa"/>
              <w:bottom w:w="57" w:type="dxa"/>
            </w:tcMar>
          </w:tcPr>
          <w:p w14:paraId="27859916"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Oral</w:t>
            </w:r>
          </w:p>
        </w:tc>
        <w:tc>
          <w:tcPr>
            <w:tcW w:w="606" w:type="pct"/>
            <w:tcMar>
              <w:top w:w="57" w:type="dxa"/>
              <w:bottom w:w="57" w:type="dxa"/>
            </w:tcMar>
          </w:tcPr>
          <w:p w14:paraId="4B4E95D1"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747" w:type="pct"/>
            <w:shd w:val="clear" w:color="auto" w:fill="auto"/>
            <w:tcMar>
              <w:top w:w="57" w:type="dxa"/>
              <w:bottom w:w="57" w:type="dxa"/>
            </w:tcMar>
          </w:tcPr>
          <w:p w14:paraId="20D64EF1"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766" w:type="pct"/>
            <w:shd w:val="clear" w:color="auto" w:fill="auto"/>
            <w:tcMar>
              <w:top w:w="57" w:type="dxa"/>
              <w:bottom w:w="57" w:type="dxa"/>
            </w:tcMar>
          </w:tcPr>
          <w:p w14:paraId="589F2920"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632" w:type="pct"/>
          </w:tcPr>
          <w:p w14:paraId="6CF98597"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734" w:type="pct"/>
          </w:tcPr>
          <w:p w14:paraId="3B86F14F"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n.a.</w:t>
            </w:r>
          </w:p>
        </w:tc>
        <w:tc>
          <w:tcPr>
            <w:tcW w:w="454" w:type="pct"/>
          </w:tcPr>
          <w:p w14:paraId="42E43C7D" w14:textId="77777777" w:rsidR="00780E5B" w:rsidRPr="007E29F8" w:rsidRDefault="00780E5B" w:rsidP="008D7EDC">
            <w:pPr>
              <w:pStyle w:val="Standaard-Tabellen"/>
              <w:shd w:val="clear" w:color="auto" w:fill="FFFFFF" w:themeFill="background1"/>
              <w:rPr>
                <w:rFonts w:eastAsia="Calibri"/>
              </w:rPr>
            </w:pPr>
            <w:r w:rsidRPr="007E29F8">
              <w:rPr>
                <w:rFonts w:eastAsia="Calibri"/>
              </w:rPr>
              <w:t>Yes</w:t>
            </w:r>
          </w:p>
        </w:tc>
        <w:tc>
          <w:tcPr>
            <w:tcW w:w="416" w:type="pct"/>
          </w:tcPr>
          <w:p w14:paraId="48F16A9D" w14:textId="77777777" w:rsidR="00780E5B" w:rsidRPr="007E29F8" w:rsidRDefault="00780E5B" w:rsidP="008D7EDC">
            <w:pPr>
              <w:pStyle w:val="Standaard-Tabellen"/>
              <w:shd w:val="clear" w:color="auto" w:fill="FFFFFF" w:themeFill="background1"/>
              <w:rPr>
                <w:rFonts w:eastAsia="Calibri"/>
                <w:highlight w:val="yellow"/>
              </w:rPr>
            </w:pPr>
            <w:r w:rsidRPr="007E29F8">
              <w:rPr>
                <w:rFonts w:eastAsia="Calibri"/>
                <w:highlight w:val="yellow"/>
              </w:rPr>
              <w:t>n.a.</w:t>
            </w:r>
          </w:p>
        </w:tc>
      </w:tr>
    </w:tbl>
    <w:p w14:paraId="1AE14B59" w14:textId="77777777" w:rsidR="00780E5B"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b/>
          <w:i/>
          <w:spacing w:val="1"/>
          <w:lang w:eastAsia="fr-FR"/>
        </w:rPr>
      </w:pPr>
      <w:r w:rsidRPr="007E29F8">
        <w:rPr>
          <w:rFonts w:cs="Arial"/>
          <w:b/>
          <w:i/>
          <w:spacing w:val="1"/>
          <w:lang w:eastAsia="fr-FR"/>
        </w:rPr>
        <w:t>Primary exposure:</w:t>
      </w:r>
    </w:p>
    <w:p w14:paraId="50145CE3" w14:textId="77777777" w:rsidR="00780E5B"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b/>
          <w:i/>
          <w:spacing w:val="1"/>
          <w:lang w:eastAsia="fr-FR"/>
        </w:rPr>
      </w:pPr>
    </w:p>
    <w:p w14:paraId="383C5C36" w14:textId="77777777" w:rsidR="00780E5B" w:rsidRPr="007417DC"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lang w:eastAsia="fr-FR"/>
        </w:rPr>
      </w:pPr>
      <w:r w:rsidRPr="007417DC">
        <w:rPr>
          <w:rFonts w:cs="Arial"/>
          <w:spacing w:val="1"/>
          <w:lang w:eastAsia="fr-FR"/>
        </w:rPr>
        <w:t>For application on skin, dermal and inhalation exposure occur. It is considered that the exposure of the person spraying the product is covered by the exposure after application on the skin. According to consumer spraying model 2 for trigger spray, the user will be exposed to 10.5 mg of product /m3 during few minutes whereas he will be exposed to several grams (6 g) of product on skin with a dermal absorption of 14%. Therefore, the inhalation is assumed to be negligible. Therefore, the primary exposure is limited to the dermal route.</w:t>
      </w:r>
    </w:p>
    <w:p w14:paraId="7EAA6518" w14:textId="77777777" w:rsidR="00780E5B" w:rsidRPr="007417DC"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lang w:eastAsia="fr-FR"/>
        </w:rPr>
      </w:pPr>
    </w:p>
    <w:p w14:paraId="69F555FB" w14:textId="77777777" w:rsidR="00780E5B" w:rsidRPr="007417DC"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lang w:eastAsia="fr-FR"/>
        </w:rPr>
      </w:pPr>
      <w:r w:rsidRPr="007417DC">
        <w:rPr>
          <w:rFonts w:cs="Arial"/>
          <w:spacing w:val="1"/>
          <w:lang w:eastAsia="fr-FR"/>
        </w:rPr>
        <w:t xml:space="preserve">For application on fabrics, dermal and inhalation when spraying are taken into account. </w:t>
      </w:r>
    </w:p>
    <w:p w14:paraId="03F07F97" w14:textId="77777777" w:rsidR="00780E5B"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b/>
          <w:i/>
          <w:spacing w:val="1"/>
          <w:lang w:eastAsia="fr-FR"/>
        </w:rPr>
      </w:pPr>
    </w:p>
    <w:p w14:paraId="3C5B6B91" w14:textId="77777777" w:rsidR="00780E5B" w:rsidRPr="007E29F8"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b/>
          <w:i/>
          <w:spacing w:val="1"/>
          <w:lang w:eastAsia="fr-FR"/>
        </w:rPr>
      </w:pPr>
    </w:p>
    <w:p w14:paraId="1A3A7DDC" w14:textId="77777777" w:rsidR="00780E5B"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b/>
          <w:i/>
          <w:spacing w:val="1"/>
          <w:lang w:eastAsia="fr-FR"/>
        </w:rPr>
      </w:pPr>
      <w:r w:rsidRPr="007E29F8">
        <w:rPr>
          <w:rFonts w:cs="Arial"/>
          <w:b/>
          <w:i/>
          <w:spacing w:val="1"/>
          <w:lang w:eastAsia="fr-FR"/>
        </w:rPr>
        <w:t>Secondary exposure:</w:t>
      </w:r>
    </w:p>
    <w:p w14:paraId="50FB0EC7" w14:textId="77777777" w:rsidR="00780E5B"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b/>
          <w:i/>
          <w:spacing w:val="1"/>
          <w:lang w:eastAsia="fr-FR"/>
        </w:rPr>
      </w:pPr>
    </w:p>
    <w:p w14:paraId="4A72C86D" w14:textId="77777777" w:rsidR="00780E5B"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eastAsia="Calibri"/>
          <w:szCs w:val="24"/>
          <w:lang w:eastAsia="sv-SE"/>
        </w:rPr>
      </w:pPr>
      <w:r w:rsidRPr="007417DC">
        <w:rPr>
          <w:rFonts w:cs="Arial"/>
          <w:spacing w:val="1"/>
          <w:lang w:eastAsia="fr-FR"/>
        </w:rPr>
        <w:t>For skin application,</w:t>
      </w:r>
      <w:r w:rsidRPr="00D71531">
        <w:rPr>
          <w:rFonts w:cs="Arial"/>
          <w:spacing w:val="1"/>
          <w:lang w:eastAsia="fr-FR"/>
        </w:rPr>
        <w:t xml:space="preserve"> </w:t>
      </w:r>
      <w:r>
        <w:rPr>
          <w:rFonts w:cs="Arial"/>
          <w:spacing w:val="1"/>
          <w:lang w:eastAsia="fr-FR"/>
        </w:rPr>
        <w:t>d</w:t>
      </w:r>
      <w:r w:rsidRPr="007E29F8">
        <w:rPr>
          <w:rFonts w:cs="Arial"/>
          <w:spacing w:val="1"/>
          <w:lang w:eastAsia="fr-FR"/>
        </w:rPr>
        <w:t xml:space="preserve">espite the fact that the product contains a </w:t>
      </w:r>
      <w:r w:rsidRPr="007417DC">
        <w:rPr>
          <w:rFonts w:cs="Arial"/>
          <w:spacing w:val="1"/>
          <w:lang w:eastAsia="fr-FR"/>
        </w:rPr>
        <w:t xml:space="preserve">bittering agent, </w:t>
      </w:r>
      <w:r w:rsidRPr="007E29F8">
        <w:rPr>
          <w:rFonts w:cs="Arial"/>
          <w:spacing w:val="1"/>
          <w:lang w:eastAsia="fr-FR"/>
        </w:rPr>
        <w:t>oral exposure is taken into account for infants and toddlers (hand-to-mouth behavior) and children and adults which can be</w:t>
      </w:r>
      <w:r w:rsidRPr="007E29F8">
        <w:rPr>
          <w:rFonts w:eastAsia="Calibri"/>
          <w:lang w:eastAsia="en-US"/>
        </w:rPr>
        <w:t xml:space="preserve"> incidentally exposed orally to </w:t>
      </w:r>
      <w:r w:rsidRPr="007E29F8">
        <w:rPr>
          <w:rFonts w:eastAsia="Calibri"/>
          <w:szCs w:val="24"/>
          <w:lang w:eastAsia="sv-SE"/>
        </w:rPr>
        <w:t>the biocidal product</w:t>
      </w:r>
      <w:r>
        <w:rPr>
          <w:rFonts w:eastAsia="Calibri"/>
          <w:szCs w:val="24"/>
          <w:lang w:eastAsia="sv-SE"/>
        </w:rPr>
        <w:t>.</w:t>
      </w:r>
    </w:p>
    <w:p w14:paraId="307FD929" w14:textId="77777777" w:rsidR="00780E5B" w:rsidRPr="007E29F8"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b/>
          <w:i/>
          <w:spacing w:val="1"/>
          <w:lang w:eastAsia="fr-FR"/>
        </w:rPr>
      </w:pPr>
    </w:p>
    <w:p w14:paraId="33BAD263" w14:textId="77777777" w:rsidR="00780E5B" w:rsidRPr="007E29F8"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lang w:eastAsia="fr-FR"/>
        </w:rPr>
      </w:pPr>
      <w:r w:rsidRPr="007E29F8">
        <w:rPr>
          <w:rFonts w:cs="Arial"/>
          <w:spacing w:val="1"/>
          <w:lang w:eastAsia="fr-FR"/>
        </w:rPr>
        <w:t>Dermal exposure from dried residues is considered when wearing treated clothes and sleeping in treated linen.</w:t>
      </w:r>
    </w:p>
    <w:p w14:paraId="2125E74C" w14:textId="77777777" w:rsidR="00780E5B" w:rsidRPr="007E29F8"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lang w:eastAsia="fr-FR"/>
        </w:rPr>
      </w:pPr>
      <w:r w:rsidRPr="007E29F8">
        <w:rPr>
          <w:rFonts w:cs="Arial"/>
          <w:spacing w:val="1"/>
          <w:lang w:eastAsia="fr-FR"/>
        </w:rPr>
        <w:t>Inhalation of volatilised residues after application is considered when spraying to textiles and bed linen.</w:t>
      </w:r>
    </w:p>
    <w:p w14:paraId="46272574" w14:textId="77777777" w:rsidR="00780E5B" w:rsidRPr="007E29F8" w:rsidRDefault="00780E5B" w:rsidP="008D7EDC">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highlight w:val="green"/>
          <w:lang w:eastAsia="fr-FR"/>
        </w:rPr>
      </w:pPr>
    </w:p>
    <w:p w14:paraId="66D49A9F" w14:textId="77777777" w:rsidR="00780E5B" w:rsidRPr="007E29F8" w:rsidRDefault="00780E5B" w:rsidP="008D7EDC">
      <w:pPr>
        <w:shd w:val="clear" w:color="auto" w:fill="FFFFFF" w:themeFill="background1"/>
        <w:rPr>
          <w:rFonts w:eastAsia="Calibri"/>
          <w:lang w:eastAsia="en-US"/>
        </w:rPr>
      </w:pPr>
    </w:p>
    <w:p w14:paraId="12E291C1" w14:textId="59EB078C" w:rsidR="00780E5B" w:rsidRPr="008D7EDC" w:rsidRDefault="00780E5B" w:rsidP="008D7EDC">
      <w:pPr>
        <w:shd w:val="clear" w:color="auto" w:fill="FFFFFF" w:themeFill="background1"/>
        <w:rPr>
          <w:u w:val="single"/>
        </w:rPr>
      </w:pPr>
      <w:r w:rsidRPr="008D7EDC">
        <w:rPr>
          <w:b/>
          <w:u w:val="single"/>
        </w:rPr>
        <w:t>Major change for SPRAY REPULSIF IR200 – 2019</w:t>
      </w:r>
    </w:p>
    <w:p w14:paraId="053CAA8B" w14:textId="41E8CAE1" w:rsidR="00780E5B" w:rsidRPr="007E29F8" w:rsidRDefault="00780E5B" w:rsidP="008D7EDC">
      <w:pPr>
        <w:shd w:val="clear" w:color="auto" w:fill="FFFFFF" w:themeFill="background1"/>
      </w:pPr>
      <w:r w:rsidRPr="008D7EDC">
        <w:t>A dietary exposure and risk assessment is also proposed by FR.</w:t>
      </w:r>
    </w:p>
    <w:p w14:paraId="4BF011DB" w14:textId="35EB7D96" w:rsidR="00D331AD" w:rsidRDefault="00D331AD" w:rsidP="00217A51">
      <w:pPr>
        <w:rPr>
          <w:u w:val="single"/>
        </w:rPr>
      </w:pPr>
    </w:p>
    <w:p w14:paraId="263DA5E1" w14:textId="05832A52" w:rsidR="00D331AD" w:rsidRDefault="00D331AD" w:rsidP="00217A51">
      <w:pPr>
        <w:rPr>
          <w:u w:val="single"/>
        </w:rPr>
      </w:pPr>
    </w:p>
    <w:p w14:paraId="13FB4A95" w14:textId="77777777" w:rsidR="00D331AD" w:rsidRPr="003C3D08" w:rsidRDefault="00D331AD" w:rsidP="00217A51">
      <w:pPr>
        <w:rPr>
          <w:u w:val="single"/>
        </w:rPr>
      </w:pPr>
    </w:p>
    <w:p w14:paraId="27C80EDE" w14:textId="5A4AEC2A" w:rsidR="00217A51" w:rsidRDefault="00217A51" w:rsidP="00D471B6">
      <w:pPr>
        <w:pStyle w:val="Titre5"/>
        <w:numPr>
          <w:ilvl w:val="0"/>
          <w:numId w:val="4"/>
        </w:numPr>
      </w:pPr>
      <w:bookmarkStart w:id="217" w:name="_Toc93326560"/>
      <w:r>
        <w:t>General information</w:t>
      </w:r>
      <w:bookmarkEnd w:id="217"/>
    </w:p>
    <w:p w14:paraId="4C162100" w14:textId="77777777" w:rsidR="00C41691" w:rsidRPr="009461FB" w:rsidRDefault="00C41691" w:rsidP="00C41691">
      <w:pPr>
        <w:pStyle w:val="Paragraphedeliste"/>
        <w:numPr>
          <w:ilvl w:val="0"/>
          <w:numId w:val="68"/>
        </w:numPr>
        <w:rPr>
          <w:b/>
        </w:rPr>
      </w:pPr>
      <w:r w:rsidRPr="009461FB">
        <w:rPr>
          <w:b/>
        </w:rPr>
        <w:t>FIRST AUTHORISATION – 2017 (BE CA)</w:t>
      </w:r>
    </w:p>
    <w:p w14:paraId="0752DCD4" w14:textId="77777777" w:rsidR="00C41691" w:rsidRPr="00C41691" w:rsidRDefault="00C41691" w:rsidP="00C41691">
      <w:pPr>
        <w:rPr>
          <w:lang w:val="en-US" w:eastAsia="en-US"/>
        </w:rPr>
      </w:pPr>
    </w:p>
    <w:p w14:paraId="40EF2308" w14:textId="77777777" w:rsidR="00217A51" w:rsidRPr="002B4716" w:rsidRDefault="00217A51" w:rsidP="00217A51">
      <w:pPr>
        <w:pStyle w:val="Titre6"/>
        <w:rPr>
          <w:lang w:val="en-US"/>
        </w:rPr>
      </w:pPr>
      <w:r w:rsidRPr="002B4716">
        <w:rPr>
          <w:lang w:val="en-US"/>
        </w:rPr>
        <w:t>General default values for exposure assessment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68"/>
        <w:gridCol w:w="1342"/>
        <w:gridCol w:w="2310"/>
        <w:gridCol w:w="1776"/>
      </w:tblGrid>
      <w:tr w:rsidR="00217A51" w:rsidRPr="00217A51" w14:paraId="2791AB7F" w14:textId="77777777" w:rsidTr="00217A51">
        <w:trPr>
          <w:trHeight w:val="361"/>
          <w:tblHeader/>
        </w:trPr>
        <w:tc>
          <w:tcPr>
            <w:tcW w:w="5000" w:type="pct"/>
            <w:gridSpan w:val="4"/>
            <w:shd w:val="clear" w:color="auto" w:fill="FFFFCC"/>
          </w:tcPr>
          <w:p w14:paraId="311FAF37" w14:textId="77777777" w:rsidR="00217A51" w:rsidRPr="00217A51" w:rsidRDefault="00217A51" w:rsidP="00217A51">
            <w:pPr>
              <w:pStyle w:val="Standaard-Tabellen"/>
              <w:jc w:val="center"/>
              <w:rPr>
                <w:rFonts w:eastAsia="Calibri"/>
                <w:b/>
              </w:rPr>
            </w:pPr>
            <w:r w:rsidRPr="00217A51">
              <w:rPr>
                <w:rFonts w:eastAsia="Calibri"/>
                <w:b/>
              </w:rPr>
              <w:t>Default value considering age groups</w:t>
            </w:r>
            <w:r w:rsidRPr="00217A51">
              <w:rPr>
                <w:rFonts w:eastAsia="Calibri"/>
                <w:b/>
                <w:vertAlign w:val="superscript"/>
              </w:rPr>
              <w:t>1</w:t>
            </w:r>
          </w:p>
        </w:tc>
      </w:tr>
      <w:tr w:rsidR="00217A51" w:rsidRPr="00217A51" w14:paraId="70FDAB93" w14:textId="77777777" w:rsidTr="00217A51">
        <w:trPr>
          <w:trHeight w:val="647"/>
          <w:tblHeader/>
        </w:trPr>
        <w:tc>
          <w:tcPr>
            <w:tcW w:w="2112" w:type="pct"/>
            <w:shd w:val="clear" w:color="auto" w:fill="BFBFBF" w:themeFill="background1" w:themeFillShade="BF"/>
            <w:tcMar>
              <w:top w:w="57" w:type="dxa"/>
              <w:bottom w:w="57" w:type="dxa"/>
            </w:tcMar>
          </w:tcPr>
          <w:p w14:paraId="1A6CEACD" w14:textId="77777777" w:rsidR="00217A51" w:rsidRPr="00217A51" w:rsidRDefault="00217A51" w:rsidP="00217A51">
            <w:pPr>
              <w:pStyle w:val="Standaard-Tabellen"/>
              <w:rPr>
                <w:rFonts w:eastAsia="Calibri"/>
                <w:b/>
              </w:rPr>
            </w:pPr>
            <w:r w:rsidRPr="00217A51">
              <w:rPr>
                <w:rFonts w:eastAsia="Calibri"/>
                <w:b/>
              </w:rPr>
              <w:t>Age groups</w:t>
            </w:r>
          </w:p>
        </w:tc>
        <w:tc>
          <w:tcPr>
            <w:tcW w:w="714" w:type="pct"/>
            <w:shd w:val="clear" w:color="auto" w:fill="BFBFBF" w:themeFill="background1" w:themeFillShade="BF"/>
            <w:tcMar>
              <w:top w:w="57" w:type="dxa"/>
              <w:bottom w:w="57" w:type="dxa"/>
            </w:tcMar>
          </w:tcPr>
          <w:p w14:paraId="5F786EC5" w14:textId="77777777" w:rsidR="00217A51" w:rsidRPr="00217A51" w:rsidRDefault="00217A51" w:rsidP="00217A51">
            <w:pPr>
              <w:pStyle w:val="Standaard-Tabellen"/>
              <w:rPr>
                <w:rFonts w:eastAsia="Calibri"/>
                <w:b/>
              </w:rPr>
            </w:pPr>
            <w:r w:rsidRPr="00217A51">
              <w:rPr>
                <w:rFonts w:eastAsia="Calibri"/>
                <w:b/>
              </w:rPr>
              <w:t>Body weight (kg)</w:t>
            </w:r>
          </w:p>
        </w:tc>
        <w:tc>
          <w:tcPr>
            <w:tcW w:w="1229" w:type="pct"/>
            <w:shd w:val="clear" w:color="auto" w:fill="BFBFBF" w:themeFill="background1" w:themeFillShade="BF"/>
          </w:tcPr>
          <w:p w14:paraId="2A3E7387" w14:textId="77777777" w:rsidR="00217A51" w:rsidRPr="00217A51" w:rsidRDefault="00217A51" w:rsidP="00217A51">
            <w:pPr>
              <w:pStyle w:val="Standaard-Tabellen"/>
              <w:rPr>
                <w:rFonts w:eastAsia="Calibri"/>
                <w:b/>
              </w:rPr>
            </w:pPr>
            <w:r w:rsidRPr="00217A51">
              <w:rPr>
                <w:rFonts w:eastAsia="Calibri"/>
                <w:b/>
              </w:rPr>
              <w:t>Respiration rate [m</w:t>
            </w:r>
            <w:r w:rsidRPr="00217A51">
              <w:rPr>
                <w:rFonts w:eastAsia="Calibri"/>
                <w:b/>
                <w:vertAlign w:val="superscript"/>
              </w:rPr>
              <w:t>3</w:t>
            </w:r>
            <w:r w:rsidRPr="00217A51">
              <w:rPr>
                <w:rFonts w:eastAsia="Calibri"/>
                <w:b/>
              </w:rPr>
              <w:t>/air/hour]</w:t>
            </w:r>
          </w:p>
        </w:tc>
        <w:tc>
          <w:tcPr>
            <w:tcW w:w="945" w:type="pct"/>
            <w:shd w:val="clear" w:color="auto" w:fill="BFBFBF" w:themeFill="background1" w:themeFillShade="BF"/>
          </w:tcPr>
          <w:p w14:paraId="38E2D477" w14:textId="77777777" w:rsidR="00217A51" w:rsidRPr="00217A51" w:rsidRDefault="00217A51" w:rsidP="00217A51">
            <w:pPr>
              <w:pStyle w:val="Standaard-Tabellen"/>
              <w:rPr>
                <w:rFonts w:eastAsia="Calibri"/>
                <w:b/>
              </w:rPr>
            </w:pPr>
            <w:r w:rsidRPr="00217A51">
              <w:rPr>
                <w:rFonts w:eastAsia="Calibri"/>
                <w:b/>
              </w:rPr>
              <w:t>Head surface area (cm</w:t>
            </w:r>
            <w:r w:rsidRPr="00217A51">
              <w:rPr>
                <w:rFonts w:eastAsia="Calibri"/>
                <w:b/>
                <w:vertAlign w:val="superscript"/>
              </w:rPr>
              <w:t>2</w:t>
            </w:r>
            <w:r w:rsidRPr="00217A51">
              <w:rPr>
                <w:rFonts w:eastAsia="Calibri"/>
                <w:b/>
              </w:rPr>
              <w:t>)</w:t>
            </w:r>
          </w:p>
        </w:tc>
      </w:tr>
      <w:tr w:rsidR="00217A51" w:rsidRPr="00B70E90" w14:paraId="4E9E726E" w14:textId="77777777" w:rsidTr="00217A51">
        <w:trPr>
          <w:trHeight w:val="328"/>
          <w:tblHeader/>
        </w:trPr>
        <w:tc>
          <w:tcPr>
            <w:tcW w:w="2112" w:type="pct"/>
            <w:tcMar>
              <w:top w:w="57" w:type="dxa"/>
              <w:bottom w:w="57" w:type="dxa"/>
            </w:tcMar>
          </w:tcPr>
          <w:p w14:paraId="4EAC1825" w14:textId="77777777" w:rsidR="00217A51" w:rsidRPr="00FE0ABE" w:rsidRDefault="00217A51" w:rsidP="00217A51">
            <w:pPr>
              <w:pStyle w:val="Standaard-Tabellen"/>
              <w:rPr>
                <w:rFonts w:eastAsia="Calibri"/>
                <w:color w:val="808080" w:themeColor="background1" w:themeShade="80"/>
              </w:rPr>
            </w:pPr>
            <w:r w:rsidRPr="009D7125">
              <w:rPr>
                <w:rFonts w:ascii="Arial" w:hAnsi="Arial" w:cs="Arial"/>
                <w:szCs w:val="20"/>
              </w:rPr>
              <w:t>ADULT irrespective of gender (based on female 30 to &lt;40 years old)</w:t>
            </w:r>
          </w:p>
        </w:tc>
        <w:tc>
          <w:tcPr>
            <w:tcW w:w="714" w:type="pct"/>
            <w:tcMar>
              <w:top w:w="57" w:type="dxa"/>
              <w:bottom w:w="57" w:type="dxa"/>
            </w:tcMar>
          </w:tcPr>
          <w:p w14:paraId="3B271317" w14:textId="77777777" w:rsidR="00217A51" w:rsidRPr="00B70E90" w:rsidRDefault="00217A51" w:rsidP="00217A51">
            <w:pPr>
              <w:pStyle w:val="Standaard-Tabellen"/>
              <w:rPr>
                <w:rFonts w:eastAsia="Calibri"/>
                <w:color w:val="808080" w:themeColor="background1" w:themeShade="80"/>
                <w:szCs w:val="20"/>
              </w:rPr>
            </w:pPr>
            <w:r w:rsidRPr="00B70E90">
              <w:rPr>
                <w:rFonts w:cs="Arial"/>
                <w:szCs w:val="20"/>
              </w:rPr>
              <w:t>60</w:t>
            </w:r>
          </w:p>
        </w:tc>
        <w:tc>
          <w:tcPr>
            <w:tcW w:w="1229" w:type="pct"/>
          </w:tcPr>
          <w:p w14:paraId="6514366A" w14:textId="77777777" w:rsidR="00217A51" w:rsidRPr="00B70E90" w:rsidRDefault="00217A51" w:rsidP="00217A51">
            <w:pPr>
              <w:pStyle w:val="Standaard-Tabellen"/>
              <w:rPr>
                <w:rFonts w:eastAsia="Calibri"/>
                <w:color w:val="808080" w:themeColor="background1" w:themeShade="80"/>
                <w:szCs w:val="20"/>
              </w:rPr>
            </w:pPr>
            <w:r w:rsidRPr="00B70E90">
              <w:rPr>
                <w:rFonts w:cs="Arial"/>
                <w:szCs w:val="20"/>
              </w:rPr>
              <w:t>1</w:t>
            </w:r>
            <w:r>
              <w:rPr>
                <w:rFonts w:cs="Arial"/>
                <w:szCs w:val="20"/>
              </w:rPr>
              <w:t>.</w:t>
            </w:r>
            <w:r w:rsidR="0067252E">
              <w:rPr>
                <w:rFonts w:cs="Arial"/>
                <w:szCs w:val="20"/>
              </w:rPr>
              <w:t>2</w:t>
            </w:r>
            <w:r w:rsidRPr="00B70E90">
              <w:rPr>
                <w:rFonts w:cs="Arial"/>
                <w:szCs w:val="20"/>
              </w:rPr>
              <w:t>5</w:t>
            </w:r>
          </w:p>
        </w:tc>
        <w:tc>
          <w:tcPr>
            <w:tcW w:w="945" w:type="pct"/>
          </w:tcPr>
          <w:p w14:paraId="53787146" w14:textId="77777777" w:rsidR="00217A51" w:rsidRPr="00993D00" w:rsidRDefault="00217A51" w:rsidP="00217A51">
            <w:pPr>
              <w:pStyle w:val="Standaard-Tabellen"/>
              <w:rPr>
                <w:rFonts w:cs="Arial"/>
              </w:rPr>
            </w:pPr>
            <w:r w:rsidRPr="00993D00">
              <w:rPr>
                <w:rFonts w:cs="Arial"/>
              </w:rPr>
              <w:t>1110</w:t>
            </w:r>
            <w:r w:rsidRPr="00993D00">
              <w:t xml:space="preserve"> </w:t>
            </w:r>
            <w:r w:rsidRPr="00993D00">
              <w:rPr>
                <w:rFonts w:cs="Arial"/>
              </w:rPr>
              <w:t>cm</w:t>
            </w:r>
            <w:r w:rsidRPr="00993D00">
              <w:rPr>
                <w:rFonts w:cs="Arial"/>
                <w:vertAlign w:val="superscript"/>
              </w:rPr>
              <w:t>2</w:t>
            </w:r>
          </w:p>
        </w:tc>
      </w:tr>
      <w:tr w:rsidR="00217A51" w:rsidRPr="00B70E90" w14:paraId="1706DA34" w14:textId="77777777" w:rsidTr="00217A51">
        <w:trPr>
          <w:trHeight w:val="616"/>
          <w:tblHeader/>
        </w:trPr>
        <w:tc>
          <w:tcPr>
            <w:tcW w:w="2112" w:type="pct"/>
            <w:tcMar>
              <w:top w:w="57" w:type="dxa"/>
              <w:bottom w:w="57" w:type="dxa"/>
            </w:tcMar>
          </w:tcPr>
          <w:p w14:paraId="2F98C44C" w14:textId="77777777" w:rsidR="00217A51" w:rsidRPr="00FD2055" w:rsidRDefault="00217A51" w:rsidP="00217A51">
            <w:pPr>
              <w:pStyle w:val="Standaard-Tabellen"/>
              <w:rPr>
                <w:rFonts w:eastAsia="Calibri"/>
              </w:rPr>
            </w:pPr>
            <w:r w:rsidRPr="009D7125">
              <w:rPr>
                <w:rFonts w:ascii="Arial" w:hAnsi="Arial" w:cs="Arial"/>
                <w:szCs w:val="20"/>
              </w:rPr>
              <w:t>CHILD irrespective of gender (based on female 6 to &lt;11 years old)</w:t>
            </w:r>
          </w:p>
        </w:tc>
        <w:tc>
          <w:tcPr>
            <w:tcW w:w="714" w:type="pct"/>
            <w:tcMar>
              <w:top w:w="57" w:type="dxa"/>
              <w:bottom w:w="57" w:type="dxa"/>
            </w:tcMar>
          </w:tcPr>
          <w:p w14:paraId="12AF6563" w14:textId="77777777" w:rsidR="00217A51" w:rsidRPr="00B70E90" w:rsidRDefault="00217A51" w:rsidP="00217A51">
            <w:pPr>
              <w:pStyle w:val="Standaard-Tabellen"/>
              <w:rPr>
                <w:rFonts w:eastAsia="Calibri"/>
                <w:szCs w:val="20"/>
              </w:rPr>
            </w:pPr>
            <w:r w:rsidRPr="00B70E90">
              <w:rPr>
                <w:rFonts w:cs="Arial"/>
                <w:szCs w:val="20"/>
              </w:rPr>
              <w:t>23</w:t>
            </w:r>
            <w:r>
              <w:rPr>
                <w:rFonts w:cs="Arial"/>
                <w:szCs w:val="20"/>
              </w:rPr>
              <w:t>.</w:t>
            </w:r>
            <w:r w:rsidRPr="00B70E90">
              <w:rPr>
                <w:rFonts w:cs="Arial"/>
                <w:szCs w:val="20"/>
              </w:rPr>
              <w:t>9</w:t>
            </w:r>
          </w:p>
        </w:tc>
        <w:tc>
          <w:tcPr>
            <w:tcW w:w="1229" w:type="pct"/>
          </w:tcPr>
          <w:p w14:paraId="6DD14F45" w14:textId="77777777" w:rsidR="00217A51" w:rsidRPr="00B70E90" w:rsidRDefault="00217A51" w:rsidP="00217A51">
            <w:pPr>
              <w:pStyle w:val="Standaard-Tabellen"/>
              <w:rPr>
                <w:rFonts w:eastAsia="Calibri"/>
                <w:szCs w:val="20"/>
              </w:rPr>
            </w:pPr>
            <w:r w:rsidRPr="00B70E90">
              <w:rPr>
                <w:rFonts w:cs="Arial"/>
                <w:szCs w:val="20"/>
              </w:rPr>
              <w:t>1</w:t>
            </w:r>
            <w:r>
              <w:rPr>
                <w:rFonts w:cs="Arial"/>
                <w:szCs w:val="20"/>
              </w:rPr>
              <w:t>.</w:t>
            </w:r>
            <w:r w:rsidR="0067252E">
              <w:rPr>
                <w:rFonts w:cs="Arial"/>
                <w:szCs w:val="20"/>
              </w:rPr>
              <w:t>3</w:t>
            </w:r>
            <w:r w:rsidRPr="00B70E90">
              <w:rPr>
                <w:rFonts w:cs="Arial"/>
                <w:szCs w:val="20"/>
              </w:rPr>
              <w:t>2</w:t>
            </w:r>
          </w:p>
        </w:tc>
        <w:tc>
          <w:tcPr>
            <w:tcW w:w="945" w:type="pct"/>
          </w:tcPr>
          <w:p w14:paraId="11DAEEC6" w14:textId="77777777" w:rsidR="00217A51" w:rsidRPr="00993D00" w:rsidRDefault="00217A51" w:rsidP="00217A51">
            <w:pPr>
              <w:pStyle w:val="Standaard-Tabellen"/>
              <w:rPr>
                <w:rFonts w:cs="Arial"/>
              </w:rPr>
            </w:pPr>
            <w:r w:rsidRPr="00993D00">
              <w:rPr>
                <w:rFonts w:cs="Arial"/>
              </w:rPr>
              <w:t>529</w:t>
            </w:r>
            <w:r w:rsidRPr="00993D00">
              <w:t xml:space="preserve"> </w:t>
            </w:r>
            <w:r w:rsidRPr="00993D00">
              <w:rPr>
                <w:rFonts w:cs="Arial"/>
              </w:rPr>
              <w:t>cm</w:t>
            </w:r>
            <w:r w:rsidRPr="00993D00">
              <w:rPr>
                <w:rFonts w:cs="Arial"/>
                <w:vertAlign w:val="superscript"/>
              </w:rPr>
              <w:t>2</w:t>
            </w:r>
          </w:p>
        </w:tc>
      </w:tr>
      <w:tr w:rsidR="00217A51" w:rsidRPr="00B70E90" w14:paraId="2FEF0A31" w14:textId="77777777" w:rsidTr="00217A51">
        <w:trPr>
          <w:trHeight w:val="328"/>
          <w:tblHeader/>
        </w:trPr>
        <w:tc>
          <w:tcPr>
            <w:tcW w:w="2112" w:type="pct"/>
            <w:tcMar>
              <w:top w:w="57" w:type="dxa"/>
              <w:bottom w:w="57" w:type="dxa"/>
            </w:tcMar>
          </w:tcPr>
          <w:p w14:paraId="7CEDC02C" w14:textId="77777777" w:rsidR="00217A51" w:rsidRPr="00FD2055" w:rsidRDefault="00217A51" w:rsidP="00217A51">
            <w:pPr>
              <w:pStyle w:val="Standaard-Tabellen"/>
              <w:rPr>
                <w:rFonts w:eastAsia="Calibri"/>
              </w:rPr>
            </w:pPr>
            <w:r w:rsidRPr="009D7125">
              <w:rPr>
                <w:rFonts w:ascii="Arial" w:hAnsi="Arial" w:cs="Arial"/>
                <w:szCs w:val="20"/>
              </w:rPr>
              <w:t>TODDLER irrespective of gender (based on female 1 to &lt;2 years old)</w:t>
            </w:r>
          </w:p>
        </w:tc>
        <w:tc>
          <w:tcPr>
            <w:tcW w:w="714" w:type="pct"/>
            <w:tcMar>
              <w:top w:w="57" w:type="dxa"/>
              <w:bottom w:w="57" w:type="dxa"/>
            </w:tcMar>
          </w:tcPr>
          <w:p w14:paraId="47F25C88" w14:textId="77777777" w:rsidR="00217A51" w:rsidRPr="00B70E90" w:rsidRDefault="00217A51" w:rsidP="00217A51">
            <w:pPr>
              <w:pStyle w:val="Standaard-Tabellen"/>
              <w:rPr>
                <w:rFonts w:eastAsia="Calibri"/>
                <w:szCs w:val="20"/>
              </w:rPr>
            </w:pPr>
            <w:r w:rsidRPr="00B70E90">
              <w:rPr>
                <w:rFonts w:cs="Arial"/>
                <w:szCs w:val="20"/>
              </w:rPr>
              <w:t>10</w:t>
            </w:r>
          </w:p>
        </w:tc>
        <w:tc>
          <w:tcPr>
            <w:tcW w:w="1229" w:type="pct"/>
          </w:tcPr>
          <w:p w14:paraId="37D4B3AF" w14:textId="77777777" w:rsidR="00217A51" w:rsidRPr="00B70E90" w:rsidRDefault="00217A51" w:rsidP="00217A51">
            <w:pPr>
              <w:pStyle w:val="Standaard-Tabellen"/>
              <w:rPr>
                <w:rFonts w:eastAsia="Calibri"/>
                <w:szCs w:val="20"/>
              </w:rPr>
            </w:pPr>
            <w:r>
              <w:rPr>
                <w:rFonts w:cs="Arial"/>
                <w:szCs w:val="20"/>
              </w:rPr>
              <w:t>1.</w:t>
            </w:r>
            <w:r w:rsidR="0067252E">
              <w:rPr>
                <w:rFonts w:cs="Arial"/>
                <w:szCs w:val="20"/>
              </w:rPr>
              <w:t>2</w:t>
            </w:r>
            <w:r w:rsidRPr="00B70E90">
              <w:rPr>
                <w:rFonts w:cs="Arial"/>
                <w:szCs w:val="20"/>
              </w:rPr>
              <w:t>6</w:t>
            </w:r>
          </w:p>
        </w:tc>
        <w:tc>
          <w:tcPr>
            <w:tcW w:w="945" w:type="pct"/>
          </w:tcPr>
          <w:p w14:paraId="75FE1816" w14:textId="77777777" w:rsidR="00217A51" w:rsidRPr="00993D00" w:rsidRDefault="00217A51" w:rsidP="00217A51">
            <w:pPr>
              <w:pStyle w:val="Standaard-Tabellen"/>
              <w:rPr>
                <w:rFonts w:cs="Arial"/>
              </w:rPr>
            </w:pPr>
            <w:r>
              <w:rPr>
                <w:rFonts w:cs="Arial"/>
              </w:rPr>
              <w:t>403.</w:t>
            </w:r>
            <w:r w:rsidRPr="00993D00">
              <w:rPr>
                <w:rFonts w:cs="Arial"/>
              </w:rPr>
              <w:t>2 cm</w:t>
            </w:r>
            <w:r w:rsidRPr="00993D00">
              <w:rPr>
                <w:rFonts w:cs="Arial"/>
                <w:vertAlign w:val="superscript"/>
              </w:rPr>
              <w:t>2</w:t>
            </w:r>
          </w:p>
        </w:tc>
      </w:tr>
      <w:tr w:rsidR="00217A51" w:rsidRPr="00B70E90" w14:paraId="79741637" w14:textId="77777777" w:rsidTr="00217A51">
        <w:trPr>
          <w:trHeight w:val="488"/>
          <w:tblHeader/>
        </w:trPr>
        <w:tc>
          <w:tcPr>
            <w:tcW w:w="2112" w:type="pct"/>
            <w:tcMar>
              <w:top w:w="57" w:type="dxa"/>
              <w:bottom w:w="57" w:type="dxa"/>
            </w:tcMar>
          </w:tcPr>
          <w:p w14:paraId="0066B992" w14:textId="77777777" w:rsidR="00217A51" w:rsidRPr="00FD2055" w:rsidRDefault="00217A51" w:rsidP="00217A51">
            <w:pPr>
              <w:pStyle w:val="Standaard-Tabellen"/>
              <w:rPr>
                <w:rFonts w:eastAsia="Calibri"/>
              </w:rPr>
            </w:pPr>
            <w:r w:rsidRPr="009D7125">
              <w:rPr>
                <w:rFonts w:ascii="Arial" w:hAnsi="Arial" w:cs="Arial"/>
                <w:szCs w:val="20"/>
              </w:rPr>
              <w:t>INFANT irrespective of gender (based on female 6 to &lt;12 months old)</w:t>
            </w:r>
          </w:p>
        </w:tc>
        <w:tc>
          <w:tcPr>
            <w:tcW w:w="714" w:type="pct"/>
            <w:tcMar>
              <w:top w:w="57" w:type="dxa"/>
              <w:bottom w:w="57" w:type="dxa"/>
            </w:tcMar>
          </w:tcPr>
          <w:p w14:paraId="7FE9B940" w14:textId="77777777" w:rsidR="00217A51" w:rsidRPr="00B70E90" w:rsidRDefault="00217A51" w:rsidP="00217A51">
            <w:pPr>
              <w:pStyle w:val="Standaard-Tabellen"/>
              <w:rPr>
                <w:rFonts w:eastAsia="Calibri"/>
                <w:szCs w:val="20"/>
              </w:rPr>
            </w:pPr>
            <w:r w:rsidRPr="00B70E90">
              <w:rPr>
                <w:rFonts w:cs="Arial"/>
                <w:szCs w:val="20"/>
              </w:rPr>
              <w:t>8</w:t>
            </w:r>
          </w:p>
        </w:tc>
        <w:tc>
          <w:tcPr>
            <w:tcW w:w="1229" w:type="pct"/>
          </w:tcPr>
          <w:p w14:paraId="4474DAB1" w14:textId="77777777" w:rsidR="00217A51" w:rsidRPr="00B70E90" w:rsidRDefault="00217A51" w:rsidP="00217A51">
            <w:pPr>
              <w:pStyle w:val="Standaard-Tabellen"/>
              <w:rPr>
                <w:rFonts w:eastAsia="Calibri"/>
                <w:szCs w:val="20"/>
              </w:rPr>
            </w:pPr>
            <w:r>
              <w:rPr>
                <w:rFonts w:cs="Arial"/>
                <w:szCs w:val="20"/>
              </w:rPr>
              <w:t>0.</w:t>
            </w:r>
            <w:r w:rsidRPr="00B70E90">
              <w:rPr>
                <w:rFonts w:cs="Arial"/>
                <w:szCs w:val="20"/>
              </w:rPr>
              <w:t>84</w:t>
            </w:r>
          </w:p>
        </w:tc>
        <w:tc>
          <w:tcPr>
            <w:tcW w:w="945" w:type="pct"/>
          </w:tcPr>
          <w:p w14:paraId="51F685B3" w14:textId="77777777" w:rsidR="00217A51" w:rsidRPr="00993D00" w:rsidRDefault="00217A51" w:rsidP="00217A51">
            <w:pPr>
              <w:pStyle w:val="Standaard-Tabellen"/>
              <w:rPr>
                <w:rFonts w:cs="Arial"/>
              </w:rPr>
            </w:pPr>
            <w:r>
              <w:rPr>
                <w:rFonts w:cs="Arial"/>
              </w:rPr>
              <w:t>344.</w:t>
            </w:r>
            <w:r w:rsidRPr="00993D00">
              <w:rPr>
                <w:rFonts w:cs="Arial"/>
              </w:rPr>
              <w:t>4 cm</w:t>
            </w:r>
            <w:r w:rsidRPr="00993D00">
              <w:rPr>
                <w:rFonts w:cs="Arial"/>
                <w:vertAlign w:val="superscript"/>
              </w:rPr>
              <w:t>2</w:t>
            </w:r>
          </w:p>
        </w:tc>
      </w:tr>
    </w:tbl>
    <w:p w14:paraId="75853549" w14:textId="04663100" w:rsidR="00217A51" w:rsidRPr="00023B29" w:rsidRDefault="00217A51" w:rsidP="00217A51">
      <w:pPr>
        <w:pStyle w:val="Voetnoot"/>
      </w:pPr>
      <w:r w:rsidRPr="00023B29">
        <w:rPr>
          <w:vertAlign w:val="superscript"/>
        </w:rPr>
        <w:t>1</w:t>
      </w:r>
      <w:r>
        <w:t xml:space="preserve"> </w:t>
      </w:r>
      <w:r w:rsidRPr="00B70E90">
        <w:t>Biocide Human Health</w:t>
      </w:r>
      <w:r w:rsidR="00C53DE4">
        <w:t xml:space="preserve"> Exposure Methodology, O</w:t>
      </w:r>
      <w:r>
        <w:t>ct 2015</w:t>
      </w:r>
    </w:p>
    <w:p w14:paraId="125A34B9" w14:textId="77777777" w:rsidR="00217A51" w:rsidRDefault="00217A51" w:rsidP="00217A51">
      <w:pPr>
        <w:rPr>
          <w:highlight w:val="yellow"/>
          <w:u w:val="single"/>
          <w:lang w:val="en-US" w:eastAsia="en-US"/>
        </w:rPr>
      </w:pPr>
    </w:p>
    <w:p w14:paraId="29A552C8" w14:textId="77777777" w:rsidR="00217A51" w:rsidRPr="002B4716" w:rsidRDefault="00217A51" w:rsidP="00217A51">
      <w:pPr>
        <w:pStyle w:val="Titre6"/>
        <w:rPr>
          <w:lang w:val="en-US"/>
        </w:rPr>
      </w:pPr>
      <w:r w:rsidRPr="002B4716">
        <w:rPr>
          <w:lang w:val="en-US"/>
        </w:rPr>
        <w:t>Treated surface, applied amount of biocidal product and number of application per day:</w:t>
      </w:r>
    </w:p>
    <w:p w14:paraId="466597A0" w14:textId="77777777" w:rsidR="00217A51" w:rsidRPr="002B4716" w:rsidRDefault="00217A51" w:rsidP="00217A51">
      <w:pPr>
        <w:pStyle w:val="Titre7"/>
        <w:rPr>
          <w:lang w:val="en-US"/>
        </w:rPr>
      </w:pPr>
      <w:r w:rsidRPr="002B4716">
        <w:rPr>
          <w:lang w:val="en-US"/>
        </w:rPr>
        <w:t xml:space="preserve">Treated surface: </w:t>
      </w:r>
    </w:p>
    <w:p w14:paraId="4276AE37" w14:textId="77777777" w:rsidR="00217A51" w:rsidRPr="00574B09" w:rsidRDefault="00217A51" w:rsidP="00217A51">
      <w:pPr>
        <w:rPr>
          <w:lang w:eastAsia="en-US"/>
        </w:rPr>
      </w:pPr>
      <w:r w:rsidRPr="00854204">
        <w:rPr>
          <w:rFonts w:eastAsia="Calibri"/>
          <w:lang w:val="en-US" w:eastAsia="en-US"/>
        </w:rPr>
        <w:t>In a worst case assessment, the total area of the head has been considered to be treated</w:t>
      </w:r>
      <w:r>
        <w:rPr>
          <w:rFonts w:eastAsia="Calibri"/>
          <w:lang w:eastAsia="en-US"/>
        </w:rPr>
        <w:t xml:space="preserve"> since there is no harmonized default values for the area of hair for adults, children, toddlers and infants. </w:t>
      </w:r>
    </w:p>
    <w:p w14:paraId="5E064CB2" w14:textId="77777777" w:rsidR="00217A51" w:rsidRPr="00D74704" w:rsidRDefault="00217A51" w:rsidP="00217A51">
      <w:pPr>
        <w:rPr>
          <w:highlight w:val="yellow"/>
          <w:lang w:val="en-US" w:eastAsia="en-US"/>
        </w:rPr>
      </w:pPr>
    </w:p>
    <w:p w14:paraId="32B924E7" w14:textId="77777777" w:rsidR="00217A51" w:rsidRPr="002B4716" w:rsidRDefault="00217A51" w:rsidP="00217A51">
      <w:pPr>
        <w:pStyle w:val="Titre7"/>
        <w:rPr>
          <w:lang w:val="en-US"/>
        </w:rPr>
      </w:pPr>
      <w:r w:rsidRPr="002B4716">
        <w:rPr>
          <w:lang w:val="en-US"/>
        </w:rPr>
        <w:t xml:space="preserve">Amount of biocidal product: </w:t>
      </w:r>
    </w:p>
    <w:p w14:paraId="03C97C67" w14:textId="77777777" w:rsidR="00217A51" w:rsidRPr="002A1011" w:rsidRDefault="00217A51" w:rsidP="00217A51">
      <w:pPr>
        <w:rPr>
          <w:lang w:val="en-US" w:eastAsia="en-US"/>
        </w:rPr>
      </w:pPr>
      <w:r w:rsidRPr="002A1011">
        <w:rPr>
          <w:lang w:val="en-US" w:eastAsia="en-US"/>
        </w:rPr>
        <w:t>The product amounts used in the exposure assessment</w:t>
      </w:r>
      <w:r>
        <w:rPr>
          <w:lang w:val="en-US" w:eastAsia="en-US"/>
        </w:rPr>
        <w:t xml:space="preserve"> are based on an efficacy study (</w:t>
      </w:r>
      <w:r w:rsidRPr="006F74F6">
        <w:rPr>
          <w:lang w:val="en-US" w:eastAsia="en-US"/>
        </w:rPr>
        <w:t>Militäo de Sousa, F. and Lang-Combescot, C., 2009)</w:t>
      </w:r>
      <w:r>
        <w:rPr>
          <w:lang w:val="en-US" w:eastAsia="en-US"/>
        </w:rPr>
        <w:t xml:space="preserve"> </w:t>
      </w:r>
      <w:r w:rsidRPr="002A1011">
        <w:rPr>
          <w:lang w:val="en-US" w:eastAsia="en-US"/>
        </w:rPr>
        <w:t>performed with Insect Repellent Pump Spray Lice IR3535</w:t>
      </w:r>
      <w:r w:rsidRPr="000A4E59">
        <w:rPr>
          <w:vertAlign w:val="superscript"/>
          <w:lang w:val="en-US" w:eastAsia="en-US"/>
        </w:rPr>
        <w:t>®</w:t>
      </w:r>
      <w:r w:rsidRPr="002A1011">
        <w:rPr>
          <w:lang w:val="en-US" w:eastAsia="en-US"/>
        </w:rPr>
        <w:t xml:space="preserve"> 20</w:t>
      </w:r>
      <w:r>
        <w:rPr>
          <w:lang w:val="en-US" w:eastAsia="en-US"/>
        </w:rPr>
        <w:t>% on</w:t>
      </w:r>
      <w:r w:rsidRPr="002A1011">
        <w:rPr>
          <w:lang w:val="en-US" w:eastAsia="en-US"/>
        </w:rPr>
        <w:t xml:space="preserve"> 80 subjects </w:t>
      </w:r>
      <w:r>
        <w:rPr>
          <w:lang w:val="en-US" w:eastAsia="en-US"/>
        </w:rPr>
        <w:t>aged between 6 and 11 years</w:t>
      </w:r>
      <w:r w:rsidRPr="00EE006D">
        <w:rPr>
          <w:lang w:val="en-US" w:eastAsia="en-US"/>
        </w:rPr>
        <w:t>.</w:t>
      </w:r>
      <w:r>
        <w:rPr>
          <w:lang w:val="en-US" w:eastAsia="en-US"/>
        </w:rPr>
        <w:t xml:space="preserve"> In this study, an amount of 0</w:t>
      </w:r>
      <w:r w:rsidR="0067252E">
        <w:rPr>
          <w:lang w:val="en-US" w:eastAsia="en-US"/>
        </w:rPr>
        <w:t>.</w:t>
      </w:r>
      <w:r w:rsidRPr="002A1011">
        <w:rPr>
          <w:lang w:val="en-US" w:eastAsia="en-US"/>
        </w:rPr>
        <w:t xml:space="preserve">5 g product/application has been calculated to be </w:t>
      </w:r>
      <w:r w:rsidRPr="00574B09">
        <w:rPr>
          <w:lang w:val="en-US" w:eastAsia="en-US"/>
        </w:rPr>
        <w:t>the 90th percentile based on real application rates.</w:t>
      </w:r>
    </w:p>
    <w:p w14:paraId="63B61DA9" w14:textId="4902169A" w:rsidR="00217A51" w:rsidRDefault="00217A51" w:rsidP="00217A51">
      <w:pPr>
        <w:rPr>
          <w:lang w:val="en-US" w:eastAsia="en-US"/>
        </w:rPr>
      </w:pPr>
      <w:r w:rsidRPr="002A1011">
        <w:rPr>
          <w:lang w:val="en-US" w:eastAsia="en-US"/>
        </w:rPr>
        <w:t xml:space="preserve">According to the </w:t>
      </w:r>
      <w:r w:rsidRPr="00362CDD">
        <w:rPr>
          <w:lang w:val="en-US" w:eastAsia="en-US"/>
        </w:rPr>
        <w:t>Biocide Hu</w:t>
      </w:r>
      <w:r>
        <w:rPr>
          <w:lang w:val="en-US" w:eastAsia="en-US"/>
        </w:rPr>
        <w:t>man Health Exposure Methodology</w:t>
      </w:r>
      <w:r w:rsidRPr="00362CDD">
        <w:rPr>
          <w:lang w:val="en-US" w:eastAsia="en-US"/>
        </w:rPr>
        <w:t xml:space="preserve"> </w:t>
      </w:r>
      <w:r>
        <w:rPr>
          <w:lang w:val="en-US" w:eastAsia="en-US"/>
        </w:rPr>
        <w:t>(</w:t>
      </w:r>
      <w:r w:rsidR="00C53DE4">
        <w:rPr>
          <w:lang w:val="en-US" w:eastAsia="en-US"/>
        </w:rPr>
        <w:t>Oct</w:t>
      </w:r>
      <w:r w:rsidRPr="00362CDD">
        <w:rPr>
          <w:lang w:val="en-US" w:eastAsia="en-US"/>
        </w:rPr>
        <w:t xml:space="preserve"> 2015</w:t>
      </w:r>
      <w:r>
        <w:rPr>
          <w:lang w:val="en-US" w:eastAsia="en-US"/>
        </w:rPr>
        <w:t>)</w:t>
      </w:r>
      <w:r w:rsidRPr="002A1011">
        <w:rPr>
          <w:lang w:val="en-US" w:eastAsia="en-US"/>
        </w:rPr>
        <w:t xml:space="preserve">, the head surface of children at the age of </w:t>
      </w:r>
      <w:r>
        <w:rPr>
          <w:lang w:val="en-US" w:eastAsia="en-US"/>
        </w:rPr>
        <w:t>6 to 11</w:t>
      </w:r>
      <w:r w:rsidRPr="002A1011">
        <w:rPr>
          <w:lang w:val="en-US" w:eastAsia="en-US"/>
        </w:rPr>
        <w:t xml:space="preserve"> years is equivalent to </w:t>
      </w:r>
      <w:r w:rsidRPr="00362CDD">
        <w:rPr>
          <w:lang w:val="en-US" w:eastAsia="en-US"/>
        </w:rPr>
        <w:t>529 cm</w:t>
      </w:r>
      <w:r w:rsidRPr="00362CDD">
        <w:rPr>
          <w:vertAlign w:val="superscript"/>
          <w:lang w:val="en-US" w:eastAsia="en-US"/>
        </w:rPr>
        <w:t>2</w:t>
      </w:r>
      <w:r>
        <w:rPr>
          <w:lang w:val="en-US" w:eastAsia="en-US"/>
        </w:rPr>
        <w:t xml:space="preserve">. </w:t>
      </w:r>
      <w:r w:rsidRPr="002A1011">
        <w:rPr>
          <w:lang w:val="en-US" w:eastAsia="en-US"/>
        </w:rPr>
        <w:t>For children</w:t>
      </w:r>
      <w:r>
        <w:rPr>
          <w:lang w:val="en-US" w:eastAsia="en-US"/>
        </w:rPr>
        <w:t>, an area of 529 cm² and an amount of 0</w:t>
      </w:r>
      <w:r w:rsidR="0067252E">
        <w:rPr>
          <w:lang w:val="en-US" w:eastAsia="en-US"/>
        </w:rPr>
        <w:t>.</w:t>
      </w:r>
      <w:r w:rsidRPr="002A1011">
        <w:rPr>
          <w:lang w:val="en-US" w:eastAsia="en-US"/>
        </w:rPr>
        <w:t>5</w:t>
      </w:r>
      <w:r>
        <w:rPr>
          <w:lang w:val="en-US" w:eastAsia="en-US"/>
        </w:rPr>
        <w:t> </w:t>
      </w:r>
      <w:r w:rsidRPr="002A1011">
        <w:rPr>
          <w:lang w:val="en-US" w:eastAsia="en-US"/>
        </w:rPr>
        <w:t>g product per application have been used in the Tier I human health risk assessment for Insect Repellent Pump Spray Lice IR3535</w:t>
      </w:r>
      <w:r w:rsidRPr="00574B09">
        <w:rPr>
          <w:vertAlign w:val="superscript"/>
          <w:lang w:val="en-US" w:eastAsia="en-US"/>
        </w:rPr>
        <w:t>®</w:t>
      </w:r>
      <w:r>
        <w:rPr>
          <w:lang w:val="en-US" w:eastAsia="en-US"/>
        </w:rPr>
        <w:t xml:space="preserve"> 20</w:t>
      </w:r>
      <w:r w:rsidRPr="002A1011">
        <w:rPr>
          <w:lang w:val="en-US" w:eastAsia="en-US"/>
        </w:rPr>
        <w:t>%.</w:t>
      </w:r>
    </w:p>
    <w:p w14:paraId="6AEFC247" w14:textId="77777777" w:rsidR="00A80E60" w:rsidRDefault="00A80E60" w:rsidP="00A80E60">
      <w:pPr>
        <w:rPr>
          <w:lang w:val="en-US" w:eastAsia="en-US"/>
        </w:rPr>
      </w:pPr>
      <w:r>
        <w:rPr>
          <w:lang w:val="en-US" w:eastAsia="en-US"/>
        </w:rPr>
        <w:t xml:space="preserve">Considering the information provided by the applicant on the device (0,115 mL/pump, supposing a density = 1) and considering that approximatively 4 pumps are needed to cover the child head (one pump on the neck, one pump behind each ear and one pump on the top of the head), the dose will be the same for toddler and infant. For adult, this dose can be higher (since the head will be larger): </w:t>
      </w:r>
    </w:p>
    <w:p w14:paraId="0AFD1169" w14:textId="77777777" w:rsidR="00A80E60" w:rsidRDefault="00A80E60" w:rsidP="00A80E60">
      <w:pPr>
        <w:rPr>
          <w:lang w:val="en-US" w:eastAsia="en-US"/>
        </w:rPr>
      </w:pPr>
      <w:r w:rsidRPr="00D005F1">
        <w:rPr>
          <w:lang w:val="en-US" w:eastAsia="en-US"/>
        </w:rPr>
        <w:t>-</w:t>
      </w:r>
      <w:r w:rsidRPr="00D005F1">
        <w:rPr>
          <w:lang w:val="en-US" w:eastAsia="en-US"/>
        </w:rPr>
        <w:tab/>
        <w:t>Adults: 0.5 g x 1110 / 529 = 1.05 g</w:t>
      </w:r>
      <w:r>
        <w:rPr>
          <w:lang w:val="en-US" w:eastAsia="en-US"/>
        </w:rPr>
        <w:t xml:space="preserve"> (up to 9 pumps/application)</w:t>
      </w:r>
    </w:p>
    <w:p w14:paraId="367E2568" w14:textId="77777777" w:rsidR="00217A51" w:rsidRDefault="00217A51" w:rsidP="00217A51">
      <w:pPr>
        <w:rPr>
          <w:lang w:val="en-US" w:eastAsia="en-US"/>
        </w:rPr>
      </w:pPr>
    </w:p>
    <w:p w14:paraId="206DE02C" w14:textId="77777777" w:rsidR="00217A51" w:rsidRPr="002B4716" w:rsidRDefault="00217A51" w:rsidP="00217A51">
      <w:pPr>
        <w:pStyle w:val="Titre7"/>
        <w:rPr>
          <w:lang w:val="en-US"/>
        </w:rPr>
      </w:pPr>
      <w:r w:rsidRPr="002B4716">
        <w:rPr>
          <w:lang w:val="en-US"/>
        </w:rPr>
        <w:lastRenderedPageBreak/>
        <w:t>Number of application per day:</w:t>
      </w:r>
    </w:p>
    <w:p w14:paraId="323DC636" w14:textId="77777777" w:rsidR="00217A51" w:rsidRPr="009418DC" w:rsidRDefault="00217A51" w:rsidP="00217A51">
      <w:pPr>
        <w:rPr>
          <w:lang w:val="en-US" w:eastAsia="en-US"/>
        </w:rPr>
      </w:pPr>
      <w:r>
        <w:rPr>
          <w:lang w:val="en-US" w:eastAsia="en-US"/>
        </w:rPr>
        <w:t>The applicant proposes</w:t>
      </w:r>
      <w:r w:rsidRPr="00031D2B">
        <w:rPr>
          <w:lang w:val="en-US" w:eastAsia="en-US"/>
        </w:rPr>
        <w:t xml:space="preserve"> : “</w:t>
      </w:r>
      <w:r w:rsidRPr="00217A51">
        <w:rPr>
          <w:i/>
          <w:lang w:val="en-US" w:eastAsia="en-US"/>
        </w:rPr>
        <w:t>Insect Repellent Pump Spray Lice IR3535</w:t>
      </w:r>
      <w:r w:rsidRPr="00217A51">
        <w:rPr>
          <w:i/>
          <w:vertAlign w:val="superscript"/>
          <w:lang w:val="en-US" w:eastAsia="en-US"/>
        </w:rPr>
        <w:t>®</w:t>
      </w:r>
      <w:r w:rsidRPr="00217A51">
        <w:rPr>
          <w:i/>
          <w:lang w:val="en-US" w:eastAsia="en-US"/>
        </w:rPr>
        <w:t xml:space="preserve"> 20 % is used as an insect repellent and is applied evenly over hair. For a single application of Insect Repellent Pump Spray Lice IR3535</w:t>
      </w:r>
      <w:r w:rsidRPr="00217A51">
        <w:rPr>
          <w:i/>
          <w:vertAlign w:val="superscript"/>
          <w:lang w:val="en-US" w:eastAsia="en-US"/>
        </w:rPr>
        <w:t>®</w:t>
      </w:r>
      <w:r w:rsidRPr="00217A51">
        <w:rPr>
          <w:i/>
          <w:lang w:val="en-US" w:eastAsia="en-US"/>
        </w:rPr>
        <w:t xml:space="preserve"> 20%, 0</w:t>
      </w:r>
      <w:r>
        <w:rPr>
          <w:i/>
          <w:lang w:val="en-US" w:eastAsia="en-US"/>
        </w:rPr>
        <w:t>.5 </w:t>
      </w:r>
      <w:r w:rsidRPr="00217A51">
        <w:rPr>
          <w:i/>
          <w:lang w:val="en-US" w:eastAsia="en-US"/>
        </w:rPr>
        <w:t>g product per applica</w:t>
      </w:r>
      <w:r>
        <w:rPr>
          <w:i/>
          <w:lang w:val="en-US" w:eastAsia="en-US"/>
        </w:rPr>
        <w:t>tion which is equivalent to 100 </w:t>
      </w:r>
      <w:r w:rsidRPr="00217A51">
        <w:rPr>
          <w:i/>
          <w:lang w:val="en-US" w:eastAsia="en-US"/>
        </w:rPr>
        <w:t>mg</w:t>
      </w:r>
      <w:r>
        <w:rPr>
          <w:i/>
          <w:lang w:val="en-US" w:eastAsia="en-US"/>
        </w:rPr>
        <w:t> </w:t>
      </w:r>
      <w:r w:rsidRPr="00217A51">
        <w:rPr>
          <w:i/>
          <w:lang w:val="en-US" w:eastAsia="en-US"/>
        </w:rPr>
        <w:t>a.s.</w:t>
      </w:r>
      <w:r>
        <w:rPr>
          <w:i/>
          <w:lang w:val="en-US" w:eastAsia="en-US"/>
        </w:rPr>
        <w:t> </w:t>
      </w:r>
      <w:r w:rsidRPr="00217A51">
        <w:rPr>
          <w:i/>
          <w:lang w:val="en-US" w:eastAsia="en-US"/>
        </w:rPr>
        <w:t>/</w:t>
      </w:r>
      <w:r>
        <w:rPr>
          <w:i/>
          <w:lang w:val="en-US" w:eastAsia="en-US"/>
        </w:rPr>
        <w:t> </w:t>
      </w:r>
      <w:r w:rsidRPr="00217A51">
        <w:rPr>
          <w:i/>
          <w:lang w:val="en-US" w:eastAsia="en-US"/>
        </w:rPr>
        <w:t>application) is sufficient to treat the hair after having used a pediculicide. The product can be applied 3 times per day. The application must be repeated after washing the hair</w:t>
      </w:r>
      <w:r>
        <w:rPr>
          <w:lang w:val="en-US" w:eastAsia="en-US"/>
        </w:rPr>
        <w:t>”.</w:t>
      </w:r>
    </w:p>
    <w:p w14:paraId="06E9D160" w14:textId="77777777" w:rsidR="00217A51" w:rsidRPr="004B1716" w:rsidRDefault="00217A51" w:rsidP="00217A51">
      <w:pPr>
        <w:rPr>
          <w:lang w:val="en-US"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87"/>
        <w:gridCol w:w="2753"/>
        <w:gridCol w:w="2356"/>
      </w:tblGrid>
      <w:tr w:rsidR="00217A51" w:rsidRPr="00217A51" w14:paraId="73039D4A" w14:textId="77777777" w:rsidTr="00217A51">
        <w:trPr>
          <w:trHeight w:val="314"/>
          <w:tblHeader/>
        </w:trPr>
        <w:tc>
          <w:tcPr>
            <w:tcW w:w="0" w:type="auto"/>
            <w:gridSpan w:val="3"/>
            <w:shd w:val="clear" w:color="auto" w:fill="FFFFCC"/>
          </w:tcPr>
          <w:p w14:paraId="5311F57D" w14:textId="77777777" w:rsidR="00217A51" w:rsidRPr="00217A51" w:rsidRDefault="00217A51" w:rsidP="00217A51">
            <w:pPr>
              <w:pStyle w:val="Standaard-Tabellen"/>
              <w:jc w:val="center"/>
              <w:rPr>
                <w:rFonts w:eastAsia="Calibri"/>
                <w:b/>
              </w:rPr>
            </w:pPr>
            <w:r w:rsidRPr="00217A51">
              <w:rPr>
                <w:rFonts w:eastAsia="Calibri"/>
                <w:b/>
              </w:rPr>
              <w:t>Summary : Amount of product used per application for the different age groups, treated surface and number of application per day</w:t>
            </w:r>
          </w:p>
        </w:tc>
      </w:tr>
      <w:tr w:rsidR="00217A51" w:rsidRPr="00217A51" w14:paraId="076D86FC" w14:textId="77777777" w:rsidTr="00217A51">
        <w:trPr>
          <w:trHeight w:val="563"/>
          <w:tblHeader/>
        </w:trPr>
        <w:tc>
          <w:tcPr>
            <w:tcW w:w="0" w:type="auto"/>
            <w:shd w:val="clear" w:color="auto" w:fill="BFBFBF" w:themeFill="background1" w:themeFillShade="BF"/>
            <w:tcMar>
              <w:top w:w="57" w:type="dxa"/>
              <w:bottom w:w="57" w:type="dxa"/>
            </w:tcMar>
          </w:tcPr>
          <w:p w14:paraId="6CB61AC3" w14:textId="77777777" w:rsidR="00217A51" w:rsidRPr="00217A51" w:rsidRDefault="00217A51" w:rsidP="00217A51">
            <w:pPr>
              <w:pStyle w:val="Standaard-Tabellen"/>
              <w:rPr>
                <w:rFonts w:eastAsia="Calibri"/>
                <w:b/>
              </w:rPr>
            </w:pPr>
            <w:r w:rsidRPr="00217A51">
              <w:rPr>
                <w:rFonts w:eastAsia="Calibri"/>
                <w:b/>
              </w:rPr>
              <w:t>Age groups</w:t>
            </w:r>
          </w:p>
        </w:tc>
        <w:tc>
          <w:tcPr>
            <w:tcW w:w="0" w:type="auto"/>
            <w:shd w:val="clear" w:color="auto" w:fill="BFBFBF" w:themeFill="background1" w:themeFillShade="BF"/>
            <w:tcMar>
              <w:top w:w="57" w:type="dxa"/>
              <w:bottom w:w="57" w:type="dxa"/>
            </w:tcMar>
          </w:tcPr>
          <w:p w14:paraId="212DA6D9" w14:textId="77777777" w:rsidR="00217A51" w:rsidRDefault="00217A51" w:rsidP="00217A51">
            <w:pPr>
              <w:pStyle w:val="Standaard-Tabellen"/>
              <w:rPr>
                <w:rFonts w:eastAsia="Calibri"/>
                <w:b/>
              </w:rPr>
            </w:pPr>
            <w:r w:rsidRPr="00217A51">
              <w:rPr>
                <w:rFonts w:eastAsia="Calibri"/>
                <w:b/>
              </w:rPr>
              <w:t xml:space="preserve">Amount of product </w:t>
            </w:r>
          </w:p>
          <w:p w14:paraId="6F669DFC" w14:textId="77777777" w:rsidR="00217A51" w:rsidRDefault="00217A51" w:rsidP="00217A51">
            <w:pPr>
              <w:pStyle w:val="Standaard-Tabellen"/>
              <w:rPr>
                <w:rFonts w:eastAsia="Calibri"/>
                <w:b/>
              </w:rPr>
            </w:pPr>
            <w:r w:rsidRPr="00217A51">
              <w:rPr>
                <w:rFonts w:eastAsia="Calibri"/>
                <w:b/>
              </w:rPr>
              <w:t xml:space="preserve">used per application </w:t>
            </w:r>
          </w:p>
          <w:p w14:paraId="4EC7AD81" w14:textId="77777777" w:rsidR="00217A51" w:rsidRPr="00217A51" w:rsidRDefault="00217A51" w:rsidP="00217A51">
            <w:pPr>
              <w:pStyle w:val="Standaard-Tabellen"/>
              <w:rPr>
                <w:rFonts w:eastAsia="Calibri"/>
                <w:b/>
              </w:rPr>
            </w:pPr>
            <w:r w:rsidRPr="00217A51">
              <w:rPr>
                <w:rFonts w:eastAsia="Calibri"/>
                <w:b/>
              </w:rPr>
              <w:t>(g)</w:t>
            </w:r>
          </w:p>
        </w:tc>
        <w:tc>
          <w:tcPr>
            <w:tcW w:w="0" w:type="auto"/>
            <w:shd w:val="clear" w:color="auto" w:fill="BFBFBF" w:themeFill="background1" w:themeFillShade="BF"/>
          </w:tcPr>
          <w:p w14:paraId="5D580980" w14:textId="77777777" w:rsidR="00217A51" w:rsidRDefault="00217A51" w:rsidP="00217A51">
            <w:pPr>
              <w:pStyle w:val="Standaard-Tabellen"/>
              <w:rPr>
                <w:rFonts w:eastAsia="Calibri"/>
                <w:b/>
              </w:rPr>
            </w:pPr>
            <w:r w:rsidRPr="00217A51">
              <w:rPr>
                <w:rFonts w:eastAsia="Calibri"/>
                <w:b/>
              </w:rPr>
              <w:t xml:space="preserve">number of </w:t>
            </w:r>
          </w:p>
          <w:p w14:paraId="157152F6" w14:textId="77777777" w:rsidR="00217A51" w:rsidRDefault="00217A51" w:rsidP="00217A51">
            <w:pPr>
              <w:pStyle w:val="Standaard-Tabellen"/>
              <w:rPr>
                <w:rFonts w:eastAsia="Calibri"/>
                <w:b/>
              </w:rPr>
            </w:pPr>
            <w:r w:rsidRPr="00217A51">
              <w:rPr>
                <w:rFonts w:eastAsia="Calibri"/>
                <w:b/>
              </w:rPr>
              <w:t>application</w:t>
            </w:r>
            <w:r>
              <w:rPr>
                <w:rFonts w:eastAsia="Calibri"/>
                <w:b/>
              </w:rPr>
              <w:t>s</w:t>
            </w:r>
            <w:r w:rsidRPr="00217A51">
              <w:rPr>
                <w:rFonts w:eastAsia="Calibri"/>
                <w:b/>
              </w:rPr>
              <w:t xml:space="preserve"> per </w:t>
            </w:r>
          </w:p>
          <w:p w14:paraId="37886A94" w14:textId="77777777" w:rsidR="00217A51" w:rsidRPr="00217A51" w:rsidRDefault="00217A51" w:rsidP="00217A51">
            <w:pPr>
              <w:pStyle w:val="Standaard-Tabellen"/>
              <w:rPr>
                <w:rFonts w:eastAsia="Calibri"/>
                <w:b/>
              </w:rPr>
            </w:pPr>
            <w:r w:rsidRPr="00217A51">
              <w:rPr>
                <w:rFonts w:eastAsia="Calibri"/>
                <w:b/>
              </w:rPr>
              <w:t>day</w:t>
            </w:r>
          </w:p>
        </w:tc>
      </w:tr>
      <w:tr w:rsidR="00217A51" w:rsidRPr="00217A51" w14:paraId="2B3107C7" w14:textId="77777777" w:rsidTr="00217A51">
        <w:trPr>
          <w:trHeight w:val="285"/>
          <w:tblHeader/>
        </w:trPr>
        <w:tc>
          <w:tcPr>
            <w:tcW w:w="0" w:type="auto"/>
            <w:tcMar>
              <w:top w:w="57" w:type="dxa"/>
              <w:bottom w:w="57" w:type="dxa"/>
            </w:tcMar>
          </w:tcPr>
          <w:p w14:paraId="0FE03583" w14:textId="77777777" w:rsidR="00217A51" w:rsidRDefault="00217A51" w:rsidP="00217A51">
            <w:pPr>
              <w:pStyle w:val="Standaard-Tabellen"/>
            </w:pPr>
            <w:r w:rsidRPr="00217A51">
              <w:t xml:space="preserve">ADULT irrespective of gender </w:t>
            </w:r>
          </w:p>
          <w:p w14:paraId="27718C67" w14:textId="77777777" w:rsidR="00217A51" w:rsidRPr="00217A51" w:rsidRDefault="00217A51" w:rsidP="00217A51">
            <w:pPr>
              <w:pStyle w:val="Standaard-Tabellen"/>
              <w:rPr>
                <w:rFonts w:eastAsia="Calibri"/>
              </w:rPr>
            </w:pPr>
            <w:r w:rsidRPr="00217A51">
              <w:t>(based on female 30 to &lt;40 years old)</w:t>
            </w:r>
          </w:p>
        </w:tc>
        <w:tc>
          <w:tcPr>
            <w:tcW w:w="0" w:type="auto"/>
            <w:tcMar>
              <w:top w:w="57" w:type="dxa"/>
              <w:bottom w:w="57" w:type="dxa"/>
            </w:tcMar>
          </w:tcPr>
          <w:p w14:paraId="4A240C88" w14:textId="77777777" w:rsidR="00217A51" w:rsidRPr="00217A51" w:rsidRDefault="00217A51" w:rsidP="00217A51">
            <w:pPr>
              <w:pStyle w:val="Standaard-Tabellen"/>
              <w:rPr>
                <w:rFonts w:eastAsia="Calibri"/>
              </w:rPr>
            </w:pPr>
            <w:r w:rsidRPr="00217A51">
              <w:t>1</w:t>
            </w:r>
            <w:r>
              <w:t>.</w:t>
            </w:r>
            <w:r w:rsidRPr="00217A51">
              <w:t>05</w:t>
            </w:r>
          </w:p>
        </w:tc>
        <w:tc>
          <w:tcPr>
            <w:tcW w:w="0" w:type="auto"/>
          </w:tcPr>
          <w:p w14:paraId="64019153" w14:textId="77777777" w:rsidR="00217A51" w:rsidRPr="00217A51" w:rsidRDefault="00217A51" w:rsidP="00217A51">
            <w:pPr>
              <w:pStyle w:val="Standaard-Tabellen"/>
            </w:pPr>
            <w:r>
              <w:t>3</w:t>
            </w:r>
          </w:p>
        </w:tc>
      </w:tr>
      <w:tr w:rsidR="00217A51" w:rsidRPr="00217A51" w14:paraId="0731B133" w14:textId="77777777" w:rsidTr="00217A51">
        <w:trPr>
          <w:trHeight w:val="536"/>
          <w:tblHeader/>
        </w:trPr>
        <w:tc>
          <w:tcPr>
            <w:tcW w:w="0" w:type="auto"/>
            <w:tcMar>
              <w:top w:w="57" w:type="dxa"/>
              <w:bottom w:w="57" w:type="dxa"/>
            </w:tcMar>
          </w:tcPr>
          <w:p w14:paraId="130422FB" w14:textId="77777777" w:rsidR="00217A51" w:rsidRDefault="00217A51" w:rsidP="00217A51">
            <w:pPr>
              <w:pStyle w:val="Standaard-Tabellen"/>
            </w:pPr>
            <w:r w:rsidRPr="00217A51">
              <w:t xml:space="preserve">CHILD irrespective of gender </w:t>
            </w:r>
          </w:p>
          <w:p w14:paraId="20BEA7D0" w14:textId="77777777" w:rsidR="00217A51" w:rsidRPr="00217A51" w:rsidRDefault="00217A51" w:rsidP="00217A51">
            <w:pPr>
              <w:pStyle w:val="Standaard-Tabellen"/>
              <w:rPr>
                <w:rFonts w:eastAsia="Calibri"/>
              </w:rPr>
            </w:pPr>
            <w:r w:rsidRPr="00217A51">
              <w:t>(based on female 6 to &lt;11 years old)</w:t>
            </w:r>
          </w:p>
        </w:tc>
        <w:tc>
          <w:tcPr>
            <w:tcW w:w="0" w:type="auto"/>
            <w:tcMar>
              <w:top w:w="57" w:type="dxa"/>
              <w:bottom w:w="57" w:type="dxa"/>
            </w:tcMar>
          </w:tcPr>
          <w:p w14:paraId="4D38ABFB" w14:textId="77777777" w:rsidR="00217A51" w:rsidRPr="00217A51" w:rsidRDefault="00217A51" w:rsidP="00217A51">
            <w:pPr>
              <w:pStyle w:val="Standaard-Tabellen"/>
              <w:rPr>
                <w:rFonts w:eastAsia="Calibri"/>
              </w:rPr>
            </w:pPr>
            <w:r w:rsidRPr="00217A51">
              <w:t>0</w:t>
            </w:r>
            <w:r>
              <w:t>.</w:t>
            </w:r>
            <w:r w:rsidRPr="00217A51">
              <w:t>5</w:t>
            </w:r>
          </w:p>
        </w:tc>
        <w:tc>
          <w:tcPr>
            <w:tcW w:w="0" w:type="auto"/>
          </w:tcPr>
          <w:p w14:paraId="122A98B9" w14:textId="77777777" w:rsidR="00217A51" w:rsidRPr="00217A51" w:rsidRDefault="00217A51" w:rsidP="00217A51">
            <w:pPr>
              <w:pStyle w:val="Standaard-Tabellen"/>
            </w:pPr>
            <w:r>
              <w:t>3</w:t>
            </w:r>
          </w:p>
        </w:tc>
      </w:tr>
      <w:tr w:rsidR="00217A51" w:rsidRPr="00217A51" w14:paraId="13E99465" w14:textId="77777777" w:rsidTr="00217A51">
        <w:trPr>
          <w:trHeight w:val="285"/>
          <w:tblHeader/>
        </w:trPr>
        <w:tc>
          <w:tcPr>
            <w:tcW w:w="0" w:type="auto"/>
            <w:tcMar>
              <w:top w:w="57" w:type="dxa"/>
              <w:bottom w:w="57" w:type="dxa"/>
            </w:tcMar>
          </w:tcPr>
          <w:p w14:paraId="1867A9A7" w14:textId="77777777" w:rsidR="00217A51" w:rsidRDefault="00217A51" w:rsidP="00217A51">
            <w:pPr>
              <w:pStyle w:val="Standaard-Tabellen"/>
            </w:pPr>
            <w:r w:rsidRPr="00217A51">
              <w:t xml:space="preserve">TODDLER irrespective of gender </w:t>
            </w:r>
          </w:p>
          <w:p w14:paraId="5BE42104" w14:textId="77777777" w:rsidR="00217A51" w:rsidRPr="00217A51" w:rsidRDefault="00217A51" w:rsidP="00217A51">
            <w:pPr>
              <w:pStyle w:val="Standaard-Tabellen"/>
              <w:rPr>
                <w:rFonts w:eastAsia="Calibri"/>
              </w:rPr>
            </w:pPr>
            <w:r w:rsidRPr="00217A51">
              <w:t>(based on female 1 to &lt;2 years old)</w:t>
            </w:r>
          </w:p>
        </w:tc>
        <w:tc>
          <w:tcPr>
            <w:tcW w:w="0" w:type="auto"/>
            <w:tcMar>
              <w:top w:w="57" w:type="dxa"/>
              <w:bottom w:w="57" w:type="dxa"/>
            </w:tcMar>
          </w:tcPr>
          <w:p w14:paraId="59D37CE1" w14:textId="348C4494" w:rsidR="00217A51" w:rsidRPr="00217A51" w:rsidRDefault="00217A51" w:rsidP="00A80E60">
            <w:pPr>
              <w:pStyle w:val="Standaard-Tabellen"/>
              <w:rPr>
                <w:rFonts w:eastAsia="Calibri"/>
              </w:rPr>
            </w:pPr>
            <w:r w:rsidRPr="00217A51">
              <w:t>0</w:t>
            </w:r>
            <w:r>
              <w:t>.</w:t>
            </w:r>
            <w:r w:rsidR="00A80E60">
              <w:t>5</w:t>
            </w:r>
          </w:p>
        </w:tc>
        <w:tc>
          <w:tcPr>
            <w:tcW w:w="0" w:type="auto"/>
          </w:tcPr>
          <w:p w14:paraId="216AA932" w14:textId="77777777" w:rsidR="00217A51" w:rsidRPr="00217A51" w:rsidRDefault="00217A51" w:rsidP="00217A51">
            <w:pPr>
              <w:pStyle w:val="Standaard-Tabellen"/>
            </w:pPr>
            <w:r>
              <w:t>3</w:t>
            </w:r>
          </w:p>
        </w:tc>
      </w:tr>
      <w:tr w:rsidR="00217A51" w:rsidRPr="00217A51" w14:paraId="662B7BEF" w14:textId="77777777" w:rsidTr="00217A51">
        <w:trPr>
          <w:trHeight w:val="425"/>
          <w:tblHeader/>
        </w:trPr>
        <w:tc>
          <w:tcPr>
            <w:tcW w:w="0" w:type="auto"/>
            <w:tcMar>
              <w:top w:w="57" w:type="dxa"/>
              <w:bottom w:w="57" w:type="dxa"/>
            </w:tcMar>
          </w:tcPr>
          <w:p w14:paraId="02EEA722" w14:textId="77777777" w:rsidR="00217A51" w:rsidRDefault="00217A51" w:rsidP="00217A51">
            <w:pPr>
              <w:pStyle w:val="Standaard-Tabellen"/>
            </w:pPr>
            <w:r w:rsidRPr="00217A51">
              <w:t xml:space="preserve">INFANT irrespective of gender </w:t>
            </w:r>
          </w:p>
          <w:p w14:paraId="188E7EEC" w14:textId="77777777" w:rsidR="00217A51" w:rsidRPr="00217A51" w:rsidRDefault="00217A51" w:rsidP="00217A51">
            <w:pPr>
              <w:pStyle w:val="Standaard-Tabellen"/>
              <w:rPr>
                <w:rFonts w:eastAsia="Calibri"/>
              </w:rPr>
            </w:pPr>
            <w:r w:rsidRPr="00217A51">
              <w:t>(based on female 6 to &lt;12 months old)</w:t>
            </w:r>
          </w:p>
        </w:tc>
        <w:tc>
          <w:tcPr>
            <w:tcW w:w="0" w:type="auto"/>
            <w:tcMar>
              <w:top w:w="57" w:type="dxa"/>
              <w:bottom w:w="57" w:type="dxa"/>
            </w:tcMar>
          </w:tcPr>
          <w:p w14:paraId="2DA7E6B9" w14:textId="042FAA9A" w:rsidR="00217A51" w:rsidRPr="00217A51" w:rsidRDefault="00217A51" w:rsidP="00A80E60">
            <w:pPr>
              <w:pStyle w:val="Standaard-Tabellen"/>
              <w:rPr>
                <w:rFonts w:eastAsia="Calibri"/>
              </w:rPr>
            </w:pPr>
            <w:r w:rsidRPr="00217A51">
              <w:t>0</w:t>
            </w:r>
            <w:r>
              <w:t>.</w:t>
            </w:r>
            <w:r w:rsidR="00A80E60">
              <w:t>5</w:t>
            </w:r>
          </w:p>
        </w:tc>
        <w:tc>
          <w:tcPr>
            <w:tcW w:w="0" w:type="auto"/>
          </w:tcPr>
          <w:p w14:paraId="1D4B2086" w14:textId="77777777" w:rsidR="00217A51" w:rsidRPr="00217A51" w:rsidRDefault="00217A51" w:rsidP="00217A51">
            <w:pPr>
              <w:pStyle w:val="Standaard-Tabellen"/>
            </w:pPr>
            <w:r>
              <w:t>3</w:t>
            </w:r>
          </w:p>
        </w:tc>
      </w:tr>
    </w:tbl>
    <w:p w14:paraId="2D3E7610" w14:textId="77777777" w:rsidR="00217A51" w:rsidRPr="00B70E90" w:rsidRDefault="00217A51" w:rsidP="00217A51">
      <w:pPr>
        <w:rPr>
          <w:lang w:eastAsia="en-US"/>
        </w:rPr>
      </w:pPr>
    </w:p>
    <w:p w14:paraId="50440F6A" w14:textId="77777777" w:rsidR="00217A51" w:rsidRPr="002B4716" w:rsidRDefault="00217A51" w:rsidP="00217A51">
      <w:pPr>
        <w:pStyle w:val="Titre7"/>
        <w:rPr>
          <w:lang w:val="en-US"/>
        </w:rPr>
      </w:pPr>
      <w:r w:rsidRPr="002B4716">
        <w:rPr>
          <w:lang w:val="en-US"/>
        </w:rPr>
        <w:t xml:space="preserve">Dermal, inhalatory and oral absorption: </w:t>
      </w:r>
    </w:p>
    <w:p w14:paraId="5E1039E9" w14:textId="7108E646" w:rsidR="00217A51" w:rsidRPr="00490707" w:rsidRDefault="00217A51" w:rsidP="00D471B6">
      <w:pPr>
        <w:pStyle w:val="Paragraphedeliste"/>
        <w:numPr>
          <w:ilvl w:val="0"/>
          <w:numId w:val="17"/>
        </w:numPr>
        <w:rPr>
          <w:lang w:val="en-US" w:eastAsia="en-US"/>
        </w:rPr>
      </w:pPr>
      <w:r w:rsidRPr="00490707">
        <w:rPr>
          <w:lang w:val="en-US" w:eastAsia="en-US"/>
        </w:rPr>
        <w:t xml:space="preserve">Inhalatory absorption : 100 % </w:t>
      </w:r>
    </w:p>
    <w:p w14:paraId="2F8A88C5" w14:textId="5B79126D" w:rsidR="00217A51" w:rsidRPr="00490707" w:rsidRDefault="00217A51" w:rsidP="00D471B6">
      <w:pPr>
        <w:pStyle w:val="Paragraphedeliste"/>
        <w:numPr>
          <w:ilvl w:val="0"/>
          <w:numId w:val="17"/>
        </w:numPr>
        <w:rPr>
          <w:lang w:val="en-US" w:eastAsia="en-US"/>
        </w:rPr>
      </w:pPr>
      <w:r w:rsidRPr="00490707">
        <w:rPr>
          <w:lang w:val="en-US" w:eastAsia="en-US"/>
        </w:rPr>
        <w:t xml:space="preserve">Dermal absorption : 14 % </w:t>
      </w:r>
    </w:p>
    <w:p w14:paraId="70ADC155" w14:textId="6B52D7A2" w:rsidR="00217A51" w:rsidRPr="00611749" w:rsidRDefault="00217A51" w:rsidP="00D471B6">
      <w:pPr>
        <w:pStyle w:val="Paragraphedeliste"/>
        <w:numPr>
          <w:ilvl w:val="0"/>
          <w:numId w:val="17"/>
        </w:numPr>
        <w:rPr>
          <w:lang w:val="en-US" w:eastAsia="en-US"/>
        </w:rPr>
      </w:pPr>
      <w:r w:rsidRPr="00AE59ED">
        <w:rPr>
          <w:lang w:val="en-US" w:eastAsia="en-US"/>
        </w:rPr>
        <w:t xml:space="preserve">Oral absorption : 100 % </w:t>
      </w:r>
    </w:p>
    <w:p w14:paraId="54DEDCED" w14:textId="77777777" w:rsidR="00217A51" w:rsidRDefault="00217A51" w:rsidP="00217A51">
      <w:pPr>
        <w:rPr>
          <w:rFonts w:eastAsia="Calibri"/>
          <w:lang w:eastAsia="en-US"/>
        </w:rPr>
      </w:pPr>
    </w:p>
    <w:p w14:paraId="5E851DDF" w14:textId="0E9DA22E" w:rsidR="00D331AD" w:rsidRDefault="00D331AD" w:rsidP="00217A51">
      <w:pPr>
        <w:rPr>
          <w:rFonts w:eastAsia="Calibri"/>
          <w:lang w:eastAsia="en-US"/>
        </w:rPr>
      </w:pPr>
    </w:p>
    <w:p w14:paraId="7325F5A5" w14:textId="77777777" w:rsidR="0071179F" w:rsidRPr="008D7EDC" w:rsidRDefault="0071179F" w:rsidP="008D7EDC">
      <w:pPr>
        <w:pStyle w:val="Paragraphedeliste"/>
        <w:keepNext/>
        <w:numPr>
          <w:ilvl w:val="0"/>
          <w:numId w:val="68"/>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8D7EDC">
        <w:rPr>
          <w:rFonts w:eastAsia="Calibri"/>
          <w:b/>
          <w:lang w:eastAsia="en-US"/>
        </w:rPr>
        <w:t>MAJOR CHANGE FOR SPRAY REPULSIF IR200 – 2019 (FR CA)</w:t>
      </w:r>
    </w:p>
    <w:p w14:paraId="207C54F7" w14:textId="6D97C9CF" w:rsidR="00780E5B" w:rsidRPr="008D7EDC" w:rsidRDefault="00780E5B" w:rsidP="008D7EDC">
      <w:pPr>
        <w:pStyle w:val="Paragraphedeliste"/>
        <w:keepNext/>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lang w:eastAsia="fr-FR"/>
        </w:rPr>
      </w:pPr>
      <w:r w:rsidRPr="008D7EDC">
        <w:rPr>
          <w:rFonts w:cs="Arial"/>
          <w:spacing w:val="1"/>
          <w:lang w:eastAsia="fr-FR"/>
        </w:rPr>
        <w:t>The general default values are presented in each scenario:</w:t>
      </w:r>
    </w:p>
    <w:p w14:paraId="5CD43DFA" w14:textId="77777777" w:rsidR="00780E5B" w:rsidRPr="008D7EDC" w:rsidRDefault="00780E5B" w:rsidP="008D7EDC">
      <w:pPr>
        <w:pStyle w:val="Paragraphedeliste"/>
        <w:keepNext/>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b/>
          <w:spacing w:val="1"/>
          <w:lang w:eastAsia="fr-FR"/>
        </w:rPr>
      </w:pPr>
      <w:r w:rsidRPr="008D7EDC">
        <w:rPr>
          <w:rFonts w:cs="Arial"/>
          <w:b/>
          <w:spacing w:val="1"/>
          <w:lang w:eastAsia="fr-FR"/>
        </w:rPr>
        <w:t>Treated surfaces:</w:t>
      </w:r>
    </w:p>
    <w:p w14:paraId="555A8D24" w14:textId="77777777" w:rsidR="00780E5B" w:rsidRPr="008D7EDC" w:rsidRDefault="00780E5B" w:rsidP="008D7EDC">
      <w:pPr>
        <w:pStyle w:val="Paragraphedeliste"/>
        <w:keepNext/>
        <w:numPr>
          <w:ilvl w:val="0"/>
          <w:numId w:val="17"/>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cs="Arial"/>
          <w:spacing w:val="1"/>
          <w:lang w:eastAsia="fr-FR"/>
        </w:rPr>
      </w:pPr>
      <w:r w:rsidRPr="008D7EDC">
        <w:rPr>
          <w:rFonts w:cs="Arial"/>
          <w:spacing w:val="1"/>
          <w:lang w:eastAsia="fr-FR"/>
        </w:rPr>
        <w:t xml:space="preserve">Application to the skin: approximately 55% of the total body surface is considered according to the </w:t>
      </w:r>
      <w:r w:rsidRPr="008D7EDC">
        <w:rPr>
          <w:rFonts w:cs="Arial"/>
          <w:bCs/>
          <w:spacing w:val="1"/>
          <w:lang w:eastAsia="fr-FR"/>
        </w:rPr>
        <w:t>Recommendation no. 11, 2018</w:t>
      </w:r>
      <w:r w:rsidRPr="008D7EDC">
        <w:rPr>
          <w:rFonts w:cs="Arial"/>
          <w:bCs/>
          <w:spacing w:val="1"/>
          <w:vertAlign w:val="superscript"/>
          <w:lang w:eastAsia="fr-FR"/>
        </w:rPr>
        <w:footnoteReference w:id="8"/>
      </w:r>
      <w:r w:rsidRPr="008D7EDC">
        <w:rPr>
          <w:rFonts w:cs="Arial"/>
          <w:bCs/>
          <w:spacing w:val="1"/>
          <w:lang w:eastAsia="fr-FR"/>
        </w:rPr>
        <w:t xml:space="preserve"> which represents the uncovered body surface area.</w:t>
      </w:r>
    </w:p>
    <w:p w14:paraId="0DE57872" w14:textId="23824BD4" w:rsidR="00780E5B" w:rsidRPr="007E29F8" w:rsidRDefault="00780E5B" w:rsidP="008D7EDC">
      <w:pPr>
        <w:pStyle w:val="Paragraphedeliste"/>
        <w:keepNext/>
        <w:numPr>
          <w:ilvl w:val="0"/>
          <w:numId w:val="17"/>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cs="Arial"/>
          <w:spacing w:val="1"/>
          <w:lang w:eastAsia="fr-FR"/>
        </w:rPr>
      </w:pPr>
      <w:r w:rsidRPr="008D7EDC">
        <w:rPr>
          <w:rFonts w:cs="Arial"/>
          <w:spacing w:val="1"/>
          <w:lang w:eastAsia="fr-FR"/>
        </w:rPr>
        <w:t>Application to clothes: surface area of the treated clothes corresponds to long trouser and tee-shirt if only clothes application is considered and the total body surface area</w:t>
      </w:r>
      <w:r w:rsidR="0071179F">
        <w:rPr>
          <w:rFonts w:cs="Arial"/>
          <w:spacing w:val="1"/>
          <w:lang w:eastAsia="fr-FR"/>
        </w:rPr>
        <w:t xml:space="preserve"> </w:t>
      </w:r>
      <w:r w:rsidR="00756A6B">
        <w:rPr>
          <w:rFonts w:cs="Arial"/>
          <w:spacing w:val="1"/>
          <w:lang w:eastAsia="fr-FR"/>
        </w:rPr>
        <w:lastRenderedPageBreak/>
        <w:t>a</w:t>
      </w:r>
      <w:r w:rsidRPr="007E29F8">
        <w:rPr>
          <w:rFonts w:cs="Arial"/>
          <w:spacing w:val="1"/>
          <w:lang w:eastAsia="fr-FR"/>
        </w:rPr>
        <w:t xml:space="preserve">nd removing </w:t>
      </w:r>
      <w:r>
        <w:rPr>
          <w:rFonts w:cs="Arial"/>
          <w:spacing w:val="1"/>
          <w:lang w:eastAsia="fr-FR"/>
        </w:rPr>
        <w:t xml:space="preserve">approximately </w:t>
      </w:r>
      <w:r w:rsidRPr="007E29F8">
        <w:rPr>
          <w:rFonts w:cs="Arial"/>
          <w:spacing w:val="1"/>
          <w:lang w:eastAsia="fr-FR"/>
        </w:rPr>
        <w:t xml:space="preserve">55% body surface according to the </w:t>
      </w:r>
      <w:r w:rsidRPr="007E29F8">
        <w:rPr>
          <w:rFonts w:cs="Arial"/>
          <w:bCs/>
          <w:spacing w:val="1"/>
          <w:lang w:eastAsia="fr-FR"/>
        </w:rPr>
        <w:t>Recommendation no. 11, 2018</w:t>
      </w:r>
      <w:r>
        <w:rPr>
          <w:rFonts w:cs="Arial"/>
          <w:bCs/>
          <w:spacing w:val="1"/>
          <w:lang w:eastAsia="fr-FR"/>
        </w:rPr>
        <w:t xml:space="preserve"> if the use is combined to skin application</w:t>
      </w:r>
      <w:r w:rsidRPr="007E29F8">
        <w:rPr>
          <w:rFonts w:cs="Arial"/>
          <w:bCs/>
          <w:spacing w:val="1"/>
          <w:lang w:eastAsia="fr-FR"/>
        </w:rPr>
        <w:t>.</w:t>
      </w:r>
    </w:p>
    <w:p w14:paraId="374A6323" w14:textId="77777777" w:rsidR="00780E5B" w:rsidRPr="007E29F8" w:rsidRDefault="00780E5B" w:rsidP="008D7EDC">
      <w:pPr>
        <w:pStyle w:val="Paragraphedeliste"/>
        <w:keepNext/>
        <w:numPr>
          <w:ilvl w:val="0"/>
          <w:numId w:val="17"/>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cs="Arial"/>
          <w:spacing w:val="1"/>
          <w:lang w:eastAsia="fr-FR"/>
        </w:rPr>
      </w:pPr>
      <w:r w:rsidRPr="007E29F8">
        <w:rPr>
          <w:rFonts w:cs="Arial"/>
          <w:spacing w:val="1"/>
          <w:lang w:eastAsia="fr-FR"/>
        </w:rPr>
        <w:t>Application to bed linen: as a worst-case, whole body surface is considered.</w:t>
      </w:r>
    </w:p>
    <w:p w14:paraId="3BCA189F"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292" w:after="0" w:line="290" w:lineRule="exact"/>
        <w:ind w:left="0" w:right="215"/>
        <w:jc w:val="both"/>
        <w:textAlignment w:val="baseline"/>
        <w:rPr>
          <w:rFonts w:cs="Arial"/>
          <w:spacing w:val="1"/>
          <w:lang w:eastAsia="fr-FR"/>
        </w:rPr>
      </w:pPr>
    </w:p>
    <w:p w14:paraId="531F5C9C" w14:textId="77777777" w:rsidR="00780E5B" w:rsidRDefault="00780E5B" w:rsidP="008D7EDC">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b/>
        </w:rPr>
      </w:pPr>
      <w:r w:rsidRPr="007E29F8">
        <w:rPr>
          <w:b/>
        </w:rPr>
        <w:t>Amount of biocidal product and number of application per day:</w:t>
      </w:r>
    </w:p>
    <w:p w14:paraId="7530A622" w14:textId="77777777" w:rsidR="00780E5B" w:rsidRPr="007E29F8" w:rsidRDefault="00780E5B" w:rsidP="008D7EDC">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b/>
        </w:rPr>
      </w:pPr>
    </w:p>
    <w:tbl>
      <w:tblPr>
        <w:tblStyle w:val="Grilledutableau2"/>
        <w:tblW w:w="11335" w:type="dxa"/>
        <w:jc w:val="center"/>
        <w:tblLayout w:type="fixed"/>
        <w:tblLook w:val="04A0" w:firstRow="1" w:lastRow="0" w:firstColumn="1" w:lastColumn="0" w:noHBand="0" w:noVBand="1"/>
      </w:tblPr>
      <w:tblGrid>
        <w:gridCol w:w="1134"/>
        <w:gridCol w:w="4390"/>
        <w:gridCol w:w="5811"/>
      </w:tblGrid>
      <w:tr w:rsidR="00780E5B" w:rsidRPr="007E29F8" w14:paraId="070D29B2" w14:textId="77777777" w:rsidTr="008D7EDC">
        <w:trPr>
          <w:trHeight w:val="350"/>
          <w:tblHeader/>
          <w:jc w:val="center"/>
        </w:trPr>
        <w:tc>
          <w:tcPr>
            <w:tcW w:w="1134" w:type="dxa"/>
            <w:shd w:val="clear" w:color="auto" w:fill="FFFFFF" w:themeFill="background1"/>
          </w:tcPr>
          <w:p w14:paraId="666261E8"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29"/>
              <w:jc w:val="center"/>
              <w:textAlignment w:val="baseline"/>
              <w:rPr>
                <w:rFonts w:cs="Arial"/>
                <w:b/>
                <w:spacing w:val="1"/>
                <w:lang w:eastAsia="fr-FR"/>
              </w:rPr>
            </w:pPr>
            <w:r w:rsidRPr="007E29F8">
              <w:rPr>
                <w:rFonts w:cs="Arial"/>
                <w:b/>
                <w:spacing w:val="1"/>
                <w:lang w:eastAsia="fr-FR"/>
              </w:rPr>
              <w:t>Targets</w:t>
            </w:r>
          </w:p>
        </w:tc>
        <w:tc>
          <w:tcPr>
            <w:tcW w:w="4390" w:type="dxa"/>
            <w:shd w:val="clear" w:color="auto" w:fill="FFFFFF" w:themeFill="background1"/>
            <w:vAlign w:val="center"/>
          </w:tcPr>
          <w:p w14:paraId="6752EF59"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29" w:right="215"/>
              <w:jc w:val="center"/>
              <w:textAlignment w:val="baseline"/>
              <w:rPr>
                <w:rFonts w:cs="Arial"/>
                <w:b/>
                <w:spacing w:val="1"/>
                <w:lang w:eastAsia="fr-FR"/>
              </w:rPr>
            </w:pPr>
            <w:r w:rsidRPr="007E29F8">
              <w:rPr>
                <w:rFonts w:cs="Arial"/>
                <w:b/>
                <w:spacing w:val="1"/>
                <w:lang w:eastAsia="fr-FR"/>
              </w:rPr>
              <w:t>Fabrics</w:t>
            </w:r>
          </w:p>
        </w:tc>
        <w:tc>
          <w:tcPr>
            <w:tcW w:w="5811" w:type="dxa"/>
            <w:shd w:val="clear" w:color="auto" w:fill="FFFFFF" w:themeFill="background1"/>
            <w:vAlign w:val="center"/>
          </w:tcPr>
          <w:p w14:paraId="73B52303"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right="215"/>
              <w:jc w:val="center"/>
              <w:textAlignment w:val="baseline"/>
              <w:rPr>
                <w:rFonts w:cs="Arial"/>
                <w:b/>
                <w:spacing w:val="1"/>
                <w:lang w:eastAsia="fr-FR"/>
              </w:rPr>
            </w:pPr>
            <w:r w:rsidRPr="007E29F8">
              <w:rPr>
                <w:rFonts w:cs="Arial"/>
                <w:b/>
                <w:spacing w:val="1"/>
                <w:lang w:eastAsia="fr-FR"/>
              </w:rPr>
              <w:t>Human skin</w:t>
            </w:r>
          </w:p>
        </w:tc>
      </w:tr>
      <w:tr w:rsidR="00780E5B" w:rsidRPr="007E29F8" w14:paraId="7D9CA845" w14:textId="77777777" w:rsidTr="008D7EDC">
        <w:trPr>
          <w:jc w:val="center"/>
        </w:trPr>
        <w:tc>
          <w:tcPr>
            <w:tcW w:w="1134" w:type="dxa"/>
            <w:shd w:val="clear" w:color="auto" w:fill="FFFFFF" w:themeFill="background1"/>
            <w:vAlign w:val="center"/>
          </w:tcPr>
          <w:p w14:paraId="1F055208"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29"/>
              <w:textAlignment w:val="baseline"/>
              <w:rPr>
                <w:rFonts w:cs="Arial"/>
                <w:b/>
                <w:spacing w:val="1"/>
                <w:lang w:eastAsia="fr-FR"/>
              </w:rPr>
            </w:pPr>
            <w:r w:rsidRPr="007E29F8">
              <w:rPr>
                <w:rFonts w:cs="Arial"/>
                <w:b/>
                <w:spacing w:val="1"/>
                <w:lang w:eastAsia="fr-FR"/>
              </w:rPr>
              <w:t>Head lices</w:t>
            </w:r>
          </w:p>
        </w:tc>
        <w:tc>
          <w:tcPr>
            <w:tcW w:w="4390" w:type="dxa"/>
            <w:shd w:val="clear" w:color="auto" w:fill="FFFFFF" w:themeFill="background1"/>
          </w:tcPr>
          <w:p w14:paraId="2A28B182" w14:textId="77777777" w:rsidR="00780E5B" w:rsidRDefault="00780E5B" w:rsidP="008D7EDC">
            <w:pPr>
              <w:pStyle w:val="Paragraphedeliste"/>
              <w:keepNext/>
              <w:shd w:val="clear" w:color="auto" w:fill="FFFFFF" w:themeFill="background1"/>
              <w:tabs>
                <w:tab w:val="left" w:pos="4256"/>
              </w:tabs>
              <w:kinsoku w:val="0"/>
              <w:overflowPunct w:val="0"/>
              <w:autoSpaceDE w:val="0"/>
              <w:autoSpaceDN w:val="0"/>
              <w:adjustRightInd w:val="0"/>
              <w:spacing w:before="0" w:after="0"/>
              <w:ind w:left="29"/>
              <w:textAlignment w:val="baseline"/>
              <w:rPr>
                <w:rFonts w:cs="Arial"/>
                <w:bCs/>
                <w:i/>
              </w:rPr>
            </w:pPr>
            <w:r w:rsidRPr="007E29F8">
              <w:rPr>
                <w:rFonts w:cs="Arial"/>
                <w:b/>
                <w:spacing w:val="1"/>
                <w:lang w:eastAsia="fr-FR"/>
              </w:rPr>
              <w:t xml:space="preserve">Intended use # 2 </w:t>
            </w:r>
            <w:r w:rsidRPr="007E29F8">
              <w:rPr>
                <w:rFonts w:cs="Arial"/>
                <w:b/>
                <w:i/>
                <w:spacing w:val="1"/>
                <w:lang w:eastAsia="fr-FR"/>
              </w:rPr>
              <w:t xml:space="preserve">- </w:t>
            </w:r>
            <w:r w:rsidRPr="007E29F8">
              <w:rPr>
                <w:rFonts w:cs="Arial"/>
                <w:bCs/>
                <w:i/>
              </w:rPr>
              <w:t xml:space="preserve">directly onto the fabric </w:t>
            </w:r>
          </w:p>
          <w:p w14:paraId="762E8F55" w14:textId="77777777" w:rsidR="00780E5B" w:rsidRPr="007E29F8" w:rsidRDefault="00780E5B" w:rsidP="008D7EDC">
            <w:pPr>
              <w:pStyle w:val="Paragraphedeliste"/>
              <w:keepNext/>
              <w:shd w:val="clear" w:color="auto" w:fill="FFFFFF" w:themeFill="background1"/>
              <w:tabs>
                <w:tab w:val="left" w:pos="4256"/>
              </w:tabs>
              <w:kinsoku w:val="0"/>
              <w:overflowPunct w:val="0"/>
              <w:autoSpaceDE w:val="0"/>
              <w:autoSpaceDN w:val="0"/>
              <w:adjustRightInd w:val="0"/>
              <w:spacing w:before="0" w:after="0"/>
              <w:ind w:left="29"/>
              <w:textAlignment w:val="baseline"/>
              <w:rPr>
                <w:rFonts w:cs="Arial"/>
                <w:b/>
                <w:spacing w:val="1"/>
                <w:lang w:eastAsia="fr-FR"/>
              </w:rPr>
            </w:pPr>
          </w:p>
          <w:p w14:paraId="733D982D" w14:textId="77777777" w:rsidR="00780E5B" w:rsidRPr="007E29F8" w:rsidRDefault="00780E5B" w:rsidP="008D7EDC">
            <w:pPr>
              <w:pStyle w:val="Paragraphedeliste"/>
              <w:keepNext/>
              <w:shd w:val="clear" w:color="auto" w:fill="FFFFFF" w:themeFill="background1"/>
              <w:tabs>
                <w:tab w:val="left" w:pos="4256"/>
              </w:tabs>
              <w:kinsoku w:val="0"/>
              <w:overflowPunct w:val="0"/>
              <w:autoSpaceDE w:val="0"/>
              <w:autoSpaceDN w:val="0"/>
              <w:adjustRightInd w:val="0"/>
              <w:spacing w:before="0" w:after="0"/>
              <w:ind w:left="29"/>
              <w:textAlignment w:val="baseline"/>
              <w:rPr>
                <w:rFonts w:cs="Arial"/>
                <w:spacing w:val="1"/>
                <w:lang w:eastAsia="fr-FR"/>
              </w:rPr>
            </w:pPr>
            <w:r w:rsidRPr="007E29F8">
              <w:rPr>
                <w:rFonts w:cs="Arial"/>
                <w:spacing w:val="1"/>
                <w:lang w:eastAsia="fr-FR"/>
              </w:rPr>
              <w:t>BP: 1 mg/cm² / AS: 0.20 mg/cm²</w:t>
            </w:r>
          </w:p>
          <w:p w14:paraId="1D03F08F" w14:textId="77777777" w:rsidR="00780E5B" w:rsidRPr="007E29F8" w:rsidRDefault="00780E5B" w:rsidP="008D7EDC">
            <w:pPr>
              <w:pStyle w:val="Paragraphedeliste"/>
              <w:keepNext/>
              <w:shd w:val="clear" w:color="auto" w:fill="FFFFFF" w:themeFill="background1"/>
              <w:tabs>
                <w:tab w:val="left" w:pos="4256"/>
              </w:tabs>
              <w:kinsoku w:val="0"/>
              <w:overflowPunct w:val="0"/>
              <w:autoSpaceDE w:val="0"/>
              <w:autoSpaceDN w:val="0"/>
              <w:adjustRightInd w:val="0"/>
              <w:spacing w:before="0" w:after="0"/>
              <w:ind w:left="29"/>
              <w:textAlignment w:val="baseline"/>
              <w:rPr>
                <w:rFonts w:cs="Arial"/>
                <w:spacing w:val="1"/>
                <w:lang w:eastAsia="fr-FR"/>
              </w:rPr>
            </w:pPr>
            <w:r w:rsidRPr="007E29F8">
              <w:rPr>
                <w:rFonts w:cs="Arial"/>
                <w:spacing w:val="1"/>
                <w:lang w:eastAsia="fr-FR"/>
              </w:rPr>
              <w:t>It is to be applied on bed linen and/or cloth’s surface in contact with the top of the body (head, neck and shoulders).</w:t>
            </w:r>
          </w:p>
        </w:tc>
        <w:tc>
          <w:tcPr>
            <w:tcW w:w="5811" w:type="dxa"/>
            <w:shd w:val="clear" w:color="auto" w:fill="FFFFFF" w:themeFill="background1"/>
          </w:tcPr>
          <w:p w14:paraId="3B305B51" w14:textId="77777777" w:rsidR="00780E5B"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bCs/>
                <w:i/>
              </w:rPr>
            </w:pPr>
            <w:r w:rsidRPr="007E29F8">
              <w:rPr>
                <w:rFonts w:cs="Arial"/>
                <w:b/>
                <w:spacing w:val="1"/>
                <w:lang w:eastAsia="fr-FR"/>
              </w:rPr>
              <w:t xml:space="preserve">Intended use # 1 - </w:t>
            </w:r>
            <w:r w:rsidRPr="007E29F8">
              <w:rPr>
                <w:rFonts w:cs="Arial"/>
                <w:bCs/>
                <w:i/>
              </w:rPr>
              <w:t xml:space="preserve">directly onto the </w:t>
            </w:r>
            <w:r>
              <w:rPr>
                <w:rFonts w:cs="Arial"/>
                <w:bCs/>
                <w:i/>
              </w:rPr>
              <w:t>head</w:t>
            </w:r>
          </w:p>
          <w:p w14:paraId="492C0333"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b/>
                <w:spacing w:val="1"/>
                <w:lang w:eastAsia="fr-FR"/>
              </w:rPr>
            </w:pPr>
          </w:p>
          <w:p w14:paraId="38838E06"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Adults: up to 1.05 g product or approx. 9 spray hubs/application</w:t>
            </w:r>
          </w:p>
          <w:p w14:paraId="29EC557F" w14:textId="77777777" w:rsidR="00780E5B"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Children (0 to 11 years old): 0.5g or approx. 4 spray hubs/application</w:t>
            </w:r>
          </w:p>
          <w:p w14:paraId="6A98B064" w14:textId="77777777" w:rsidR="00780E5B"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p>
          <w:p w14:paraId="7EB3E290" w14:textId="77777777" w:rsidR="00780E5B" w:rsidRPr="007417DC" w:rsidRDefault="00780E5B" w:rsidP="008D7EDC">
            <w:pPr>
              <w:pStyle w:val="Paragraphedeliste"/>
              <w:keepNext/>
              <w:numPr>
                <w:ilvl w:val="0"/>
                <w:numId w:val="63"/>
              </w:numPr>
              <w:shd w:val="clear" w:color="auto" w:fill="FFFFFF" w:themeFill="background1"/>
              <w:kinsoku w:val="0"/>
              <w:overflowPunct w:val="0"/>
              <w:autoSpaceDE w:val="0"/>
              <w:autoSpaceDN w:val="0"/>
              <w:adjustRightInd w:val="0"/>
              <w:spacing w:before="0" w:after="0"/>
              <w:textAlignment w:val="baseline"/>
              <w:rPr>
                <w:rFonts w:cs="Arial"/>
                <w:b/>
                <w:spacing w:val="1"/>
                <w:lang w:eastAsia="fr-FR"/>
              </w:rPr>
            </w:pPr>
            <w:r w:rsidRPr="007417DC">
              <w:rPr>
                <w:rFonts w:cs="Arial"/>
                <w:b/>
                <w:spacing w:val="1"/>
                <w:lang w:eastAsia="fr-FR"/>
              </w:rPr>
              <w:t>Use is already authorized.</w:t>
            </w:r>
          </w:p>
          <w:p w14:paraId="5607A047"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372"/>
              <w:textAlignment w:val="baseline"/>
              <w:rPr>
                <w:rFonts w:cs="Arial"/>
                <w:spacing w:val="1"/>
                <w:sz w:val="16"/>
                <w:lang w:eastAsia="fr-FR"/>
              </w:rPr>
            </w:pPr>
          </w:p>
        </w:tc>
      </w:tr>
      <w:tr w:rsidR="00780E5B" w:rsidRPr="007E29F8" w14:paraId="15F4F1C6" w14:textId="77777777" w:rsidTr="008D7EDC">
        <w:trPr>
          <w:jc w:val="center"/>
        </w:trPr>
        <w:tc>
          <w:tcPr>
            <w:tcW w:w="1134" w:type="dxa"/>
            <w:shd w:val="clear" w:color="auto" w:fill="FFFFFF" w:themeFill="background1"/>
            <w:vAlign w:val="center"/>
          </w:tcPr>
          <w:p w14:paraId="7DF04F28"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29"/>
              <w:textAlignment w:val="baseline"/>
              <w:rPr>
                <w:rFonts w:cs="Arial"/>
                <w:b/>
                <w:spacing w:val="1"/>
                <w:lang w:eastAsia="fr-FR"/>
              </w:rPr>
            </w:pPr>
            <w:r w:rsidRPr="007E29F8">
              <w:rPr>
                <w:rFonts w:cs="Arial"/>
                <w:b/>
                <w:spacing w:val="1"/>
                <w:lang w:eastAsia="fr-FR"/>
              </w:rPr>
              <w:t>Mosquitoes</w:t>
            </w:r>
          </w:p>
        </w:tc>
        <w:tc>
          <w:tcPr>
            <w:tcW w:w="4390" w:type="dxa"/>
            <w:shd w:val="clear" w:color="auto" w:fill="FFFFFF" w:themeFill="background1"/>
          </w:tcPr>
          <w:p w14:paraId="0719A78C" w14:textId="77777777" w:rsidR="00780E5B" w:rsidRDefault="00780E5B" w:rsidP="008D7EDC">
            <w:pPr>
              <w:pStyle w:val="Paragraphedeliste"/>
              <w:keepNext/>
              <w:shd w:val="clear" w:color="auto" w:fill="FFFFFF" w:themeFill="background1"/>
              <w:tabs>
                <w:tab w:val="left" w:pos="4256"/>
              </w:tabs>
              <w:kinsoku w:val="0"/>
              <w:overflowPunct w:val="0"/>
              <w:autoSpaceDE w:val="0"/>
              <w:autoSpaceDN w:val="0"/>
              <w:adjustRightInd w:val="0"/>
              <w:spacing w:before="0" w:after="0"/>
              <w:ind w:left="29" w:right="28"/>
              <w:jc w:val="both"/>
              <w:textAlignment w:val="baseline"/>
              <w:rPr>
                <w:rFonts w:cs="Arial"/>
                <w:i/>
                <w:spacing w:val="1"/>
                <w:lang w:eastAsia="fr-FR"/>
              </w:rPr>
            </w:pPr>
            <w:r w:rsidRPr="007E29F8">
              <w:rPr>
                <w:rFonts w:cs="Arial"/>
                <w:b/>
                <w:spacing w:val="1"/>
                <w:lang w:eastAsia="fr-FR"/>
              </w:rPr>
              <w:t xml:space="preserve">Intended use # 3 </w:t>
            </w:r>
            <w:r w:rsidRPr="007E29F8">
              <w:rPr>
                <w:rFonts w:cs="Arial"/>
                <w:i/>
                <w:spacing w:val="1"/>
                <w:lang w:eastAsia="fr-FR"/>
              </w:rPr>
              <w:t>- directly onto the textile</w:t>
            </w:r>
          </w:p>
          <w:p w14:paraId="7E3D5CA1" w14:textId="77777777" w:rsidR="00780E5B" w:rsidRPr="007E29F8" w:rsidRDefault="00780E5B" w:rsidP="008D7EDC">
            <w:pPr>
              <w:pStyle w:val="Paragraphedeliste"/>
              <w:keepNext/>
              <w:shd w:val="clear" w:color="auto" w:fill="FFFFFF" w:themeFill="background1"/>
              <w:tabs>
                <w:tab w:val="left" w:pos="4256"/>
              </w:tabs>
              <w:kinsoku w:val="0"/>
              <w:overflowPunct w:val="0"/>
              <w:autoSpaceDE w:val="0"/>
              <w:autoSpaceDN w:val="0"/>
              <w:adjustRightInd w:val="0"/>
              <w:spacing w:before="0" w:after="0"/>
              <w:ind w:left="29" w:right="28"/>
              <w:jc w:val="both"/>
              <w:textAlignment w:val="baseline"/>
              <w:rPr>
                <w:rFonts w:cs="Arial"/>
                <w:i/>
                <w:spacing w:val="1"/>
                <w:lang w:eastAsia="fr-FR"/>
              </w:rPr>
            </w:pPr>
          </w:p>
          <w:p w14:paraId="1317843A" w14:textId="77777777" w:rsidR="00780E5B" w:rsidRPr="007E29F8" w:rsidRDefault="00780E5B" w:rsidP="008D7EDC">
            <w:pPr>
              <w:pStyle w:val="Paragraphedeliste"/>
              <w:keepNext/>
              <w:shd w:val="clear" w:color="auto" w:fill="FFFFFF" w:themeFill="background1"/>
              <w:tabs>
                <w:tab w:val="left" w:pos="4256"/>
              </w:tabs>
              <w:kinsoku w:val="0"/>
              <w:overflowPunct w:val="0"/>
              <w:autoSpaceDE w:val="0"/>
              <w:autoSpaceDN w:val="0"/>
              <w:adjustRightInd w:val="0"/>
              <w:spacing w:before="0" w:after="0"/>
              <w:ind w:left="29" w:right="28"/>
              <w:jc w:val="both"/>
              <w:textAlignment w:val="baseline"/>
              <w:rPr>
                <w:rFonts w:cs="Arial"/>
                <w:spacing w:val="1"/>
                <w:lang w:eastAsia="fr-FR"/>
              </w:rPr>
            </w:pPr>
            <w:r w:rsidRPr="007E29F8">
              <w:rPr>
                <w:rFonts w:cs="Arial"/>
                <w:spacing w:val="1"/>
                <w:lang w:eastAsia="fr-FR"/>
              </w:rPr>
              <w:t>BP: 0.6 mg/cm² / AS: 0.12 mg/cm²</w:t>
            </w:r>
          </w:p>
          <w:p w14:paraId="083862BD" w14:textId="630858D8" w:rsidR="00780E5B" w:rsidRPr="007E29F8" w:rsidRDefault="00780E5B" w:rsidP="008D7EDC">
            <w:pPr>
              <w:pStyle w:val="Paragraphedeliste"/>
              <w:keepNext/>
              <w:shd w:val="clear" w:color="auto" w:fill="FFFFFF" w:themeFill="background1"/>
              <w:tabs>
                <w:tab w:val="left" w:pos="4256"/>
              </w:tabs>
              <w:kinsoku w:val="0"/>
              <w:overflowPunct w:val="0"/>
              <w:autoSpaceDE w:val="0"/>
              <w:autoSpaceDN w:val="0"/>
              <w:adjustRightInd w:val="0"/>
              <w:spacing w:before="0" w:after="0"/>
              <w:ind w:left="29" w:right="28"/>
              <w:jc w:val="both"/>
              <w:textAlignment w:val="baseline"/>
              <w:rPr>
                <w:rFonts w:cs="Arial"/>
                <w:spacing w:val="1"/>
                <w:lang w:eastAsia="fr-FR"/>
              </w:rPr>
            </w:pPr>
          </w:p>
        </w:tc>
        <w:tc>
          <w:tcPr>
            <w:tcW w:w="5811" w:type="dxa"/>
            <w:shd w:val="clear" w:color="auto" w:fill="FFFFFF" w:themeFill="background1"/>
          </w:tcPr>
          <w:p w14:paraId="7630B2F1" w14:textId="77777777" w:rsidR="00780E5B"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bCs/>
                <w:i/>
              </w:rPr>
            </w:pPr>
            <w:r w:rsidRPr="007E29F8">
              <w:rPr>
                <w:rFonts w:cs="Arial"/>
                <w:b/>
                <w:spacing w:val="1"/>
                <w:lang w:eastAsia="fr-FR"/>
              </w:rPr>
              <w:t xml:space="preserve">Intended use # 4 - </w:t>
            </w:r>
            <w:r w:rsidRPr="007E29F8">
              <w:rPr>
                <w:rFonts w:cs="Arial"/>
                <w:bCs/>
                <w:i/>
              </w:rPr>
              <w:t>directly on skin</w:t>
            </w:r>
          </w:p>
          <w:p w14:paraId="454DAFED"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b/>
                <w:spacing w:val="1"/>
                <w:lang w:eastAsia="fr-FR"/>
              </w:rPr>
            </w:pPr>
          </w:p>
          <w:p w14:paraId="5062F1FC"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i/>
                <w:spacing w:val="1"/>
                <w:u w:val="single"/>
                <w:lang w:eastAsia="fr-FR"/>
              </w:rPr>
            </w:pPr>
            <w:r w:rsidRPr="007E29F8">
              <w:rPr>
                <w:rFonts w:cs="Arial"/>
                <w:i/>
                <w:spacing w:val="1"/>
                <w:u w:val="single"/>
                <w:lang w:eastAsia="fr-FR"/>
              </w:rPr>
              <w:t>Temperate conditions</w:t>
            </w:r>
          </w:p>
          <w:p w14:paraId="7EEA370C"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BP: 0.6 mg/cm² / AS: 0.12 mg/cm²</w:t>
            </w:r>
          </w:p>
          <w:p w14:paraId="7A4EB3C7"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Child &gt;6 years old and adult: 2 applications/day,</w:t>
            </w:r>
          </w:p>
          <w:p w14:paraId="3853D334"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Child ≥6 months old-6 years: 1 application/day.</w:t>
            </w:r>
          </w:p>
          <w:p w14:paraId="02DA39C0"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p>
          <w:p w14:paraId="08E635A6"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i/>
                <w:spacing w:val="1"/>
                <w:u w:val="single"/>
                <w:lang w:eastAsia="fr-FR"/>
              </w:rPr>
            </w:pPr>
            <w:r w:rsidRPr="007E29F8">
              <w:rPr>
                <w:rFonts w:cs="Arial"/>
                <w:i/>
                <w:spacing w:val="1"/>
                <w:u w:val="single"/>
                <w:lang w:eastAsia="fr-FR"/>
              </w:rPr>
              <w:t>Tropical conditions</w:t>
            </w:r>
          </w:p>
          <w:p w14:paraId="02A4CBF2"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BP: 0.8 mg/cm² / AS: 0.16 mg/cm²</w:t>
            </w:r>
          </w:p>
          <w:p w14:paraId="0730B496"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Child &gt;11 years old and adult: 2 applications/day,</w:t>
            </w:r>
          </w:p>
          <w:p w14:paraId="728C931F"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Child ≥6 months old-11 years: 1 application/day.</w:t>
            </w:r>
          </w:p>
        </w:tc>
      </w:tr>
      <w:tr w:rsidR="00780E5B" w:rsidRPr="007E29F8" w14:paraId="45B40C4B" w14:textId="77777777" w:rsidTr="008D7EDC">
        <w:trPr>
          <w:jc w:val="center"/>
        </w:trPr>
        <w:tc>
          <w:tcPr>
            <w:tcW w:w="1134" w:type="dxa"/>
            <w:shd w:val="clear" w:color="auto" w:fill="FFFFFF" w:themeFill="background1"/>
            <w:vAlign w:val="center"/>
          </w:tcPr>
          <w:p w14:paraId="70EBF8FE"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29"/>
              <w:textAlignment w:val="baseline"/>
              <w:rPr>
                <w:rFonts w:cs="Arial"/>
                <w:b/>
                <w:spacing w:val="1"/>
                <w:lang w:eastAsia="fr-FR"/>
              </w:rPr>
            </w:pPr>
            <w:r w:rsidRPr="007E29F8">
              <w:rPr>
                <w:rFonts w:cs="Arial"/>
                <w:b/>
                <w:spacing w:val="1"/>
                <w:lang w:eastAsia="fr-FR"/>
              </w:rPr>
              <w:t>Ticks</w:t>
            </w:r>
          </w:p>
        </w:tc>
        <w:tc>
          <w:tcPr>
            <w:tcW w:w="4390" w:type="dxa"/>
            <w:shd w:val="clear" w:color="auto" w:fill="FFFFFF" w:themeFill="background1"/>
          </w:tcPr>
          <w:p w14:paraId="27BC0DBA" w14:textId="77777777" w:rsidR="00780E5B" w:rsidRDefault="00780E5B" w:rsidP="008D7EDC">
            <w:pPr>
              <w:pStyle w:val="Paragraphedeliste"/>
              <w:keepNext/>
              <w:shd w:val="clear" w:color="auto" w:fill="FFFFFF" w:themeFill="background1"/>
              <w:tabs>
                <w:tab w:val="left" w:pos="4256"/>
              </w:tabs>
              <w:kinsoku w:val="0"/>
              <w:overflowPunct w:val="0"/>
              <w:autoSpaceDE w:val="0"/>
              <w:autoSpaceDN w:val="0"/>
              <w:adjustRightInd w:val="0"/>
              <w:spacing w:before="0" w:after="0"/>
              <w:ind w:left="29" w:right="28"/>
              <w:jc w:val="both"/>
              <w:textAlignment w:val="baseline"/>
              <w:rPr>
                <w:rFonts w:cs="Arial"/>
                <w:i/>
                <w:spacing w:val="1"/>
                <w:lang w:eastAsia="fr-FR"/>
              </w:rPr>
            </w:pPr>
            <w:r w:rsidRPr="007E29F8">
              <w:rPr>
                <w:rFonts w:cs="Arial"/>
                <w:b/>
                <w:spacing w:val="1"/>
                <w:lang w:eastAsia="fr-FR"/>
              </w:rPr>
              <w:t>Intended use # 5</w:t>
            </w:r>
            <w:r w:rsidRPr="007E29F8">
              <w:rPr>
                <w:rFonts w:cs="Arial"/>
                <w:i/>
                <w:spacing w:val="1"/>
                <w:lang w:eastAsia="fr-FR"/>
              </w:rPr>
              <w:t>- directly onto the textile</w:t>
            </w:r>
          </w:p>
          <w:p w14:paraId="7467704F" w14:textId="77777777" w:rsidR="00780E5B" w:rsidRDefault="00780E5B" w:rsidP="008D7EDC">
            <w:pPr>
              <w:pStyle w:val="Paragraphedeliste"/>
              <w:keepNext/>
              <w:shd w:val="clear" w:color="auto" w:fill="FFFFFF" w:themeFill="background1"/>
              <w:tabs>
                <w:tab w:val="left" w:pos="4241"/>
              </w:tabs>
              <w:kinsoku w:val="0"/>
              <w:overflowPunct w:val="0"/>
              <w:autoSpaceDE w:val="0"/>
              <w:autoSpaceDN w:val="0"/>
              <w:adjustRightInd w:val="0"/>
              <w:spacing w:before="0" w:after="0"/>
              <w:ind w:left="29" w:right="28"/>
              <w:jc w:val="both"/>
              <w:textAlignment w:val="baseline"/>
              <w:rPr>
                <w:rFonts w:cs="Arial"/>
                <w:b/>
                <w:spacing w:val="1"/>
                <w:lang w:eastAsia="fr-FR"/>
              </w:rPr>
            </w:pPr>
          </w:p>
          <w:p w14:paraId="3F4C7B70" w14:textId="77777777" w:rsidR="00780E5B" w:rsidRPr="007E29F8" w:rsidRDefault="00780E5B" w:rsidP="008D7EDC">
            <w:pPr>
              <w:pStyle w:val="Paragraphedeliste"/>
              <w:keepNext/>
              <w:shd w:val="clear" w:color="auto" w:fill="FFFFFF" w:themeFill="background1"/>
              <w:tabs>
                <w:tab w:val="left" w:pos="4241"/>
              </w:tabs>
              <w:kinsoku w:val="0"/>
              <w:overflowPunct w:val="0"/>
              <w:autoSpaceDE w:val="0"/>
              <w:autoSpaceDN w:val="0"/>
              <w:adjustRightInd w:val="0"/>
              <w:spacing w:before="0" w:after="0"/>
              <w:ind w:left="29" w:right="28"/>
              <w:jc w:val="both"/>
              <w:textAlignment w:val="baseline"/>
              <w:rPr>
                <w:rFonts w:cs="Arial"/>
                <w:b/>
                <w:spacing w:val="1"/>
                <w:lang w:eastAsia="fr-FR"/>
              </w:rPr>
            </w:pPr>
          </w:p>
          <w:p w14:paraId="74285186" w14:textId="77777777" w:rsidR="00780E5B" w:rsidRPr="007E29F8" w:rsidRDefault="00780E5B" w:rsidP="008D7EDC">
            <w:pPr>
              <w:pStyle w:val="Paragraphedeliste"/>
              <w:keepNext/>
              <w:shd w:val="clear" w:color="auto" w:fill="FFFFFF" w:themeFill="background1"/>
              <w:tabs>
                <w:tab w:val="left" w:pos="4241"/>
              </w:tabs>
              <w:kinsoku w:val="0"/>
              <w:overflowPunct w:val="0"/>
              <w:autoSpaceDE w:val="0"/>
              <w:autoSpaceDN w:val="0"/>
              <w:adjustRightInd w:val="0"/>
              <w:spacing w:before="0" w:after="0"/>
              <w:ind w:left="29" w:right="28"/>
              <w:jc w:val="both"/>
              <w:textAlignment w:val="baseline"/>
              <w:rPr>
                <w:rFonts w:cs="Arial"/>
                <w:spacing w:val="1"/>
                <w:lang w:eastAsia="fr-FR"/>
              </w:rPr>
            </w:pPr>
            <w:r w:rsidRPr="007E29F8">
              <w:rPr>
                <w:rFonts w:cs="Arial"/>
                <w:spacing w:val="1"/>
                <w:lang w:eastAsia="fr-FR"/>
              </w:rPr>
              <w:t>BP: 0.85 mg/cm² / AS: 0.17 mg/cm²</w:t>
            </w:r>
          </w:p>
          <w:p w14:paraId="49CC79B7" w14:textId="7835B65B" w:rsidR="00780E5B" w:rsidRPr="007E29F8" w:rsidRDefault="00780E5B" w:rsidP="008D7EDC">
            <w:pPr>
              <w:pStyle w:val="Paragraphedeliste"/>
              <w:keepNext/>
              <w:shd w:val="clear" w:color="auto" w:fill="FFFFFF" w:themeFill="background1"/>
              <w:tabs>
                <w:tab w:val="left" w:pos="4241"/>
              </w:tabs>
              <w:kinsoku w:val="0"/>
              <w:overflowPunct w:val="0"/>
              <w:autoSpaceDE w:val="0"/>
              <w:autoSpaceDN w:val="0"/>
              <w:adjustRightInd w:val="0"/>
              <w:spacing w:before="0" w:after="0"/>
              <w:ind w:left="29" w:right="28"/>
              <w:jc w:val="both"/>
              <w:textAlignment w:val="baseline"/>
              <w:rPr>
                <w:rFonts w:cs="Arial"/>
                <w:b/>
                <w:spacing w:val="1"/>
                <w:lang w:eastAsia="fr-FR"/>
              </w:rPr>
            </w:pPr>
          </w:p>
        </w:tc>
        <w:tc>
          <w:tcPr>
            <w:tcW w:w="5811" w:type="dxa"/>
            <w:shd w:val="clear" w:color="auto" w:fill="FFFFFF" w:themeFill="background1"/>
          </w:tcPr>
          <w:p w14:paraId="44663B05" w14:textId="77777777" w:rsidR="00780E5B"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bCs/>
                <w:i/>
              </w:rPr>
            </w:pPr>
            <w:r w:rsidRPr="007E29F8">
              <w:rPr>
                <w:rFonts w:cs="Arial"/>
                <w:b/>
                <w:spacing w:val="1"/>
                <w:lang w:eastAsia="fr-FR"/>
              </w:rPr>
              <w:t xml:space="preserve">Intended use # 6 - </w:t>
            </w:r>
            <w:r w:rsidRPr="007E29F8">
              <w:rPr>
                <w:rFonts w:cs="Arial"/>
                <w:bCs/>
                <w:i/>
              </w:rPr>
              <w:t>directly on skin</w:t>
            </w:r>
          </w:p>
          <w:p w14:paraId="20F30AFB"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b/>
                <w:spacing w:val="1"/>
                <w:lang w:eastAsia="fr-FR"/>
              </w:rPr>
            </w:pPr>
            <w:r>
              <w:rPr>
                <w:rFonts w:cs="Arial"/>
                <w:b/>
                <w:spacing w:val="1"/>
                <w:lang w:eastAsia="fr-FR"/>
              </w:rPr>
              <w:t>.</w:t>
            </w:r>
          </w:p>
          <w:p w14:paraId="26F902B2"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BP: 0.6 mg/cm² / AS: 0.12 mg/cm²</w:t>
            </w:r>
          </w:p>
          <w:p w14:paraId="39E93364"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Child &gt;6 years old and adult: 2 applications/day,</w:t>
            </w:r>
          </w:p>
          <w:p w14:paraId="42655D2B"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textAlignment w:val="baseline"/>
              <w:rPr>
                <w:rFonts w:cs="Arial"/>
                <w:spacing w:val="1"/>
                <w:lang w:eastAsia="fr-FR"/>
              </w:rPr>
            </w:pPr>
            <w:r w:rsidRPr="007E29F8">
              <w:rPr>
                <w:rFonts w:cs="Arial"/>
                <w:spacing w:val="1"/>
                <w:lang w:eastAsia="fr-FR"/>
              </w:rPr>
              <w:t>Child ≥6 months old-6 years: 1 application/day.</w:t>
            </w:r>
          </w:p>
        </w:tc>
      </w:tr>
      <w:tr w:rsidR="00780E5B" w:rsidRPr="007E29F8" w14:paraId="3D075AAC" w14:textId="77777777" w:rsidTr="008D7EDC">
        <w:trPr>
          <w:jc w:val="center"/>
        </w:trPr>
        <w:tc>
          <w:tcPr>
            <w:tcW w:w="1134" w:type="dxa"/>
            <w:shd w:val="clear" w:color="auto" w:fill="FFFFFF" w:themeFill="background1"/>
            <w:vAlign w:val="center"/>
          </w:tcPr>
          <w:p w14:paraId="274872A3" w14:textId="77777777" w:rsidR="00780E5B" w:rsidRPr="007E29F8" w:rsidRDefault="00780E5B" w:rsidP="008D7EDC">
            <w:pPr>
              <w:pStyle w:val="Paragraphedeliste"/>
              <w:keepNext/>
              <w:shd w:val="clear" w:color="auto" w:fill="FFFFFF" w:themeFill="background1"/>
              <w:tabs>
                <w:tab w:val="left" w:pos="4256"/>
              </w:tabs>
              <w:kinsoku w:val="0"/>
              <w:overflowPunct w:val="0"/>
              <w:autoSpaceDE w:val="0"/>
              <w:autoSpaceDN w:val="0"/>
              <w:adjustRightInd w:val="0"/>
              <w:spacing w:before="0" w:after="0"/>
              <w:ind w:left="29"/>
              <w:textAlignment w:val="baseline"/>
              <w:rPr>
                <w:rFonts w:cs="Arial"/>
                <w:spacing w:val="1"/>
                <w:lang w:eastAsia="fr-FR"/>
              </w:rPr>
            </w:pPr>
            <w:r w:rsidRPr="007E29F8">
              <w:rPr>
                <w:rFonts w:cs="Arial"/>
                <w:b/>
                <w:spacing w:val="1"/>
                <w:lang w:eastAsia="fr-FR"/>
              </w:rPr>
              <w:t>Dust mites</w:t>
            </w:r>
          </w:p>
        </w:tc>
        <w:tc>
          <w:tcPr>
            <w:tcW w:w="4390" w:type="dxa"/>
            <w:shd w:val="clear" w:color="auto" w:fill="FFFFFF" w:themeFill="background1"/>
          </w:tcPr>
          <w:p w14:paraId="2162A571" w14:textId="77777777" w:rsidR="00780E5B" w:rsidRDefault="00780E5B" w:rsidP="008D7EDC">
            <w:pPr>
              <w:pStyle w:val="Paragraphedeliste"/>
              <w:keepNext/>
              <w:shd w:val="clear" w:color="auto" w:fill="FFFFFF" w:themeFill="background1"/>
              <w:tabs>
                <w:tab w:val="left" w:pos="4241"/>
              </w:tabs>
              <w:kinsoku w:val="0"/>
              <w:overflowPunct w:val="0"/>
              <w:autoSpaceDE w:val="0"/>
              <w:autoSpaceDN w:val="0"/>
              <w:adjustRightInd w:val="0"/>
              <w:spacing w:before="0" w:after="0"/>
              <w:ind w:left="29" w:right="28"/>
              <w:jc w:val="both"/>
              <w:textAlignment w:val="baseline"/>
              <w:rPr>
                <w:rFonts w:cs="Arial"/>
                <w:i/>
                <w:spacing w:val="1"/>
                <w:lang w:eastAsia="fr-FR"/>
              </w:rPr>
            </w:pPr>
            <w:r w:rsidRPr="007E29F8">
              <w:rPr>
                <w:rFonts w:cs="Arial"/>
                <w:b/>
                <w:spacing w:val="1"/>
                <w:lang w:eastAsia="fr-FR"/>
              </w:rPr>
              <w:t xml:space="preserve">Intended use # 7 - </w:t>
            </w:r>
            <w:r w:rsidRPr="007E29F8">
              <w:rPr>
                <w:rFonts w:cs="Arial"/>
                <w:i/>
                <w:spacing w:val="1"/>
                <w:lang w:eastAsia="fr-FR"/>
              </w:rPr>
              <w:t>onto the fabric (bed linen).</w:t>
            </w:r>
          </w:p>
          <w:p w14:paraId="6071ABCD" w14:textId="77777777" w:rsidR="00780E5B" w:rsidRPr="007E29F8" w:rsidRDefault="00780E5B" w:rsidP="008D7EDC">
            <w:pPr>
              <w:pStyle w:val="Paragraphedeliste"/>
              <w:keepNext/>
              <w:shd w:val="clear" w:color="auto" w:fill="FFFFFF" w:themeFill="background1"/>
              <w:tabs>
                <w:tab w:val="left" w:pos="4241"/>
              </w:tabs>
              <w:kinsoku w:val="0"/>
              <w:overflowPunct w:val="0"/>
              <w:autoSpaceDE w:val="0"/>
              <w:autoSpaceDN w:val="0"/>
              <w:adjustRightInd w:val="0"/>
              <w:spacing w:before="0" w:after="0"/>
              <w:ind w:left="29" w:right="28"/>
              <w:jc w:val="both"/>
              <w:textAlignment w:val="baseline"/>
              <w:rPr>
                <w:rFonts w:cs="Arial"/>
                <w:b/>
                <w:spacing w:val="1"/>
                <w:lang w:eastAsia="fr-FR"/>
              </w:rPr>
            </w:pPr>
          </w:p>
          <w:p w14:paraId="03D8C9D1" w14:textId="77777777" w:rsidR="00780E5B" w:rsidRPr="007E29F8" w:rsidRDefault="00780E5B" w:rsidP="008D7EDC">
            <w:pPr>
              <w:pStyle w:val="Paragraphedeliste"/>
              <w:keepNext/>
              <w:shd w:val="clear" w:color="auto" w:fill="FFFFFF" w:themeFill="background1"/>
              <w:tabs>
                <w:tab w:val="left" w:pos="4241"/>
              </w:tabs>
              <w:kinsoku w:val="0"/>
              <w:overflowPunct w:val="0"/>
              <w:autoSpaceDE w:val="0"/>
              <w:autoSpaceDN w:val="0"/>
              <w:adjustRightInd w:val="0"/>
              <w:spacing w:before="0" w:after="0"/>
              <w:ind w:left="29" w:right="28"/>
              <w:jc w:val="both"/>
              <w:textAlignment w:val="baseline"/>
              <w:rPr>
                <w:rFonts w:cs="Arial"/>
                <w:spacing w:val="1"/>
                <w:lang w:eastAsia="fr-FR"/>
              </w:rPr>
            </w:pPr>
            <w:r w:rsidRPr="007E29F8">
              <w:rPr>
                <w:rFonts w:cs="Arial"/>
                <w:spacing w:val="1"/>
                <w:lang w:eastAsia="fr-FR"/>
              </w:rPr>
              <w:t>BP: 0.85 mg/cm² / AS: 0.17 mg/cm²</w:t>
            </w:r>
          </w:p>
          <w:p w14:paraId="2EC31172" w14:textId="77777777" w:rsidR="00780E5B" w:rsidRPr="007E29F8" w:rsidRDefault="00780E5B" w:rsidP="008D7EDC">
            <w:pPr>
              <w:pStyle w:val="Paragraphedeliste"/>
              <w:keepNext/>
              <w:shd w:val="clear" w:color="auto" w:fill="FFFFFF" w:themeFill="background1"/>
              <w:tabs>
                <w:tab w:val="left" w:pos="4241"/>
              </w:tabs>
              <w:kinsoku w:val="0"/>
              <w:overflowPunct w:val="0"/>
              <w:autoSpaceDE w:val="0"/>
              <w:autoSpaceDN w:val="0"/>
              <w:adjustRightInd w:val="0"/>
              <w:spacing w:before="0" w:after="0"/>
              <w:ind w:left="29" w:right="28"/>
              <w:jc w:val="both"/>
              <w:textAlignment w:val="baseline"/>
              <w:rPr>
                <w:rFonts w:cs="Arial"/>
                <w:spacing w:val="1"/>
                <w:lang w:eastAsia="fr-FR"/>
              </w:rPr>
            </w:pPr>
            <w:r w:rsidRPr="007E29F8">
              <w:rPr>
                <w:rFonts w:cs="Arial"/>
                <w:spacing w:val="1"/>
                <w:lang w:eastAsia="fr-FR"/>
              </w:rPr>
              <w:t>It is to be applied on bed linen.</w:t>
            </w:r>
          </w:p>
          <w:p w14:paraId="0C8116F0" w14:textId="77777777" w:rsidR="00780E5B" w:rsidRPr="007E29F8" w:rsidRDefault="00780E5B" w:rsidP="008D7EDC">
            <w:pPr>
              <w:pStyle w:val="Paragraphedeliste"/>
              <w:keepNext/>
              <w:shd w:val="clear" w:color="auto" w:fill="FFFFFF" w:themeFill="background1"/>
              <w:tabs>
                <w:tab w:val="left" w:pos="4241"/>
              </w:tabs>
              <w:kinsoku w:val="0"/>
              <w:overflowPunct w:val="0"/>
              <w:autoSpaceDE w:val="0"/>
              <w:autoSpaceDN w:val="0"/>
              <w:adjustRightInd w:val="0"/>
              <w:spacing w:before="0" w:after="0"/>
              <w:ind w:left="29" w:right="28"/>
              <w:jc w:val="both"/>
              <w:textAlignment w:val="baseline"/>
              <w:rPr>
                <w:rFonts w:cs="Arial"/>
                <w:spacing w:val="1"/>
                <w:lang w:eastAsia="fr-FR"/>
              </w:rPr>
            </w:pPr>
            <w:r w:rsidRPr="007E29F8">
              <w:rPr>
                <w:rFonts w:cs="Arial"/>
                <w:spacing w:val="1"/>
                <w:lang w:eastAsia="fr-FR"/>
              </w:rPr>
              <w:t>The bed linen should be treated everyday or after their washing.</w:t>
            </w:r>
          </w:p>
        </w:tc>
        <w:tc>
          <w:tcPr>
            <w:tcW w:w="5811" w:type="dxa"/>
            <w:shd w:val="clear" w:color="auto" w:fill="FFFFFF" w:themeFill="background1"/>
          </w:tcPr>
          <w:p w14:paraId="4F59A477" w14:textId="77777777" w:rsidR="00780E5B" w:rsidRPr="007E29F8" w:rsidRDefault="00780E5B" w:rsidP="008D7EDC">
            <w:pPr>
              <w:pStyle w:val="Paragraphedeliste"/>
              <w:keepNext/>
              <w:shd w:val="clear" w:color="auto" w:fill="FFFFFF" w:themeFill="background1"/>
              <w:kinsoku w:val="0"/>
              <w:overflowPunct w:val="0"/>
              <w:autoSpaceDE w:val="0"/>
              <w:autoSpaceDN w:val="0"/>
              <w:adjustRightInd w:val="0"/>
              <w:spacing w:before="0" w:after="0"/>
              <w:ind w:left="12" w:right="215"/>
              <w:jc w:val="both"/>
              <w:textAlignment w:val="baseline"/>
              <w:rPr>
                <w:rFonts w:cs="Arial"/>
                <w:spacing w:val="1"/>
                <w:lang w:eastAsia="fr-FR"/>
              </w:rPr>
            </w:pPr>
          </w:p>
        </w:tc>
      </w:tr>
      <w:tr w:rsidR="00780E5B" w:rsidRPr="007E29F8" w14:paraId="321ECB91" w14:textId="77777777" w:rsidTr="002655EE">
        <w:trPr>
          <w:jc w:val="center"/>
        </w:trPr>
        <w:tc>
          <w:tcPr>
            <w:tcW w:w="11335" w:type="dxa"/>
            <w:gridSpan w:val="3"/>
          </w:tcPr>
          <w:p w14:paraId="5E2E5279" w14:textId="77777777" w:rsidR="00780E5B" w:rsidRPr="007E29F8" w:rsidRDefault="00780E5B" w:rsidP="008D7EDC">
            <w:pPr>
              <w:keepNext/>
              <w:shd w:val="clear" w:color="auto" w:fill="FFFFFF" w:themeFill="background1"/>
              <w:kinsoku w:val="0"/>
              <w:overflowPunct w:val="0"/>
              <w:autoSpaceDE w:val="0"/>
              <w:autoSpaceDN w:val="0"/>
              <w:adjustRightInd w:val="0"/>
              <w:spacing w:before="0" w:after="0"/>
              <w:ind w:right="215"/>
              <w:jc w:val="both"/>
              <w:textAlignment w:val="baseline"/>
              <w:rPr>
                <w:rFonts w:cs="Arial"/>
                <w:spacing w:val="1"/>
                <w:lang w:eastAsia="fr-FR"/>
              </w:rPr>
            </w:pPr>
            <w:r w:rsidRPr="007E29F8">
              <w:rPr>
                <w:rFonts w:cs="Arial"/>
                <w:spacing w:val="1"/>
                <w:lang w:eastAsia="fr-FR"/>
              </w:rPr>
              <w:t>BP: Biocidal Product / AS: Active substance</w:t>
            </w:r>
          </w:p>
        </w:tc>
      </w:tr>
    </w:tbl>
    <w:p w14:paraId="625D0F79" w14:textId="77777777" w:rsidR="00D331AD" w:rsidRDefault="00D331AD" w:rsidP="00217A51">
      <w:pPr>
        <w:rPr>
          <w:rFonts w:eastAsia="Calibri"/>
          <w:lang w:eastAsia="en-US"/>
        </w:rPr>
      </w:pPr>
    </w:p>
    <w:p w14:paraId="04CE6477" w14:textId="6CEB47A0" w:rsidR="006F2452" w:rsidRDefault="006F2452" w:rsidP="00D471B6">
      <w:pPr>
        <w:pStyle w:val="Titre5"/>
        <w:numPr>
          <w:ilvl w:val="0"/>
          <w:numId w:val="4"/>
        </w:numPr>
      </w:pPr>
      <w:bookmarkStart w:id="218" w:name="_Toc93326561"/>
      <w:r w:rsidRPr="00FD2055">
        <w:t>List of scenarios</w:t>
      </w:r>
      <w:bookmarkEnd w:id="211"/>
      <w:bookmarkEnd w:id="212"/>
      <w:bookmarkEnd w:id="213"/>
      <w:bookmarkEnd w:id="214"/>
      <w:bookmarkEnd w:id="215"/>
      <w:bookmarkEnd w:id="216"/>
      <w:bookmarkEnd w:id="218"/>
    </w:p>
    <w:p w14:paraId="3B1CE291" w14:textId="77777777" w:rsidR="00C41691" w:rsidRPr="009461FB" w:rsidRDefault="00C41691" w:rsidP="00C41691">
      <w:pPr>
        <w:pStyle w:val="Paragraphedeliste"/>
        <w:numPr>
          <w:ilvl w:val="0"/>
          <w:numId w:val="68"/>
        </w:numPr>
        <w:rPr>
          <w:b/>
        </w:rPr>
      </w:pPr>
      <w:r w:rsidRPr="009461FB">
        <w:rPr>
          <w:b/>
        </w:rPr>
        <w:t>FIRST AUTHORISATION – 2017 (BE CA)</w:t>
      </w:r>
    </w:p>
    <w:p w14:paraId="1927C5C8" w14:textId="77777777" w:rsidR="00C41691" w:rsidRPr="00C41691" w:rsidRDefault="00C41691" w:rsidP="00C41691">
      <w:pPr>
        <w:rPr>
          <w:lang w:val="en-US" w:eastAsia="en-US"/>
        </w:rPr>
      </w:pPr>
    </w:p>
    <w:p w14:paraId="7CF0E013" w14:textId="77777777" w:rsidR="00217A51" w:rsidRPr="001B2A1D" w:rsidRDefault="00217A51" w:rsidP="00217A51">
      <w:pPr>
        <w:rPr>
          <w:rFonts w:eastAsia="Calibri"/>
          <w:lang w:eastAsia="en-US"/>
        </w:rPr>
      </w:pPr>
      <w:r>
        <w:rPr>
          <w:rFonts w:eastAsia="Calibri"/>
          <w:lang w:eastAsia="en-US"/>
        </w:rPr>
        <w:t xml:space="preserve">Insect Repellent Pump Spray </w:t>
      </w:r>
      <w:r w:rsidRPr="001B2A1D">
        <w:rPr>
          <w:rFonts w:eastAsia="Calibri"/>
          <w:lang w:eastAsia="en-US"/>
        </w:rPr>
        <w:t>IR3535</w:t>
      </w:r>
      <w:r w:rsidRPr="001B2A1D">
        <w:rPr>
          <w:rFonts w:eastAsia="Calibri"/>
          <w:vertAlign w:val="superscript"/>
          <w:lang w:eastAsia="en-US"/>
        </w:rPr>
        <w:t>®</w:t>
      </w:r>
      <w:r w:rsidRPr="001B2A1D">
        <w:rPr>
          <w:rFonts w:eastAsia="Calibri"/>
          <w:lang w:eastAsia="en-US"/>
        </w:rPr>
        <w:t xml:space="preserve"> Lice 20 % is used by the general public. The primary route of exposure is dermal.</w:t>
      </w:r>
    </w:p>
    <w:p w14:paraId="3FD1379B" w14:textId="350AE752" w:rsidR="00217A51" w:rsidRDefault="00217A51" w:rsidP="00217A51">
      <w:pPr>
        <w:rPr>
          <w:rFonts w:eastAsia="Calibri"/>
          <w:lang w:eastAsia="en-US"/>
        </w:rPr>
      </w:pPr>
      <w:r w:rsidRPr="00CB215F">
        <w:rPr>
          <w:rFonts w:eastAsia="Calibri"/>
          <w:lang w:eastAsia="en-US"/>
        </w:rPr>
        <w:t xml:space="preserve">Oral exposure by hand-to-mouth transfer is not considered to be a significant route of primary exposure, because of the repellent taste (bad palatability) of the active substance, thus, preventing repeated mouthing of IR3535® by children and infants. Furthermore, the biocidal product is not intended to be applied by children younger than </w:t>
      </w:r>
      <w:r w:rsidR="00A80E60">
        <w:rPr>
          <w:rFonts w:eastAsia="Calibri"/>
          <w:lang w:eastAsia="en-US"/>
        </w:rPr>
        <w:t>11</w:t>
      </w:r>
      <w:r w:rsidR="00A80E60" w:rsidRPr="00CB215F">
        <w:rPr>
          <w:rFonts w:eastAsia="Calibri"/>
          <w:lang w:eastAsia="en-US"/>
        </w:rPr>
        <w:t xml:space="preserve"> </w:t>
      </w:r>
      <w:r w:rsidRPr="00CB215F">
        <w:rPr>
          <w:rFonts w:eastAsia="Calibri"/>
          <w:lang w:eastAsia="en-US"/>
        </w:rPr>
        <w:t>years which makes an oral uptake of the applied active substance inconsiderable.</w:t>
      </w:r>
    </w:p>
    <w:p w14:paraId="584F1524" w14:textId="77777777" w:rsidR="00217A51" w:rsidRPr="001B2A1D" w:rsidRDefault="00217A51" w:rsidP="00217A51">
      <w:pPr>
        <w:rPr>
          <w:rFonts w:eastAsia="Calibri"/>
          <w:lang w:eastAsia="en-US"/>
        </w:rPr>
      </w:pPr>
      <w:r w:rsidRPr="001B2A1D">
        <w:rPr>
          <w:rFonts w:eastAsia="Calibri"/>
          <w:lang w:eastAsia="en-US"/>
        </w:rPr>
        <w:lastRenderedPageBreak/>
        <w:t xml:space="preserve">A potential inhalation exposure is only possible during the application phase </w:t>
      </w:r>
      <w:r>
        <w:rPr>
          <w:rFonts w:eastAsia="Calibri"/>
          <w:lang w:eastAsia="en-US"/>
        </w:rPr>
        <w:t>via</w:t>
      </w:r>
      <w:r w:rsidRPr="001B2A1D">
        <w:rPr>
          <w:rFonts w:eastAsia="Calibri"/>
          <w:lang w:eastAsia="en-US"/>
        </w:rPr>
        <w:t xml:space="preserve"> spraying. After application, no inhalation exposure risk is anticipated due to the low vapour pressure of IR3535</w:t>
      </w:r>
      <w:r w:rsidRPr="001B2A1D">
        <w:rPr>
          <w:rFonts w:eastAsia="Calibri"/>
          <w:vertAlign w:val="superscript"/>
          <w:lang w:eastAsia="en-US"/>
        </w:rPr>
        <w:t>®</w:t>
      </w:r>
      <w:r w:rsidRPr="001B2A1D">
        <w:rPr>
          <w:rFonts w:eastAsia="Calibri"/>
          <w:lang w:eastAsia="en-US"/>
        </w:rPr>
        <w:t xml:space="preserve">. Moreover, it has to be taken into account that </w:t>
      </w:r>
      <w:r>
        <w:rPr>
          <w:rFonts w:eastAsia="Calibri"/>
          <w:lang w:eastAsia="en-US"/>
        </w:rPr>
        <w:t>the exposure time to the spray</w:t>
      </w:r>
      <w:r w:rsidRPr="001B2A1D">
        <w:rPr>
          <w:rFonts w:eastAsia="Calibri"/>
          <w:lang w:eastAsia="en-US"/>
        </w:rPr>
        <w:t xml:space="preserve"> is extremely short and </w:t>
      </w:r>
      <w:r w:rsidRPr="00CB215F">
        <w:rPr>
          <w:rFonts w:eastAsia="Calibri"/>
          <w:lang w:eastAsia="en-US"/>
        </w:rPr>
        <w:t>that it is not recommended to spray the biocidal product onto the face.</w:t>
      </w:r>
    </w:p>
    <w:p w14:paraId="6CEAEC21" w14:textId="77777777" w:rsidR="00217A51" w:rsidRPr="00CB215F" w:rsidRDefault="00217A51" w:rsidP="00217A51">
      <w:pPr>
        <w:rPr>
          <w:rFonts w:eastAsia="Calibri"/>
          <w:lang w:eastAsia="en-US"/>
        </w:rPr>
      </w:pPr>
      <w:r w:rsidRPr="00CB215F">
        <w:rPr>
          <w:rFonts w:eastAsia="Calibri"/>
          <w:lang w:eastAsia="en-US"/>
        </w:rPr>
        <w:t>Dermal secondary exposure is possible for adults treating or handling children. However, this scenario is fully covered by primary adult dermal exposure. A parent applying (spraying) the product on children and herself/himself has been taken into account for inhalative secondary exposure.</w:t>
      </w:r>
    </w:p>
    <w:p w14:paraId="0B7196F7" w14:textId="77777777" w:rsidR="00217A51" w:rsidRPr="00CB215F" w:rsidRDefault="00217A51" w:rsidP="00217A51">
      <w:pPr>
        <w:rPr>
          <w:rFonts w:eastAsia="Calibri"/>
          <w:lang w:eastAsia="en-US"/>
        </w:rPr>
      </w:pPr>
      <w:r w:rsidRPr="00CB215F">
        <w:rPr>
          <w:rFonts w:eastAsia="Calibri"/>
          <w:lang w:eastAsia="en-US"/>
        </w:rPr>
        <w:t xml:space="preserve">Hand to mouth transfer has been developed consistently with the DEET dossier. It was proposed to use a reverse scenario to estimate this exposure.  </w:t>
      </w:r>
    </w:p>
    <w:p w14:paraId="71E45634" w14:textId="77777777" w:rsidR="00A80E60" w:rsidRDefault="00A80E60" w:rsidP="00A80E60">
      <w:pPr>
        <w:rPr>
          <w:rFonts w:eastAsia="Calibri"/>
          <w:lang w:eastAsia="en-US"/>
        </w:rPr>
      </w:pPr>
      <w:r w:rsidRPr="00F6710D">
        <w:rPr>
          <w:rFonts w:eastAsia="Calibri"/>
          <w:lang w:eastAsia="en-US"/>
        </w:rPr>
        <w:t>Inhalation of volatilized residues after application is relevant</w:t>
      </w:r>
      <w:r>
        <w:rPr>
          <w:rFonts w:eastAsia="Calibri"/>
          <w:lang w:eastAsia="en-US"/>
        </w:rPr>
        <w:t xml:space="preserve"> based on the HEEG opinion on </w:t>
      </w:r>
      <w:r w:rsidRPr="002A1F94">
        <w:rPr>
          <w:rFonts w:eastAsia="Calibri"/>
          <w:lang w:eastAsia="en-US"/>
        </w:rPr>
        <w:t>Assessment of Inhalation Exposure of Volatilized Biocide Active Substance</w:t>
      </w:r>
      <w:r w:rsidRPr="00F6710D">
        <w:rPr>
          <w:rFonts w:eastAsia="Calibri"/>
          <w:lang w:eastAsia="en-US"/>
        </w:rPr>
        <w:t xml:space="preserve">. The exposure to volatilised residues indoors was calculated </w:t>
      </w:r>
      <w:r>
        <w:rPr>
          <w:rFonts w:eastAsia="Calibri"/>
          <w:lang w:eastAsia="en-US"/>
        </w:rPr>
        <w:t xml:space="preserve">using ConsExpo model. </w:t>
      </w:r>
    </w:p>
    <w:p w14:paraId="21FE241D" w14:textId="77777777" w:rsidR="006F2452" w:rsidRDefault="006F2452" w:rsidP="006F2452">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54"/>
        <w:gridCol w:w="1554"/>
        <w:gridCol w:w="4260"/>
        <w:gridCol w:w="2328"/>
      </w:tblGrid>
      <w:tr w:rsidR="00217A51" w:rsidRPr="006F2452" w14:paraId="2860BF85" w14:textId="77777777" w:rsidTr="00217A51">
        <w:trPr>
          <w:tblHeader/>
        </w:trPr>
        <w:tc>
          <w:tcPr>
            <w:tcW w:w="5000" w:type="pct"/>
            <w:gridSpan w:val="4"/>
            <w:shd w:val="clear" w:color="auto" w:fill="FFFFCC"/>
          </w:tcPr>
          <w:p w14:paraId="2DBC3597" w14:textId="77777777" w:rsidR="00217A51" w:rsidRPr="006F2452" w:rsidRDefault="00217A51" w:rsidP="0084708F">
            <w:pPr>
              <w:pStyle w:val="Standaard-Tabellen"/>
              <w:jc w:val="center"/>
              <w:rPr>
                <w:rFonts w:eastAsia="Calibri"/>
                <w:b/>
              </w:rPr>
            </w:pPr>
            <w:r w:rsidRPr="006F2452">
              <w:rPr>
                <w:rFonts w:eastAsia="Calibri"/>
                <w:b/>
              </w:rPr>
              <w:t>Summary table: scenarios</w:t>
            </w:r>
          </w:p>
        </w:tc>
      </w:tr>
      <w:tr w:rsidR="00217A51" w:rsidRPr="006F2452" w14:paraId="21467E4D" w14:textId="77777777" w:rsidTr="00217A51">
        <w:trPr>
          <w:tblHeader/>
        </w:trPr>
        <w:tc>
          <w:tcPr>
            <w:tcW w:w="667" w:type="pct"/>
            <w:shd w:val="clear" w:color="auto" w:fill="BFBFBF" w:themeFill="background1" w:themeFillShade="BF"/>
            <w:tcMar>
              <w:top w:w="57" w:type="dxa"/>
              <w:bottom w:w="57" w:type="dxa"/>
            </w:tcMar>
          </w:tcPr>
          <w:p w14:paraId="22A006BE" w14:textId="77777777" w:rsidR="00217A51" w:rsidRPr="006F2452" w:rsidRDefault="00217A51" w:rsidP="0084708F">
            <w:pPr>
              <w:pStyle w:val="Standaard-Tabellen"/>
              <w:rPr>
                <w:rFonts w:eastAsia="Calibri"/>
                <w:b/>
              </w:rPr>
            </w:pPr>
            <w:r w:rsidRPr="006F2452">
              <w:rPr>
                <w:rFonts w:eastAsia="Calibri"/>
                <w:b/>
              </w:rPr>
              <w:t>Scenario number</w:t>
            </w:r>
          </w:p>
        </w:tc>
        <w:tc>
          <w:tcPr>
            <w:tcW w:w="827" w:type="pct"/>
            <w:shd w:val="clear" w:color="auto" w:fill="BFBFBF" w:themeFill="background1" w:themeFillShade="BF"/>
            <w:tcMar>
              <w:top w:w="57" w:type="dxa"/>
              <w:bottom w:w="57" w:type="dxa"/>
            </w:tcMar>
          </w:tcPr>
          <w:p w14:paraId="702F6E0E" w14:textId="77777777" w:rsidR="00217A51" w:rsidRPr="006F2452" w:rsidRDefault="00217A51" w:rsidP="0084708F">
            <w:pPr>
              <w:pStyle w:val="Standaard-Tabellen"/>
              <w:rPr>
                <w:rFonts w:eastAsia="Calibri"/>
                <w:b/>
              </w:rPr>
            </w:pPr>
            <w:r w:rsidRPr="006F2452">
              <w:rPr>
                <w:rFonts w:eastAsia="Calibri"/>
                <w:b/>
              </w:rPr>
              <w:t>Scenario</w:t>
            </w:r>
          </w:p>
          <w:p w14:paraId="669DF06A" w14:textId="77777777" w:rsidR="00217A51" w:rsidRPr="006F2452" w:rsidRDefault="00217A51" w:rsidP="0084708F">
            <w:pPr>
              <w:pStyle w:val="Standaard-Tabellen"/>
              <w:rPr>
                <w:rFonts w:eastAsia="Calibri"/>
              </w:rPr>
            </w:pPr>
            <w:r w:rsidRPr="006F2452">
              <w:rPr>
                <w:rFonts w:eastAsia="Calibri"/>
              </w:rPr>
              <w:t>(e.g. mixing/ loading)</w:t>
            </w:r>
          </w:p>
        </w:tc>
        <w:tc>
          <w:tcPr>
            <w:tcW w:w="2267" w:type="pct"/>
            <w:shd w:val="clear" w:color="auto" w:fill="BFBFBF" w:themeFill="background1" w:themeFillShade="BF"/>
            <w:tcMar>
              <w:top w:w="57" w:type="dxa"/>
              <w:bottom w:w="57" w:type="dxa"/>
            </w:tcMar>
          </w:tcPr>
          <w:p w14:paraId="541D10E9" w14:textId="77777777" w:rsidR="00217A51" w:rsidRPr="006F2452" w:rsidRDefault="00217A51" w:rsidP="0084708F">
            <w:pPr>
              <w:pStyle w:val="Standaard-Tabellen"/>
              <w:rPr>
                <w:rFonts w:eastAsia="Calibri"/>
                <w:b/>
              </w:rPr>
            </w:pPr>
            <w:r w:rsidRPr="006F2452">
              <w:rPr>
                <w:rFonts w:eastAsia="Calibri"/>
                <w:b/>
              </w:rPr>
              <w:t xml:space="preserve">Primary or secondary exposure </w:t>
            </w:r>
          </w:p>
          <w:p w14:paraId="7A1EA4E4" w14:textId="77777777" w:rsidR="00217A51" w:rsidRPr="006F2452" w:rsidRDefault="00217A51" w:rsidP="0084708F">
            <w:pPr>
              <w:pStyle w:val="Standaard-Tabellen"/>
              <w:rPr>
                <w:rFonts w:eastAsia="Calibri"/>
                <w:b/>
              </w:rPr>
            </w:pPr>
            <w:r w:rsidRPr="006F2452">
              <w:rPr>
                <w:rFonts w:eastAsia="Calibri"/>
                <w:b/>
              </w:rPr>
              <w:t>Description of scenario</w:t>
            </w:r>
          </w:p>
        </w:tc>
        <w:tc>
          <w:tcPr>
            <w:tcW w:w="1239" w:type="pct"/>
            <w:shd w:val="clear" w:color="auto" w:fill="BFBFBF" w:themeFill="background1" w:themeFillShade="BF"/>
            <w:tcMar>
              <w:top w:w="57" w:type="dxa"/>
              <w:bottom w:w="57" w:type="dxa"/>
            </w:tcMar>
          </w:tcPr>
          <w:p w14:paraId="04A8AE66" w14:textId="77777777" w:rsidR="00217A51" w:rsidRPr="006F2452" w:rsidRDefault="00217A51" w:rsidP="0084708F">
            <w:pPr>
              <w:pStyle w:val="Standaard-Tabellen"/>
              <w:rPr>
                <w:rFonts w:eastAsia="Calibri"/>
                <w:b/>
              </w:rPr>
            </w:pPr>
            <w:r w:rsidRPr="006F2452">
              <w:rPr>
                <w:rFonts w:eastAsia="Calibri"/>
                <w:b/>
              </w:rPr>
              <w:t>Exposed group</w:t>
            </w:r>
          </w:p>
          <w:p w14:paraId="5637445D" w14:textId="77777777" w:rsidR="00217A51" w:rsidRPr="006F2452" w:rsidRDefault="00217A51" w:rsidP="0084708F">
            <w:pPr>
              <w:pStyle w:val="Standaard-Tabellen"/>
              <w:rPr>
                <w:rFonts w:eastAsia="Calibri"/>
              </w:rPr>
            </w:pPr>
            <w:r w:rsidRPr="006F2452">
              <w:rPr>
                <w:rFonts w:eastAsia="Calibri"/>
              </w:rPr>
              <w:t>(e.g. professionals, non-professionals, bystanders)</w:t>
            </w:r>
          </w:p>
        </w:tc>
      </w:tr>
      <w:tr w:rsidR="00217A51" w:rsidRPr="00FD2055" w14:paraId="7E381C49" w14:textId="77777777" w:rsidTr="00217A51">
        <w:trPr>
          <w:tblHeader/>
        </w:trPr>
        <w:tc>
          <w:tcPr>
            <w:tcW w:w="667" w:type="pct"/>
            <w:tcMar>
              <w:top w:w="57" w:type="dxa"/>
              <w:bottom w:w="57" w:type="dxa"/>
            </w:tcMar>
          </w:tcPr>
          <w:p w14:paraId="286813A2" w14:textId="77777777" w:rsidR="00217A51" w:rsidRPr="00FD2055" w:rsidRDefault="00217A51" w:rsidP="0084708F">
            <w:pPr>
              <w:pStyle w:val="Standaard-Tabellen"/>
              <w:rPr>
                <w:rFonts w:eastAsia="Calibri"/>
              </w:rPr>
            </w:pPr>
            <w:r>
              <w:rPr>
                <w:rFonts w:eastAsia="Calibri"/>
              </w:rPr>
              <w:t>1.</w:t>
            </w:r>
          </w:p>
        </w:tc>
        <w:tc>
          <w:tcPr>
            <w:tcW w:w="827" w:type="pct"/>
            <w:shd w:val="clear" w:color="auto" w:fill="auto"/>
            <w:tcMar>
              <w:top w:w="57" w:type="dxa"/>
              <w:bottom w:w="57" w:type="dxa"/>
            </w:tcMar>
          </w:tcPr>
          <w:p w14:paraId="3BC60884" w14:textId="77777777" w:rsidR="00217A51" w:rsidRPr="00FD2055" w:rsidRDefault="00217A51" w:rsidP="0084708F">
            <w:pPr>
              <w:pStyle w:val="Standaard-Tabellen"/>
              <w:rPr>
                <w:rFonts w:eastAsia="Calibri"/>
              </w:rPr>
            </w:pPr>
            <w:r>
              <w:rPr>
                <w:rFonts w:eastAsia="Calibri"/>
              </w:rPr>
              <w:t>Application phase</w:t>
            </w:r>
          </w:p>
        </w:tc>
        <w:tc>
          <w:tcPr>
            <w:tcW w:w="2267" w:type="pct"/>
            <w:tcMar>
              <w:top w:w="57" w:type="dxa"/>
              <w:bottom w:w="57" w:type="dxa"/>
            </w:tcMar>
          </w:tcPr>
          <w:p w14:paraId="3741818D" w14:textId="77777777" w:rsidR="00217A51" w:rsidRPr="00FD2055" w:rsidRDefault="00217A51" w:rsidP="0084708F">
            <w:pPr>
              <w:pStyle w:val="Standaard-Tabellen"/>
              <w:rPr>
                <w:rFonts w:eastAsia="Calibri"/>
              </w:rPr>
            </w:pPr>
            <w:r>
              <w:rPr>
                <w:rFonts w:eastAsia="Calibri"/>
              </w:rPr>
              <w:t xml:space="preserve">Primary exposure: Dermal exposure assessment for adults, children, toddlers and infants. </w:t>
            </w:r>
          </w:p>
        </w:tc>
        <w:tc>
          <w:tcPr>
            <w:tcW w:w="1239" w:type="pct"/>
            <w:shd w:val="clear" w:color="auto" w:fill="auto"/>
            <w:tcMar>
              <w:top w:w="57" w:type="dxa"/>
              <w:bottom w:w="57" w:type="dxa"/>
            </w:tcMar>
          </w:tcPr>
          <w:p w14:paraId="6713D0A4" w14:textId="77777777" w:rsidR="00217A51" w:rsidRPr="00FD2055" w:rsidRDefault="00217A51" w:rsidP="0084708F">
            <w:pPr>
              <w:pStyle w:val="Standaard-Tabellen"/>
              <w:rPr>
                <w:rFonts w:eastAsia="Calibri"/>
              </w:rPr>
            </w:pPr>
            <w:r>
              <w:rPr>
                <w:rFonts w:eastAsia="Calibri"/>
              </w:rPr>
              <w:t>Non-professionals</w:t>
            </w:r>
          </w:p>
        </w:tc>
      </w:tr>
      <w:tr w:rsidR="00217A51" w:rsidRPr="00FD2055" w14:paraId="4A3272EC" w14:textId="77777777" w:rsidTr="00217A51">
        <w:trPr>
          <w:tblHeader/>
        </w:trPr>
        <w:tc>
          <w:tcPr>
            <w:tcW w:w="667" w:type="pct"/>
            <w:tcMar>
              <w:top w:w="57" w:type="dxa"/>
              <w:bottom w:w="57" w:type="dxa"/>
            </w:tcMar>
          </w:tcPr>
          <w:p w14:paraId="49A20E43" w14:textId="77777777" w:rsidR="00217A51" w:rsidRPr="00FD2055" w:rsidRDefault="00217A51" w:rsidP="0084708F">
            <w:pPr>
              <w:pStyle w:val="Standaard-Tabellen"/>
              <w:rPr>
                <w:rFonts w:eastAsia="Calibri"/>
              </w:rPr>
            </w:pPr>
            <w:r>
              <w:rPr>
                <w:rFonts w:eastAsia="Calibri"/>
              </w:rPr>
              <w:t>2.</w:t>
            </w:r>
          </w:p>
        </w:tc>
        <w:tc>
          <w:tcPr>
            <w:tcW w:w="827" w:type="pct"/>
            <w:shd w:val="clear" w:color="auto" w:fill="auto"/>
            <w:tcMar>
              <w:top w:w="57" w:type="dxa"/>
              <w:bottom w:w="57" w:type="dxa"/>
            </w:tcMar>
          </w:tcPr>
          <w:p w14:paraId="6909EFFD" w14:textId="77777777" w:rsidR="00217A51" w:rsidRDefault="00217A51" w:rsidP="0084708F">
            <w:pPr>
              <w:pStyle w:val="Standaard-Tabellen"/>
              <w:rPr>
                <w:rFonts w:eastAsia="Calibri"/>
              </w:rPr>
            </w:pPr>
            <w:r w:rsidRPr="008C1C4F">
              <w:rPr>
                <w:rFonts w:eastAsia="Calibri"/>
              </w:rPr>
              <w:t>Application phase</w:t>
            </w:r>
          </w:p>
        </w:tc>
        <w:tc>
          <w:tcPr>
            <w:tcW w:w="2267" w:type="pct"/>
            <w:tcMar>
              <w:top w:w="57" w:type="dxa"/>
              <w:bottom w:w="57" w:type="dxa"/>
            </w:tcMar>
          </w:tcPr>
          <w:p w14:paraId="3D4899F9" w14:textId="77777777" w:rsidR="00217A51" w:rsidRDefault="00217A51" w:rsidP="0084708F">
            <w:pPr>
              <w:pStyle w:val="Standaard-Tabellen"/>
              <w:rPr>
                <w:rFonts w:eastAsia="Calibri"/>
              </w:rPr>
            </w:pPr>
            <w:r w:rsidRPr="008C1C4F">
              <w:rPr>
                <w:rFonts w:eastAsia="Calibri"/>
              </w:rPr>
              <w:t xml:space="preserve">Primary exposure: </w:t>
            </w:r>
            <w:r>
              <w:rPr>
                <w:rFonts w:eastAsia="Calibri"/>
              </w:rPr>
              <w:t>Inhalation</w:t>
            </w:r>
            <w:r w:rsidRPr="008C1C4F">
              <w:rPr>
                <w:rFonts w:eastAsia="Calibri"/>
              </w:rPr>
              <w:t xml:space="preserve"> exposure assessment for adults, children, toddlers and infants.</w:t>
            </w:r>
          </w:p>
        </w:tc>
        <w:tc>
          <w:tcPr>
            <w:tcW w:w="1239" w:type="pct"/>
            <w:shd w:val="clear" w:color="auto" w:fill="auto"/>
            <w:tcMar>
              <w:top w:w="57" w:type="dxa"/>
              <w:bottom w:w="57" w:type="dxa"/>
            </w:tcMar>
          </w:tcPr>
          <w:p w14:paraId="2547AFDD" w14:textId="77777777" w:rsidR="00217A51" w:rsidRPr="00FD2055" w:rsidRDefault="00217A51" w:rsidP="0084708F">
            <w:pPr>
              <w:pStyle w:val="Standaard-Tabellen"/>
              <w:rPr>
                <w:rFonts w:eastAsia="Calibri"/>
              </w:rPr>
            </w:pPr>
            <w:r w:rsidRPr="00CF463E">
              <w:rPr>
                <w:rFonts w:eastAsia="Calibri"/>
              </w:rPr>
              <w:t>Non-professionals</w:t>
            </w:r>
          </w:p>
        </w:tc>
      </w:tr>
      <w:tr w:rsidR="00217A51" w:rsidRPr="00FD2055" w14:paraId="030BD6DA" w14:textId="77777777" w:rsidTr="00217A51">
        <w:trPr>
          <w:tblHeader/>
        </w:trPr>
        <w:tc>
          <w:tcPr>
            <w:tcW w:w="667" w:type="pct"/>
            <w:tcMar>
              <w:top w:w="57" w:type="dxa"/>
              <w:bottom w:w="57" w:type="dxa"/>
            </w:tcMar>
          </w:tcPr>
          <w:p w14:paraId="0C6FA613" w14:textId="77777777" w:rsidR="00217A51" w:rsidRPr="00FD2055" w:rsidRDefault="00217A51" w:rsidP="0084708F">
            <w:pPr>
              <w:pStyle w:val="Standaard-Tabellen"/>
              <w:rPr>
                <w:rFonts w:eastAsia="Calibri"/>
              </w:rPr>
            </w:pPr>
            <w:r>
              <w:rPr>
                <w:rFonts w:eastAsia="Calibri"/>
              </w:rPr>
              <w:t>3.</w:t>
            </w:r>
          </w:p>
        </w:tc>
        <w:tc>
          <w:tcPr>
            <w:tcW w:w="827" w:type="pct"/>
            <w:shd w:val="clear" w:color="auto" w:fill="auto"/>
            <w:tcMar>
              <w:top w:w="57" w:type="dxa"/>
              <w:bottom w:w="57" w:type="dxa"/>
            </w:tcMar>
          </w:tcPr>
          <w:p w14:paraId="3242CE51" w14:textId="77777777" w:rsidR="00217A51" w:rsidRPr="00FD2055" w:rsidRDefault="00217A51" w:rsidP="0084708F">
            <w:pPr>
              <w:pStyle w:val="Standaard-Tabellen"/>
              <w:rPr>
                <w:rFonts w:eastAsia="Calibri"/>
              </w:rPr>
            </w:pPr>
            <w:r>
              <w:rPr>
                <w:rFonts w:eastAsia="Calibri"/>
              </w:rPr>
              <w:t>Post-application phase</w:t>
            </w:r>
          </w:p>
        </w:tc>
        <w:tc>
          <w:tcPr>
            <w:tcW w:w="2267" w:type="pct"/>
            <w:tcMar>
              <w:top w:w="57" w:type="dxa"/>
              <w:bottom w:w="57" w:type="dxa"/>
            </w:tcMar>
          </w:tcPr>
          <w:p w14:paraId="47F1C1BB" w14:textId="77777777" w:rsidR="00217A51" w:rsidRPr="00FD2055" w:rsidRDefault="00217A51" w:rsidP="0084708F">
            <w:pPr>
              <w:pStyle w:val="Standaard-Tabellen"/>
              <w:rPr>
                <w:rFonts w:eastAsia="Calibri"/>
              </w:rPr>
            </w:pPr>
            <w:r>
              <w:rPr>
                <w:rFonts w:eastAsia="Calibri"/>
              </w:rPr>
              <w:t xml:space="preserve">Secondary exposure (indirect exposure as a result of use): Hand-mouth transfer reverse reference scenario (oral exposure)  </w:t>
            </w:r>
          </w:p>
        </w:tc>
        <w:tc>
          <w:tcPr>
            <w:tcW w:w="1239" w:type="pct"/>
            <w:shd w:val="clear" w:color="auto" w:fill="auto"/>
            <w:tcMar>
              <w:top w:w="57" w:type="dxa"/>
              <w:bottom w:w="57" w:type="dxa"/>
            </w:tcMar>
          </w:tcPr>
          <w:p w14:paraId="20A207A4" w14:textId="77777777" w:rsidR="00217A51" w:rsidRPr="00FD2055" w:rsidRDefault="00217A51" w:rsidP="0084708F">
            <w:pPr>
              <w:pStyle w:val="Standaard-Tabellen"/>
              <w:rPr>
                <w:rFonts w:eastAsia="Calibri"/>
              </w:rPr>
            </w:pPr>
            <w:r w:rsidRPr="00682A3D">
              <w:rPr>
                <w:rFonts w:eastAsia="Calibri"/>
              </w:rPr>
              <w:t>Non-professionals</w:t>
            </w:r>
          </w:p>
        </w:tc>
      </w:tr>
      <w:tr w:rsidR="00217A51" w:rsidRPr="00FD2055" w14:paraId="09156A6A" w14:textId="77777777" w:rsidTr="00217A51">
        <w:trPr>
          <w:tblHeader/>
        </w:trPr>
        <w:tc>
          <w:tcPr>
            <w:tcW w:w="667" w:type="pct"/>
            <w:tcMar>
              <w:top w:w="57" w:type="dxa"/>
              <w:bottom w:w="57" w:type="dxa"/>
            </w:tcMar>
          </w:tcPr>
          <w:p w14:paraId="783E2C7A" w14:textId="77777777" w:rsidR="00217A51" w:rsidRPr="00FD2055" w:rsidRDefault="00217A51" w:rsidP="0084708F">
            <w:pPr>
              <w:pStyle w:val="Standaard-Tabellen"/>
              <w:rPr>
                <w:rFonts w:eastAsia="Calibri"/>
              </w:rPr>
            </w:pPr>
            <w:r>
              <w:rPr>
                <w:rFonts w:eastAsia="Calibri"/>
              </w:rPr>
              <w:t>4.</w:t>
            </w:r>
          </w:p>
        </w:tc>
        <w:tc>
          <w:tcPr>
            <w:tcW w:w="827" w:type="pct"/>
            <w:shd w:val="clear" w:color="auto" w:fill="auto"/>
            <w:tcMar>
              <w:top w:w="57" w:type="dxa"/>
              <w:bottom w:w="57" w:type="dxa"/>
            </w:tcMar>
          </w:tcPr>
          <w:p w14:paraId="043D48E0" w14:textId="77777777" w:rsidR="00217A51" w:rsidRDefault="00217A51" w:rsidP="0084708F">
            <w:pPr>
              <w:pStyle w:val="Standaard-Tabellen"/>
              <w:rPr>
                <w:rFonts w:eastAsia="Calibri"/>
              </w:rPr>
            </w:pPr>
            <w:r w:rsidRPr="008C1C4F">
              <w:rPr>
                <w:rFonts w:eastAsia="Calibri"/>
              </w:rPr>
              <w:t>Post-application phase</w:t>
            </w:r>
          </w:p>
        </w:tc>
        <w:tc>
          <w:tcPr>
            <w:tcW w:w="2267" w:type="pct"/>
            <w:tcMar>
              <w:top w:w="57" w:type="dxa"/>
              <w:bottom w:w="57" w:type="dxa"/>
            </w:tcMar>
          </w:tcPr>
          <w:p w14:paraId="3E2169DB" w14:textId="77777777" w:rsidR="00217A51" w:rsidRDefault="00217A51" w:rsidP="0084708F">
            <w:pPr>
              <w:pStyle w:val="Standaard-Tabellen"/>
              <w:rPr>
                <w:rFonts w:eastAsia="Calibri"/>
              </w:rPr>
            </w:pPr>
            <w:r>
              <w:rPr>
                <w:rFonts w:eastAsia="Calibri"/>
              </w:rPr>
              <w:t>Parent treating two children and himself/herself (spraying) (combined inhalative and oral exposure)</w:t>
            </w:r>
          </w:p>
        </w:tc>
        <w:tc>
          <w:tcPr>
            <w:tcW w:w="1239" w:type="pct"/>
            <w:shd w:val="clear" w:color="auto" w:fill="auto"/>
            <w:tcMar>
              <w:top w:w="57" w:type="dxa"/>
              <w:bottom w:w="57" w:type="dxa"/>
            </w:tcMar>
          </w:tcPr>
          <w:p w14:paraId="22E6BE0B" w14:textId="77777777" w:rsidR="00217A51" w:rsidRPr="00FD2055" w:rsidRDefault="00217A51" w:rsidP="0084708F">
            <w:pPr>
              <w:pStyle w:val="Standaard-Tabellen"/>
              <w:rPr>
                <w:rFonts w:eastAsia="Calibri"/>
              </w:rPr>
            </w:pPr>
            <w:r w:rsidRPr="00682A3D">
              <w:rPr>
                <w:rFonts w:eastAsia="Calibri"/>
              </w:rPr>
              <w:t>Non-professionals</w:t>
            </w:r>
          </w:p>
        </w:tc>
      </w:tr>
      <w:tr w:rsidR="00217A51" w:rsidRPr="00FD2055" w14:paraId="5FD25C70" w14:textId="77777777" w:rsidTr="00217A51">
        <w:trPr>
          <w:tblHeader/>
        </w:trPr>
        <w:tc>
          <w:tcPr>
            <w:tcW w:w="667" w:type="pct"/>
            <w:tcMar>
              <w:top w:w="57" w:type="dxa"/>
              <w:bottom w:w="57" w:type="dxa"/>
            </w:tcMar>
          </w:tcPr>
          <w:p w14:paraId="15A023C0" w14:textId="77777777" w:rsidR="00217A51" w:rsidRPr="00FD2055" w:rsidRDefault="00217A51" w:rsidP="0084708F">
            <w:pPr>
              <w:pStyle w:val="Standaard-Tabellen"/>
              <w:rPr>
                <w:rFonts w:eastAsia="Calibri"/>
              </w:rPr>
            </w:pPr>
            <w:r>
              <w:rPr>
                <w:rFonts w:eastAsia="Calibri"/>
              </w:rPr>
              <w:t>5.</w:t>
            </w:r>
          </w:p>
        </w:tc>
        <w:tc>
          <w:tcPr>
            <w:tcW w:w="827" w:type="pct"/>
            <w:shd w:val="clear" w:color="auto" w:fill="auto"/>
            <w:tcMar>
              <w:top w:w="57" w:type="dxa"/>
              <w:bottom w:w="57" w:type="dxa"/>
            </w:tcMar>
          </w:tcPr>
          <w:p w14:paraId="3B883BEA" w14:textId="77777777" w:rsidR="00217A51" w:rsidRDefault="00217A51" w:rsidP="0084708F">
            <w:pPr>
              <w:pStyle w:val="Standaard-Tabellen"/>
              <w:rPr>
                <w:rFonts w:eastAsia="Calibri"/>
              </w:rPr>
            </w:pPr>
            <w:r w:rsidRPr="008C1C4F">
              <w:rPr>
                <w:rFonts w:eastAsia="Calibri"/>
              </w:rPr>
              <w:t>Post-application phase</w:t>
            </w:r>
          </w:p>
        </w:tc>
        <w:tc>
          <w:tcPr>
            <w:tcW w:w="2267" w:type="pct"/>
            <w:tcMar>
              <w:top w:w="57" w:type="dxa"/>
              <w:bottom w:w="57" w:type="dxa"/>
            </w:tcMar>
          </w:tcPr>
          <w:p w14:paraId="746F5E90" w14:textId="77777777" w:rsidR="00217A51" w:rsidRDefault="00217A51" w:rsidP="0084708F">
            <w:pPr>
              <w:pStyle w:val="Standaard-Tabellen"/>
              <w:rPr>
                <w:rFonts w:eastAsia="Calibri"/>
              </w:rPr>
            </w:pPr>
            <w:r>
              <w:rPr>
                <w:rFonts w:eastAsia="Calibri"/>
              </w:rPr>
              <w:t xml:space="preserve">Inhalation of volatilised residues after application (inhalative exposure) </w:t>
            </w:r>
          </w:p>
        </w:tc>
        <w:tc>
          <w:tcPr>
            <w:tcW w:w="1239" w:type="pct"/>
            <w:shd w:val="clear" w:color="auto" w:fill="auto"/>
            <w:tcMar>
              <w:top w:w="57" w:type="dxa"/>
              <w:bottom w:w="57" w:type="dxa"/>
            </w:tcMar>
          </w:tcPr>
          <w:p w14:paraId="6F8BC35B" w14:textId="77777777" w:rsidR="00217A51" w:rsidRPr="00FD2055" w:rsidRDefault="00217A51" w:rsidP="0084708F">
            <w:pPr>
              <w:pStyle w:val="Standaard-Tabellen"/>
              <w:rPr>
                <w:rFonts w:eastAsia="Calibri"/>
              </w:rPr>
            </w:pPr>
            <w:r w:rsidRPr="00682A3D">
              <w:rPr>
                <w:rFonts w:eastAsia="Calibri"/>
              </w:rPr>
              <w:t>Non-professionals</w:t>
            </w:r>
          </w:p>
        </w:tc>
      </w:tr>
      <w:tr w:rsidR="00217A51" w:rsidRPr="00FD2055" w14:paraId="392F2BA3" w14:textId="77777777" w:rsidTr="00217A51">
        <w:trPr>
          <w:tblHeader/>
        </w:trPr>
        <w:tc>
          <w:tcPr>
            <w:tcW w:w="667" w:type="pct"/>
            <w:tcMar>
              <w:top w:w="57" w:type="dxa"/>
              <w:bottom w:w="57" w:type="dxa"/>
            </w:tcMar>
          </w:tcPr>
          <w:p w14:paraId="2431218F" w14:textId="77777777" w:rsidR="00217A51" w:rsidRDefault="00217A51" w:rsidP="0084708F">
            <w:pPr>
              <w:pStyle w:val="Standaard-Tabellen"/>
              <w:rPr>
                <w:rFonts w:eastAsia="Calibri"/>
              </w:rPr>
            </w:pPr>
            <w:r>
              <w:rPr>
                <w:rFonts w:eastAsia="Calibri"/>
              </w:rPr>
              <w:t xml:space="preserve">6. </w:t>
            </w:r>
          </w:p>
        </w:tc>
        <w:tc>
          <w:tcPr>
            <w:tcW w:w="827" w:type="pct"/>
            <w:shd w:val="clear" w:color="auto" w:fill="auto"/>
            <w:tcMar>
              <w:top w:w="57" w:type="dxa"/>
              <w:bottom w:w="57" w:type="dxa"/>
            </w:tcMar>
          </w:tcPr>
          <w:p w14:paraId="0BE141DF" w14:textId="77777777" w:rsidR="00217A51" w:rsidRPr="008C1C4F" w:rsidRDefault="00217A51" w:rsidP="0084708F">
            <w:pPr>
              <w:pStyle w:val="Standaard-Tabellen"/>
              <w:rPr>
                <w:rFonts w:eastAsia="Calibri"/>
              </w:rPr>
            </w:pPr>
            <w:r>
              <w:rPr>
                <w:rFonts w:eastAsia="Calibri"/>
              </w:rPr>
              <w:t>Exposure during production</w:t>
            </w:r>
          </w:p>
        </w:tc>
        <w:tc>
          <w:tcPr>
            <w:tcW w:w="2267" w:type="pct"/>
            <w:tcMar>
              <w:top w:w="57" w:type="dxa"/>
              <w:bottom w:w="57" w:type="dxa"/>
            </w:tcMar>
          </w:tcPr>
          <w:p w14:paraId="5BA8B019" w14:textId="77777777" w:rsidR="00217A51" w:rsidRDefault="00217A51" w:rsidP="0084708F">
            <w:pPr>
              <w:pStyle w:val="Standaard-Tabellen"/>
              <w:rPr>
                <w:rFonts w:eastAsia="Calibri"/>
              </w:rPr>
            </w:pPr>
            <w:r w:rsidRPr="003F1174">
              <w:rPr>
                <w:rFonts w:eastAsia="Calibri"/>
              </w:rPr>
              <w:t>Mixing and Loading model – worst case for the production, formulation and disposal of the biocidal product</w:t>
            </w:r>
          </w:p>
        </w:tc>
        <w:tc>
          <w:tcPr>
            <w:tcW w:w="1239" w:type="pct"/>
            <w:shd w:val="clear" w:color="auto" w:fill="auto"/>
            <w:tcMar>
              <w:top w:w="57" w:type="dxa"/>
              <w:bottom w:w="57" w:type="dxa"/>
            </w:tcMar>
          </w:tcPr>
          <w:p w14:paraId="71788FBD" w14:textId="77777777" w:rsidR="00217A51" w:rsidRPr="00682A3D" w:rsidRDefault="00217A51" w:rsidP="0084708F">
            <w:pPr>
              <w:pStyle w:val="Standaard-Tabellen"/>
              <w:rPr>
                <w:rFonts w:eastAsia="Calibri"/>
              </w:rPr>
            </w:pPr>
            <w:r>
              <w:rPr>
                <w:rFonts w:eastAsia="Calibri"/>
              </w:rPr>
              <w:t xml:space="preserve">Professionals </w:t>
            </w:r>
          </w:p>
        </w:tc>
      </w:tr>
    </w:tbl>
    <w:p w14:paraId="61A9EE4B" w14:textId="72220AB9" w:rsidR="00217A51" w:rsidRDefault="00217A51">
      <w:pPr>
        <w:spacing w:before="0" w:after="160" w:line="259" w:lineRule="auto"/>
        <w:rPr>
          <w:rFonts w:eastAsia="Calibri"/>
          <w:lang w:eastAsia="en-US"/>
        </w:rPr>
      </w:pPr>
    </w:p>
    <w:p w14:paraId="1F025C29" w14:textId="21665B3B" w:rsidR="00AE4722" w:rsidRDefault="00AE4722">
      <w:pPr>
        <w:spacing w:before="0" w:after="160" w:line="259" w:lineRule="auto"/>
        <w:rPr>
          <w:rFonts w:eastAsia="Calibri"/>
          <w:lang w:eastAsia="en-US"/>
        </w:rPr>
      </w:pPr>
    </w:p>
    <w:p w14:paraId="4AB1FD7B" w14:textId="77777777" w:rsidR="00222ACA" w:rsidRPr="000A7410" w:rsidRDefault="00222ACA" w:rsidP="008D7EDC">
      <w:pPr>
        <w:pStyle w:val="Paragraphedeliste"/>
        <w:keepNext/>
        <w:numPr>
          <w:ilvl w:val="0"/>
          <w:numId w:val="68"/>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0A7410">
        <w:rPr>
          <w:rFonts w:eastAsia="Calibri"/>
          <w:b/>
          <w:lang w:eastAsia="en-US"/>
        </w:rPr>
        <w:lastRenderedPageBreak/>
        <w:t>MAJOR CHANGE FOR SPRAY REPULSIF IR200 – 2019 (FR CA)</w:t>
      </w:r>
    </w:p>
    <w:p w14:paraId="05265F50" w14:textId="77777777" w:rsidR="00780E5B" w:rsidRPr="007E29F8" w:rsidRDefault="00780E5B" w:rsidP="00222ACA">
      <w:pPr>
        <w:pStyle w:val="Paragraphedeliste"/>
        <w:keepNext/>
        <w:widowControl w:val="0"/>
        <w:kinsoku w:val="0"/>
        <w:overflowPunct w:val="0"/>
        <w:autoSpaceDE w:val="0"/>
        <w:autoSpaceDN w:val="0"/>
        <w:adjustRightInd w:val="0"/>
        <w:spacing w:before="292" w:after="0" w:line="290" w:lineRule="exact"/>
        <w:ind w:left="0" w:right="215"/>
        <w:jc w:val="both"/>
        <w:textAlignment w:val="baseline"/>
        <w:rPr>
          <w:rFonts w:cs="Arial"/>
          <w:b/>
          <w:spacing w:val="1"/>
          <w:u w:val="single"/>
          <w:lang w:eastAsia="fr-FR"/>
        </w:rPr>
      </w:pPr>
    </w:p>
    <w:tbl>
      <w:tblPr>
        <w:tblW w:w="53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01"/>
        <w:gridCol w:w="2065"/>
        <w:gridCol w:w="4591"/>
        <w:gridCol w:w="2027"/>
      </w:tblGrid>
      <w:tr w:rsidR="00780E5B" w:rsidRPr="007E29F8" w14:paraId="5BA59C03" w14:textId="77777777" w:rsidTr="000A7410">
        <w:trPr>
          <w:trHeight w:val="232"/>
          <w:tblHeader/>
        </w:trPr>
        <w:tc>
          <w:tcPr>
            <w:tcW w:w="5000" w:type="pct"/>
            <w:gridSpan w:val="4"/>
            <w:shd w:val="clear" w:color="auto" w:fill="FFFFFF" w:themeFill="background1"/>
          </w:tcPr>
          <w:p w14:paraId="2C232740" w14:textId="77777777" w:rsidR="00780E5B" w:rsidRPr="000A7410" w:rsidRDefault="00780E5B" w:rsidP="002655EE">
            <w:pPr>
              <w:pStyle w:val="Paragraphedeliste"/>
              <w:keepNext/>
              <w:widowControl w:val="0"/>
              <w:shd w:val="clear" w:color="auto" w:fill="D9D9D9" w:themeFill="background1" w:themeFillShade="D9"/>
              <w:kinsoku w:val="0"/>
              <w:overflowPunct w:val="0"/>
              <w:autoSpaceDE w:val="0"/>
              <w:autoSpaceDN w:val="0"/>
              <w:adjustRightInd w:val="0"/>
              <w:spacing w:before="0" w:after="0"/>
              <w:ind w:right="215"/>
              <w:jc w:val="center"/>
              <w:textAlignment w:val="baseline"/>
              <w:rPr>
                <w:rFonts w:eastAsia="Calibri" w:cs="Arial"/>
                <w:b/>
                <w:spacing w:val="1"/>
                <w:lang w:eastAsia="fr-FR"/>
              </w:rPr>
            </w:pPr>
            <w:r w:rsidRPr="000A7410">
              <w:rPr>
                <w:rFonts w:eastAsia="Calibri" w:cs="Arial"/>
                <w:b/>
                <w:spacing w:val="1"/>
                <w:lang w:eastAsia="fr-FR"/>
              </w:rPr>
              <w:t>Summary table: scenarios</w:t>
            </w:r>
          </w:p>
        </w:tc>
      </w:tr>
      <w:tr w:rsidR="00780E5B" w:rsidRPr="007E29F8" w14:paraId="6921675E" w14:textId="77777777" w:rsidTr="002655EE">
        <w:trPr>
          <w:trHeight w:val="434"/>
          <w:tblHeader/>
        </w:trPr>
        <w:tc>
          <w:tcPr>
            <w:tcW w:w="652" w:type="pct"/>
            <w:shd w:val="clear" w:color="auto" w:fill="BFBFBF" w:themeFill="background1" w:themeFillShade="BF"/>
            <w:tcMar>
              <w:top w:w="57" w:type="dxa"/>
              <w:bottom w:w="57" w:type="dxa"/>
            </w:tcMar>
          </w:tcPr>
          <w:p w14:paraId="7B5F1027" w14:textId="77777777" w:rsidR="00780E5B" w:rsidRPr="007E29F8" w:rsidRDefault="00780E5B" w:rsidP="002655EE">
            <w:pPr>
              <w:pStyle w:val="Standaard-Tabellen"/>
              <w:rPr>
                <w:rFonts w:eastAsia="Calibri"/>
                <w:b/>
              </w:rPr>
            </w:pPr>
            <w:r w:rsidRPr="007E29F8">
              <w:rPr>
                <w:rFonts w:eastAsia="Calibri"/>
                <w:b/>
              </w:rPr>
              <w:t>Scenario number</w:t>
            </w:r>
          </w:p>
        </w:tc>
        <w:tc>
          <w:tcPr>
            <w:tcW w:w="1034" w:type="pct"/>
            <w:shd w:val="clear" w:color="auto" w:fill="BFBFBF" w:themeFill="background1" w:themeFillShade="BF"/>
            <w:tcMar>
              <w:top w:w="57" w:type="dxa"/>
              <w:bottom w:w="57" w:type="dxa"/>
            </w:tcMar>
          </w:tcPr>
          <w:p w14:paraId="08FBAC0C" w14:textId="77777777" w:rsidR="00780E5B" w:rsidRPr="007E29F8" w:rsidRDefault="00780E5B" w:rsidP="002655EE">
            <w:pPr>
              <w:pStyle w:val="Standaard-Tabellen"/>
              <w:rPr>
                <w:rFonts w:eastAsia="Calibri"/>
                <w:b/>
              </w:rPr>
            </w:pPr>
            <w:r w:rsidRPr="007E29F8">
              <w:rPr>
                <w:rFonts w:eastAsia="Calibri"/>
                <w:b/>
              </w:rPr>
              <w:t>Scenario</w:t>
            </w:r>
          </w:p>
        </w:tc>
        <w:tc>
          <w:tcPr>
            <w:tcW w:w="2299" w:type="pct"/>
            <w:shd w:val="clear" w:color="auto" w:fill="BFBFBF" w:themeFill="background1" w:themeFillShade="BF"/>
            <w:tcMar>
              <w:top w:w="57" w:type="dxa"/>
              <w:bottom w:w="57" w:type="dxa"/>
            </w:tcMar>
          </w:tcPr>
          <w:p w14:paraId="3A03EFD9" w14:textId="77777777" w:rsidR="00780E5B" w:rsidRPr="007E29F8" w:rsidRDefault="00780E5B" w:rsidP="002655EE">
            <w:pPr>
              <w:pStyle w:val="Standaard-Tabellen"/>
              <w:rPr>
                <w:rFonts w:eastAsia="Calibri"/>
                <w:b/>
              </w:rPr>
            </w:pPr>
            <w:r w:rsidRPr="007E29F8">
              <w:rPr>
                <w:rFonts w:eastAsia="Calibri"/>
                <w:b/>
              </w:rPr>
              <w:t xml:space="preserve">Primary or secondary exposure </w:t>
            </w:r>
          </w:p>
          <w:p w14:paraId="4415271B" w14:textId="77777777" w:rsidR="00780E5B" w:rsidRPr="007E29F8" w:rsidRDefault="00780E5B" w:rsidP="002655EE">
            <w:pPr>
              <w:pStyle w:val="Standaard-Tabellen"/>
              <w:rPr>
                <w:rFonts w:eastAsia="Calibri"/>
                <w:b/>
              </w:rPr>
            </w:pPr>
            <w:r w:rsidRPr="007E29F8">
              <w:rPr>
                <w:rFonts w:eastAsia="Calibri"/>
                <w:b/>
              </w:rPr>
              <w:t>Description of scenario</w:t>
            </w:r>
          </w:p>
        </w:tc>
        <w:tc>
          <w:tcPr>
            <w:tcW w:w="1015" w:type="pct"/>
            <w:shd w:val="clear" w:color="auto" w:fill="BFBFBF" w:themeFill="background1" w:themeFillShade="BF"/>
            <w:tcMar>
              <w:top w:w="57" w:type="dxa"/>
              <w:bottom w:w="57" w:type="dxa"/>
            </w:tcMar>
          </w:tcPr>
          <w:p w14:paraId="7A8A1763" w14:textId="77777777" w:rsidR="00780E5B" w:rsidRPr="007E29F8" w:rsidRDefault="00780E5B" w:rsidP="002655EE">
            <w:pPr>
              <w:pStyle w:val="Standaard-Tabellen"/>
              <w:rPr>
                <w:rFonts w:eastAsia="Calibri"/>
                <w:b/>
              </w:rPr>
            </w:pPr>
            <w:r w:rsidRPr="007E29F8">
              <w:rPr>
                <w:rFonts w:eastAsia="Calibri"/>
                <w:b/>
              </w:rPr>
              <w:t>Exposed group</w:t>
            </w:r>
          </w:p>
          <w:p w14:paraId="1EB03657" w14:textId="77777777" w:rsidR="00780E5B" w:rsidRPr="007E29F8" w:rsidRDefault="00780E5B" w:rsidP="002655EE">
            <w:pPr>
              <w:pStyle w:val="Standaard-Tabellen"/>
              <w:rPr>
                <w:rFonts w:eastAsia="Calibri"/>
                <w:b/>
              </w:rPr>
            </w:pPr>
          </w:p>
        </w:tc>
      </w:tr>
      <w:tr w:rsidR="00780E5B" w:rsidRPr="000A7410" w14:paraId="372829A8" w14:textId="77777777" w:rsidTr="000A7410">
        <w:trPr>
          <w:trHeight w:val="1148"/>
          <w:tblHeader/>
        </w:trPr>
        <w:tc>
          <w:tcPr>
            <w:tcW w:w="652" w:type="pct"/>
            <w:shd w:val="clear" w:color="auto" w:fill="auto"/>
            <w:tcMar>
              <w:top w:w="57" w:type="dxa"/>
              <w:bottom w:w="57" w:type="dxa"/>
            </w:tcMar>
          </w:tcPr>
          <w:p w14:paraId="41877117" w14:textId="77777777" w:rsidR="00780E5B" w:rsidRPr="00762A41" w:rsidRDefault="00780E5B" w:rsidP="00762A41">
            <w:pPr>
              <w:pStyle w:val="Standaard-Tabellen"/>
              <w:rPr>
                <w:rFonts w:eastAsia="Calibri"/>
              </w:rPr>
            </w:pPr>
            <w:r w:rsidRPr="00762A41">
              <w:rPr>
                <w:rFonts w:eastAsia="Calibri"/>
              </w:rPr>
              <w:t>1.</w:t>
            </w:r>
          </w:p>
        </w:tc>
        <w:tc>
          <w:tcPr>
            <w:tcW w:w="1034" w:type="pct"/>
            <w:shd w:val="clear" w:color="auto" w:fill="auto"/>
            <w:tcMar>
              <w:top w:w="57" w:type="dxa"/>
              <w:bottom w:w="57" w:type="dxa"/>
            </w:tcMar>
            <w:vAlign w:val="center"/>
          </w:tcPr>
          <w:p w14:paraId="040A676F" w14:textId="77777777" w:rsidR="00780E5B" w:rsidRPr="00762A41" w:rsidRDefault="00780E5B" w:rsidP="00762A41">
            <w:pPr>
              <w:pStyle w:val="Standaard-Tabellen"/>
              <w:rPr>
                <w:rFonts w:eastAsia="Calibri"/>
              </w:rPr>
            </w:pPr>
            <w:r w:rsidRPr="00762A41">
              <w:rPr>
                <w:rFonts w:eastAsia="Calibri"/>
              </w:rPr>
              <w:t>Skin application (dermal exposure)</w:t>
            </w:r>
          </w:p>
        </w:tc>
        <w:tc>
          <w:tcPr>
            <w:tcW w:w="2299" w:type="pct"/>
            <w:shd w:val="clear" w:color="auto" w:fill="auto"/>
            <w:tcMar>
              <w:top w:w="57" w:type="dxa"/>
              <w:bottom w:w="57" w:type="dxa"/>
            </w:tcMar>
            <w:vAlign w:val="center"/>
          </w:tcPr>
          <w:p w14:paraId="1E2ECC44" w14:textId="77777777" w:rsidR="00780E5B" w:rsidRPr="00762A41" w:rsidRDefault="00780E5B" w:rsidP="00762A41">
            <w:pPr>
              <w:pStyle w:val="Standaard-Tabellen"/>
              <w:rPr>
                <w:rFonts w:eastAsia="Calibri"/>
              </w:rPr>
            </w:pPr>
            <w:r w:rsidRPr="00762A41">
              <w:rPr>
                <w:rFonts w:eastAsia="Calibri"/>
              </w:rPr>
              <w:t xml:space="preserve">Primary exposure: </w:t>
            </w:r>
          </w:p>
          <w:p w14:paraId="045F165D" w14:textId="77777777" w:rsidR="00780E5B" w:rsidRPr="00762A41" w:rsidRDefault="00780E5B" w:rsidP="00762A41">
            <w:pPr>
              <w:pStyle w:val="Standaard-Tabellen"/>
              <w:rPr>
                <w:rFonts w:eastAsia="Calibri"/>
              </w:rPr>
            </w:pPr>
            <w:r w:rsidRPr="00762A41">
              <w:rPr>
                <w:rFonts w:eastAsia="Calibri"/>
              </w:rPr>
              <w:t xml:space="preserve">Dermal exposure assessment for adults, children, toddlers and infants when spraying to the skin, </w:t>
            </w:r>
          </w:p>
          <w:p w14:paraId="4EE9901A" w14:textId="77777777" w:rsidR="00780E5B" w:rsidRPr="00762A41" w:rsidRDefault="00780E5B" w:rsidP="00762A41">
            <w:pPr>
              <w:pStyle w:val="Standaard-Tabellen"/>
              <w:rPr>
                <w:rFonts w:eastAsia="Calibri"/>
              </w:rPr>
            </w:pPr>
            <w:r w:rsidRPr="00762A41">
              <w:rPr>
                <w:rFonts w:eastAsia="Calibri"/>
              </w:rPr>
              <w:t xml:space="preserve">against mosquitoes in temperate conditions (scenario 1a) and </w:t>
            </w:r>
          </w:p>
          <w:p w14:paraId="714A16A0" w14:textId="77777777" w:rsidR="00780E5B" w:rsidRPr="00762A41" w:rsidRDefault="00780E5B" w:rsidP="00762A41">
            <w:pPr>
              <w:pStyle w:val="Standaard-Tabellen"/>
              <w:rPr>
                <w:rFonts w:eastAsia="Calibri"/>
              </w:rPr>
            </w:pPr>
            <w:r w:rsidRPr="00762A41">
              <w:rPr>
                <w:rFonts w:eastAsia="Calibri"/>
              </w:rPr>
              <w:t>tropical conditions (scenario 1b).</w:t>
            </w:r>
          </w:p>
          <w:p w14:paraId="4252E885" w14:textId="77777777" w:rsidR="00780E5B" w:rsidRPr="00762A41" w:rsidRDefault="00780E5B" w:rsidP="00762A41">
            <w:pPr>
              <w:pStyle w:val="Standaard-Tabellen"/>
              <w:rPr>
                <w:rFonts w:eastAsia="Calibri"/>
              </w:rPr>
            </w:pPr>
          </w:p>
          <w:p w14:paraId="01AEFB7B" w14:textId="77777777" w:rsidR="00780E5B" w:rsidRPr="00762A41" w:rsidRDefault="00780E5B" w:rsidP="00762A41">
            <w:pPr>
              <w:pStyle w:val="Standaard-Tabellen"/>
              <w:rPr>
                <w:rFonts w:eastAsia="Calibri"/>
              </w:rPr>
            </w:pPr>
            <w:r w:rsidRPr="00762A41">
              <w:rPr>
                <w:rFonts w:eastAsia="Calibri"/>
              </w:rPr>
              <w:t>The application on skin against ticks is covered by the application on skin against mosquitoes in temperate conditions</w:t>
            </w:r>
          </w:p>
          <w:p w14:paraId="30F243E6" w14:textId="77777777" w:rsidR="00780E5B" w:rsidRPr="00762A41" w:rsidRDefault="00780E5B" w:rsidP="00762A41">
            <w:pPr>
              <w:pStyle w:val="Standaard-Tabellen"/>
              <w:rPr>
                <w:rFonts w:eastAsia="Calibri"/>
              </w:rPr>
            </w:pPr>
          </w:p>
          <w:p w14:paraId="59239A75" w14:textId="77777777" w:rsidR="00780E5B" w:rsidRPr="00762A41" w:rsidRDefault="00780E5B" w:rsidP="00762A41">
            <w:pPr>
              <w:pStyle w:val="Standaard-Tabellen"/>
              <w:rPr>
                <w:rFonts w:eastAsia="Calibri"/>
              </w:rPr>
            </w:pPr>
            <w:r w:rsidRPr="00762A41">
              <w:rPr>
                <w:rFonts w:eastAsia="Calibri"/>
              </w:rPr>
              <w:t xml:space="preserve">The application on skin against head lice has ever been assessed by BE. However, in order to harmonise the different class of population with the other uses, the exposure was reviewed (scenario 1c) </w:t>
            </w:r>
          </w:p>
          <w:p w14:paraId="45E96B6C" w14:textId="77777777" w:rsidR="00780E5B" w:rsidRPr="00762A41" w:rsidRDefault="00780E5B" w:rsidP="00762A41">
            <w:pPr>
              <w:pStyle w:val="Standaard-Tabellen"/>
              <w:rPr>
                <w:rFonts w:eastAsia="Calibri"/>
              </w:rPr>
            </w:pPr>
          </w:p>
          <w:p w14:paraId="26CADDCF" w14:textId="77777777" w:rsidR="00780E5B" w:rsidRPr="00762A41" w:rsidRDefault="00780E5B" w:rsidP="00762A41">
            <w:pPr>
              <w:pStyle w:val="Standaard-Tabellen"/>
              <w:rPr>
                <w:rFonts w:eastAsia="Calibri"/>
              </w:rPr>
            </w:pPr>
          </w:p>
          <w:p w14:paraId="4FAC244B" w14:textId="77777777" w:rsidR="00780E5B" w:rsidRPr="00762A41" w:rsidRDefault="00780E5B" w:rsidP="00762A41">
            <w:pPr>
              <w:pStyle w:val="Standaard-Tabellen"/>
              <w:rPr>
                <w:rFonts w:eastAsia="Calibri"/>
              </w:rPr>
            </w:pPr>
            <w:r w:rsidRPr="00762A41">
              <w:rPr>
                <w:rFonts w:eastAsia="Calibri"/>
              </w:rPr>
              <w:t>Inhalation exposure is covered by dermal exposure.</w:t>
            </w:r>
          </w:p>
        </w:tc>
        <w:tc>
          <w:tcPr>
            <w:tcW w:w="1015" w:type="pct"/>
            <w:shd w:val="clear" w:color="auto" w:fill="auto"/>
            <w:tcMar>
              <w:top w:w="57" w:type="dxa"/>
              <w:bottom w:w="57" w:type="dxa"/>
            </w:tcMar>
            <w:vAlign w:val="center"/>
          </w:tcPr>
          <w:p w14:paraId="19F91FC6" w14:textId="77777777" w:rsidR="00780E5B" w:rsidRPr="00762A41" w:rsidRDefault="00780E5B" w:rsidP="00762A41">
            <w:pPr>
              <w:pStyle w:val="Standaard-Tabellen"/>
              <w:rPr>
                <w:rFonts w:eastAsia="Calibri"/>
              </w:rPr>
            </w:pPr>
            <w:r w:rsidRPr="00762A41">
              <w:rPr>
                <w:rFonts w:eastAsia="Calibri"/>
              </w:rPr>
              <w:t xml:space="preserve">General public </w:t>
            </w:r>
          </w:p>
          <w:p w14:paraId="0544B032" w14:textId="77777777" w:rsidR="00780E5B" w:rsidRPr="00762A41" w:rsidRDefault="00780E5B" w:rsidP="00762A41">
            <w:pPr>
              <w:pStyle w:val="Standaard-Tabellen"/>
              <w:rPr>
                <w:rFonts w:eastAsia="Calibri"/>
              </w:rPr>
            </w:pPr>
            <w:r w:rsidRPr="00762A41">
              <w:rPr>
                <w:rFonts w:eastAsia="Calibri"/>
              </w:rPr>
              <w:t>(adults, children, toddlers and infants)</w:t>
            </w:r>
          </w:p>
        </w:tc>
      </w:tr>
      <w:tr w:rsidR="00780E5B" w:rsidRPr="000A7410" w14:paraId="382CB281" w14:textId="77777777" w:rsidTr="000A7410">
        <w:trPr>
          <w:trHeight w:val="23"/>
          <w:tblHeader/>
        </w:trPr>
        <w:tc>
          <w:tcPr>
            <w:tcW w:w="652" w:type="pct"/>
            <w:shd w:val="clear" w:color="auto" w:fill="auto"/>
            <w:tcMar>
              <w:top w:w="57" w:type="dxa"/>
              <w:bottom w:w="57" w:type="dxa"/>
            </w:tcMar>
          </w:tcPr>
          <w:p w14:paraId="1AD2F46A" w14:textId="77777777" w:rsidR="00780E5B" w:rsidRPr="00762A41" w:rsidRDefault="00780E5B" w:rsidP="00762A41">
            <w:pPr>
              <w:pStyle w:val="Standaard-Tabellen"/>
              <w:rPr>
                <w:rFonts w:eastAsia="Calibri"/>
              </w:rPr>
            </w:pPr>
            <w:r w:rsidRPr="00762A41">
              <w:rPr>
                <w:rFonts w:eastAsia="Calibri"/>
              </w:rPr>
              <w:t>2.</w:t>
            </w:r>
          </w:p>
        </w:tc>
        <w:tc>
          <w:tcPr>
            <w:tcW w:w="1034" w:type="pct"/>
            <w:shd w:val="clear" w:color="auto" w:fill="auto"/>
            <w:tcMar>
              <w:top w:w="57" w:type="dxa"/>
              <w:bottom w:w="57" w:type="dxa"/>
            </w:tcMar>
            <w:vAlign w:val="center"/>
          </w:tcPr>
          <w:p w14:paraId="29F74CF1" w14:textId="77777777" w:rsidR="00780E5B" w:rsidRPr="00762A41" w:rsidRDefault="00780E5B" w:rsidP="00762A41">
            <w:pPr>
              <w:pStyle w:val="Standaard-Tabellen"/>
              <w:rPr>
                <w:rFonts w:eastAsia="Calibri"/>
              </w:rPr>
            </w:pPr>
            <w:r w:rsidRPr="00762A41">
              <w:rPr>
                <w:rFonts w:eastAsia="Calibri"/>
              </w:rPr>
              <w:t>Application of products on fabric</w:t>
            </w:r>
          </w:p>
          <w:p w14:paraId="0F4F8981" w14:textId="77777777" w:rsidR="00780E5B" w:rsidRPr="00762A41" w:rsidRDefault="00780E5B" w:rsidP="00762A41">
            <w:pPr>
              <w:pStyle w:val="Standaard-Tabellen"/>
              <w:rPr>
                <w:rFonts w:eastAsia="Calibri"/>
              </w:rPr>
            </w:pPr>
            <w:r w:rsidRPr="00762A41">
              <w:rPr>
                <w:rFonts w:eastAsia="Calibri"/>
              </w:rPr>
              <w:t>(inhalation and dermal exposure)</w:t>
            </w:r>
          </w:p>
        </w:tc>
        <w:tc>
          <w:tcPr>
            <w:tcW w:w="2299" w:type="pct"/>
            <w:shd w:val="clear" w:color="auto" w:fill="auto"/>
            <w:tcMar>
              <w:top w:w="57" w:type="dxa"/>
              <w:bottom w:w="57" w:type="dxa"/>
            </w:tcMar>
            <w:vAlign w:val="center"/>
          </w:tcPr>
          <w:p w14:paraId="795AC611" w14:textId="731E896E" w:rsidR="00780E5B" w:rsidRPr="00762A41" w:rsidRDefault="00780E5B" w:rsidP="00762A41">
            <w:pPr>
              <w:pStyle w:val="Standaard-Tabellen"/>
              <w:rPr>
                <w:rFonts w:eastAsia="Calibri"/>
              </w:rPr>
            </w:pPr>
            <w:r w:rsidRPr="00762A41">
              <w:rPr>
                <w:rFonts w:eastAsia="Calibri"/>
              </w:rPr>
              <w:t xml:space="preserve">Primary exposure: inhalation and dermal exposures </w:t>
            </w:r>
            <w:r w:rsidR="007C4A9D" w:rsidRPr="00762A41">
              <w:rPr>
                <w:rFonts w:eastAsia="Calibri"/>
              </w:rPr>
              <w:t xml:space="preserve">will </w:t>
            </w:r>
            <w:r w:rsidRPr="00762A41">
              <w:rPr>
                <w:rFonts w:eastAsia="Calibri"/>
              </w:rPr>
              <w:t>occur when spraying fabrics (bed linen or clothes).</w:t>
            </w:r>
          </w:p>
        </w:tc>
        <w:tc>
          <w:tcPr>
            <w:tcW w:w="1015" w:type="pct"/>
            <w:shd w:val="clear" w:color="auto" w:fill="auto"/>
            <w:tcMar>
              <w:top w:w="57" w:type="dxa"/>
              <w:bottom w:w="57" w:type="dxa"/>
            </w:tcMar>
            <w:vAlign w:val="center"/>
          </w:tcPr>
          <w:p w14:paraId="2A6D80D3" w14:textId="77777777" w:rsidR="00780E5B" w:rsidRPr="00762A41" w:rsidRDefault="00780E5B" w:rsidP="00762A41">
            <w:pPr>
              <w:pStyle w:val="Standaard-Tabellen"/>
              <w:rPr>
                <w:rFonts w:eastAsia="Calibri"/>
              </w:rPr>
            </w:pPr>
            <w:r w:rsidRPr="00762A41">
              <w:rPr>
                <w:rFonts w:eastAsia="Calibri"/>
              </w:rPr>
              <w:t xml:space="preserve">General public </w:t>
            </w:r>
          </w:p>
          <w:p w14:paraId="45F3E1DD" w14:textId="77777777" w:rsidR="00780E5B" w:rsidRPr="00762A41" w:rsidRDefault="00780E5B" w:rsidP="00762A41">
            <w:pPr>
              <w:pStyle w:val="Standaard-Tabellen"/>
              <w:rPr>
                <w:rFonts w:eastAsia="Calibri"/>
              </w:rPr>
            </w:pPr>
            <w:r w:rsidRPr="00762A41">
              <w:rPr>
                <w:rFonts w:eastAsia="Calibri"/>
              </w:rPr>
              <w:t>(adults)</w:t>
            </w:r>
          </w:p>
        </w:tc>
      </w:tr>
      <w:tr w:rsidR="00780E5B" w:rsidRPr="000A7410" w14:paraId="2E5B44B9" w14:textId="77777777" w:rsidTr="000A7410">
        <w:trPr>
          <w:trHeight w:val="698"/>
          <w:tblHeader/>
        </w:trPr>
        <w:tc>
          <w:tcPr>
            <w:tcW w:w="652" w:type="pct"/>
            <w:shd w:val="clear" w:color="auto" w:fill="auto"/>
            <w:tcMar>
              <w:top w:w="57" w:type="dxa"/>
              <w:bottom w:w="57" w:type="dxa"/>
            </w:tcMar>
          </w:tcPr>
          <w:p w14:paraId="25C8C2D3" w14:textId="77777777" w:rsidR="00780E5B" w:rsidRPr="00762A41" w:rsidRDefault="00780E5B" w:rsidP="00762A41">
            <w:pPr>
              <w:pStyle w:val="Standaard-Tabellen"/>
              <w:rPr>
                <w:rFonts w:eastAsia="Calibri"/>
              </w:rPr>
            </w:pPr>
            <w:r w:rsidRPr="00762A41">
              <w:rPr>
                <w:rFonts w:eastAsia="Calibri"/>
              </w:rPr>
              <w:t>3.</w:t>
            </w:r>
          </w:p>
        </w:tc>
        <w:tc>
          <w:tcPr>
            <w:tcW w:w="1034" w:type="pct"/>
            <w:shd w:val="clear" w:color="auto" w:fill="auto"/>
            <w:tcMar>
              <w:top w:w="57" w:type="dxa"/>
              <w:bottom w:w="57" w:type="dxa"/>
            </w:tcMar>
            <w:vAlign w:val="center"/>
          </w:tcPr>
          <w:p w14:paraId="21E6E8D4" w14:textId="77777777" w:rsidR="00780E5B" w:rsidRPr="00762A41" w:rsidRDefault="00780E5B" w:rsidP="00762A41">
            <w:pPr>
              <w:pStyle w:val="Standaard-Tabellen"/>
              <w:rPr>
                <w:rFonts w:eastAsia="Calibri"/>
              </w:rPr>
            </w:pPr>
            <w:r w:rsidRPr="00762A41">
              <w:rPr>
                <w:rFonts w:eastAsia="Calibri"/>
              </w:rPr>
              <w:t>Post-application phase - Hand-to-mouth transfer after skin application</w:t>
            </w:r>
          </w:p>
        </w:tc>
        <w:tc>
          <w:tcPr>
            <w:tcW w:w="2299" w:type="pct"/>
            <w:shd w:val="clear" w:color="auto" w:fill="auto"/>
            <w:tcMar>
              <w:top w:w="57" w:type="dxa"/>
              <w:bottom w:w="57" w:type="dxa"/>
            </w:tcMar>
            <w:vAlign w:val="center"/>
          </w:tcPr>
          <w:p w14:paraId="327ECE21" w14:textId="77777777" w:rsidR="00780E5B" w:rsidRPr="00762A41" w:rsidRDefault="00780E5B" w:rsidP="00762A41">
            <w:pPr>
              <w:pStyle w:val="Standaard-Tabellen"/>
              <w:rPr>
                <w:rFonts w:eastAsia="Calibri"/>
              </w:rPr>
            </w:pPr>
            <w:r w:rsidRPr="00762A41">
              <w:rPr>
                <w:rFonts w:eastAsia="Calibri"/>
              </w:rPr>
              <w:t xml:space="preserve">Secondary exposure: </w:t>
            </w:r>
          </w:p>
          <w:p w14:paraId="45B69BE8" w14:textId="77777777" w:rsidR="00780E5B" w:rsidRPr="00762A41" w:rsidRDefault="00780E5B" w:rsidP="00762A41">
            <w:pPr>
              <w:pStyle w:val="Standaard-Tabellen"/>
              <w:rPr>
                <w:rFonts w:eastAsia="Calibri"/>
              </w:rPr>
            </w:pPr>
            <w:r w:rsidRPr="00762A41">
              <w:rPr>
                <w:rFonts w:eastAsia="Calibri"/>
              </w:rPr>
              <w:t>Hand-to-mouth transfer for adults, children, toddlers and infants.</w:t>
            </w:r>
          </w:p>
        </w:tc>
        <w:tc>
          <w:tcPr>
            <w:tcW w:w="1015" w:type="pct"/>
            <w:shd w:val="clear" w:color="auto" w:fill="auto"/>
            <w:tcMar>
              <w:top w:w="57" w:type="dxa"/>
              <w:bottom w:w="57" w:type="dxa"/>
            </w:tcMar>
            <w:vAlign w:val="center"/>
          </w:tcPr>
          <w:p w14:paraId="0987FDE8" w14:textId="77777777" w:rsidR="00780E5B" w:rsidRPr="00762A41" w:rsidRDefault="00780E5B" w:rsidP="00762A41">
            <w:pPr>
              <w:pStyle w:val="Standaard-Tabellen"/>
              <w:rPr>
                <w:rFonts w:eastAsia="Calibri"/>
              </w:rPr>
            </w:pPr>
            <w:r w:rsidRPr="00762A41">
              <w:rPr>
                <w:rFonts w:eastAsia="Calibri"/>
              </w:rPr>
              <w:t xml:space="preserve">General public </w:t>
            </w:r>
          </w:p>
          <w:p w14:paraId="412472F7" w14:textId="77777777" w:rsidR="00780E5B" w:rsidRPr="00762A41" w:rsidRDefault="00780E5B" w:rsidP="00762A41">
            <w:pPr>
              <w:pStyle w:val="Standaard-Tabellen"/>
              <w:rPr>
                <w:rFonts w:eastAsia="Calibri"/>
              </w:rPr>
            </w:pPr>
            <w:r w:rsidRPr="00762A41">
              <w:rPr>
                <w:rFonts w:eastAsia="Calibri"/>
              </w:rPr>
              <w:t>(adults, children, toddlers and infants)</w:t>
            </w:r>
          </w:p>
        </w:tc>
      </w:tr>
      <w:tr w:rsidR="00780E5B" w:rsidRPr="000A7410" w14:paraId="47E58FF2" w14:textId="77777777" w:rsidTr="000A7410">
        <w:trPr>
          <w:trHeight w:val="465"/>
          <w:tblHeader/>
        </w:trPr>
        <w:tc>
          <w:tcPr>
            <w:tcW w:w="652" w:type="pct"/>
            <w:shd w:val="clear" w:color="auto" w:fill="auto"/>
            <w:tcMar>
              <w:top w:w="57" w:type="dxa"/>
              <w:bottom w:w="57" w:type="dxa"/>
            </w:tcMar>
          </w:tcPr>
          <w:p w14:paraId="7E68429F" w14:textId="77777777" w:rsidR="00780E5B" w:rsidRPr="00762A41" w:rsidRDefault="00780E5B" w:rsidP="00762A41">
            <w:pPr>
              <w:pStyle w:val="Standaard-Tabellen"/>
              <w:rPr>
                <w:rFonts w:eastAsia="Calibri"/>
              </w:rPr>
            </w:pPr>
            <w:r w:rsidRPr="00762A41">
              <w:rPr>
                <w:rFonts w:eastAsia="Calibri"/>
              </w:rPr>
              <w:t>5.</w:t>
            </w:r>
          </w:p>
        </w:tc>
        <w:tc>
          <w:tcPr>
            <w:tcW w:w="1034" w:type="pct"/>
            <w:shd w:val="clear" w:color="auto" w:fill="auto"/>
            <w:tcMar>
              <w:top w:w="57" w:type="dxa"/>
              <w:bottom w:w="57" w:type="dxa"/>
            </w:tcMar>
            <w:vAlign w:val="center"/>
          </w:tcPr>
          <w:p w14:paraId="00D0D0AA" w14:textId="77777777" w:rsidR="00780E5B" w:rsidRPr="00762A41" w:rsidRDefault="00780E5B" w:rsidP="00762A41">
            <w:pPr>
              <w:pStyle w:val="Standaard-Tabellen"/>
              <w:rPr>
                <w:rFonts w:eastAsia="Calibri"/>
              </w:rPr>
            </w:pPr>
            <w:r w:rsidRPr="00762A41">
              <w:rPr>
                <w:rFonts w:eastAsia="Calibri"/>
              </w:rPr>
              <w:t xml:space="preserve">Post-application phase – Inhalation of volatilised residues </w:t>
            </w:r>
          </w:p>
        </w:tc>
        <w:tc>
          <w:tcPr>
            <w:tcW w:w="2299" w:type="pct"/>
            <w:shd w:val="clear" w:color="auto" w:fill="auto"/>
            <w:tcMar>
              <w:top w:w="57" w:type="dxa"/>
              <w:bottom w:w="57" w:type="dxa"/>
            </w:tcMar>
            <w:vAlign w:val="center"/>
          </w:tcPr>
          <w:p w14:paraId="65E1C9D2" w14:textId="77777777" w:rsidR="00780E5B" w:rsidRPr="00762A41" w:rsidRDefault="00780E5B" w:rsidP="00762A41">
            <w:pPr>
              <w:pStyle w:val="Standaard-Tabellen"/>
              <w:rPr>
                <w:rFonts w:eastAsia="Calibri"/>
              </w:rPr>
            </w:pPr>
            <w:r w:rsidRPr="00762A41">
              <w:rPr>
                <w:rFonts w:eastAsia="Calibri"/>
              </w:rPr>
              <w:t>Secondary exposure:</w:t>
            </w:r>
          </w:p>
          <w:p w14:paraId="220862BF" w14:textId="77777777" w:rsidR="00780E5B" w:rsidRPr="00762A41" w:rsidRDefault="00780E5B" w:rsidP="00762A41">
            <w:pPr>
              <w:pStyle w:val="Standaard-Tabellen"/>
              <w:rPr>
                <w:rFonts w:eastAsia="Calibri"/>
              </w:rPr>
            </w:pPr>
            <w:r w:rsidRPr="00762A41">
              <w:rPr>
                <w:rFonts w:eastAsia="Calibri"/>
              </w:rPr>
              <w:t>Inhalation of volatilised residues after application on fabrics.</w:t>
            </w:r>
          </w:p>
        </w:tc>
        <w:tc>
          <w:tcPr>
            <w:tcW w:w="1015" w:type="pct"/>
            <w:shd w:val="clear" w:color="auto" w:fill="auto"/>
            <w:tcMar>
              <w:top w:w="57" w:type="dxa"/>
              <w:bottom w:w="57" w:type="dxa"/>
            </w:tcMar>
            <w:vAlign w:val="center"/>
          </w:tcPr>
          <w:p w14:paraId="36C0F614" w14:textId="77777777" w:rsidR="00780E5B" w:rsidRPr="00762A41" w:rsidRDefault="00780E5B" w:rsidP="00762A41">
            <w:pPr>
              <w:pStyle w:val="Standaard-Tabellen"/>
              <w:rPr>
                <w:rFonts w:eastAsia="Calibri"/>
              </w:rPr>
            </w:pPr>
            <w:r w:rsidRPr="00762A41">
              <w:rPr>
                <w:rFonts w:eastAsia="Calibri"/>
              </w:rPr>
              <w:t xml:space="preserve">General public </w:t>
            </w:r>
          </w:p>
          <w:p w14:paraId="23AD3C0D" w14:textId="77777777" w:rsidR="00780E5B" w:rsidRPr="00762A41" w:rsidRDefault="00780E5B" w:rsidP="00762A41">
            <w:pPr>
              <w:pStyle w:val="Standaard-Tabellen"/>
              <w:rPr>
                <w:rFonts w:eastAsia="Calibri"/>
              </w:rPr>
            </w:pPr>
            <w:r w:rsidRPr="00762A41">
              <w:rPr>
                <w:rFonts w:eastAsia="Calibri"/>
              </w:rPr>
              <w:t>(adults, children, toddlers and infants)</w:t>
            </w:r>
          </w:p>
        </w:tc>
      </w:tr>
      <w:tr w:rsidR="00780E5B" w:rsidRPr="000A7410" w14:paraId="2154FC16" w14:textId="77777777" w:rsidTr="000A7410">
        <w:trPr>
          <w:trHeight w:val="915"/>
          <w:tblHeader/>
        </w:trPr>
        <w:tc>
          <w:tcPr>
            <w:tcW w:w="652" w:type="pct"/>
            <w:shd w:val="clear" w:color="auto" w:fill="auto"/>
            <w:tcMar>
              <w:top w:w="57" w:type="dxa"/>
              <w:bottom w:w="57" w:type="dxa"/>
            </w:tcMar>
          </w:tcPr>
          <w:p w14:paraId="4CD00CDB" w14:textId="77777777" w:rsidR="00780E5B" w:rsidRPr="00762A41" w:rsidRDefault="00780E5B" w:rsidP="00762A41">
            <w:pPr>
              <w:pStyle w:val="Standaard-Tabellen"/>
              <w:rPr>
                <w:rFonts w:eastAsia="Calibri"/>
              </w:rPr>
            </w:pPr>
            <w:r w:rsidRPr="00762A41">
              <w:rPr>
                <w:rFonts w:eastAsia="Calibri"/>
              </w:rPr>
              <w:t xml:space="preserve">6. </w:t>
            </w:r>
          </w:p>
        </w:tc>
        <w:tc>
          <w:tcPr>
            <w:tcW w:w="1034" w:type="pct"/>
            <w:shd w:val="clear" w:color="auto" w:fill="auto"/>
            <w:tcMar>
              <w:top w:w="57" w:type="dxa"/>
              <w:bottom w:w="57" w:type="dxa"/>
            </w:tcMar>
            <w:vAlign w:val="center"/>
          </w:tcPr>
          <w:p w14:paraId="648A1482" w14:textId="77777777" w:rsidR="00780E5B" w:rsidRPr="00762A41" w:rsidRDefault="00780E5B" w:rsidP="00762A41">
            <w:pPr>
              <w:pStyle w:val="Standaard-Tabellen"/>
              <w:rPr>
                <w:rFonts w:eastAsia="Calibri"/>
              </w:rPr>
            </w:pPr>
            <w:r w:rsidRPr="00762A41">
              <w:rPr>
                <w:rFonts w:eastAsia="Calibri"/>
              </w:rPr>
              <w:t>Post-application phase - dermal exposure  to treated clothes</w:t>
            </w:r>
          </w:p>
        </w:tc>
        <w:tc>
          <w:tcPr>
            <w:tcW w:w="2299" w:type="pct"/>
            <w:shd w:val="clear" w:color="auto" w:fill="auto"/>
            <w:tcMar>
              <w:top w:w="57" w:type="dxa"/>
              <w:bottom w:w="57" w:type="dxa"/>
            </w:tcMar>
            <w:vAlign w:val="center"/>
          </w:tcPr>
          <w:p w14:paraId="2041AF19" w14:textId="77777777" w:rsidR="00780E5B" w:rsidRPr="00762A41" w:rsidRDefault="00780E5B" w:rsidP="00762A41">
            <w:pPr>
              <w:pStyle w:val="Standaard-Tabellen"/>
              <w:rPr>
                <w:rFonts w:eastAsia="Calibri"/>
              </w:rPr>
            </w:pPr>
            <w:r w:rsidRPr="00762A41">
              <w:rPr>
                <w:rFonts w:eastAsia="Calibri"/>
              </w:rPr>
              <w:t>Secondary exposure:</w:t>
            </w:r>
          </w:p>
          <w:p w14:paraId="12E70CD4" w14:textId="77777777" w:rsidR="00780E5B" w:rsidRPr="00762A41" w:rsidRDefault="00780E5B" w:rsidP="00762A41">
            <w:pPr>
              <w:pStyle w:val="Standaard-Tabellen"/>
              <w:rPr>
                <w:rFonts w:eastAsia="Calibri"/>
              </w:rPr>
            </w:pPr>
            <w:r w:rsidRPr="00762A41">
              <w:rPr>
                <w:rFonts w:eastAsia="Calibri"/>
              </w:rPr>
              <w:t xml:space="preserve">Contact with treated clothes </w:t>
            </w:r>
          </w:p>
          <w:p w14:paraId="44E3E414" w14:textId="77777777" w:rsidR="00780E5B" w:rsidRPr="00762A41" w:rsidRDefault="00780E5B" w:rsidP="00762A41">
            <w:pPr>
              <w:pStyle w:val="Standaard-Tabellen"/>
              <w:rPr>
                <w:rFonts w:eastAsia="Calibri"/>
              </w:rPr>
            </w:pPr>
            <w:r w:rsidRPr="00762A41">
              <w:rPr>
                <w:rFonts w:eastAsia="Calibri"/>
              </w:rPr>
              <w:t xml:space="preserve">against ticks at 0.85 mg/cm² (scenario 6a/6c) and </w:t>
            </w:r>
          </w:p>
          <w:p w14:paraId="75B19C8B" w14:textId="77777777" w:rsidR="00780E5B" w:rsidRPr="00762A41" w:rsidRDefault="00780E5B" w:rsidP="00762A41">
            <w:pPr>
              <w:pStyle w:val="Standaard-Tabellen"/>
              <w:rPr>
                <w:rFonts w:eastAsia="Calibri"/>
              </w:rPr>
            </w:pPr>
            <w:r w:rsidRPr="00762A41">
              <w:rPr>
                <w:rFonts w:eastAsia="Calibri"/>
              </w:rPr>
              <w:t>against mosquitoes at 0.60 mg/cm² (scenario 6b/6d)</w:t>
            </w:r>
          </w:p>
          <w:p w14:paraId="39CF7310" w14:textId="77777777" w:rsidR="00780E5B" w:rsidRPr="00762A41" w:rsidRDefault="00780E5B" w:rsidP="00762A41">
            <w:pPr>
              <w:pStyle w:val="Standaard-Tabellen"/>
              <w:rPr>
                <w:rFonts w:eastAsia="Calibri"/>
              </w:rPr>
            </w:pPr>
            <w:r w:rsidRPr="00762A41">
              <w:rPr>
                <w:rFonts w:eastAsia="Calibri"/>
              </w:rPr>
              <w:t>against head lice at 1 mg/cm2 (scenario 6e)</w:t>
            </w:r>
          </w:p>
        </w:tc>
        <w:tc>
          <w:tcPr>
            <w:tcW w:w="1015" w:type="pct"/>
            <w:shd w:val="clear" w:color="auto" w:fill="auto"/>
            <w:tcMar>
              <w:top w:w="57" w:type="dxa"/>
              <w:bottom w:w="57" w:type="dxa"/>
            </w:tcMar>
            <w:vAlign w:val="center"/>
          </w:tcPr>
          <w:p w14:paraId="667DFC4F" w14:textId="77777777" w:rsidR="00780E5B" w:rsidRPr="00762A41" w:rsidRDefault="00780E5B" w:rsidP="00762A41">
            <w:pPr>
              <w:pStyle w:val="Standaard-Tabellen"/>
              <w:rPr>
                <w:rFonts w:eastAsia="Calibri"/>
              </w:rPr>
            </w:pPr>
            <w:r w:rsidRPr="00762A41">
              <w:rPr>
                <w:rFonts w:eastAsia="Calibri"/>
              </w:rPr>
              <w:t xml:space="preserve">General public </w:t>
            </w:r>
          </w:p>
          <w:p w14:paraId="0A455831" w14:textId="77777777" w:rsidR="00780E5B" w:rsidRPr="00762A41" w:rsidRDefault="00780E5B" w:rsidP="00762A41">
            <w:pPr>
              <w:pStyle w:val="Standaard-Tabellen"/>
              <w:rPr>
                <w:rFonts w:eastAsia="Calibri"/>
              </w:rPr>
            </w:pPr>
            <w:r w:rsidRPr="00762A41">
              <w:rPr>
                <w:rFonts w:eastAsia="Calibri"/>
              </w:rPr>
              <w:t>(adults, children, toddlers and infants)</w:t>
            </w:r>
          </w:p>
        </w:tc>
      </w:tr>
      <w:tr w:rsidR="00780E5B" w:rsidRPr="000A7410" w14:paraId="647368B4" w14:textId="77777777" w:rsidTr="000A7410">
        <w:trPr>
          <w:trHeight w:val="931"/>
          <w:tblHeader/>
        </w:trPr>
        <w:tc>
          <w:tcPr>
            <w:tcW w:w="652" w:type="pct"/>
            <w:shd w:val="clear" w:color="auto" w:fill="FFFFFF" w:themeFill="background1"/>
            <w:tcMar>
              <w:top w:w="57" w:type="dxa"/>
              <w:bottom w:w="57" w:type="dxa"/>
            </w:tcMar>
          </w:tcPr>
          <w:p w14:paraId="545798E1" w14:textId="77777777" w:rsidR="00780E5B" w:rsidRPr="00762A41" w:rsidRDefault="00780E5B" w:rsidP="00762A41">
            <w:pPr>
              <w:pStyle w:val="Standaard-Tabellen"/>
              <w:rPr>
                <w:rFonts w:eastAsia="Calibri"/>
              </w:rPr>
            </w:pPr>
            <w:r w:rsidRPr="00762A41">
              <w:rPr>
                <w:rFonts w:eastAsia="Calibri"/>
              </w:rPr>
              <w:t>7.</w:t>
            </w:r>
          </w:p>
        </w:tc>
        <w:tc>
          <w:tcPr>
            <w:tcW w:w="1034" w:type="pct"/>
            <w:shd w:val="clear" w:color="auto" w:fill="FFFFFF" w:themeFill="background1"/>
            <w:tcMar>
              <w:top w:w="57" w:type="dxa"/>
              <w:bottom w:w="57" w:type="dxa"/>
            </w:tcMar>
            <w:vAlign w:val="center"/>
          </w:tcPr>
          <w:p w14:paraId="3F90D51E" w14:textId="77777777" w:rsidR="00780E5B" w:rsidRPr="00762A41" w:rsidRDefault="00780E5B" w:rsidP="00762A41">
            <w:pPr>
              <w:pStyle w:val="Standaard-Tabellen"/>
              <w:rPr>
                <w:rFonts w:eastAsia="Calibri"/>
              </w:rPr>
            </w:pPr>
            <w:r w:rsidRPr="00762A41">
              <w:rPr>
                <w:rFonts w:eastAsia="Calibri"/>
              </w:rPr>
              <w:t>Post-application phase - dermal exposure  to treated bed linen</w:t>
            </w:r>
          </w:p>
        </w:tc>
        <w:tc>
          <w:tcPr>
            <w:tcW w:w="2299" w:type="pct"/>
            <w:shd w:val="clear" w:color="auto" w:fill="auto"/>
            <w:tcMar>
              <w:top w:w="57" w:type="dxa"/>
              <w:bottom w:w="57" w:type="dxa"/>
            </w:tcMar>
            <w:vAlign w:val="center"/>
          </w:tcPr>
          <w:p w14:paraId="324CB086" w14:textId="77777777" w:rsidR="00780E5B" w:rsidRPr="00762A41" w:rsidRDefault="00780E5B" w:rsidP="00762A41">
            <w:pPr>
              <w:pStyle w:val="Standaard-Tabellen"/>
              <w:rPr>
                <w:rFonts w:eastAsia="Calibri"/>
              </w:rPr>
            </w:pPr>
            <w:r w:rsidRPr="00762A41">
              <w:rPr>
                <w:rFonts w:eastAsia="Calibri"/>
              </w:rPr>
              <w:t>Secondary exposure:</w:t>
            </w:r>
          </w:p>
          <w:p w14:paraId="431CC93D" w14:textId="6C1AA90D" w:rsidR="00780E5B" w:rsidRPr="00762A41" w:rsidRDefault="00780E5B" w:rsidP="00762A41">
            <w:pPr>
              <w:pStyle w:val="Standaard-Tabellen"/>
              <w:rPr>
                <w:rFonts w:eastAsia="Calibri"/>
              </w:rPr>
            </w:pPr>
            <w:r w:rsidRPr="00762A41">
              <w:rPr>
                <w:rFonts w:eastAsia="Calibri"/>
              </w:rPr>
              <w:t xml:space="preserve">In the post-application phase, adults, children and toddlers </w:t>
            </w:r>
            <w:r w:rsidR="008B32FB" w:rsidRPr="00762A41">
              <w:rPr>
                <w:rFonts w:eastAsia="Calibri"/>
              </w:rPr>
              <w:t>will be</w:t>
            </w:r>
            <w:r w:rsidRPr="00762A41">
              <w:rPr>
                <w:rFonts w:eastAsia="Calibri"/>
              </w:rPr>
              <w:t xml:space="preserve"> exposed during sleeping in a treated bed</w:t>
            </w:r>
          </w:p>
          <w:p w14:paraId="42610AB8" w14:textId="77777777" w:rsidR="00780E5B" w:rsidRPr="00762A41" w:rsidRDefault="00780E5B" w:rsidP="00762A41">
            <w:pPr>
              <w:pStyle w:val="Standaard-Tabellen"/>
              <w:rPr>
                <w:rFonts w:eastAsia="Calibri"/>
              </w:rPr>
            </w:pPr>
            <w:r w:rsidRPr="00762A41">
              <w:rPr>
                <w:rFonts w:eastAsia="Calibri"/>
              </w:rPr>
              <w:t>Against head lice (scenario 7a)</w:t>
            </w:r>
          </w:p>
          <w:p w14:paraId="1FE4FB5B" w14:textId="77777777" w:rsidR="00780E5B" w:rsidRPr="00762A41" w:rsidRDefault="00780E5B" w:rsidP="00762A41">
            <w:pPr>
              <w:pStyle w:val="Standaard-Tabellen"/>
              <w:rPr>
                <w:rFonts w:eastAsia="Calibri"/>
              </w:rPr>
            </w:pPr>
            <w:r w:rsidRPr="00762A41">
              <w:rPr>
                <w:rFonts w:eastAsia="Calibri"/>
              </w:rPr>
              <w:t>Against dust mites (scenario 7b)</w:t>
            </w:r>
          </w:p>
        </w:tc>
        <w:tc>
          <w:tcPr>
            <w:tcW w:w="1015" w:type="pct"/>
            <w:shd w:val="clear" w:color="auto" w:fill="FFFFFF" w:themeFill="background1"/>
            <w:tcMar>
              <w:top w:w="57" w:type="dxa"/>
              <w:bottom w:w="57" w:type="dxa"/>
            </w:tcMar>
            <w:vAlign w:val="center"/>
          </w:tcPr>
          <w:p w14:paraId="2E8B829D" w14:textId="77777777" w:rsidR="00780E5B" w:rsidRPr="00762A41" w:rsidRDefault="00780E5B" w:rsidP="00762A41">
            <w:pPr>
              <w:pStyle w:val="Standaard-Tabellen"/>
              <w:rPr>
                <w:rFonts w:eastAsia="Calibri"/>
              </w:rPr>
            </w:pPr>
            <w:r w:rsidRPr="00762A41">
              <w:rPr>
                <w:rFonts w:eastAsia="Calibri"/>
              </w:rPr>
              <w:t xml:space="preserve">General public </w:t>
            </w:r>
          </w:p>
          <w:p w14:paraId="391E8F7C" w14:textId="77777777" w:rsidR="00780E5B" w:rsidRPr="00762A41" w:rsidRDefault="00780E5B" w:rsidP="00762A41">
            <w:pPr>
              <w:pStyle w:val="Standaard-Tabellen"/>
              <w:rPr>
                <w:rFonts w:eastAsia="Calibri"/>
              </w:rPr>
            </w:pPr>
            <w:r w:rsidRPr="00762A41">
              <w:rPr>
                <w:rFonts w:eastAsia="Calibri"/>
              </w:rPr>
              <w:t>(adults, children, toddlers and infants)</w:t>
            </w:r>
          </w:p>
        </w:tc>
      </w:tr>
    </w:tbl>
    <w:p w14:paraId="59628572" w14:textId="77777777" w:rsidR="00AE4722" w:rsidRPr="00780E5B" w:rsidRDefault="00AE4722" w:rsidP="00123F8B">
      <w:pPr>
        <w:keepNext/>
        <w:widowControl w:val="0"/>
        <w:kinsoku w:val="0"/>
        <w:overflowPunct w:val="0"/>
        <w:autoSpaceDE w:val="0"/>
        <w:autoSpaceDN w:val="0"/>
        <w:adjustRightInd w:val="0"/>
        <w:spacing w:before="292" w:after="0" w:line="290" w:lineRule="exact"/>
        <w:ind w:right="215"/>
        <w:jc w:val="both"/>
        <w:textAlignment w:val="baseline"/>
        <w:rPr>
          <w:rFonts w:cs="Arial"/>
          <w:b/>
          <w:spacing w:val="1"/>
          <w:u w:val="single"/>
          <w:lang w:eastAsia="fr-FR"/>
        </w:rPr>
      </w:pPr>
    </w:p>
    <w:p w14:paraId="6EC6B93A" w14:textId="77777777" w:rsidR="00AE4722" w:rsidRDefault="00AE4722">
      <w:pPr>
        <w:spacing w:before="0" w:after="160" w:line="259" w:lineRule="auto"/>
        <w:rPr>
          <w:rFonts w:eastAsia="Calibri"/>
          <w:lang w:eastAsia="en-US"/>
        </w:rPr>
      </w:pPr>
    </w:p>
    <w:p w14:paraId="4F27AA88" w14:textId="77777777" w:rsidR="00C442A7" w:rsidRDefault="00C442A7">
      <w:pPr>
        <w:spacing w:before="0" w:after="160" w:line="259" w:lineRule="auto"/>
        <w:rPr>
          <w:rFonts w:eastAsia="Calibri"/>
          <w:lang w:eastAsia="en-US"/>
        </w:rPr>
      </w:pPr>
      <w:r>
        <w:rPr>
          <w:rFonts w:eastAsia="Calibri"/>
          <w:lang w:eastAsia="en-US"/>
        </w:rPr>
        <w:br w:type="page"/>
      </w:r>
    </w:p>
    <w:p w14:paraId="3FC603D7" w14:textId="214383A5" w:rsidR="005641ED" w:rsidRDefault="005641ED" w:rsidP="005641ED">
      <w:pPr>
        <w:pStyle w:val="Titre5"/>
      </w:pPr>
      <w:bookmarkStart w:id="219" w:name="_Toc93326562"/>
      <w:r>
        <w:lastRenderedPageBreak/>
        <w:t>Industrial exposure</w:t>
      </w:r>
      <w:bookmarkEnd w:id="219"/>
    </w:p>
    <w:p w14:paraId="669CA069" w14:textId="77777777" w:rsidR="00C41691" w:rsidRPr="009461FB" w:rsidRDefault="00C41691" w:rsidP="00C41691">
      <w:pPr>
        <w:pStyle w:val="Paragraphedeliste"/>
        <w:numPr>
          <w:ilvl w:val="0"/>
          <w:numId w:val="68"/>
        </w:numPr>
        <w:rPr>
          <w:b/>
        </w:rPr>
      </w:pPr>
      <w:r w:rsidRPr="009461FB">
        <w:rPr>
          <w:b/>
        </w:rPr>
        <w:t>FIRST AUTHORISATION – 2017 (BE CA)</w:t>
      </w:r>
    </w:p>
    <w:p w14:paraId="361E1A99" w14:textId="77777777" w:rsidR="00C41691" w:rsidRPr="00C41691" w:rsidRDefault="00C41691" w:rsidP="00C41691">
      <w:pPr>
        <w:rPr>
          <w:lang w:val="en-US" w:eastAsia="en-US"/>
        </w:rPr>
      </w:pPr>
    </w:p>
    <w:p w14:paraId="2A8E202E" w14:textId="77777777" w:rsidR="005641ED" w:rsidRPr="00CB215F" w:rsidRDefault="005641ED" w:rsidP="005641ED">
      <w:pPr>
        <w:rPr>
          <w:lang w:val="en-US" w:eastAsia="en-US"/>
        </w:rPr>
      </w:pPr>
      <w:r w:rsidRPr="00CB215F">
        <w:rPr>
          <w:lang w:val="en-US" w:eastAsia="en-US"/>
        </w:rPr>
        <w:t>There is no concern about industrial exposure because of the intend of use apart for the production/formulation and disposal of the biocidal product. This exposure is address</w:t>
      </w:r>
      <w:r w:rsidR="00FD3BF1">
        <w:rPr>
          <w:lang w:val="en-US" w:eastAsia="en-US"/>
        </w:rPr>
        <w:t>ed</w:t>
      </w:r>
      <w:r w:rsidRPr="00CB215F">
        <w:rPr>
          <w:lang w:val="en-US" w:eastAsia="en-US"/>
        </w:rPr>
        <w:t xml:space="preserve"> under a point below</w:t>
      </w:r>
      <w:r w:rsidR="00FD3BF1">
        <w:rPr>
          <w:lang w:val="en-US" w:eastAsia="en-US"/>
        </w:rPr>
        <w:t xml:space="preserve"> (scenario 6)</w:t>
      </w:r>
      <w:r w:rsidRPr="00CB215F">
        <w:rPr>
          <w:lang w:val="en-US" w:eastAsia="en-US"/>
        </w:rPr>
        <w:t>.</w:t>
      </w:r>
    </w:p>
    <w:p w14:paraId="29754CB8" w14:textId="6FF83423" w:rsidR="005641ED" w:rsidRDefault="005641ED" w:rsidP="005641ED">
      <w:pPr>
        <w:pStyle w:val="Titre5"/>
      </w:pPr>
      <w:bookmarkStart w:id="220" w:name="_Toc93326563"/>
      <w:r>
        <w:t>Professional exposure</w:t>
      </w:r>
      <w:bookmarkEnd w:id="220"/>
    </w:p>
    <w:p w14:paraId="6E345E55" w14:textId="77777777" w:rsidR="00C41691" w:rsidRPr="009461FB" w:rsidRDefault="00C41691" w:rsidP="00C41691">
      <w:pPr>
        <w:pStyle w:val="Paragraphedeliste"/>
        <w:numPr>
          <w:ilvl w:val="0"/>
          <w:numId w:val="68"/>
        </w:numPr>
        <w:rPr>
          <w:b/>
        </w:rPr>
      </w:pPr>
      <w:r w:rsidRPr="009461FB">
        <w:rPr>
          <w:b/>
        </w:rPr>
        <w:t>FIRST AUTHORISATION – 2017 (BE CA)</w:t>
      </w:r>
    </w:p>
    <w:p w14:paraId="1FF51402" w14:textId="77777777" w:rsidR="00C41691" w:rsidRPr="00C41691" w:rsidRDefault="00C41691" w:rsidP="00C41691">
      <w:pPr>
        <w:rPr>
          <w:lang w:val="en-US" w:eastAsia="en-US"/>
        </w:rPr>
      </w:pPr>
    </w:p>
    <w:p w14:paraId="140CF7AD" w14:textId="77777777" w:rsidR="005641ED" w:rsidRPr="002C022B" w:rsidRDefault="005641ED" w:rsidP="005641ED">
      <w:pPr>
        <w:rPr>
          <w:lang w:val="en-US" w:eastAsia="en-US"/>
        </w:rPr>
      </w:pPr>
      <w:r w:rsidRPr="002C022B">
        <w:rPr>
          <w:lang w:val="en-US" w:eastAsia="en-US"/>
        </w:rPr>
        <w:t>Not relevant since the product Insect Repellent Pump Spray Lice IR3535</w:t>
      </w:r>
      <w:r w:rsidRPr="004825D6">
        <w:rPr>
          <w:vertAlign w:val="superscript"/>
          <w:lang w:val="en-US" w:eastAsia="en-US"/>
        </w:rPr>
        <w:t>®</w:t>
      </w:r>
      <w:r w:rsidRPr="002C022B">
        <w:rPr>
          <w:lang w:val="en-US" w:eastAsia="en-US"/>
        </w:rPr>
        <w:t xml:space="preserve"> 20 % is intended to be used by general public.</w:t>
      </w:r>
    </w:p>
    <w:p w14:paraId="5086709A" w14:textId="463D643D" w:rsidR="005641ED" w:rsidRDefault="005641ED" w:rsidP="005641ED">
      <w:pPr>
        <w:pStyle w:val="Titre5"/>
      </w:pPr>
      <w:bookmarkStart w:id="221" w:name="_Toc93326564"/>
      <w:r>
        <w:t>Non-professional exposure</w:t>
      </w:r>
      <w:bookmarkEnd w:id="221"/>
    </w:p>
    <w:p w14:paraId="328946E4" w14:textId="77777777" w:rsidR="00C41691" w:rsidRPr="009461FB" w:rsidRDefault="00C41691" w:rsidP="00C41691">
      <w:pPr>
        <w:pStyle w:val="Paragraphedeliste"/>
        <w:numPr>
          <w:ilvl w:val="0"/>
          <w:numId w:val="68"/>
        </w:numPr>
        <w:rPr>
          <w:b/>
        </w:rPr>
      </w:pPr>
      <w:r w:rsidRPr="009461FB">
        <w:rPr>
          <w:b/>
        </w:rPr>
        <w:t>FIRST AUTHORISATION – 2017 (BE CA)</w:t>
      </w:r>
    </w:p>
    <w:p w14:paraId="509AAC18" w14:textId="77777777" w:rsidR="007E3A44" w:rsidRPr="002B4716" w:rsidRDefault="007E3A44" w:rsidP="007E3A44">
      <w:pPr>
        <w:pStyle w:val="Titre6"/>
        <w:rPr>
          <w:lang w:val="en-US"/>
        </w:rPr>
      </w:pPr>
      <w:r w:rsidRPr="002B4716">
        <w:rPr>
          <w:lang w:val="en-US"/>
        </w:rPr>
        <w:lastRenderedPageBreak/>
        <w:t>Scenario 1: Primary exposure: Dermal exposure assessment for adults, children, toddlers and infants.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03"/>
        <w:gridCol w:w="5425"/>
        <w:gridCol w:w="1368"/>
      </w:tblGrid>
      <w:tr w:rsidR="007E3A44" w:rsidRPr="00332AD5" w14:paraId="3237D5CF" w14:textId="77777777" w:rsidTr="00F96662">
        <w:trPr>
          <w:tblHeader/>
        </w:trPr>
        <w:tc>
          <w:tcPr>
            <w:tcW w:w="5000" w:type="pct"/>
            <w:gridSpan w:val="3"/>
            <w:shd w:val="clear" w:color="auto" w:fill="FFFFCC"/>
            <w:tcMar>
              <w:top w:w="57" w:type="dxa"/>
              <w:bottom w:w="57" w:type="dxa"/>
            </w:tcMar>
          </w:tcPr>
          <w:p w14:paraId="58C900FD" w14:textId="77777777" w:rsidR="007E3A44" w:rsidRPr="00332AD5" w:rsidRDefault="007E3A44" w:rsidP="00F96662">
            <w:pPr>
              <w:pStyle w:val="Standaard-Tabellen"/>
              <w:jc w:val="center"/>
              <w:rPr>
                <w:rFonts w:eastAsia="Calibri"/>
                <w:b/>
              </w:rPr>
            </w:pPr>
            <w:r w:rsidRPr="00332AD5">
              <w:rPr>
                <w:rFonts w:eastAsia="Calibri"/>
                <w:b/>
              </w:rPr>
              <w:t xml:space="preserve">Description of Scenario </w:t>
            </w:r>
            <w:r>
              <w:rPr>
                <w:rFonts w:eastAsia="Calibri"/>
                <w:b/>
              </w:rPr>
              <w:t>1</w:t>
            </w:r>
          </w:p>
        </w:tc>
      </w:tr>
      <w:tr w:rsidR="007E3A44" w:rsidRPr="00FD2055" w14:paraId="0BABAE47" w14:textId="77777777" w:rsidTr="00F96662">
        <w:trPr>
          <w:tblHeader/>
        </w:trPr>
        <w:tc>
          <w:tcPr>
            <w:tcW w:w="5000" w:type="pct"/>
            <w:gridSpan w:val="3"/>
            <w:shd w:val="clear" w:color="auto" w:fill="auto"/>
            <w:tcMar>
              <w:top w:w="57" w:type="dxa"/>
              <w:bottom w:w="57" w:type="dxa"/>
            </w:tcMar>
          </w:tcPr>
          <w:p w14:paraId="23122F42" w14:textId="15CE1299" w:rsidR="007E3A44" w:rsidRPr="004825D6" w:rsidRDefault="007E3A44" w:rsidP="007E3A44">
            <w:pPr>
              <w:rPr>
                <w:rFonts w:eastAsia="Calibri"/>
              </w:rPr>
            </w:pPr>
            <w:r w:rsidRPr="004825D6">
              <w:rPr>
                <w:rFonts w:eastAsia="Calibri"/>
              </w:rPr>
              <w:t xml:space="preserve">This scenario is based on the one available in the </w:t>
            </w:r>
            <w:r w:rsidRPr="003175A4">
              <w:rPr>
                <w:rFonts w:eastAsia="Calibri"/>
              </w:rPr>
              <w:t>CAR of IR3535</w:t>
            </w:r>
            <w:r w:rsidRPr="003175A4">
              <w:rPr>
                <w:rFonts w:eastAsia="Calibri"/>
                <w:vertAlign w:val="superscript"/>
              </w:rPr>
              <w:t>®</w:t>
            </w:r>
            <w:r w:rsidRPr="003175A4">
              <w:rPr>
                <w:rFonts w:eastAsia="Calibri"/>
              </w:rPr>
              <w:t xml:space="preserve">. </w:t>
            </w:r>
            <w:r w:rsidRPr="004825D6">
              <w:rPr>
                <w:rFonts w:eastAsia="Calibri"/>
              </w:rPr>
              <w:t>It has been adapted with the document : Biocide Human Health Exposure Methodology (</w:t>
            </w:r>
            <w:r w:rsidR="00C53DE4">
              <w:rPr>
                <w:rFonts w:eastAsia="Calibri"/>
              </w:rPr>
              <w:t>Oct</w:t>
            </w:r>
            <w:r w:rsidRPr="004825D6">
              <w:rPr>
                <w:rFonts w:eastAsia="Calibri"/>
              </w:rPr>
              <w:t xml:space="preserve"> 2015).</w:t>
            </w:r>
          </w:p>
        </w:tc>
      </w:tr>
      <w:tr w:rsidR="007E3A44" w:rsidRPr="00FD2055" w14:paraId="0AC147F3" w14:textId="77777777" w:rsidTr="00F96662">
        <w:trPr>
          <w:tblHeader/>
        </w:trPr>
        <w:tc>
          <w:tcPr>
            <w:tcW w:w="5000" w:type="pct"/>
            <w:gridSpan w:val="3"/>
            <w:shd w:val="clear" w:color="auto" w:fill="auto"/>
            <w:tcMar>
              <w:top w:w="57" w:type="dxa"/>
              <w:bottom w:w="57" w:type="dxa"/>
            </w:tcMar>
          </w:tcPr>
          <w:p w14:paraId="54498F37" w14:textId="77777777" w:rsidR="007E3A44" w:rsidRPr="00F449E5" w:rsidRDefault="007E3A44" w:rsidP="00F96662">
            <w:pPr>
              <w:rPr>
                <w:rFonts w:eastAsia="Calibri"/>
                <w:b/>
              </w:rPr>
            </w:pPr>
            <w:r w:rsidRPr="00F449E5">
              <w:rPr>
                <w:rFonts w:eastAsia="Calibri"/>
                <w:b/>
              </w:rPr>
              <w:t xml:space="preserve">Dermal exposure: </w:t>
            </w:r>
          </w:p>
          <w:p w14:paraId="25081E61" w14:textId="77777777" w:rsidR="007E3A44" w:rsidRPr="00F449E5" w:rsidRDefault="007E3A44" w:rsidP="00F96662">
            <w:pPr>
              <w:ind w:left="708"/>
              <w:rPr>
                <w:rFonts w:eastAsia="Calibri"/>
              </w:rPr>
            </w:pPr>
            <w:r>
              <w:rPr>
                <w:rFonts w:eastAsia="Calibri"/>
              </w:rPr>
              <w:t>Number of application</w:t>
            </w:r>
            <w:r w:rsidRPr="00F449E5">
              <w:rPr>
                <w:rFonts w:eastAsia="Calibri"/>
              </w:rPr>
              <w:t xml:space="preserve">/day x amount </w:t>
            </w:r>
            <w:r>
              <w:rPr>
                <w:rFonts w:eastAsia="Calibri"/>
              </w:rPr>
              <w:t>b.p.</w:t>
            </w:r>
            <w:r w:rsidRPr="00F449E5">
              <w:rPr>
                <w:rFonts w:eastAsia="Calibri"/>
              </w:rPr>
              <w:t xml:space="preserve">/application x percent of a.s. in </w:t>
            </w:r>
            <w:r w:rsidRPr="00CE5931">
              <w:rPr>
                <w:rFonts w:eastAsia="Calibri"/>
              </w:rPr>
              <w:t>b.p</w:t>
            </w:r>
            <w:r>
              <w:rPr>
                <w:rFonts w:eastAsia="Calibri"/>
              </w:rPr>
              <w:t>.</w:t>
            </w:r>
          </w:p>
          <w:p w14:paraId="43822A35" w14:textId="77777777" w:rsidR="007E3A44" w:rsidRPr="00F449E5" w:rsidRDefault="007E3A44" w:rsidP="00F96662">
            <w:pPr>
              <w:rPr>
                <w:rFonts w:eastAsia="Calibri"/>
                <w:b/>
              </w:rPr>
            </w:pPr>
            <w:r w:rsidRPr="00F449E5">
              <w:rPr>
                <w:rFonts w:eastAsia="Calibri"/>
                <w:b/>
              </w:rPr>
              <w:t>Systemic exposure:</w:t>
            </w:r>
          </w:p>
          <w:p w14:paraId="739A0B38" w14:textId="77777777" w:rsidR="007E3A44" w:rsidRPr="00F449E5" w:rsidRDefault="007E3A44" w:rsidP="00F96662">
            <w:pPr>
              <w:ind w:left="708"/>
              <w:rPr>
                <w:rFonts w:eastAsia="Calibri"/>
              </w:rPr>
            </w:pPr>
            <w:r w:rsidRPr="00F449E5">
              <w:rPr>
                <w:rFonts w:eastAsia="Calibri"/>
              </w:rPr>
              <w:t>Dermal exposure x percent of dermal absorption</w:t>
            </w:r>
          </w:p>
          <w:p w14:paraId="77AD469F" w14:textId="77777777" w:rsidR="007E3A44" w:rsidRPr="00F449E5" w:rsidRDefault="007E3A44" w:rsidP="00F96662">
            <w:pPr>
              <w:rPr>
                <w:rFonts w:eastAsia="Calibri"/>
                <w:b/>
              </w:rPr>
            </w:pPr>
            <w:r w:rsidRPr="00F449E5">
              <w:rPr>
                <w:rFonts w:eastAsia="Calibri"/>
                <w:b/>
              </w:rPr>
              <w:t xml:space="preserve">Dermal systemic exposure: </w:t>
            </w:r>
          </w:p>
          <w:p w14:paraId="4D7B3587" w14:textId="77777777" w:rsidR="007E3A44" w:rsidRPr="00992444" w:rsidRDefault="007E3A44" w:rsidP="00F96662">
            <w:pPr>
              <w:ind w:left="708"/>
              <w:rPr>
                <w:rFonts w:eastAsia="Calibri"/>
              </w:rPr>
            </w:pPr>
            <w:r w:rsidRPr="00F449E5">
              <w:rPr>
                <w:rFonts w:eastAsia="Calibri"/>
              </w:rPr>
              <w:t>Systemic exposure / body weight</w:t>
            </w:r>
          </w:p>
        </w:tc>
      </w:tr>
      <w:tr w:rsidR="007E3A44" w:rsidRPr="0084708F" w14:paraId="3E1CDF93" w14:textId="77777777" w:rsidTr="00A80E60">
        <w:trPr>
          <w:tblHeader/>
        </w:trPr>
        <w:tc>
          <w:tcPr>
            <w:tcW w:w="1385" w:type="pct"/>
            <w:shd w:val="clear" w:color="auto" w:fill="BFBFBF" w:themeFill="background1" w:themeFillShade="BF"/>
            <w:tcMar>
              <w:top w:w="57" w:type="dxa"/>
              <w:bottom w:w="57" w:type="dxa"/>
            </w:tcMar>
          </w:tcPr>
          <w:p w14:paraId="33F1E8D4" w14:textId="77777777" w:rsidR="007E3A44" w:rsidRPr="0084708F" w:rsidRDefault="007E3A44" w:rsidP="00F96662">
            <w:pPr>
              <w:pStyle w:val="Standaard-Tabellen"/>
              <w:rPr>
                <w:rFonts w:eastAsia="Calibri"/>
                <w:b/>
              </w:rPr>
            </w:pPr>
          </w:p>
        </w:tc>
        <w:tc>
          <w:tcPr>
            <w:tcW w:w="2887" w:type="pct"/>
            <w:shd w:val="clear" w:color="auto" w:fill="BFBFBF" w:themeFill="background1" w:themeFillShade="BF"/>
            <w:tcMar>
              <w:top w:w="57" w:type="dxa"/>
              <w:bottom w:w="57" w:type="dxa"/>
            </w:tcMar>
          </w:tcPr>
          <w:p w14:paraId="627DE5A7" w14:textId="77777777" w:rsidR="007E3A44" w:rsidRPr="0084708F" w:rsidRDefault="007E3A44" w:rsidP="00F96662">
            <w:pPr>
              <w:pStyle w:val="Standaard-Tabellen"/>
              <w:rPr>
                <w:rFonts w:eastAsia="Calibri"/>
                <w:b/>
              </w:rPr>
            </w:pPr>
            <w:r w:rsidRPr="0084708F">
              <w:rPr>
                <w:rFonts w:eastAsia="Calibri"/>
                <w:b/>
              </w:rPr>
              <w:t>Parameters</w:t>
            </w:r>
          </w:p>
        </w:tc>
        <w:tc>
          <w:tcPr>
            <w:tcW w:w="728" w:type="pct"/>
            <w:shd w:val="clear" w:color="auto" w:fill="BFBFBF" w:themeFill="background1" w:themeFillShade="BF"/>
            <w:tcMar>
              <w:top w:w="57" w:type="dxa"/>
              <w:bottom w:w="57" w:type="dxa"/>
            </w:tcMar>
          </w:tcPr>
          <w:p w14:paraId="12E0334D" w14:textId="77777777" w:rsidR="007E3A44" w:rsidRPr="0084708F" w:rsidRDefault="007E3A44" w:rsidP="00F96662">
            <w:pPr>
              <w:pStyle w:val="Standaard-Tabellen"/>
              <w:rPr>
                <w:rFonts w:eastAsia="Calibri"/>
                <w:b/>
              </w:rPr>
            </w:pPr>
            <w:r w:rsidRPr="0084708F">
              <w:rPr>
                <w:rFonts w:eastAsia="Calibri"/>
                <w:b/>
              </w:rPr>
              <w:t>Value</w:t>
            </w:r>
          </w:p>
        </w:tc>
      </w:tr>
      <w:tr w:rsidR="007E3A44" w:rsidRPr="00FD2055" w14:paraId="582E6108" w14:textId="77777777" w:rsidTr="00A80E60">
        <w:trPr>
          <w:tblHeader/>
        </w:trPr>
        <w:tc>
          <w:tcPr>
            <w:tcW w:w="1385" w:type="pct"/>
            <w:tcMar>
              <w:top w:w="57" w:type="dxa"/>
              <w:bottom w:w="57" w:type="dxa"/>
            </w:tcMar>
          </w:tcPr>
          <w:p w14:paraId="74B9D2A1" w14:textId="77777777" w:rsidR="007E3A44" w:rsidRPr="0084708F" w:rsidRDefault="007E3A44" w:rsidP="00F96662">
            <w:pPr>
              <w:pStyle w:val="Standaard-Tabellen"/>
              <w:rPr>
                <w:rFonts w:eastAsia="Calibri"/>
              </w:rPr>
            </w:pPr>
            <w:r w:rsidRPr="0084708F">
              <w:rPr>
                <w:rFonts w:eastAsia="Calibri"/>
              </w:rPr>
              <w:t>For All categories</w:t>
            </w:r>
          </w:p>
        </w:tc>
        <w:tc>
          <w:tcPr>
            <w:tcW w:w="2887" w:type="pct"/>
            <w:shd w:val="clear" w:color="auto" w:fill="auto"/>
            <w:tcMar>
              <w:top w:w="57" w:type="dxa"/>
              <w:bottom w:w="57" w:type="dxa"/>
            </w:tcMar>
          </w:tcPr>
          <w:p w14:paraId="17D26E97" w14:textId="77777777" w:rsidR="007E3A44" w:rsidRPr="0084708F" w:rsidRDefault="007E3A44" w:rsidP="00F96662">
            <w:pPr>
              <w:pStyle w:val="Standaard-Tabellen"/>
              <w:rPr>
                <w:rFonts w:eastAsia="Calibri"/>
              </w:rPr>
            </w:pPr>
            <w:r w:rsidRPr="0084708F">
              <w:rPr>
                <w:rFonts w:eastAsia="Calibri"/>
              </w:rPr>
              <w:t>Dermal absorption</w:t>
            </w:r>
            <w:r w:rsidRPr="00025F90">
              <w:rPr>
                <w:rFonts w:eastAsia="Calibri"/>
                <w:vertAlign w:val="superscript"/>
              </w:rPr>
              <w:t>1</w:t>
            </w:r>
          </w:p>
        </w:tc>
        <w:tc>
          <w:tcPr>
            <w:tcW w:w="728" w:type="pct"/>
            <w:shd w:val="clear" w:color="auto" w:fill="auto"/>
            <w:tcMar>
              <w:top w:w="57" w:type="dxa"/>
              <w:bottom w:w="57" w:type="dxa"/>
            </w:tcMar>
          </w:tcPr>
          <w:p w14:paraId="7EE95352" w14:textId="77777777" w:rsidR="007E3A44" w:rsidRPr="0084708F" w:rsidRDefault="007E3A44" w:rsidP="00F96662">
            <w:pPr>
              <w:pStyle w:val="Standaard-Tabellen"/>
              <w:rPr>
                <w:rFonts w:eastAsia="Calibri"/>
              </w:rPr>
            </w:pPr>
            <w:r w:rsidRPr="0084708F">
              <w:rPr>
                <w:rFonts w:eastAsia="Calibri"/>
              </w:rPr>
              <w:t>14%</w:t>
            </w:r>
          </w:p>
        </w:tc>
      </w:tr>
      <w:tr w:rsidR="007E3A44" w:rsidRPr="00FD2055" w14:paraId="3F3A2EE0" w14:textId="77777777" w:rsidTr="00A80E60">
        <w:trPr>
          <w:tblHeader/>
        </w:trPr>
        <w:tc>
          <w:tcPr>
            <w:tcW w:w="1385" w:type="pct"/>
            <w:tcMar>
              <w:top w:w="57" w:type="dxa"/>
              <w:bottom w:w="57" w:type="dxa"/>
            </w:tcMar>
          </w:tcPr>
          <w:p w14:paraId="064D4DA5" w14:textId="77777777" w:rsidR="007E3A44" w:rsidRPr="0084708F" w:rsidRDefault="007E3A44" w:rsidP="00F96662">
            <w:pPr>
              <w:pStyle w:val="Standaard-Tabellen"/>
              <w:rPr>
                <w:rFonts w:eastAsia="Calibri"/>
              </w:rPr>
            </w:pPr>
          </w:p>
        </w:tc>
        <w:tc>
          <w:tcPr>
            <w:tcW w:w="2887" w:type="pct"/>
            <w:shd w:val="clear" w:color="auto" w:fill="auto"/>
            <w:tcMar>
              <w:top w:w="57" w:type="dxa"/>
              <w:bottom w:w="57" w:type="dxa"/>
            </w:tcMar>
          </w:tcPr>
          <w:p w14:paraId="5EA86F55" w14:textId="77777777" w:rsidR="007E3A44" w:rsidRPr="0084708F" w:rsidRDefault="007E3A44" w:rsidP="00F96662">
            <w:pPr>
              <w:pStyle w:val="Standaard-Tabellen"/>
              <w:rPr>
                <w:rFonts w:eastAsia="Calibri"/>
              </w:rPr>
            </w:pPr>
            <w:r w:rsidRPr="0084708F">
              <w:rPr>
                <w:rFonts w:eastAsia="Calibri"/>
              </w:rPr>
              <w:t>% of active substance in biocidal product</w:t>
            </w:r>
            <w:r w:rsidRPr="00025F90">
              <w:rPr>
                <w:rFonts w:eastAsia="Calibri"/>
                <w:vertAlign w:val="superscript"/>
              </w:rPr>
              <w:t>1</w:t>
            </w:r>
            <w:r w:rsidRPr="0084708F">
              <w:rPr>
                <w:rFonts w:eastAsia="Calibri"/>
              </w:rPr>
              <w:t xml:space="preserve"> </w:t>
            </w:r>
          </w:p>
        </w:tc>
        <w:tc>
          <w:tcPr>
            <w:tcW w:w="728" w:type="pct"/>
            <w:shd w:val="clear" w:color="auto" w:fill="auto"/>
            <w:tcMar>
              <w:top w:w="57" w:type="dxa"/>
              <w:bottom w:w="57" w:type="dxa"/>
            </w:tcMar>
          </w:tcPr>
          <w:p w14:paraId="7EC3F926" w14:textId="77777777" w:rsidR="007E3A44" w:rsidRPr="0084708F" w:rsidRDefault="007E3A44" w:rsidP="00F96662">
            <w:pPr>
              <w:pStyle w:val="Standaard-Tabellen"/>
              <w:rPr>
                <w:rFonts w:eastAsia="Calibri"/>
              </w:rPr>
            </w:pPr>
            <w:r w:rsidRPr="0084708F">
              <w:rPr>
                <w:rFonts w:eastAsia="Calibri"/>
              </w:rPr>
              <w:t>20%</w:t>
            </w:r>
          </w:p>
        </w:tc>
      </w:tr>
      <w:tr w:rsidR="007E3A44" w:rsidRPr="00FD2055" w14:paraId="6DB84B13" w14:textId="77777777" w:rsidTr="00A80E60">
        <w:trPr>
          <w:tblHeader/>
        </w:trPr>
        <w:tc>
          <w:tcPr>
            <w:tcW w:w="1385" w:type="pct"/>
            <w:vMerge w:val="restart"/>
            <w:tcMar>
              <w:top w:w="57" w:type="dxa"/>
              <w:bottom w:w="57" w:type="dxa"/>
            </w:tcMar>
          </w:tcPr>
          <w:p w14:paraId="36251BD2" w14:textId="77777777" w:rsidR="007E3A44" w:rsidRPr="0084708F" w:rsidRDefault="007E3A44" w:rsidP="00F96662">
            <w:pPr>
              <w:pStyle w:val="Standaard-Tabellen"/>
              <w:rPr>
                <w:rFonts w:eastAsia="Calibri"/>
              </w:rPr>
            </w:pPr>
            <w:r w:rsidRPr="0084708F">
              <w:rPr>
                <w:rFonts w:eastAsia="Calibri"/>
              </w:rPr>
              <w:t>Tier 1- Adult</w:t>
            </w:r>
          </w:p>
        </w:tc>
        <w:tc>
          <w:tcPr>
            <w:tcW w:w="2887" w:type="pct"/>
            <w:shd w:val="clear" w:color="auto" w:fill="auto"/>
            <w:tcMar>
              <w:top w:w="57" w:type="dxa"/>
              <w:bottom w:w="57" w:type="dxa"/>
            </w:tcMar>
          </w:tcPr>
          <w:p w14:paraId="48A915F7" w14:textId="77777777" w:rsidR="007E3A44" w:rsidRPr="0084708F" w:rsidRDefault="007E3A44" w:rsidP="00F96662">
            <w:pPr>
              <w:pStyle w:val="Standaard-Tabellen"/>
              <w:rPr>
                <w:rFonts w:eastAsia="Calibri"/>
              </w:rPr>
            </w:pPr>
            <w:r w:rsidRPr="0084708F">
              <w:rPr>
                <w:rFonts w:eastAsia="Calibri"/>
              </w:rPr>
              <w:t>Number of application / day</w:t>
            </w:r>
            <w:r w:rsidRPr="00025F90">
              <w:rPr>
                <w:rFonts w:eastAsia="Calibri"/>
                <w:vertAlign w:val="superscript"/>
              </w:rPr>
              <w:t>1</w:t>
            </w:r>
            <w:r w:rsidRPr="0084708F">
              <w:rPr>
                <w:rFonts w:eastAsia="Calibri"/>
              </w:rPr>
              <w:t xml:space="preserve"> </w:t>
            </w:r>
          </w:p>
        </w:tc>
        <w:tc>
          <w:tcPr>
            <w:tcW w:w="728" w:type="pct"/>
            <w:shd w:val="clear" w:color="auto" w:fill="auto"/>
            <w:tcMar>
              <w:top w:w="57" w:type="dxa"/>
              <w:bottom w:w="57" w:type="dxa"/>
            </w:tcMar>
          </w:tcPr>
          <w:p w14:paraId="19BC73EF" w14:textId="77777777" w:rsidR="007E3A44" w:rsidRPr="0084708F" w:rsidRDefault="007E3A44" w:rsidP="00F96662">
            <w:pPr>
              <w:pStyle w:val="Standaard-Tabellen"/>
              <w:rPr>
                <w:rFonts w:eastAsia="Calibri"/>
              </w:rPr>
            </w:pPr>
            <w:r w:rsidRPr="0084708F">
              <w:rPr>
                <w:rFonts w:eastAsia="Calibri"/>
              </w:rPr>
              <w:t>3</w:t>
            </w:r>
          </w:p>
        </w:tc>
      </w:tr>
      <w:tr w:rsidR="007E3A44" w:rsidRPr="00FD2055" w14:paraId="7C99A77E" w14:textId="77777777" w:rsidTr="00A80E60">
        <w:trPr>
          <w:tblHeader/>
        </w:trPr>
        <w:tc>
          <w:tcPr>
            <w:tcW w:w="1385" w:type="pct"/>
            <w:vMerge/>
            <w:tcMar>
              <w:top w:w="57" w:type="dxa"/>
              <w:bottom w:w="57" w:type="dxa"/>
            </w:tcMar>
          </w:tcPr>
          <w:p w14:paraId="5224FB08" w14:textId="77777777" w:rsidR="007E3A44" w:rsidRPr="0084708F" w:rsidRDefault="007E3A44" w:rsidP="00F96662">
            <w:pPr>
              <w:pStyle w:val="Standaard-Tabellen"/>
              <w:rPr>
                <w:rFonts w:eastAsia="Calibri"/>
              </w:rPr>
            </w:pPr>
          </w:p>
        </w:tc>
        <w:tc>
          <w:tcPr>
            <w:tcW w:w="2887" w:type="pct"/>
            <w:shd w:val="clear" w:color="auto" w:fill="auto"/>
            <w:tcMar>
              <w:top w:w="57" w:type="dxa"/>
              <w:bottom w:w="57" w:type="dxa"/>
            </w:tcMar>
          </w:tcPr>
          <w:p w14:paraId="6FBF47BB" w14:textId="77777777" w:rsidR="007E3A44" w:rsidRPr="0084708F" w:rsidRDefault="007E3A44" w:rsidP="00F96662">
            <w:pPr>
              <w:pStyle w:val="Standaard-Tabellen"/>
              <w:rPr>
                <w:rFonts w:eastAsia="Calibri"/>
              </w:rPr>
            </w:pPr>
            <w:r w:rsidRPr="0084708F">
              <w:rPr>
                <w:rFonts w:eastAsia="Calibri"/>
              </w:rPr>
              <w:t>Body weight</w:t>
            </w:r>
            <w:r w:rsidRPr="00025F90">
              <w:rPr>
                <w:rFonts w:eastAsia="Calibri"/>
                <w:vertAlign w:val="superscript"/>
              </w:rPr>
              <w:t>1</w:t>
            </w:r>
          </w:p>
        </w:tc>
        <w:tc>
          <w:tcPr>
            <w:tcW w:w="728" w:type="pct"/>
            <w:shd w:val="clear" w:color="auto" w:fill="auto"/>
            <w:tcMar>
              <w:top w:w="57" w:type="dxa"/>
              <w:bottom w:w="57" w:type="dxa"/>
            </w:tcMar>
          </w:tcPr>
          <w:p w14:paraId="182FCB5F" w14:textId="77777777" w:rsidR="007E3A44" w:rsidRPr="0084708F" w:rsidRDefault="007E3A44" w:rsidP="00F96662">
            <w:pPr>
              <w:pStyle w:val="Standaard-Tabellen"/>
              <w:rPr>
                <w:rFonts w:eastAsia="Calibri"/>
              </w:rPr>
            </w:pPr>
            <w:r w:rsidRPr="0084708F">
              <w:rPr>
                <w:rFonts w:eastAsia="Calibri"/>
              </w:rPr>
              <w:t>60 kg</w:t>
            </w:r>
          </w:p>
        </w:tc>
      </w:tr>
      <w:tr w:rsidR="007E3A44" w:rsidRPr="00FD2055" w14:paraId="0B0CA922" w14:textId="77777777" w:rsidTr="00A80E60">
        <w:trPr>
          <w:tblHeader/>
        </w:trPr>
        <w:tc>
          <w:tcPr>
            <w:tcW w:w="1385" w:type="pct"/>
            <w:vMerge/>
            <w:tcMar>
              <w:top w:w="57" w:type="dxa"/>
              <w:bottom w:w="57" w:type="dxa"/>
            </w:tcMar>
          </w:tcPr>
          <w:p w14:paraId="2DBB7E84" w14:textId="77777777" w:rsidR="007E3A44" w:rsidRPr="0084708F" w:rsidRDefault="007E3A44" w:rsidP="00F96662">
            <w:pPr>
              <w:pStyle w:val="Standaard-Tabellen"/>
              <w:rPr>
                <w:rFonts w:eastAsia="Calibri"/>
              </w:rPr>
            </w:pPr>
          </w:p>
        </w:tc>
        <w:tc>
          <w:tcPr>
            <w:tcW w:w="2887" w:type="pct"/>
            <w:shd w:val="clear" w:color="auto" w:fill="auto"/>
            <w:tcMar>
              <w:top w:w="57" w:type="dxa"/>
              <w:bottom w:w="57" w:type="dxa"/>
            </w:tcMar>
          </w:tcPr>
          <w:p w14:paraId="0CF15D9B" w14:textId="77777777" w:rsidR="007E3A44" w:rsidRPr="0084708F" w:rsidRDefault="007E3A44" w:rsidP="00F96662">
            <w:pPr>
              <w:pStyle w:val="Standaard-Tabellen"/>
              <w:rPr>
                <w:rFonts w:eastAsia="Calibri"/>
              </w:rPr>
            </w:pPr>
            <w:r w:rsidRPr="0084708F">
              <w:rPr>
                <w:rFonts w:eastAsia="Calibri"/>
              </w:rPr>
              <w:t>Amount of biocidal product/ application</w:t>
            </w:r>
            <w:r w:rsidRPr="00025F90">
              <w:rPr>
                <w:rFonts w:eastAsia="Calibri"/>
                <w:vertAlign w:val="superscript"/>
              </w:rPr>
              <w:t>1</w:t>
            </w:r>
            <w:r w:rsidRPr="0084708F">
              <w:rPr>
                <w:rFonts w:eastAsia="Calibri"/>
              </w:rPr>
              <w:t xml:space="preserve"> </w:t>
            </w:r>
          </w:p>
        </w:tc>
        <w:tc>
          <w:tcPr>
            <w:tcW w:w="728" w:type="pct"/>
            <w:shd w:val="clear" w:color="auto" w:fill="auto"/>
            <w:tcMar>
              <w:top w:w="57" w:type="dxa"/>
              <w:bottom w:w="57" w:type="dxa"/>
            </w:tcMar>
          </w:tcPr>
          <w:p w14:paraId="22A0BA02" w14:textId="77777777" w:rsidR="007E3A44" w:rsidRPr="0084708F" w:rsidRDefault="007E3A44" w:rsidP="00F96662">
            <w:pPr>
              <w:pStyle w:val="Standaard-Tabellen"/>
              <w:rPr>
                <w:rFonts w:eastAsia="Calibri"/>
              </w:rPr>
            </w:pPr>
            <w:r w:rsidRPr="0084708F">
              <w:rPr>
                <w:rFonts w:eastAsia="Calibri"/>
              </w:rPr>
              <w:t>1</w:t>
            </w:r>
            <w:r>
              <w:rPr>
                <w:rFonts w:eastAsia="Calibri"/>
              </w:rPr>
              <w:t>.</w:t>
            </w:r>
            <w:r w:rsidRPr="0084708F">
              <w:rPr>
                <w:rFonts w:eastAsia="Calibri"/>
              </w:rPr>
              <w:t>05 g</w:t>
            </w:r>
          </w:p>
        </w:tc>
      </w:tr>
      <w:tr w:rsidR="007E3A44" w:rsidRPr="00FD2055" w14:paraId="612EE5EF" w14:textId="77777777" w:rsidTr="00A80E60">
        <w:trPr>
          <w:tblHeader/>
        </w:trPr>
        <w:tc>
          <w:tcPr>
            <w:tcW w:w="1385" w:type="pct"/>
            <w:vMerge w:val="restart"/>
            <w:tcMar>
              <w:top w:w="57" w:type="dxa"/>
              <w:bottom w:w="57" w:type="dxa"/>
            </w:tcMar>
          </w:tcPr>
          <w:p w14:paraId="7FC13EFC" w14:textId="77777777" w:rsidR="007E3A44" w:rsidRPr="0084708F" w:rsidRDefault="007E3A44" w:rsidP="00F96662">
            <w:pPr>
              <w:pStyle w:val="Standaard-Tabellen"/>
              <w:rPr>
                <w:rFonts w:eastAsia="Calibri"/>
              </w:rPr>
            </w:pPr>
            <w:r w:rsidRPr="0084708F">
              <w:rPr>
                <w:rFonts w:eastAsia="Calibri"/>
              </w:rPr>
              <w:t>Tier 1- Child</w:t>
            </w:r>
          </w:p>
        </w:tc>
        <w:tc>
          <w:tcPr>
            <w:tcW w:w="2887" w:type="pct"/>
            <w:shd w:val="clear" w:color="auto" w:fill="auto"/>
            <w:tcMar>
              <w:top w:w="57" w:type="dxa"/>
              <w:bottom w:w="57" w:type="dxa"/>
            </w:tcMar>
          </w:tcPr>
          <w:p w14:paraId="339A4E3F" w14:textId="77777777" w:rsidR="007E3A44" w:rsidRPr="0084708F" w:rsidRDefault="007E3A44" w:rsidP="00F96662">
            <w:pPr>
              <w:pStyle w:val="Standaard-Tabellen"/>
              <w:rPr>
                <w:rFonts w:eastAsia="Calibri"/>
              </w:rPr>
            </w:pPr>
            <w:r w:rsidRPr="0084708F">
              <w:rPr>
                <w:rFonts w:eastAsia="Calibri"/>
              </w:rPr>
              <w:t>Number of application / day</w:t>
            </w:r>
            <w:r w:rsidRPr="00025F90">
              <w:rPr>
                <w:rFonts w:eastAsia="Calibri"/>
                <w:vertAlign w:val="superscript"/>
              </w:rPr>
              <w:t>1</w:t>
            </w:r>
            <w:r w:rsidRPr="0084708F">
              <w:rPr>
                <w:rFonts w:eastAsia="Calibri"/>
              </w:rPr>
              <w:t xml:space="preserve"> </w:t>
            </w:r>
          </w:p>
        </w:tc>
        <w:tc>
          <w:tcPr>
            <w:tcW w:w="728" w:type="pct"/>
            <w:shd w:val="clear" w:color="auto" w:fill="auto"/>
            <w:tcMar>
              <w:top w:w="57" w:type="dxa"/>
              <w:bottom w:w="57" w:type="dxa"/>
            </w:tcMar>
          </w:tcPr>
          <w:p w14:paraId="41B894BD" w14:textId="77777777" w:rsidR="007E3A44" w:rsidRPr="0084708F" w:rsidRDefault="007E3A44" w:rsidP="00F96662">
            <w:pPr>
              <w:pStyle w:val="Standaard-Tabellen"/>
              <w:rPr>
                <w:rFonts w:eastAsia="Calibri"/>
              </w:rPr>
            </w:pPr>
            <w:r w:rsidRPr="0084708F">
              <w:rPr>
                <w:rFonts w:eastAsia="Calibri"/>
              </w:rPr>
              <w:t>3</w:t>
            </w:r>
          </w:p>
        </w:tc>
      </w:tr>
      <w:tr w:rsidR="007E3A44" w:rsidRPr="00FD2055" w14:paraId="03D38840" w14:textId="77777777" w:rsidTr="00A80E60">
        <w:trPr>
          <w:tblHeader/>
        </w:trPr>
        <w:tc>
          <w:tcPr>
            <w:tcW w:w="1385" w:type="pct"/>
            <w:vMerge/>
            <w:tcMar>
              <w:top w:w="57" w:type="dxa"/>
              <w:bottom w:w="57" w:type="dxa"/>
            </w:tcMar>
          </w:tcPr>
          <w:p w14:paraId="5F37E268" w14:textId="77777777" w:rsidR="007E3A44" w:rsidRPr="0084708F" w:rsidRDefault="007E3A44" w:rsidP="00F96662">
            <w:pPr>
              <w:pStyle w:val="Standaard-Tabellen"/>
              <w:rPr>
                <w:rFonts w:eastAsia="Calibri"/>
              </w:rPr>
            </w:pPr>
          </w:p>
        </w:tc>
        <w:tc>
          <w:tcPr>
            <w:tcW w:w="2887" w:type="pct"/>
            <w:shd w:val="clear" w:color="auto" w:fill="auto"/>
            <w:tcMar>
              <w:top w:w="57" w:type="dxa"/>
              <w:bottom w:w="57" w:type="dxa"/>
            </w:tcMar>
          </w:tcPr>
          <w:p w14:paraId="7DF58EC9" w14:textId="77777777" w:rsidR="007E3A44" w:rsidRPr="0084708F" w:rsidRDefault="007E3A44" w:rsidP="00F96662">
            <w:pPr>
              <w:pStyle w:val="Standaard-Tabellen"/>
              <w:rPr>
                <w:rFonts w:eastAsia="Calibri"/>
              </w:rPr>
            </w:pPr>
            <w:r w:rsidRPr="0084708F">
              <w:rPr>
                <w:rFonts w:eastAsia="Calibri"/>
              </w:rPr>
              <w:t>Body weight</w:t>
            </w:r>
            <w:r w:rsidRPr="00025F90">
              <w:rPr>
                <w:rFonts w:eastAsia="Calibri"/>
                <w:vertAlign w:val="superscript"/>
              </w:rPr>
              <w:t>1</w:t>
            </w:r>
          </w:p>
        </w:tc>
        <w:tc>
          <w:tcPr>
            <w:tcW w:w="728" w:type="pct"/>
            <w:shd w:val="clear" w:color="auto" w:fill="auto"/>
            <w:tcMar>
              <w:top w:w="57" w:type="dxa"/>
              <w:bottom w:w="57" w:type="dxa"/>
            </w:tcMar>
          </w:tcPr>
          <w:p w14:paraId="5073C182" w14:textId="77777777" w:rsidR="007E3A44" w:rsidRPr="0084708F" w:rsidRDefault="007E3A44" w:rsidP="00F96662">
            <w:pPr>
              <w:pStyle w:val="Standaard-Tabellen"/>
              <w:rPr>
                <w:rFonts w:eastAsia="Calibri"/>
              </w:rPr>
            </w:pPr>
            <w:r w:rsidRPr="0084708F">
              <w:rPr>
                <w:rFonts w:eastAsia="Calibri"/>
              </w:rPr>
              <w:t>23</w:t>
            </w:r>
            <w:r>
              <w:rPr>
                <w:rFonts w:eastAsia="Calibri"/>
              </w:rPr>
              <w:t>.</w:t>
            </w:r>
            <w:r w:rsidRPr="0084708F">
              <w:rPr>
                <w:rFonts w:eastAsia="Calibri"/>
              </w:rPr>
              <w:t>9 kg</w:t>
            </w:r>
          </w:p>
        </w:tc>
      </w:tr>
      <w:tr w:rsidR="007E3A44" w:rsidRPr="00FD2055" w14:paraId="5F724ACC" w14:textId="77777777" w:rsidTr="00A80E60">
        <w:trPr>
          <w:tblHeader/>
        </w:trPr>
        <w:tc>
          <w:tcPr>
            <w:tcW w:w="1385" w:type="pct"/>
            <w:vMerge/>
            <w:tcMar>
              <w:top w:w="57" w:type="dxa"/>
              <w:bottom w:w="57" w:type="dxa"/>
            </w:tcMar>
          </w:tcPr>
          <w:p w14:paraId="651EA191" w14:textId="77777777" w:rsidR="007E3A44" w:rsidRPr="0084708F" w:rsidRDefault="007E3A44" w:rsidP="00F96662">
            <w:pPr>
              <w:pStyle w:val="Standaard-Tabellen"/>
              <w:rPr>
                <w:rFonts w:eastAsia="Calibri"/>
              </w:rPr>
            </w:pPr>
          </w:p>
        </w:tc>
        <w:tc>
          <w:tcPr>
            <w:tcW w:w="2887" w:type="pct"/>
            <w:shd w:val="clear" w:color="auto" w:fill="auto"/>
            <w:tcMar>
              <w:top w:w="57" w:type="dxa"/>
              <w:bottom w:w="57" w:type="dxa"/>
            </w:tcMar>
          </w:tcPr>
          <w:p w14:paraId="632918DB" w14:textId="77777777" w:rsidR="007E3A44" w:rsidRPr="0084708F" w:rsidRDefault="007E3A44" w:rsidP="00F96662">
            <w:pPr>
              <w:pStyle w:val="Standaard-Tabellen"/>
              <w:rPr>
                <w:rFonts w:eastAsia="Calibri"/>
              </w:rPr>
            </w:pPr>
            <w:r w:rsidRPr="0084708F">
              <w:rPr>
                <w:rFonts w:eastAsia="Calibri"/>
              </w:rPr>
              <w:t>Amount of biocidal product/ application</w:t>
            </w:r>
            <w:r w:rsidRPr="00025F90">
              <w:rPr>
                <w:rFonts w:eastAsia="Calibri"/>
                <w:vertAlign w:val="superscript"/>
              </w:rPr>
              <w:t>1</w:t>
            </w:r>
            <w:r w:rsidRPr="0084708F">
              <w:rPr>
                <w:rFonts w:eastAsia="Calibri"/>
              </w:rPr>
              <w:t xml:space="preserve"> </w:t>
            </w:r>
          </w:p>
        </w:tc>
        <w:tc>
          <w:tcPr>
            <w:tcW w:w="728" w:type="pct"/>
            <w:shd w:val="clear" w:color="auto" w:fill="auto"/>
            <w:tcMar>
              <w:top w:w="57" w:type="dxa"/>
              <w:bottom w:w="57" w:type="dxa"/>
            </w:tcMar>
          </w:tcPr>
          <w:p w14:paraId="3AAB79F4" w14:textId="77777777" w:rsidR="007E3A44" w:rsidRPr="0084708F" w:rsidRDefault="007E3A44" w:rsidP="00F96662">
            <w:pPr>
              <w:pStyle w:val="Standaard-Tabellen"/>
              <w:rPr>
                <w:rFonts w:eastAsia="Calibri"/>
              </w:rPr>
            </w:pPr>
            <w:r w:rsidRPr="0084708F">
              <w:rPr>
                <w:rFonts w:eastAsia="Calibri"/>
              </w:rPr>
              <w:t>0</w:t>
            </w:r>
            <w:r>
              <w:rPr>
                <w:rFonts w:eastAsia="Calibri"/>
              </w:rPr>
              <w:t>.</w:t>
            </w:r>
            <w:r w:rsidRPr="0084708F">
              <w:rPr>
                <w:rFonts w:eastAsia="Calibri"/>
              </w:rPr>
              <w:t>5 g</w:t>
            </w:r>
          </w:p>
        </w:tc>
      </w:tr>
      <w:tr w:rsidR="007E3A44" w:rsidRPr="00FD2055" w14:paraId="20968D46" w14:textId="77777777" w:rsidTr="00A80E60">
        <w:trPr>
          <w:tblHeader/>
        </w:trPr>
        <w:tc>
          <w:tcPr>
            <w:tcW w:w="1385" w:type="pct"/>
            <w:vMerge w:val="restart"/>
            <w:tcMar>
              <w:top w:w="57" w:type="dxa"/>
              <w:bottom w:w="57" w:type="dxa"/>
            </w:tcMar>
          </w:tcPr>
          <w:p w14:paraId="3EAC670D" w14:textId="77777777" w:rsidR="007E3A44" w:rsidRPr="0084708F" w:rsidRDefault="007E3A44" w:rsidP="00F96662">
            <w:pPr>
              <w:pStyle w:val="Standaard-Tabellen"/>
              <w:rPr>
                <w:rFonts w:eastAsia="Calibri"/>
              </w:rPr>
            </w:pPr>
            <w:r w:rsidRPr="0084708F">
              <w:rPr>
                <w:rFonts w:eastAsia="Calibri"/>
              </w:rPr>
              <w:t>Tier 1- Toddler</w:t>
            </w:r>
          </w:p>
        </w:tc>
        <w:tc>
          <w:tcPr>
            <w:tcW w:w="2887" w:type="pct"/>
            <w:shd w:val="clear" w:color="auto" w:fill="auto"/>
            <w:tcMar>
              <w:top w:w="57" w:type="dxa"/>
              <w:bottom w:w="57" w:type="dxa"/>
            </w:tcMar>
          </w:tcPr>
          <w:p w14:paraId="76FA299F" w14:textId="77777777" w:rsidR="007E3A44" w:rsidRPr="0084708F" w:rsidRDefault="007E3A44" w:rsidP="00F96662">
            <w:pPr>
              <w:pStyle w:val="Standaard-Tabellen"/>
              <w:rPr>
                <w:rFonts w:eastAsia="Calibri"/>
              </w:rPr>
            </w:pPr>
            <w:r w:rsidRPr="0084708F">
              <w:rPr>
                <w:rFonts w:eastAsia="Calibri"/>
              </w:rPr>
              <w:t>Number of application / day</w:t>
            </w:r>
            <w:r w:rsidRPr="00025F90">
              <w:rPr>
                <w:rFonts w:eastAsia="Calibri"/>
                <w:vertAlign w:val="superscript"/>
              </w:rPr>
              <w:t xml:space="preserve">1 </w:t>
            </w:r>
          </w:p>
        </w:tc>
        <w:tc>
          <w:tcPr>
            <w:tcW w:w="728" w:type="pct"/>
            <w:shd w:val="clear" w:color="auto" w:fill="auto"/>
            <w:tcMar>
              <w:top w:w="57" w:type="dxa"/>
              <w:bottom w:w="57" w:type="dxa"/>
            </w:tcMar>
          </w:tcPr>
          <w:p w14:paraId="761BB909" w14:textId="77777777" w:rsidR="007E3A44" w:rsidRPr="0084708F" w:rsidRDefault="007E3A44" w:rsidP="00F96662">
            <w:pPr>
              <w:pStyle w:val="Standaard-Tabellen"/>
              <w:rPr>
                <w:rFonts w:eastAsia="Calibri"/>
              </w:rPr>
            </w:pPr>
            <w:r w:rsidRPr="0084708F">
              <w:rPr>
                <w:rFonts w:eastAsia="Calibri"/>
              </w:rPr>
              <w:t>3</w:t>
            </w:r>
          </w:p>
        </w:tc>
      </w:tr>
      <w:tr w:rsidR="007E3A44" w:rsidRPr="00FD2055" w14:paraId="4B7028C8" w14:textId="77777777" w:rsidTr="00A80E60">
        <w:trPr>
          <w:tblHeader/>
        </w:trPr>
        <w:tc>
          <w:tcPr>
            <w:tcW w:w="1385" w:type="pct"/>
            <w:vMerge/>
            <w:tcMar>
              <w:top w:w="57" w:type="dxa"/>
              <w:bottom w:w="57" w:type="dxa"/>
            </w:tcMar>
          </w:tcPr>
          <w:p w14:paraId="4AB68BC6" w14:textId="77777777" w:rsidR="007E3A44" w:rsidRPr="0084708F" w:rsidRDefault="007E3A44" w:rsidP="00F96662">
            <w:pPr>
              <w:pStyle w:val="Standaard-Tabellen"/>
              <w:rPr>
                <w:rFonts w:eastAsia="Calibri"/>
              </w:rPr>
            </w:pPr>
          </w:p>
        </w:tc>
        <w:tc>
          <w:tcPr>
            <w:tcW w:w="2887" w:type="pct"/>
            <w:shd w:val="clear" w:color="auto" w:fill="auto"/>
            <w:tcMar>
              <w:top w:w="57" w:type="dxa"/>
              <w:bottom w:w="57" w:type="dxa"/>
            </w:tcMar>
          </w:tcPr>
          <w:p w14:paraId="581D007F" w14:textId="77777777" w:rsidR="007E3A44" w:rsidRPr="0084708F" w:rsidRDefault="007E3A44" w:rsidP="00F96662">
            <w:pPr>
              <w:pStyle w:val="Standaard-Tabellen"/>
              <w:rPr>
                <w:rFonts w:eastAsia="Calibri"/>
              </w:rPr>
            </w:pPr>
            <w:r w:rsidRPr="0084708F">
              <w:rPr>
                <w:rFonts w:eastAsia="Calibri"/>
              </w:rPr>
              <w:t>Body weight</w:t>
            </w:r>
            <w:r w:rsidRPr="00025F90">
              <w:rPr>
                <w:rFonts w:eastAsia="Calibri"/>
                <w:vertAlign w:val="superscript"/>
              </w:rPr>
              <w:t>1</w:t>
            </w:r>
          </w:p>
        </w:tc>
        <w:tc>
          <w:tcPr>
            <w:tcW w:w="728" w:type="pct"/>
            <w:shd w:val="clear" w:color="auto" w:fill="auto"/>
            <w:tcMar>
              <w:top w:w="57" w:type="dxa"/>
              <w:bottom w:w="57" w:type="dxa"/>
            </w:tcMar>
          </w:tcPr>
          <w:p w14:paraId="6BA8F29C" w14:textId="77777777" w:rsidR="007E3A44" w:rsidRPr="0084708F" w:rsidRDefault="007E3A44" w:rsidP="00F96662">
            <w:pPr>
              <w:pStyle w:val="Standaard-Tabellen"/>
              <w:rPr>
                <w:rFonts w:eastAsia="Calibri"/>
              </w:rPr>
            </w:pPr>
            <w:r w:rsidRPr="0084708F">
              <w:rPr>
                <w:rFonts w:eastAsia="Calibri"/>
              </w:rPr>
              <w:t>10 kg</w:t>
            </w:r>
          </w:p>
        </w:tc>
      </w:tr>
      <w:tr w:rsidR="007E3A44" w:rsidRPr="00FD2055" w14:paraId="6942C6AD" w14:textId="77777777" w:rsidTr="00A80E60">
        <w:trPr>
          <w:tblHeader/>
        </w:trPr>
        <w:tc>
          <w:tcPr>
            <w:tcW w:w="1385" w:type="pct"/>
            <w:vMerge/>
            <w:tcMar>
              <w:top w:w="57" w:type="dxa"/>
              <w:bottom w:w="57" w:type="dxa"/>
            </w:tcMar>
          </w:tcPr>
          <w:p w14:paraId="28D95FE4" w14:textId="77777777" w:rsidR="007E3A44" w:rsidRPr="0084708F" w:rsidRDefault="007E3A44" w:rsidP="00F96662">
            <w:pPr>
              <w:pStyle w:val="Standaard-Tabellen"/>
              <w:rPr>
                <w:rFonts w:eastAsia="Calibri"/>
              </w:rPr>
            </w:pPr>
          </w:p>
        </w:tc>
        <w:tc>
          <w:tcPr>
            <w:tcW w:w="2887" w:type="pct"/>
            <w:shd w:val="clear" w:color="auto" w:fill="auto"/>
            <w:tcMar>
              <w:top w:w="57" w:type="dxa"/>
              <w:bottom w:w="57" w:type="dxa"/>
            </w:tcMar>
          </w:tcPr>
          <w:p w14:paraId="3640827F" w14:textId="77777777" w:rsidR="007E3A44" w:rsidRPr="0084708F" w:rsidRDefault="007E3A44" w:rsidP="00F96662">
            <w:pPr>
              <w:pStyle w:val="Standaard-Tabellen"/>
              <w:rPr>
                <w:rFonts w:eastAsia="Calibri"/>
              </w:rPr>
            </w:pPr>
            <w:r w:rsidRPr="0084708F">
              <w:rPr>
                <w:rFonts w:eastAsia="Calibri"/>
              </w:rPr>
              <w:t>Amount of biocidal product/ application</w:t>
            </w:r>
            <w:r w:rsidRPr="00025F90">
              <w:rPr>
                <w:rFonts w:eastAsia="Calibri"/>
                <w:vertAlign w:val="superscript"/>
              </w:rPr>
              <w:t>1</w:t>
            </w:r>
            <w:r w:rsidRPr="0084708F">
              <w:rPr>
                <w:rFonts w:eastAsia="Calibri"/>
              </w:rPr>
              <w:t xml:space="preserve"> </w:t>
            </w:r>
          </w:p>
        </w:tc>
        <w:tc>
          <w:tcPr>
            <w:tcW w:w="728" w:type="pct"/>
            <w:shd w:val="clear" w:color="auto" w:fill="auto"/>
            <w:tcMar>
              <w:top w:w="57" w:type="dxa"/>
              <w:bottom w:w="57" w:type="dxa"/>
            </w:tcMar>
          </w:tcPr>
          <w:p w14:paraId="63DB25B7" w14:textId="5869D22A" w:rsidR="007E3A44" w:rsidRPr="0084708F" w:rsidRDefault="007E3A44" w:rsidP="00A80E60">
            <w:pPr>
              <w:pStyle w:val="Standaard-Tabellen"/>
              <w:rPr>
                <w:rFonts w:eastAsia="Calibri"/>
              </w:rPr>
            </w:pPr>
            <w:r w:rsidRPr="0084708F">
              <w:rPr>
                <w:rFonts w:eastAsia="Calibri"/>
              </w:rPr>
              <w:t>0</w:t>
            </w:r>
            <w:r>
              <w:rPr>
                <w:rFonts w:eastAsia="Calibri"/>
              </w:rPr>
              <w:t>.</w:t>
            </w:r>
            <w:r w:rsidR="00A80E60">
              <w:rPr>
                <w:rFonts w:eastAsia="Calibri"/>
              </w:rPr>
              <w:t>5</w:t>
            </w:r>
            <w:r w:rsidR="00A80E60" w:rsidRPr="0084708F">
              <w:rPr>
                <w:rFonts w:eastAsia="Calibri"/>
              </w:rPr>
              <w:t xml:space="preserve"> </w:t>
            </w:r>
            <w:r w:rsidRPr="0084708F">
              <w:rPr>
                <w:rFonts w:eastAsia="Calibri"/>
              </w:rPr>
              <w:t>g</w:t>
            </w:r>
          </w:p>
        </w:tc>
      </w:tr>
      <w:tr w:rsidR="007E3A44" w:rsidRPr="00FD2055" w14:paraId="799A6D5C" w14:textId="77777777" w:rsidTr="00A80E60">
        <w:trPr>
          <w:tblHeader/>
        </w:trPr>
        <w:tc>
          <w:tcPr>
            <w:tcW w:w="1385" w:type="pct"/>
            <w:vMerge w:val="restart"/>
            <w:tcMar>
              <w:top w:w="57" w:type="dxa"/>
              <w:bottom w:w="57" w:type="dxa"/>
            </w:tcMar>
          </w:tcPr>
          <w:p w14:paraId="41CCDBF3" w14:textId="77777777" w:rsidR="007E3A44" w:rsidRPr="0084708F" w:rsidRDefault="007E3A44" w:rsidP="00F96662">
            <w:pPr>
              <w:pStyle w:val="Standaard-Tabellen"/>
              <w:rPr>
                <w:rFonts w:eastAsia="Calibri"/>
              </w:rPr>
            </w:pPr>
            <w:r w:rsidRPr="0084708F">
              <w:rPr>
                <w:rFonts w:eastAsia="Calibri"/>
              </w:rPr>
              <w:t>Tier 1- Infant</w:t>
            </w:r>
          </w:p>
        </w:tc>
        <w:tc>
          <w:tcPr>
            <w:tcW w:w="2887" w:type="pct"/>
            <w:shd w:val="clear" w:color="auto" w:fill="auto"/>
            <w:tcMar>
              <w:top w:w="57" w:type="dxa"/>
              <w:bottom w:w="57" w:type="dxa"/>
            </w:tcMar>
          </w:tcPr>
          <w:p w14:paraId="6B1ED1D7" w14:textId="77777777" w:rsidR="007E3A44" w:rsidRPr="0084708F" w:rsidRDefault="007E3A44" w:rsidP="00F96662">
            <w:pPr>
              <w:pStyle w:val="Standaard-Tabellen"/>
              <w:rPr>
                <w:rFonts w:eastAsia="Calibri"/>
              </w:rPr>
            </w:pPr>
            <w:r w:rsidRPr="0084708F">
              <w:rPr>
                <w:rFonts w:eastAsia="Calibri"/>
              </w:rPr>
              <w:t>Number of application / day</w:t>
            </w:r>
            <w:r w:rsidRPr="00025F90">
              <w:rPr>
                <w:rFonts w:eastAsia="Calibri"/>
                <w:vertAlign w:val="superscript"/>
              </w:rPr>
              <w:t>1</w:t>
            </w:r>
            <w:r w:rsidRPr="0084708F">
              <w:rPr>
                <w:rFonts w:eastAsia="Calibri"/>
              </w:rPr>
              <w:t xml:space="preserve"> </w:t>
            </w:r>
          </w:p>
        </w:tc>
        <w:tc>
          <w:tcPr>
            <w:tcW w:w="728" w:type="pct"/>
            <w:shd w:val="clear" w:color="auto" w:fill="auto"/>
            <w:tcMar>
              <w:top w:w="57" w:type="dxa"/>
              <w:bottom w:w="57" w:type="dxa"/>
            </w:tcMar>
          </w:tcPr>
          <w:p w14:paraId="186519C6" w14:textId="77777777" w:rsidR="007E3A44" w:rsidRPr="0084708F" w:rsidRDefault="007E3A44" w:rsidP="00F96662">
            <w:pPr>
              <w:pStyle w:val="Standaard-Tabellen"/>
              <w:rPr>
                <w:rFonts w:eastAsia="Calibri"/>
              </w:rPr>
            </w:pPr>
            <w:r w:rsidRPr="0084708F">
              <w:rPr>
                <w:rFonts w:eastAsia="Calibri"/>
              </w:rPr>
              <w:t>3</w:t>
            </w:r>
          </w:p>
        </w:tc>
      </w:tr>
      <w:tr w:rsidR="007E3A44" w:rsidRPr="00FD2055" w14:paraId="1E341AEC" w14:textId="77777777" w:rsidTr="00A80E60">
        <w:trPr>
          <w:tblHeader/>
        </w:trPr>
        <w:tc>
          <w:tcPr>
            <w:tcW w:w="1385" w:type="pct"/>
            <w:vMerge/>
            <w:tcMar>
              <w:top w:w="57" w:type="dxa"/>
              <w:bottom w:w="57" w:type="dxa"/>
            </w:tcMar>
          </w:tcPr>
          <w:p w14:paraId="3462579C" w14:textId="77777777" w:rsidR="007E3A44" w:rsidRPr="0084708F" w:rsidRDefault="007E3A44" w:rsidP="00F96662">
            <w:pPr>
              <w:pStyle w:val="Standaard-Tabellen"/>
              <w:rPr>
                <w:rFonts w:eastAsia="Calibri"/>
              </w:rPr>
            </w:pPr>
          </w:p>
        </w:tc>
        <w:tc>
          <w:tcPr>
            <w:tcW w:w="2887" w:type="pct"/>
            <w:shd w:val="clear" w:color="auto" w:fill="auto"/>
            <w:tcMar>
              <w:top w:w="57" w:type="dxa"/>
              <w:bottom w:w="57" w:type="dxa"/>
            </w:tcMar>
          </w:tcPr>
          <w:p w14:paraId="3BC7D8CF" w14:textId="77777777" w:rsidR="007E3A44" w:rsidRPr="0084708F" w:rsidRDefault="007E3A44" w:rsidP="00F96662">
            <w:pPr>
              <w:pStyle w:val="Standaard-Tabellen"/>
              <w:rPr>
                <w:rFonts w:eastAsia="Calibri"/>
              </w:rPr>
            </w:pPr>
            <w:r w:rsidRPr="0084708F">
              <w:rPr>
                <w:rFonts w:eastAsia="Calibri"/>
              </w:rPr>
              <w:t>Body weight</w:t>
            </w:r>
            <w:r w:rsidRPr="00025F90">
              <w:rPr>
                <w:rFonts w:eastAsia="Calibri"/>
                <w:vertAlign w:val="superscript"/>
              </w:rPr>
              <w:t>1</w:t>
            </w:r>
          </w:p>
        </w:tc>
        <w:tc>
          <w:tcPr>
            <w:tcW w:w="728" w:type="pct"/>
            <w:shd w:val="clear" w:color="auto" w:fill="auto"/>
            <w:tcMar>
              <w:top w:w="57" w:type="dxa"/>
              <w:bottom w:w="57" w:type="dxa"/>
            </w:tcMar>
          </w:tcPr>
          <w:p w14:paraId="7CD54E91" w14:textId="77777777" w:rsidR="007E3A44" w:rsidRPr="0084708F" w:rsidRDefault="007E3A44" w:rsidP="00F96662">
            <w:pPr>
              <w:pStyle w:val="Standaard-Tabellen"/>
              <w:rPr>
                <w:rFonts w:eastAsia="Calibri"/>
              </w:rPr>
            </w:pPr>
            <w:r w:rsidRPr="0084708F">
              <w:rPr>
                <w:rFonts w:eastAsia="Calibri"/>
              </w:rPr>
              <w:t>8 kg</w:t>
            </w:r>
          </w:p>
        </w:tc>
      </w:tr>
      <w:tr w:rsidR="007E3A44" w:rsidRPr="00FD2055" w14:paraId="5BBDA909" w14:textId="77777777" w:rsidTr="00A80E60">
        <w:trPr>
          <w:tblHeader/>
        </w:trPr>
        <w:tc>
          <w:tcPr>
            <w:tcW w:w="1385" w:type="pct"/>
            <w:vMerge/>
            <w:tcMar>
              <w:top w:w="57" w:type="dxa"/>
              <w:bottom w:w="57" w:type="dxa"/>
            </w:tcMar>
          </w:tcPr>
          <w:p w14:paraId="4FF98828" w14:textId="77777777" w:rsidR="007E3A44" w:rsidRPr="0084708F" w:rsidRDefault="007E3A44" w:rsidP="00F96662">
            <w:pPr>
              <w:pStyle w:val="Standaard-Tabellen"/>
              <w:rPr>
                <w:rFonts w:eastAsia="Calibri"/>
              </w:rPr>
            </w:pPr>
          </w:p>
        </w:tc>
        <w:tc>
          <w:tcPr>
            <w:tcW w:w="2887" w:type="pct"/>
            <w:shd w:val="clear" w:color="auto" w:fill="auto"/>
            <w:tcMar>
              <w:top w:w="57" w:type="dxa"/>
              <w:bottom w:w="57" w:type="dxa"/>
            </w:tcMar>
          </w:tcPr>
          <w:p w14:paraId="32E937C1" w14:textId="77777777" w:rsidR="007E3A44" w:rsidRPr="0084708F" w:rsidRDefault="007E3A44" w:rsidP="00F96662">
            <w:pPr>
              <w:pStyle w:val="Standaard-Tabellen"/>
              <w:rPr>
                <w:rFonts w:eastAsia="Calibri"/>
              </w:rPr>
            </w:pPr>
            <w:r w:rsidRPr="0084708F">
              <w:rPr>
                <w:rFonts w:eastAsia="Calibri"/>
              </w:rPr>
              <w:t>Amount of biocidal product/ application</w:t>
            </w:r>
            <w:r w:rsidRPr="00025F90">
              <w:rPr>
                <w:rFonts w:eastAsia="Calibri"/>
                <w:vertAlign w:val="superscript"/>
              </w:rPr>
              <w:t>1</w:t>
            </w:r>
            <w:r w:rsidRPr="0084708F">
              <w:rPr>
                <w:rFonts w:eastAsia="Calibri"/>
              </w:rPr>
              <w:t xml:space="preserve"> </w:t>
            </w:r>
          </w:p>
        </w:tc>
        <w:tc>
          <w:tcPr>
            <w:tcW w:w="728" w:type="pct"/>
            <w:shd w:val="clear" w:color="auto" w:fill="auto"/>
            <w:tcMar>
              <w:top w:w="57" w:type="dxa"/>
              <w:bottom w:w="57" w:type="dxa"/>
            </w:tcMar>
          </w:tcPr>
          <w:p w14:paraId="380CBD0F" w14:textId="6EB06940" w:rsidR="007E3A44" w:rsidRPr="0084708F" w:rsidRDefault="007E3A44" w:rsidP="00A80E60">
            <w:pPr>
              <w:pStyle w:val="Standaard-Tabellen"/>
              <w:rPr>
                <w:rFonts w:eastAsia="Calibri"/>
              </w:rPr>
            </w:pPr>
            <w:r w:rsidRPr="0084708F">
              <w:rPr>
                <w:rFonts w:eastAsia="Calibri"/>
              </w:rPr>
              <w:t>0</w:t>
            </w:r>
            <w:r>
              <w:rPr>
                <w:rFonts w:eastAsia="Calibri"/>
              </w:rPr>
              <w:t>.</w:t>
            </w:r>
            <w:r w:rsidR="00A80E60">
              <w:rPr>
                <w:rFonts w:eastAsia="Calibri"/>
              </w:rPr>
              <w:t>5</w:t>
            </w:r>
            <w:r w:rsidR="00A80E60" w:rsidRPr="0084708F">
              <w:rPr>
                <w:rFonts w:eastAsia="Calibri"/>
              </w:rPr>
              <w:t xml:space="preserve"> </w:t>
            </w:r>
            <w:r w:rsidRPr="0084708F">
              <w:rPr>
                <w:rFonts w:eastAsia="Calibri"/>
              </w:rPr>
              <w:t>g</w:t>
            </w:r>
          </w:p>
        </w:tc>
      </w:tr>
      <w:tr w:rsidR="00A80E60" w:rsidRPr="00FD2055" w14:paraId="7DCD34C7" w14:textId="77777777" w:rsidTr="00A80E60">
        <w:trPr>
          <w:tblHeader/>
        </w:trPr>
        <w:tc>
          <w:tcPr>
            <w:tcW w:w="1385" w:type="pct"/>
            <w:vMerge w:val="restart"/>
            <w:tcMar>
              <w:top w:w="57" w:type="dxa"/>
              <w:bottom w:w="57" w:type="dxa"/>
            </w:tcMar>
          </w:tcPr>
          <w:p w14:paraId="2C62E16C" w14:textId="77BED86A" w:rsidR="00A80E60" w:rsidRPr="0084708F" w:rsidRDefault="00A80E60" w:rsidP="00A80E60">
            <w:pPr>
              <w:pStyle w:val="Standaard-Tabellen"/>
              <w:rPr>
                <w:rFonts w:eastAsia="Calibri"/>
              </w:rPr>
            </w:pPr>
            <w:r>
              <w:rPr>
                <w:rFonts w:eastAsia="Calibri"/>
              </w:rPr>
              <w:t>Tier 2 - Infant</w:t>
            </w:r>
          </w:p>
        </w:tc>
        <w:tc>
          <w:tcPr>
            <w:tcW w:w="2887" w:type="pct"/>
            <w:shd w:val="clear" w:color="auto" w:fill="auto"/>
            <w:tcMar>
              <w:top w:w="57" w:type="dxa"/>
              <w:bottom w:w="57" w:type="dxa"/>
            </w:tcMar>
          </w:tcPr>
          <w:p w14:paraId="686EB2E4" w14:textId="6F8145E1" w:rsidR="00A80E60" w:rsidRPr="0084708F" w:rsidRDefault="00A80E60" w:rsidP="00A80E60">
            <w:pPr>
              <w:pStyle w:val="Standaard-Tabellen"/>
              <w:rPr>
                <w:rFonts w:eastAsia="Calibri"/>
              </w:rPr>
            </w:pPr>
            <w:r w:rsidRPr="0084708F">
              <w:rPr>
                <w:rFonts w:eastAsia="Calibri"/>
              </w:rPr>
              <w:t>Number of application / day</w:t>
            </w:r>
            <w:r w:rsidRPr="00025F90">
              <w:rPr>
                <w:rFonts w:eastAsia="Calibri"/>
                <w:vertAlign w:val="superscript"/>
              </w:rPr>
              <w:t>1</w:t>
            </w:r>
            <w:r w:rsidRPr="0084708F">
              <w:rPr>
                <w:rFonts w:eastAsia="Calibri"/>
              </w:rPr>
              <w:t xml:space="preserve"> </w:t>
            </w:r>
          </w:p>
        </w:tc>
        <w:tc>
          <w:tcPr>
            <w:tcW w:w="728" w:type="pct"/>
            <w:shd w:val="clear" w:color="auto" w:fill="auto"/>
            <w:tcMar>
              <w:top w:w="57" w:type="dxa"/>
              <w:bottom w:w="57" w:type="dxa"/>
            </w:tcMar>
          </w:tcPr>
          <w:p w14:paraId="79D1B9AE" w14:textId="4D62ADD1" w:rsidR="00A80E60" w:rsidRPr="0084708F" w:rsidRDefault="00A80E60" w:rsidP="00A80E60">
            <w:pPr>
              <w:pStyle w:val="Standaard-Tabellen"/>
              <w:rPr>
                <w:rFonts w:eastAsia="Calibri"/>
              </w:rPr>
            </w:pPr>
            <w:r>
              <w:rPr>
                <w:rFonts w:eastAsia="Calibri"/>
              </w:rPr>
              <w:t>2</w:t>
            </w:r>
          </w:p>
        </w:tc>
      </w:tr>
      <w:tr w:rsidR="00A80E60" w:rsidRPr="00FD2055" w14:paraId="258FDD50" w14:textId="77777777" w:rsidTr="00A80E60">
        <w:trPr>
          <w:tblHeader/>
        </w:trPr>
        <w:tc>
          <w:tcPr>
            <w:tcW w:w="1385" w:type="pct"/>
            <w:vMerge/>
            <w:tcMar>
              <w:top w:w="57" w:type="dxa"/>
              <w:bottom w:w="57" w:type="dxa"/>
            </w:tcMar>
          </w:tcPr>
          <w:p w14:paraId="484562A7" w14:textId="77777777" w:rsidR="00A80E60" w:rsidRPr="0084708F" w:rsidRDefault="00A80E60" w:rsidP="00A80E60">
            <w:pPr>
              <w:pStyle w:val="Standaard-Tabellen"/>
              <w:rPr>
                <w:rFonts w:eastAsia="Calibri"/>
              </w:rPr>
            </w:pPr>
          </w:p>
        </w:tc>
        <w:tc>
          <w:tcPr>
            <w:tcW w:w="2887" w:type="pct"/>
            <w:shd w:val="clear" w:color="auto" w:fill="auto"/>
            <w:tcMar>
              <w:top w:w="57" w:type="dxa"/>
              <w:bottom w:w="57" w:type="dxa"/>
            </w:tcMar>
          </w:tcPr>
          <w:p w14:paraId="28E68539" w14:textId="5DB3061D" w:rsidR="00A80E60" w:rsidRPr="0084708F" w:rsidRDefault="00A80E60" w:rsidP="00A80E60">
            <w:pPr>
              <w:pStyle w:val="Standaard-Tabellen"/>
              <w:rPr>
                <w:rFonts w:eastAsia="Calibri"/>
              </w:rPr>
            </w:pPr>
            <w:r w:rsidRPr="0084708F">
              <w:rPr>
                <w:rFonts w:eastAsia="Calibri"/>
              </w:rPr>
              <w:t>Body weight</w:t>
            </w:r>
            <w:r w:rsidRPr="00025F90">
              <w:rPr>
                <w:rFonts w:eastAsia="Calibri"/>
                <w:vertAlign w:val="superscript"/>
              </w:rPr>
              <w:t>1</w:t>
            </w:r>
          </w:p>
        </w:tc>
        <w:tc>
          <w:tcPr>
            <w:tcW w:w="728" w:type="pct"/>
            <w:shd w:val="clear" w:color="auto" w:fill="auto"/>
            <w:tcMar>
              <w:top w:w="57" w:type="dxa"/>
              <w:bottom w:w="57" w:type="dxa"/>
            </w:tcMar>
          </w:tcPr>
          <w:p w14:paraId="2E91AC68" w14:textId="37FE628C" w:rsidR="00A80E60" w:rsidRPr="0084708F" w:rsidRDefault="00A80E60" w:rsidP="00A80E60">
            <w:pPr>
              <w:pStyle w:val="Standaard-Tabellen"/>
              <w:rPr>
                <w:rFonts w:eastAsia="Calibri"/>
              </w:rPr>
            </w:pPr>
            <w:r w:rsidRPr="0084708F">
              <w:rPr>
                <w:rFonts w:eastAsia="Calibri"/>
              </w:rPr>
              <w:t>8 kg</w:t>
            </w:r>
          </w:p>
        </w:tc>
      </w:tr>
      <w:tr w:rsidR="00A80E60" w:rsidRPr="00FD2055" w14:paraId="1E456E02" w14:textId="77777777" w:rsidTr="00A80E60">
        <w:trPr>
          <w:tblHeader/>
        </w:trPr>
        <w:tc>
          <w:tcPr>
            <w:tcW w:w="1385" w:type="pct"/>
            <w:vMerge/>
            <w:tcMar>
              <w:top w:w="57" w:type="dxa"/>
              <w:bottom w:w="57" w:type="dxa"/>
            </w:tcMar>
          </w:tcPr>
          <w:p w14:paraId="6BFFF507" w14:textId="77777777" w:rsidR="00A80E60" w:rsidRPr="0084708F" w:rsidRDefault="00A80E60" w:rsidP="00A80E60">
            <w:pPr>
              <w:pStyle w:val="Standaard-Tabellen"/>
              <w:rPr>
                <w:rFonts w:eastAsia="Calibri"/>
              </w:rPr>
            </w:pPr>
          </w:p>
        </w:tc>
        <w:tc>
          <w:tcPr>
            <w:tcW w:w="2887" w:type="pct"/>
            <w:shd w:val="clear" w:color="auto" w:fill="auto"/>
            <w:tcMar>
              <w:top w:w="57" w:type="dxa"/>
              <w:bottom w:w="57" w:type="dxa"/>
            </w:tcMar>
          </w:tcPr>
          <w:p w14:paraId="5567F013" w14:textId="351770CC" w:rsidR="00A80E60" w:rsidRPr="0084708F" w:rsidRDefault="00A80E60" w:rsidP="00A80E60">
            <w:pPr>
              <w:pStyle w:val="Standaard-Tabellen"/>
              <w:rPr>
                <w:rFonts w:eastAsia="Calibri"/>
              </w:rPr>
            </w:pPr>
            <w:r w:rsidRPr="0084708F">
              <w:rPr>
                <w:rFonts w:eastAsia="Calibri"/>
              </w:rPr>
              <w:t>Amount of biocidal product/ application</w:t>
            </w:r>
            <w:r w:rsidRPr="00025F90">
              <w:rPr>
                <w:rFonts w:eastAsia="Calibri"/>
                <w:vertAlign w:val="superscript"/>
              </w:rPr>
              <w:t>1</w:t>
            </w:r>
            <w:r w:rsidRPr="0084708F">
              <w:rPr>
                <w:rFonts w:eastAsia="Calibri"/>
              </w:rPr>
              <w:t xml:space="preserve"> </w:t>
            </w:r>
          </w:p>
        </w:tc>
        <w:tc>
          <w:tcPr>
            <w:tcW w:w="728" w:type="pct"/>
            <w:shd w:val="clear" w:color="auto" w:fill="auto"/>
            <w:tcMar>
              <w:top w:w="57" w:type="dxa"/>
              <w:bottom w:w="57" w:type="dxa"/>
            </w:tcMar>
          </w:tcPr>
          <w:p w14:paraId="0F71DD5A" w14:textId="5F4F1714" w:rsidR="00A80E60" w:rsidRPr="0084708F" w:rsidRDefault="00A80E60" w:rsidP="00A80E60">
            <w:pPr>
              <w:pStyle w:val="Standaard-Tabellen"/>
              <w:rPr>
                <w:rFonts w:eastAsia="Calibri"/>
              </w:rPr>
            </w:pPr>
            <w:r>
              <w:rPr>
                <w:rFonts w:eastAsia="Calibri"/>
              </w:rPr>
              <w:t>0.5</w:t>
            </w:r>
            <w:r w:rsidRPr="0084708F">
              <w:rPr>
                <w:rFonts w:eastAsia="Calibri"/>
              </w:rPr>
              <w:t xml:space="preserve"> g</w:t>
            </w:r>
          </w:p>
        </w:tc>
      </w:tr>
    </w:tbl>
    <w:p w14:paraId="160AAE24" w14:textId="77777777" w:rsidR="007E3A44" w:rsidRDefault="007E3A44" w:rsidP="007E3A44">
      <w:pPr>
        <w:pStyle w:val="Voetnoot"/>
        <w:rPr>
          <w:rFonts w:eastAsia="Calibri"/>
        </w:rPr>
      </w:pPr>
      <w:r w:rsidRPr="00332AD5">
        <w:rPr>
          <w:rStyle w:val="Appelnotedebasdep"/>
          <w:rFonts w:eastAsia="Calibri"/>
          <w:vertAlign w:val="superscript"/>
        </w:rPr>
        <w:t>1</w:t>
      </w:r>
      <w:r w:rsidRPr="00332AD5">
        <w:rPr>
          <w:rStyle w:val="Appelnotedebasdep"/>
          <w:rFonts w:eastAsia="Calibri"/>
        </w:rPr>
        <w:t xml:space="preserve"> </w:t>
      </w:r>
      <w:r>
        <w:rPr>
          <w:rFonts w:eastAsia="Calibri"/>
        </w:rPr>
        <w:t>General information, see justification above</w:t>
      </w:r>
    </w:p>
    <w:p w14:paraId="32C755D3" w14:textId="77777777" w:rsidR="007E3A44" w:rsidRPr="00882089" w:rsidRDefault="007E3A44" w:rsidP="007E3A44">
      <w:pPr>
        <w:rPr>
          <w:rStyle w:val="Appelnotedebasdep"/>
          <w:rFonts w:eastAsia="Calibri"/>
          <w:position w:val="4"/>
        </w:rPr>
      </w:pPr>
    </w:p>
    <w:p w14:paraId="243442B7" w14:textId="77777777" w:rsidR="007E3A44" w:rsidRPr="00091FA6" w:rsidRDefault="007E3A44" w:rsidP="007E3A44">
      <w:pPr>
        <w:pStyle w:val="Titre7"/>
        <w:rPr>
          <w:lang w:val="en-US"/>
        </w:rPr>
      </w:pPr>
      <w:r w:rsidRPr="00C20709">
        <w:rPr>
          <w:lang w:val="en-US"/>
        </w:rPr>
        <w:lastRenderedPageBreak/>
        <w:t xml:space="preserve">Calculations for scenario </w:t>
      </w:r>
      <w:r>
        <w:rPr>
          <w:lang w:val="en-US"/>
        </w:rPr>
        <w:t>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99"/>
        <w:gridCol w:w="1654"/>
        <w:gridCol w:w="4243"/>
      </w:tblGrid>
      <w:tr w:rsidR="007E3A44" w:rsidRPr="00C20709" w14:paraId="3065180B" w14:textId="77777777" w:rsidTr="00F96662">
        <w:trPr>
          <w:cantSplit/>
          <w:trHeight w:val="293"/>
          <w:tblHeader/>
        </w:trPr>
        <w:tc>
          <w:tcPr>
            <w:tcW w:w="5000" w:type="pct"/>
            <w:gridSpan w:val="3"/>
            <w:shd w:val="clear" w:color="auto" w:fill="FFFFCC"/>
          </w:tcPr>
          <w:p w14:paraId="03F02FC4" w14:textId="77777777" w:rsidR="007E3A44" w:rsidRPr="00C20709" w:rsidRDefault="007E3A44" w:rsidP="00F96662">
            <w:pPr>
              <w:pStyle w:val="Standaard-Tabellen"/>
              <w:jc w:val="center"/>
              <w:rPr>
                <w:rFonts w:eastAsia="Calibri"/>
                <w:b/>
              </w:rPr>
            </w:pPr>
            <w:r w:rsidRPr="00C20709">
              <w:rPr>
                <w:rFonts w:eastAsia="Calibri"/>
                <w:b/>
              </w:rPr>
              <w:t xml:space="preserve">Summary table: estimated exposure </w:t>
            </w:r>
            <w:r>
              <w:rPr>
                <w:rFonts w:eastAsia="Calibri"/>
                <w:b/>
              </w:rPr>
              <w:t>for Dermal Primary exposure</w:t>
            </w:r>
          </w:p>
        </w:tc>
      </w:tr>
      <w:tr w:rsidR="007E3A44" w:rsidRPr="00C20709" w14:paraId="7B77F698" w14:textId="77777777" w:rsidTr="00A80E60">
        <w:trPr>
          <w:cantSplit/>
          <w:trHeight w:val="293"/>
          <w:tblHeader/>
        </w:trPr>
        <w:tc>
          <w:tcPr>
            <w:tcW w:w="1862" w:type="pct"/>
            <w:shd w:val="clear" w:color="auto" w:fill="BFBFBF" w:themeFill="background1" w:themeFillShade="BF"/>
          </w:tcPr>
          <w:p w14:paraId="31582D6C" w14:textId="77777777" w:rsidR="007E3A44" w:rsidRPr="00C20709" w:rsidRDefault="007E3A44" w:rsidP="00F96662">
            <w:pPr>
              <w:pStyle w:val="Standaard-Tabellen"/>
              <w:rPr>
                <w:rFonts w:eastAsia="Calibri"/>
                <w:b/>
              </w:rPr>
            </w:pPr>
            <w:r w:rsidRPr="00C20709">
              <w:rPr>
                <w:rFonts w:eastAsia="Calibri"/>
                <w:b/>
              </w:rPr>
              <w:t>Exposure scenario</w:t>
            </w:r>
          </w:p>
        </w:tc>
        <w:tc>
          <w:tcPr>
            <w:tcW w:w="880" w:type="pct"/>
            <w:shd w:val="clear" w:color="auto" w:fill="BFBFBF" w:themeFill="background1" w:themeFillShade="BF"/>
          </w:tcPr>
          <w:p w14:paraId="1ED35065" w14:textId="77777777" w:rsidR="007E3A44" w:rsidRPr="00C20709" w:rsidRDefault="007E3A44" w:rsidP="00F96662">
            <w:pPr>
              <w:pStyle w:val="Standaard-Tabellen"/>
              <w:rPr>
                <w:rFonts w:eastAsia="Calibri"/>
                <w:b/>
              </w:rPr>
            </w:pPr>
            <w:r w:rsidRPr="00C20709">
              <w:rPr>
                <w:rFonts w:eastAsia="Calibri"/>
                <w:b/>
              </w:rPr>
              <w:t>Tier/PPE</w:t>
            </w:r>
          </w:p>
        </w:tc>
        <w:tc>
          <w:tcPr>
            <w:tcW w:w="2258" w:type="pct"/>
            <w:shd w:val="clear" w:color="auto" w:fill="BFBFBF" w:themeFill="background1" w:themeFillShade="BF"/>
          </w:tcPr>
          <w:p w14:paraId="2BBFE319" w14:textId="77777777" w:rsidR="007E3A44" w:rsidRPr="00C20709" w:rsidRDefault="007E3A44" w:rsidP="00F96662">
            <w:pPr>
              <w:pStyle w:val="Standaard-Tabellen"/>
              <w:rPr>
                <w:rFonts w:eastAsia="Calibri"/>
                <w:b/>
              </w:rPr>
            </w:pPr>
            <w:r w:rsidRPr="00C20709">
              <w:rPr>
                <w:rFonts w:eastAsia="Calibri"/>
                <w:b/>
              </w:rPr>
              <w:t xml:space="preserve">Estimated </w:t>
            </w:r>
            <w:r>
              <w:rPr>
                <w:rFonts w:eastAsia="Calibri"/>
                <w:b/>
              </w:rPr>
              <w:t>dermal</w:t>
            </w:r>
            <w:r w:rsidRPr="00C20709">
              <w:rPr>
                <w:rFonts w:eastAsia="Calibri"/>
                <w:b/>
              </w:rPr>
              <w:t xml:space="preserve"> uptake</w:t>
            </w:r>
          </w:p>
        </w:tc>
      </w:tr>
      <w:tr w:rsidR="007E3A44" w:rsidRPr="00FD2055" w14:paraId="1BB2A217" w14:textId="77777777" w:rsidTr="00A80E60">
        <w:trPr>
          <w:cantSplit/>
          <w:trHeight w:val="587"/>
          <w:tblHeader/>
        </w:trPr>
        <w:tc>
          <w:tcPr>
            <w:tcW w:w="1862" w:type="pct"/>
            <w:shd w:val="clear" w:color="auto" w:fill="auto"/>
          </w:tcPr>
          <w:p w14:paraId="443C0E1E" w14:textId="77777777" w:rsidR="007E3A44" w:rsidRDefault="007E3A44" w:rsidP="00F96662">
            <w:pPr>
              <w:pStyle w:val="Standaard-Tabellen"/>
              <w:rPr>
                <w:rFonts w:eastAsia="Calibri"/>
              </w:rPr>
            </w:pPr>
            <w:r w:rsidRPr="00FD2055">
              <w:rPr>
                <w:rFonts w:eastAsia="Calibri"/>
              </w:rPr>
              <w:t xml:space="preserve">Scenario </w:t>
            </w:r>
            <w:r>
              <w:rPr>
                <w:rFonts w:eastAsia="Calibri"/>
              </w:rPr>
              <w:t>1 – ADULT</w:t>
            </w:r>
          </w:p>
          <w:p w14:paraId="4EF67A20" w14:textId="77777777" w:rsidR="007E3A44" w:rsidRPr="00FD2055" w:rsidRDefault="007E3A44" w:rsidP="00F96662">
            <w:pPr>
              <w:pStyle w:val="Standaard-Tabellen"/>
              <w:rPr>
                <w:rFonts w:eastAsia="Calibri"/>
              </w:rPr>
            </w:pPr>
            <w:r>
              <w:rPr>
                <w:rFonts w:eastAsia="Calibri"/>
              </w:rPr>
              <w:t>3 appl/d</w:t>
            </w:r>
          </w:p>
        </w:tc>
        <w:tc>
          <w:tcPr>
            <w:tcW w:w="880" w:type="pct"/>
          </w:tcPr>
          <w:p w14:paraId="60B806AC" w14:textId="77777777" w:rsidR="007E3A44" w:rsidRDefault="007E3A44" w:rsidP="00F96662">
            <w:pPr>
              <w:pStyle w:val="Standaard-Tabellen"/>
              <w:rPr>
                <w:rFonts w:eastAsia="Calibri"/>
              </w:rPr>
            </w:pPr>
            <w:r>
              <w:rPr>
                <w:rFonts w:eastAsia="Calibri"/>
              </w:rPr>
              <w:t xml:space="preserve">Tier 1 / </w:t>
            </w:r>
          </w:p>
          <w:p w14:paraId="0EE4E7A7" w14:textId="77777777" w:rsidR="007E3A44" w:rsidRPr="00FD2055" w:rsidRDefault="007E3A44" w:rsidP="00F96662">
            <w:pPr>
              <w:pStyle w:val="Standaard-Tabellen"/>
              <w:rPr>
                <w:rFonts w:eastAsia="Calibri"/>
              </w:rPr>
            </w:pPr>
            <w:r>
              <w:rPr>
                <w:rFonts w:eastAsia="Calibri"/>
              </w:rPr>
              <w:t xml:space="preserve">no PPE </w:t>
            </w:r>
          </w:p>
        </w:tc>
        <w:tc>
          <w:tcPr>
            <w:tcW w:w="2258" w:type="pct"/>
            <w:vAlign w:val="center"/>
          </w:tcPr>
          <w:p w14:paraId="7E97AC1C" w14:textId="77777777" w:rsidR="007E3A44" w:rsidRPr="00570A64" w:rsidRDefault="007E3A44" w:rsidP="00F96662">
            <w:pPr>
              <w:spacing w:line="276" w:lineRule="auto"/>
              <w:jc w:val="both"/>
              <w:rPr>
                <w:rFonts w:cs="Arial"/>
                <w:sz w:val="18"/>
              </w:rPr>
            </w:pPr>
            <w:r w:rsidRPr="002100F6">
              <w:rPr>
                <w:rFonts w:cs="Arial"/>
                <w:sz w:val="18"/>
              </w:rPr>
              <w:t>1</w:t>
            </w:r>
            <w:r>
              <w:rPr>
                <w:rFonts w:cs="Arial"/>
                <w:sz w:val="18"/>
              </w:rPr>
              <w:t>.</w:t>
            </w:r>
            <w:r w:rsidRPr="002100F6">
              <w:rPr>
                <w:rFonts w:cs="Arial"/>
                <w:sz w:val="18"/>
              </w:rPr>
              <w:t>47 mg/kg bw/day</w:t>
            </w:r>
          </w:p>
        </w:tc>
      </w:tr>
      <w:tr w:rsidR="007E3A44" w:rsidRPr="00FD2055" w14:paraId="14EF3933" w14:textId="77777777" w:rsidTr="00A80E60">
        <w:trPr>
          <w:cantSplit/>
          <w:trHeight w:val="435"/>
          <w:tblHeader/>
        </w:trPr>
        <w:tc>
          <w:tcPr>
            <w:tcW w:w="1862" w:type="pct"/>
            <w:shd w:val="clear" w:color="auto" w:fill="auto"/>
          </w:tcPr>
          <w:p w14:paraId="2F00FFD5" w14:textId="77777777" w:rsidR="007E3A44" w:rsidRDefault="007E3A44" w:rsidP="00F96662">
            <w:pPr>
              <w:pStyle w:val="Standaard-Tabellen"/>
              <w:rPr>
                <w:rFonts w:eastAsia="Calibri"/>
              </w:rPr>
            </w:pPr>
            <w:r w:rsidRPr="00FD2055">
              <w:rPr>
                <w:rFonts w:eastAsia="Calibri"/>
              </w:rPr>
              <w:t xml:space="preserve">Scenario </w:t>
            </w:r>
            <w:r>
              <w:rPr>
                <w:rFonts w:eastAsia="Calibri"/>
              </w:rPr>
              <w:t>1 – CHILD</w:t>
            </w:r>
          </w:p>
          <w:p w14:paraId="5463600D" w14:textId="77777777" w:rsidR="007E3A44" w:rsidRPr="00FD2055" w:rsidRDefault="007E3A44" w:rsidP="00F96662">
            <w:pPr>
              <w:pStyle w:val="Standaard-Tabellen"/>
              <w:rPr>
                <w:rFonts w:eastAsia="Calibri"/>
              </w:rPr>
            </w:pPr>
            <w:r>
              <w:rPr>
                <w:rFonts w:eastAsia="Calibri"/>
              </w:rPr>
              <w:t>3 appl/d</w:t>
            </w:r>
          </w:p>
        </w:tc>
        <w:tc>
          <w:tcPr>
            <w:tcW w:w="880" w:type="pct"/>
          </w:tcPr>
          <w:p w14:paraId="0368AC1E" w14:textId="77777777" w:rsidR="007E3A44" w:rsidRPr="00B41694" w:rsidRDefault="007E3A44" w:rsidP="00F96662">
            <w:pPr>
              <w:pStyle w:val="Standaard-Tabellen"/>
              <w:rPr>
                <w:rFonts w:eastAsia="Calibri"/>
              </w:rPr>
            </w:pPr>
            <w:r w:rsidRPr="00B41694">
              <w:rPr>
                <w:rFonts w:eastAsia="Calibri"/>
              </w:rPr>
              <w:t xml:space="preserve">Tier 1 / </w:t>
            </w:r>
          </w:p>
          <w:p w14:paraId="619FA2C2" w14:textId="77777777" w:rsidR="007E3A44" w:rsidRPr="00B41694" w:rsidRDefault="007E3A44" w:rsidP="00F96662">
            <w:pPr>
              <w:pStyle w:val="Standaard-Tabellen"/>
              <w:rPr>
                <w:rFonts w:eastAsia="Calibri"/>
              </w:rPr>
            </w:pPr>
            <w:r w:rsidRPr="00B41694">
              <w:rPr>
                <w:rFonts w:eastAsia="Calibri"/>
              </w:rPr>
              <w:t>no PPE</w:t>
            </w:r>
          </w:p>
        </w:tc>
        <w:tc>
          <w:tcPr>
            <w:tcW w:w="2258" w:type="pct"/>
            <w:vAlign w:val="center"/>
          </w:tcPr>
          <w:p w14:paraId="4433DE98" w14:textId="77777777" w:rsidR="007E3A44" w:rsidRPr="00570A64" w:rsidRDefault="007E3A44" w:rsidP="00F96662">
            <w:pPr>
              <w:spacing w:line="276" w:lineRule="auto"/>
              <w:jc w:val="both"/>
              <w:rPr>
                <w:rFonts w:cs="Arial"/>
                <w:sz w:val="18"/>
              </w:rPr>
            </w:pPr>
            <w:r w:rsidRPr="002100F6">
              <w:rPr>
                <w:rFonts w:cs="Arial"/>
                <w:sz w:val="18"/>
              </w:rPr>
              <w:t>1</w:t>
            </w:r>
            <w:r>
              <w:rPr>
                <w:rFonts w:cs="Arial"/>
                <w:sz w:val="18"/>
              </w:rPr>
              <w:t>.</w:t>
            </w:r>
            <w:r w:rsidRPr="002100F6">
              <w:rPr>
                <w:rFonts w:cs="Arial"/>
                <w:sz w:val="18"/>
              </w:rPr>
              <w:t>76 mg/kg bw/day</w:t>
            </w:r>
          </w:p>
        </w:tc>
      </w:tr>
      <w:tr w:rsidR="00A80E60" w:rsidRPr="00FD2055" w14:paraId="0DB94C24" w14:textId="77777777" w:rsidTr="00A80E60">
        <w:trPr>
          <w:cantSplit/>
          <w:trHeight w:val="595"/>
          <w:tblHeader/>
        </w:trPr>
        <w:tc>
          <w:tcPr>
            <w:tcW w:w="1862" w:type="pct"/>
            <w:shd w:val="clear" w:color="auto" w:fill="auto"/>
          </w:tcPr>
          <w:p w14:paraId="3872140C" w14:textId="77777777" w:rsidR="00A80E60" w:rsidRDefault="00A80E60" w:rsidP="00A80E60">
            <w:pPr>
              <w:pStyle w:val="Standaard-Tabellen"/>
              <w:rPr>
                <w:rFonts w:eastAsia="Calibri"/>
              </w:rPr>
            </w:pPr>
            <w:r>
              <w:rPr>
                <w:rFonts w:eastAsia="Calibri"/>
              </w:rPr>
              <w:t>Scenario 1</w:t>
            </w:r>
            <w:r w:rsidRPr="00B41694">
              <w:rPr>
                <w:rFonts w:eastAsia="Calibri"/>
              </w:rPr>
              <w:t xml:space="preserve"> </w:t>
            </w:r>
            <w:r>
              <w:rPr>
                <w:rFonts w:eastAsia="Calibri"/>
              </w:rPr>
              <w:t>–</w:t>
            </w:r>
            <w:r w:rsidRPr="00B41694">
              <w:rPr>
                <w:rFonts w:eastAsia="Calibri"/>
              </w:rPr>
              <w:t xml:space="preserve"> </w:t>
            </w:r>
            <w:r>
              <w:rPr>
                <w:rFonts w:eastAsia="Calibri"/>
              </w:rPr>
              <w:t>TODDLER</w:t>
            </w:r>
          </w:p>
          <w:p w14:paraId="0B77E4E2" w14:textId="77777777" w:rsidR="00A80E60" w:rsidRPr="00FD2055" w:rsidRDefault="00A80E60" w:rsidP="00A80E60">
            <w:pPr>
              <w:pStyle w:val="Standaard-Tabellen"/>
              <w:rPr>
                <w:rFonts w:eastAsia="Calibri"/>
              </w:rPr>
            </w:pPr>
            <w:r>
              <w:rPr>
                <w:rFonts w:eastAsia="Calibri"/>
              </w:rPr>
              <w:t>3 appl/d</w:t>
            </w:r>
          </w:p>
        </w:tc>
        <w:tc>
          <w:tcPr>
            <w:tcW w:w="880" w:type="pct"/>
          </w:tcPr>
          <w:p w14:paraId="11946162" w14:textId="77777777" w:rsidR="00A80E60" w:rsidRPr="00B41694" w:rsidRDefault="00A80E60" w:rsidP="00A80E60">
            <w:pPr>
              <w:pStyle w:val="Standaard-Tabellen"/>
              <w:rPr>
                <w:rFonts w:eastAsia="Calibri"/>
              </w:rPr>
            </w:pPr>
            <w:r w:rsidRPr="00B41694">
              <w:rPr>
                <w:rFonts w:eastAsia="Calibri"/>
              </w:rPr>
              <w:t xml:space="preserve">Tier 1 / </w:t>
            </w:r>
          </w:p>
          <w:p w14:paraId="0468B7AF" w14:textId="77777777" w:rsidR="00A80E60" w:rsidRPr="00FD2055" w:rsidRDefault="00A80E60" w:rsidP="00A80E60">
            <w:pPr>
              <w:pStyle w:val="Standaard-Tabellen"/>
              <w:rPr>
                <w:rFonts w:eastAsia="Calibri"/>
              </w:rPr>
            </w:pPr>
            <w:r w:rsidRPr="00B41694">
              <w:rPr>
                <w:rFonts w:eastAsia="Calibri"/>
              </w:rPr>
              <w:t>no PPE</w:t>
            </w:r>
          </w:p>
        </w:tc>
        <w:tc>
          <w:tcPr>
            <w:tcW w:w="2258" w:type="pct"/>
            <w:vAlign w:val="center"/>
          </w:tcPr>
          <w:p w14:paraId="405B6833" w14:textId="12C57F47" w:rsidR="00A80E60" w:rsidRPr="00570A64" w:rsidRDefault="00A80E60" w:rsidP="00A80E60">
            <w:pPr>
              <w:spacing w:line="276" w:lineRule="auto"/>
              <w:jc w:val="both"/>
              <w:rPr>
                <w:rFonts w:cs="Arial"/>
                <w:sz w:val="18"/>
              </w:rPr>
            </w:pPr>
            <w:r>
              <w:rPr>
                <w:rFonts w:cs="Arial"/>
                <w:sz w:val="18"/>
              </w:rPr>
              <w:t>4.2</w:t>
            </w:r>
            <w:r w:rsidRPr="002100F6">
              <w:rPr>
                <w:rFonts w:cs="Arial"/>
                <w:sz w:val="18"/>
              </w:rPr>
              <w:t xml:space="preserve"> mg/kg bw/day</w:t>
            </w:r>
          </w:p>
        </w:tc>
      </w:tr>
      <w:tr w:rsidR="00A80E60" w:rsidRPr="00FD2055" w14:paraId="082B1352" w14:textId="77777777" w:rsidTr="00A80E60">
        <w:trPr>
          <w:cantSplit/>
          <w:trHeight w:val="587"/>
          <w:tblHeader/>
        </w:trPr>
        <w:tc>
          <w:tcPr>
            <w:tcW w:w="1862" w:type="pct"/>
            <w:shd w:val="clear" w:color="auto" w:fill="auto"/>
          </w:tcPr>
          <w:p w14:paraId="18AAABDD" w14:textId="77777777" w:rsidR="00A80E60" w:rsidRDefault="00A80E60" w:rsidP="00A80E60">
            <w:pPr>
              <w:pStyle w:val="Standaard-Tabellen"/>
              <w:rPr>
                <w:rFonts w:eastAsia="Calibri"/>
              </w:rPr>
            </w:pPr>
            <w:r>
              <w:rPr>
                <w:rFonts w:eastAsia="Calibri"/>
              </w:rPr>
              <w:t>Scenario 1 – INFANT</w:t>
            </w:r>
          </w:p>
          <w:p w14:paraId="66900C42" w14:textId="77777777" w:rsidR="00A80E60" w:rsidRPr="00FD2055" w:rsidRDefault="00A80E60" w:rsidP="00A80E60">
            <w:pPr>
              <w:pStyle w:val="Standaard-Tabellen"/>
              <w:rPr>
                <w:rFonts w:eastAsia="Calibri"/>
              </w:rPr>
            </w:pPr>
            <w:r>
              <w:rPr>
                <w:rFonts w:eastAsia="Calibri"/>
              </w:rPr>
              <w:t>3 appl/d</w:t>
            </w:r>
          </w:p>
        </w:tc>
        <w:tc>
          <w:tcPr>
            <w:tcW w:w="880" w:type="pct"/>
          </w:tcPr>
          <w:p w14:paraId="3F332B0D" w14:textId="77777777" w:rsidR="00A80E60" w:rsidRPr="00B41694" w:rsidRDefault="00A80E60" w:rsidP="00A80E60">
            <w:pPr>
              <w:pStyle w:val="Standaard-Tabellen"/>
              <w:rPr>
                <w:rFonts w:eastAsia="Calibri"/>
              </w:rPr>
            </w:pPr>
            <w:r w:rsidRPr="00B41694">
              <w:rPr>
                <w:rFonts w:eastAsia="Calibri"/>
              </w:rPr>
              <w:t xml:space="preserve">Tier 1 / </w:t>
            </w:r>
          </w:p>
          <w:p w14:paraId="29075ADB" w14:textId="77777777" w:rsidR="00A80E60" w:rsidRPr="00FD2055" w:rsidRDefault="00A80E60" w:rsidP="00A80E60">
            <w:pPr>
              <w:pStyle w:val="Standaard-Tabellen"/>
              <w:rPr>
                <w:rFonts w:eastAsia="Calibri"/>
              </w:rPr>
            </w:pPr>
            <w:r w:rsidRPr="00B41694">
              <w:rPr>
                <w:rFonts w:eastAsia="Calibri"/>
              </w:rPr>
              <w:t>no PPE</w:t>
            </w:r>
          </w:p>
        </w:tc>
        <w:tc>
          <w:tcPr>
            <w:tcW w:w="2258" w:type="pct"/>
            <w:vAlign w:val="center"/>
          </w:tcPr>
          <w:p w14:paraId="1A3541D4" w14:textId="6111EEE9" w:rsidR="00A80E60" w:rsidRPr="00570A64" w:rsidRDefault="00A80E60" w:rsidP="00A80E60">
            <w:pPr>
              <w:spacing w:line="276" w:lineRule="auto"/>
              <w:jc w:val="both"/>
              <w:rPr>
                <w:rFonts w:cs="Arial"/>
                <w:sz w:val="18"/>
              </w:rPr>
            </w:pPr>
            <w:r>
              <w:rPr>
                <w:rFonts w:cs="Arial"/>
                <w:sz w:val="18"/>
              </w:rPr>
              <w:t>5.25</w:t>
            </w:r>
            <w:r w:rsidRPr="002100F6">
              <w:rPr>
                <w:rFonts w:cs="Arial"/>
                <w:sz w:val="18"/>
              </w:rPr>
              <w:t xml:space="preserve"> mg/kg bw/day</w:t>
            </w:r>
          </w:p>
        </w:tc>
      </w:tr>
      <w:tr w:rsidR="00A80E60" w:rsidRPr="00FD2055" w14:paraId="5475FF19" w14:textId="77777777" w:rsidTr="00A80E60">
        <w:trPr>
          <w:cantSplit/>
          <w:trHeight w:val="587"/>
          <w:tblHeader/>
        </w:trPr>
        <w:tc>
          <w:tcPr>
            <w:tcW w:w="1862" w:type="pct"/>
            <w:shd w:val="clear" w:color="auto" w:fill="auto"/>
          </w:tcPr>
          <w:p w14:paraId="765CB160" w14:textId="77777777" w:rsidR="00A80E60" w:rsidRDefault="00A80E60" w:rsidP="00A80E60">
            <w:pPr>
              <w:pStyle w:val="Standaard-Tabellen"/>
              <w:rPr>
                <w:rFonts w:eastAsia="Calibri"/>
              </w:rPr>
            </w:pPr>
            <w:r>
              <w:rPr>
                <w:rFonts w:eastAsia="Calibri"/>
              </w:rPr>
              <w:t>Scenario 1 – INFANT</w:t>
            </w:r>
          </w:p>
          <w:p w14:paraId="13451E65" w14:textId="5D0DAA62" w:rsidR="00A80E60" w:rsidRDefault="00A80E60" w:rsidP="00A80E60">
            <w:pPr>
              <w:pStyle w:val="Standaard-Tabellen"/>
              <w:rPr>
                <w:rFonts w:eastAsia="Calibri"/>
              </w:rPr>
            </w:pPr>
            <w:r>
              <w:rPr>
                <w:rFonts w:eastAsia="Calibri"/>
              </w:rPr>
              <w:t>2 appl/d</w:t>
            </w:r>
          </w:p>
        </w:tc>
        <w:tc>
          <w:tcPr>
            <w:tcW w:w="880" w:type="pct"/>
          </w:tcPr>
          <w:p w14:paraId="704E4AD7" w14:textId="77777777" w:rsidR="00A80E60" w:rsidRPr="00B41694" w:rsidRDefault="00A80E60" w:rsidP="00A80E60">
            <w:pPr>
              <w:pStyle w:val="Standaard-Tabellen"/>
              <w:rPr>
                <w:rFonts w:eastAsia="Calibri"/>
              </w:rPr>
            </w:pPr>
            <w:r>
              <w:rPr>
                <w:rFonts w:eastAsia="Calibri"/>
              </w:rPr>
              <w:t>Tier 2</w:t>
            </w:r>
            <w:r w:rsidRPr="00B41694">
              <w:rPr>
                <w:rFonts w:eastAsia="Calibri"/>
              </w:rPr>
              <w:t xml:space="preserve"> / </w:t>
            </w:r>
          </w:p>
          <w:p w14:paraId="5DABCFB9" w14:textId="069A00C3" w:rsidR="00A80E60" w:rsidRPr="00B41694" w:rsidRDefault="00A80E60" w:rsidP="00A80E60">
            <w:pPr>
              <w:pStyle w:val="Standaard-Tabellen"/>
              <w:rPr>
                <w:rFonts w:eastAsia="Calibri"/>
              </w:rPr>
            </w:pPr>
            <w:r w:rsidRPr="00B41694">
              <w:rPr>
                <w:rFonts w:eastAsia="Calibri"/>
              </w:rPr>
              <w:t>no PPE</w:t>
            </w:r>
          </w:p>
        </w:tc>
        <w:tc>
          <w:tcPr>
            <w:tcW w:w="2258" w:type="pct"/>
            <w:vAlign w:val="center"/>
          </w:tcPr>
          <w:p w14:paraId="234CCD8A" w14:textId="77542377" w:rsidR="00A80E60" w:rsidRPr="002100F6" w:rsidRDefault="00A80E60" w:rsidP="00A80E60">
            <w:pPr>
              <w:spacing w:line="276" w:lineRule="auto"/>
              <w:jc w:val="both"/>
              <w:rPr>
                <w:rFonts w:cs="Arial"/>
                <w:sz w:val="18"/>
              </w:rPr>
            </w:pPr>
            <w:r>
              <w:rPr>
                <w:rFonts w:cs="Arial"/>
                <w:sz w:val="18"/>
              </w:rPr>
              <w:t>3.5</w:t>
            </w:r>
            <w:r w:rsidRPr="002100F6">
              <w:rPr>
                <w:rFonts w:cs="Arial"/>
                <w:sz w:val="18"/>
              </w:rPr>
              <w:t xml:space="preserve"> mg/kg bw/day</w:t>
            </w:r>
          </w:p>
        </w:tc>
      </w:tr>
    </w:tbl>
    <w:p w14:paraId="58855E69" w14:textId="7780E995" w:rsidR="00046CA7" w:rsidRDefault="00046CA7"/>
    <w:p w14:paraId="3E571A33" w14:textId="77777777" w:rsidR="00046CA7" w:rsidRDefault="00046CA7">
      <w:pPr>
        <w:spacing w:before="0" w:after="160" w:line="259" w:lineRule="auto"/>
        <w:rPr>
          <w:rFonts w:cs="Arial"/>
          <w:i/>
          <w:spacing w:val="1"/>
          <w:u w:val="single"/>
          <w:lang w:val="en-US" w:eastAsia="fr-FR"/>
        </w:rPr>
      </w:pPr>
      <w:r>
        <w:rPr>
          <w:rFonts w:cs="Arial"/>
          <w:i/>
          <w:spacing w:val="1"/>
          <w:u w:val="single"/>
          <w:lang w:val="en-US" w:eastAsia="fr-FR"/>
        </w:rPr>
        <w:br w:type="page"/>
      </w:r>
    </w:p>
    <w:p w14:paraId="4C9264B7" w14:textId="77777777" w:rsidR="00222ACA" w:rsidRDefault="00222ACA" w:rsidP="000A7410">
      <w:pPr>
        <w:pStyle w:val="Paragraphedeliste"/>
        <w:keepNext/>
        <w:numPr>
          <w:ilvl w:val="0"/>
          <w:numId w:val="68"/>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FD5106">
        <w:rPr>
          <w:rFonts w:eastAsia="Calibri"/>
          <w:b/>
          <w:highlight w:val="lightGray"/>
          <w:lang w:eastAsia="en-US"/>
        </w:rPr>
        <w:lastRenderedPageBreak/>
        <w:t>MAJOR CHANGE FOR SPRAY REPULSIF IR200 – 2019 (FR CA)</w:t>
      </w:r>
    </w:p>
    <w:p w14:paraId="4590B1F8" w14:textId="77777777" w:rsidR="0071179F" w:rsidRPr="00222ACA" w:rsidRDefault="0071179F" w:rsidP="000A7410">
      <w:pPr>
        <w:keepNext/>
        <w:kinsoku w:val="0"/>
        <w:overflowPunct w:val="0"/>
        <w:autoSpaceDE w:val="0"/>
        <w:autoSpaceDN w:val="0"/>
        <w:adjustRightInd w:val="0"/>
        <w:spacing w:before="0" w:after="0" w:line="290" w:lineRule="exact"/>
        <w:ind w:left="357" w:right="215"/>
        <w:jc w:val="both"/>
        <w:textAlignment w:val="baseline"/>
        <w:rPr>
          <w:rFonts w:cs="Arial"/>
          <w:b/>
          <w:spacing w:val="1"/>
          <w:u w:val="single"/>
          <w:lang w:eastAsia="fr-FR"/>
        </w:rPr>
      </w:pPr>
    </w:p>
    <w:p w14:paraId="3177CA62" w14:textId="2C5F0775" w:rsidR="00780E5B" w:rsidRDefault="00780E5B" w:rsidP="000A7410">
      <w:pPr>
        <w:keepNext/>
        <w:kinsoku w:val="0"/>
        <w:overflowPunct w:val="0"/>
        <w:autoSpaceDE w:val="0"/>
        <w:autoSpaceDN w:val="0"/>
        <w:adjustRightInd w:val="0"/>
        <w:spacing w:before="0" w:after="0" w:line="290" w:lineRule="exact"/>
        <w:ind w:right="215"/>
        <w:jc w:val="both"/>
        <w:textAlignment w:val="baseline"/>
        <w:rPr>
          <w:rFonts w:cs="Arial"/>
          <w:spacing w:val="1"/>
          <w:lang w:eastAsia="fr-FR"/>
        </w:rPr>
      </w:pPr>
      <w:r>
        <w:rPr>
          <w:rFonts w:cs="Arial"/>
          <w:spacing w:val="1"/>
          <w:lang w:eastAsia="fr-FR"/>
        </w:rPr>
        <w:t>In order to harmonise classes of population, e</w:t>
      </w:r>
      <w:r w:rsidRPr="007E29F8">
        <w:rPr>
          <w:rFonts w:cs="Arial"/>
          <w:spacing w:val="1"/>
          <w:lang w:eastAsia="fr-FR"/>
        </w:rPr>
        <w:t>xposure assessment has been updated for spraying to the head against lice with the following parameters:</w:t>
      </w:r>
    </w:p>
    <w:p w14:paraId="54ADCF72" w14:textId="77777777" w:rsidR="0071179F" w:rsidRPr="007E29F8" w:rsidRDefault="0071179F" w:rsidP="000A7410">
      <w:pPr>
        <w:keepNext/>
        <w:kinsoku w:val="0"/>
        <w:overflowPunct w:val="0"/>
        <w:autoSpaceDE w:val="0"/>
        <w:autoSpaceDN w:val="0"/>
        <w:adjustRightInd w:val="0"/>
        <w:spacing w:before="0" w:after="0" w:line="290" w:lineRule="exact"/>
        <w:ind w:right="215"/>
        <w:jc w:val="both"/>
        <w:textAlignment w:val="baseline"/>
        <w:rPr>
          <w:rFonts w:cs="Arial"/>
          <w:spacing w:val="1"/>
          <w:lang w:eastAsia="fr-FR"/>
        </w:rPr>
      </w:pPr>
    </w:p>
    <w:p w14:paraId="5B9BE5E5" w14:textId="50712DA5" w:rsidR="00780E5B" w:rsidRDefault="00780E5B" w:rsidP="000A7410">
      <w:pPr>
        <w:widowControl w:val="0"/>
        <w:kinsoku w:val="0"/>
        <w:overflowPunct w:val="0"/>
        <w:autoSpaceDE w:val="0"/>
        <w:autoSpaceDN w:val="0"/>
        <w:adjustRightInd w:val="0"/>
        <w:spacing w:before="0" w:after="0" w:line="290" w:lineRule="exact"/>
        <w:ind w:right="215"/>
        <w:jc w:val="both"/>
        <w:textAlignment w:val="baseline"/>
        <w:rPr>
          <w:rFonts w:cs="Arial"/>
          <w:i/>
          <w:spacing w:val="1"/>
          <w:u w:val="single"/>
          <w:lang w:eastAsia="fr-FR"/>
        </w:rPr>
      </w:pPr>
      <w:r w:rsidRPr="007E29F8">
        <w:rPr>
          <w:rFonts w:cs="Arial"/>
          <w:i/>
          <w:spacing w:val="1"/>
          <w:u w:val="single"/>
          <w:lang w:eastAsia="fr-FR"/>
        </w:rPr>
        <w:t xml:space="preserve">Scenario [1c] - Primary exposure – </w:t>
      </w:r>
      <w:r w:rsidRPr="007E29F8">
        <w:rPr>
          <w:rFonts w:cs="Arial"/>
          <w:b/>
          <w:i/>
          <w:spacing w:val="1"/>
          <w:u w:val="single"/>
          <w:lang w:eastAsia="fr-FR"/>
        </w:rPr>
        <w:t>application to the head</w:t>
      </w:r>
      <w:r w:rsidRPr="007E29F8">
        <w:rPr>
          <w:rFonts w:cs="Arial"/>
          <w:i/>
          <w:spacing w:val="1"/>
          <w:u w:val="single"/>
          <w:lang w:eastAsia="fr-FR"/>
        </w:rPr>
        <w:t>: Dermal exposure assessment for adults, children, toddlers and infants</w:t>
      </w:r>
    </w:p>
    <w:p w14:paraId="20F0F241" w14:textId="77777777" w:rsidR="0071179F" w:rsidRPr="007E29F8" w:rsidRDefault="0071179F" w:rsidP="0071179F">
      <w:pPr>
        <w:widowControl w:val="0"/>
        <w:kinsoku w:val="0"/>
        <w:overflowPunct w:val="0"/>
        <w:autoSpaceDE w:val="0"/>
        <w:autoSpaceDN w:val="0"/>
        <w:adjustRightInd w:val="0"/>
        <w:spacing w:before="0" w:after="0" w:line="290" w:lineRule="exact"/>
        <w:ind w:right="215"/>
        <w:jc w:val="both"/>
        <w:textAlignment w:val="baseline"/>
        <w:rPr>
          <w:rFonts w:cs="Arial"/>
          <w:b/>
          <w:i/>
          <w:spacing w:val="1"/>
          <w:u w:val="single"/>
          <w:lang w:eastAsia="fr-FR"/>
        </w:rPr>
      </w:pPr>
    </w:p>
    <w:tbl>
      <w:tblPr>
        <w:tblW w:w="5356"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9"/>
        <w:gridCol w:w="4362"/>
        <w:gridCol w:w="1518"/>
        <w:gridCol w:w="3446"/>
      </w:tblGrid>
      <w:tr w:rsidR="00780E5B" w:rsidRPr="007E29F8" w14:paraId="5E0739B0" w14:textId="77777777" w:rsidTr="002655EE">
        <w:trPr>
          <w:tblHeader/>
        </w:trPr>
        <w:tc>
          <w:tcPr>
            <w:tcW w:w="5000" w:type="pct"/>
            <w:gridSpan w:val="4"/>
            <w:shd w:val="clear" w:color="auto" w:fill="FFFFCC"/>
            <w:tcMar>
              <w:top w:w="57" w:type="dxa"/>
              <w:bottom w:w="57" w:type="dxa"/>
            </w:tcMar>
          </w:tcPr>
          <w:p w14:paraId="06CF694C" w14:textId="77777777" w:rsidR="00780E5B" w:rsidRPr="007E29F8" w:rsidRDefault="00780E5B" w:rsidP="002655EE">
            <w:pPr>
              <w:pStyle w:val="Standaard-Tabellen"/>
              <w:keepNext/>
              <w:rPr>
                <w:rFonts w:eastAsia="Calibri"/>
                <w:b/>
                <w:sz w:val="20"/>
              </w:rPr>
            </w:pPr>
            <w:r w:rsidRPr="007E29F8">
              <w:rPr>
                <w:rFonts w:eastAsia="Calibri"/>
                <w:b/>
                <w:sz w:val="20"/>
              </w:rPr>
              <w:t>Description of Scenario 1c</w:t>
            </w:r>
          </w:p>
        </w:tc>
      </w:tr>
      <w:tr w:rsidR="00780E5B" w:rsidRPr="007E29F8" w14:paraId="7A7BBBA5" w14:textId="77777777" w:rsidTr="000A7410">
        <w:trPr>
          <w:trHeight w:val="237"/>
          <w:tblHeader/>
        </w:trPr>
        <w:tc>
          <w:tcPr>
            <w:tcW w:w="5000" w:type="pct"/>
            <w:gridSpan w:val="4"/>
            <w:shd w:val="clear" w:color="auto" w:fill="auto"/>
            <w:tcMar>
              <w:top w:w="57" w:type="dxa"/>
              <w:bottom w:w="57" w:type="dxa"/>
            </w:tcMar>
          </w:tcPr>
          <w:p w14:paraId="563CEDCD" w14:textId="77777777" w:rsidR="00780E5B" w:rsidRPr="007E29F8" w:rsidRDefault="00780E5B" w:rsidP="000A7410">
            <w:pPr>
              <w:widowControl w:val="0"/>
              <w:kinsoku w:val="0"/>
              <w:overflowPunct w:val="0"/>
              <w:autoSpaceDE w:val="0"/>
              <w:autoSpaceDN w:val="0"/>
              <w:adjustRightInd w:val="0"/>
              <w:spacing w:before="0" w:after="0"/>
              <w:ind w:right="216"/>
              <w:jc w:val="both"/>
              <w:textAlignment w:val="baseline"/>
              <w:rPr>
                <w:rFonts w:cs="Arial"/>
                <w:spacing w:val="1"/>
                <w:lang w:eastAsia="fr-FR"/>
              </w:rPr>
            </w:pPr>
            <w:r w:rsidRPr="007E29F8">
              <w:rPr>
                <w:rFonts w:cs="Arial"/>
                <w:spacing w:val="1"/>
                <w:lang w:eastAsia="fr-FR"/>
              </w:rPr>
              <w:t>Adults, children, toddlers and infants can be exposed directly when spraying the product to the head.</w:t>
            </w:r>
          </w:p>
        </w:tc>
      </w:tr>
      <w:tr w:rsidR="00780E5B" w:rsidRPr="007E29F8" w14:paraId="6963B18F" w14:textId="77777777" w:rsidTr="002655EE">
        <w:trPr>
          <w:tblHeader/>
        </w:trPr>
        <w:tc>
          <w:tcPr>
            <w:tcW w:w="367" w:type="pct"/>
            <w:shd w:val="clear" w:color="auto" w:fill="BFBFBF" w:themeFill="background1" w:themeFillShade="BF"/>
            <w:tcMar>
              <w:top w:w="57" w:type="dxa"/>
              <w:bottom w:w="57" w:type="dxa"/>
            </w:tcMar>
          </w:tcPr>
          <w:p w14:paraId="77DA918A" w14:textId="77777777" w:rsidR="00780E5B" w:rsidRPr="007E29F8" w:rsidRDefault="00780E5B" w:rsidP="000A7410">
            <w:pPr>
              <w:widowControl w:val="0"/>
              <w:kinsoku w:val="0"/>
              <w:overflowPunct w:val="0"/>
              <w:autoSpaceDE w:val="0"/>
              <w:autoSpaceDN w:val="0"/>
              <w:adjustRightInd w:val="0"/>
              <w:spacing w:before="0" w:after="0"/>
              <w:ind w:left="360" w:right="216"/>
              <w:jc w:val="both"/>
              <w:textAlignment w:val="baseline"/>
              <w:rPr>
                <w:rFonts w:cs="Arial"/>
                <w:b/>
                <w:bCs/>
                <w:spacing w:val="1"/>
                <w:u w:val="single"/>
                <w:lang w:eastAsia="fr-FR"/>
              </w:rPr>
            </w:pPr>
          </w:p>
        </w:tc>
        <w:tc>
          <w:tcPr>
            <w:tcW w:w="2167" w:type="pct"/>
            <w:shd w:val="clear" w:color="auto" w:fill="BFBFBF" w:themeFill="background1" w:themeFillShade="BF"/>
            <w:tcMar>
              <w:top w:w="57" w:type="dxa"/>
              <w:bottom w:w="57" w:type="dxa"/>
            </w:tcMar>
          </w:tcPr>
          <w:p w14:paraId="170E4ADB" w14:textId="77777777" w:rsidR="00780E5B" w:rsidRPr="007E29F8" w:rsidRDefault="00780E5B" w:rsidP="000A7410">
            <w:pPr>
              <w:widowControl w:val="0"/>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Parameters</w:t>
            </w:r>
          </w:p>
        </w:tc>
        <w:tc>
          <w:tcPr>
            <w:tcW w:w="754" w:type="pct"/>
            <w:shd w:val="clear" w:color="auto" w:fill="BFBFBF" w:themeFill="background1" w:themeFillShade="BF"/>
            <w:tcMar>
              <w:top w:w="57" w:type="dxa"/>
              <w:bottom w:w="57" w:type="dxa"/>
            </w:tcMar>
          </w:tcPr>
          <w:p w14:paraId="1A5A6071"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
                <w:bCs/>
                <w:spacing w:val="1"/>
                <w:lang w:eastAsia="fr-FR"/>
              </w:rPr>
            </w:pPr>
            <w:r w:rsidRPr="007E29F8">
              <w:rPr>
                <w:rFonts w:cs="Arial"/>
                <w:b/>
                <w:bCs/>
                <w:spacing w:val="1"/>
                <w:lang w:eastAsia="fr-FR"/>
              </w:rPr>
              <w:t>Value</w:t>
            </w:r>
          </w:p>
        </w:tc>
        <w:tc>
          <w:tcPr>
            <w:tcW w:w="1712" w:type="pct"/>
            <w:shd w:val="clear" w:color="auto" w:fill="BFBFBF" w:themeFill="background1" w:themeFillShade="BF"/>
          </w:tcPr>
          <w:p w14:paraId="1832A153"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
                <w:bCs/>
                <w:spacing w:val="1"/>
                <w:lang w:eastAsia="fr-FR"/>
              </w:rPr>
            </w:pPr>
            <w:r w:rsidRPr="007E29F8">
              <w:rPr>
                <w:rFonts w:cs="Arial"/>
                <w:b/>
                <w:bCs/>
                <w:spacing w:val="1"/>
                <w:lang w:eastAsia="fr-FR"/>
              </w:rPr>
              <w:t>References</w:t>
            </w:r>
          </w:p>
        </w:tc>
      </w:tr>
      <w:tr w:rsidR="00780E5B" w:rsidRPr="007E29F8" w14:paraId="1148B6A8" w14:textId="77777777" w:rsidTr="000A7410">
        <w:trPr>
          <w:tblHeader/>
        </w:trPr>
        <w:tc>
          <w:tcPr>
            <w:tcW w:w="367" w:type="pct"/>
            <w:vMerge w:val="restart"/>
            <w:shd w:val="clear" w:color="auto" w:fill="auto"/>
            <w:tcMar>
              <w:top w:w="57" w:type="dxa"/>
              <w:bottom w:w="57" w:type="dxa"/>
            </w:tcMar>
          </w:tcPr>
          <w:p w14:paraId="309FB4EF"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r w:rsidRPr="007E29F8">
              <w:rPr>
                <w:rFonts w:cs="Arial"/>
                <w:bCs/>
                <w:spacing w:val="1"/>
                <w:lang w:eastAsia="fr-FR"/>
              </w:rPr>
              <w:t>Tier 1</w:t>
            </w:r>
          </w:p>
        </w:tc>
        <w:tc>
          <w:tcPr>
            <w:tcW w:w="2167" w:type="pct"/>
            <w:shd w:val="clear" w:color="auto" w:fill="auto"/>
            <w:tcMar>
              <w:top w:w="57" w:type="dxa"/>
              <w:bottom w:w="57" w:type="dxa"/>
            </w:tcMar>
          </w:tcPr>
          <w:p w14:paraId="79ED0392"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bCs/>
                <w:spacing w:val="1"/>
                <w:lang w:eastAsia="fr-FR"/>
              </w:rPr>
              <w:t>Dermal absorption</w:t>
            </w:r>
          </w:p>
        </w:tc>
        <w:tc>
          <w:tcPr>
            <w:tcW w:w="754" w:type="pct"/>
            <w:shd w:val="clear" w:color="auto" w:fill="auto"/>
            <w:tcMar>
              <w:top w:w="57" w:type="dxa"/>
              <w:bottom w:w="57" w:type="dxa"/>
            </w:tcMar>
          </w:tcPr>
          <w:p w14:paraId="14AEF493"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Cs/>
                <w:spacing w:val="1"/>
                <w:lang w:eastAsia="fr-FR"/>
              </w:rPr>
            </w:pPr>
            <w:r w:rsidRPr="007E29F8">
              <w:rPr>
                <w:rFonts w:cs="Arial"/>
                <w:bCs/>
                <w:spacing w:val="1"/>
                <w:lang w:eastAsia="fr-FR"/>
              </w:rPr>
              <w:t>14%</w:t>
            </w:r>
          </w:p>
        </w:tc>
        <w:tc>
          <w:tcPr>
            <w:tcW w:w="1712" w:type="pct"/>
            <w:shd w:val="clear" w:color="auto" w:fill="auto"/>
            <w:vAlign w:val="center"/>
          </w:tcPr>
          <w:p w14:paraId="16E95AAF"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r w:rsidRPr="007E29F8">
              <w:rPr>
                <w:rFonts w:cs="Arial"/>
                <w:bCs/>
                <w:spacing w:val="1"/>
                <w:lang w:eastAsia="fr-FR"/>
              </w:rPr>
              <w:t>CAR IR3535</w:t>
            </w:r>
          </w:p>
        </w:tc>
      </w:tr>
      <w:tr w:rsidR="00780E5B" w:rsidRPr="007E29F8" w14:paraId="300F1392" w14:textId="77777777" w:rsidTr="000A7410">
        <w:trPr>
          <w:tblHeader/>
        </w:trPr>
        <w:tc>
          <w:tcPr>
            <w:tcW w:w="367" w:type="pct"/>
            <w:vMerge/>
            <w:shd w:val="clear" w:color="auto" w:fill="auto"/>
            <w:tcMar>
              <w:top w:w="57" w:type="dxa"/>
              <w:bottom w:w="57" w:type="dxa"/>
            </w:tcMar>
          </w:tcPr>
          <w:p w14:paraId="2D93FEA9"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tcPr>
          <w:p w14:paraId="219D52A4"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bCs/>
                <w:spacing w:val="1"/>
                <w:lang w:eastAsia="fr-FR"/>
              </w:rPr>
              <w:t xml:space="preserve">% of active substance in biocidal product </w:t>
            </w:r>
          </w:p>
        </w:tc>
        <w:tc>
          <w:tcPr>
            <w:tcW w:w="754" w:type="pct"/>
            <w:shd w:val="clear" w:color="auto" w:fill="auto"/>
            <w:tcMar>
              <w:top w:w="57" w:type="dxa"/>
              <w:bottom w:w="57" w:type="dxa"/>
            </w:tcMar>
          </w:tcPr>
          <w:p w14:paraId="2B782EBA"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Cs/>
                <w:spacing w:val="1"/>
                <w:lang w:eastAsia="fr-FR"/>
              </w:rPr>
            </w:pPr>
            <w:r w:rsidRPr="007E29F8">
              <w:rPr>
                <w:rFonts w:cs="Arial"/>
                <w:bCs/>
                <w:spacing w:val="1"/>
                <w:lang w:eastAsia="fr-FR"/>
              </w:rPr>
              <w:t>20%</w:t>
            </w:r>
          </w:p>
        </w:tc>
        <w:tc>
          <w:tcPr>
            <w:tcW w:w="1712" w:type="pct"/>
            <w:shd w:val="clear" w:color="auto" w:fill="auto"/>
            <w:vAlign w:val="center"/>
          </w:tcPr>
          <w:p w14:paraId="3CA5648C"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r w:rsidRPr="007E29F8">
              <w:rPr>
                <w:rFonts w:cs="Arial"/>
                <w:bCs/>
                <w:spacing w:val="1"/>
                <w:lang w:eastAsia="fr-FR"/>
              </w:rPr>
              <w:t>Applicant’s data</w:t>
            </w:r>
          </w:p>
        </w:tc>
      </w:tr>
      <w:tr w:rsidR="00780E5B" w:rsidRPr="007E29F8" w14:paraId="594C632D" w14:textId="77777777" w:rsidTr="000A7410">
        <w:trPr>
          <w:tblHeader/>
        </w:trPr>
        <w:tc>
          <w:tcPr>
            <w:tcW w:w="367" w:type="pct"/>
            <w:vMerge/>
            <w:shd w:val="clear" w:color="auto" w:fill="auto"/>
            <w:tcMar>
              <w:top w:w="57" w:type="dxa"/>
              <w:bottom w:w="57" w:type="dxa"/>
            </w:tcMar>
          </w:tcPr>
          <w:p w14:paraId="4D6E912B"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tcPr>
          <w:p w14:paraId="25C40340"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bCs/>
                <w:spacing w:val="1"/>
                <w:lang w:eastAsia="fr-FR"/>
              </w:rPr>
              <w:t xml:space="preserve">Application rate </w:t>
            </w:r>
            <w:r>
              <w:rPr>
                <w:rFonts w:cs="Arial"/>
                <w:bCs/>
                <w:spacing w:val="1"/>
                <w:lang w:eastAsia="fr-FR"/>
              </w:rPr>
              <w:t xml:space="preserve">for adult </w:t>
            </w:r>
            <w:r w:rsidRPr="007E29F8">
              <w:rPr>
                <w:rFonts w:cs="Arial"/>
                <w:bCs/>
                <w:spacing w:val="1"/>
                <w:lang w:eastAsia="fr-FR"/>
              </w:rPr>
              <w:t>( g product</w:t>
            </w:r>
            <w:r>
              <w:rPr>
                <w:rFonts w:cs="Arial"/>
                <w:bCs/>
                <w:spacing w:val="1"/>
                <w:lang w:eastAsia="fr-FR"/>
              </w:rPr>
              <w:t>)</w:t>
            </w:r>
          </w:p>
        </w:tc>
        <w:tc>
          <w:tcPr>
            <w:tcW w:w="754" w:type="pct"/>
            <w:shd w:val="clear" w:color="auto" w:fill="auto"/>
            <w:tcMar>
              <w:top w:w="57" w:type="dxa"/>
              <w:bottom w:w="57" w:type="dxa"/>
            </w:tcMar>
          </w:tcPr>
          <w:p w14:paraId="6BBD85EA"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
                <w:bCs/>
                <w:spacing w:val="1"/>
                <w:lang w:eastAsia="fr-FR"/>
              </w:rPr>
            </w:pPr>
            <w:r>
              <w:rPr>
                <w:rFonts w:cs="Arial"/>
                <w:b/>
                <w:bCs/>
                <w:spacing w:val="1"/>
                <w:lang w:eastAsia="fr-FR"/>
              </w:rPr>
              <w:t>1.05</w:t>
            </w:r>
          </w:p>
        </w:tc>
        <w:tc>
          <w:tcPr>
            <w:tcW w:w="1712" w:type="pct"/>
            <w:shd w:val="clear" w:color="auto" w:fill="auto"/>
            <w:vAlign w:val="center"/>
          </w:tcPr>
          <w:p w14:paraId="60C74FC7"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r w:rsidRPr="007E29F8">
              <w:rPr>
                <w:rFonts w:cs="Arial"/>
                <w:bCs/>
                <w:spacing w:val="1"/>
                <w:lang w:eastAsia="fr-FR"/>
              </w:rPr>
              <w:t xml:space="preserve">Applicant’s data </w:t>
            </w:r>
          </w:p>
        </w:tc>
      </w:tr>
      <w:tr w:rsidR="00780E5B" w:rsidRPr="007E29F8" w14:paraId="2F9B1C81" w14:textId="77777777" w:rsidTr="000A7410">
        <w:trPr>
          <w:tblHeader/>
        </w:trPr>
        <w:tc>
          <w:tcPr>
            <w:tcW w:w="367" w:type="pct"/>
            <w:vMerge/>
            <w:shd w:val="clear" w:color="auto" w:fill="auto"/>
            <w:tcMar>
              <w:top w:w="57" w:type="dxa"/>
              <w:bottom w:w="57" w:type="dxa"/>
            </w:tcMar>
          </w:tcPr>
          <w:p w14:paraId="6285A60A"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tcPr>
          <w:p w14:paraId="3C3FAEAA"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bCs/>
                <w:spacing w:val="1"/>
                <w:lang w:eastAsia="fr-FR"/>
              </w:rPr>
              <w:t>Number of applications</w:t>
            </w:r>
            <w:r>
              <w:rPr>
                <w:rFonts w:cs="Arial"/>
                <w:bCs/>
                <w:spacing w:val="1"/>
                <w:lang w:eastAsia="fr-FR"/>
              </w:rPr>
              <w:t xml:space="preserve"> claimed for adult</w:t>
            </w:r>
          </w:p>
        </w:tc>
        <w:tc>
          <w:tcPr>
            <w:tcW w:w="754" w:type="pct"/>
            <w:shd w:val="clear" w:color="auto" w:fill="auto"/>
            <w:tcMar>
              <w:top w:w="57" w:type="dxa"/>
              <w:bottom w:w="57" w:type="dxa"/>
            </w:tcMar>
          </w:tcPr>
          <w:p w14:paraId="721C9236"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
                <w:bCs/>
                <w:spacing w:val="1"/>
                <w:lang w:eastAsia="fr-FR"/>
              </w:rPr>
            </w:pPr>
            <w:r w:rsidRPr="007E29F8">
              <w:rPr>
                <w:rFonts w:cs="Arial"/>
                <w:b/>
                <w:bCs/>
                <w:spacing w:val="1"/>
                <w:lang w:eastAsia="fr-FR"/>
              </w:rPr>
              <w:t>3</w:t>
            </w:r>
          </w:p>
        </w:tc>
        <w:tc>
          <w:tcPr>
            <w:tcW w:w="1712" w:type="pct"/>
            <w:shd w:val="clear" w:color="auto" w:fill="auto"/>
            <w:vAlign w:val="center"/>
          </w:tcPr>
          <w:p w14:paraId="4D221562"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r w:rsidRPr="007E29F8">
              <w:rPr>
                <w:rFonts w:cs="Arial"/>
                <w:bCs/>
                <w:spacing w:val="1"/>
                <w:lang w:eastAsia="fr-FR"/>
              </w:rPr>
              <w:t>Applicant’s data</w:t>
            </w:r>
          </w:p>
        </w:tc>
      </w:tr>
      <w:tr w:rsidR="00780E5B" w:rsidRPr="007E29F8" w14:paraId="40F508E9" w14:textId="77777777" w:rsidTr="000A7410">
        <w:trPr>
          <w:tblHeader/>
        </w:trPr>
        <w:tc>
          <w:tcPr>
            <w:tcW w:w="367" w:type="pct"/>
            <w:vMerge/>
            <w:shd w:val="clear" w:color="auto" w:fill="auto"/>
            <w:tcMar>
              <w:top w:w="57" w:type="dxa"/>
              <w:bottom w:w="57" w:type="dxa"/>
            </w:tcMar>
          </w:tcPr>
          <w:p w14:paraId="6CA15AC6"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tcPr>
          <w:p w14:paraId="05245CF0"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bCs/>
                <w:spacing w:val="1"/>
                <w:lang w:eastAsia="fr-FR"/>
              </w:rPr>
              <w:t xml:space="preserve">Application rate </w:t>
            </w:r>
            <w:r>
              <w:rPr>
                <w:rFonts w:cs="Arial"/>
                <w:bCs/>
                <w:spacing w:val="1"/>
                <w:lang w:eastAsia="fr-FR"/>
              </w:rPr>
              <w:t xml:space="preserve">for children from 0 to 11 years old </w:t>
            </w:r>
            <w:r w:rsidRPr="007E29F8">
              <w:rPr>
                <w:rFonts w:cs="Arial"/>
                <w:bCs/>
                <w:spacing w:val="1"/>
                <w:lang w:eastAsia="fr-FR"/>
              </w:rPr>
              <w:t>( g product</w:t>
            </w:r>
            <w:r>
              <w:rPr>
                <w:rFonts w:cs="Arial"/>
                <w:bCs/>
                <w:spacing w:val="1"/>
                <w:lang w:eastAsia="fr-FR"/>
              </w:rPr>
              <w:t>)</w:t>
            </w:r>
          </w:p>
        </w:tc>
        <w:tc>
          <w:tcPr>
            <w:tcW w:w="754" w:type="pct"/>
            <w:shd w:val="clear" w:color="auto" w:fill="auto"/>
            <w:tcMar>
              <w:top w:w="57" w:type="dxa"/>
              <w:bottom w:w="57" w:type="dxa"/>
            </w:tcMar>
          </w:tcPr>
          <w:p w14:paraId="5F0E122A"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
                <w:bCs/>
                <w:spacing w:val="1"/>
                <w:lang w:eastAsia="fr-FR"/>
              </w:rPr>
            </w:pPr>
            <w:r w:rsidRPr="007E29F8">
              <w:rPr>
                <w:rFonts w:cs="Arial"/>
                <w:b/>
                <w:bCs/>
                <w:spacing w:val="1"/>
                <w:lang w:eastAsia="fr-FR"/>
              </w:rPr>
              <w:t>0.</w:t>
            </w:r>
            <w:r>
              <w:rPr>
                <w:rFonts w:cs="Arial"/>
                <w:b/>
                <w:bCs/>
                <w:spacing w:val="1"/>
                <w:lang w:eastAsia="fr-FR"/>
              </w:rPr>
              <w:t>5</w:t>
            </w:r>
          </w:p>
        </w:tc>
        <w:tc>
          <w:tcPr>
            <w:tcW w:w="1712" w:type="pct"/>
            <w:shd w:val="clear" w:color="auto" w:fill="auto"/>
            <w:vAlign w:val="center"/>
          </w:tcPr>
          <w:p w14:paraId="39DBD131"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r w:rsidRPr="007E29F8">
              <w:rPr>
                <w:rFonts w:cs="Arial"/>
                <w:bCs/>
                <w:spacing w:val="1"/>
                <w:lang w:eastAsia="fr-FR"/>
              </w:rPr>
              <w:t xml:space="preserve">Applicant’s data </w:t>
            </w:r>
          </w:p>
        </w:tc>
      </w:tr>
      <w:tr w:rsidR="00780E5B" w:rsidRPr="007E29F8" w14:paraId="766FB7B4" w14:textId="77777777" w:rsidTr="000A7410">
        <w:trPr>
          <w:tblHeader/>
        </w:trPr>
        <w:tc>
          <w:tcPr>
            <w:tcW w:w="367" w:type="pct"/>
            <w:vMerge/>
            <w:shd w:val="clear" w:color="auto" w:fill="auto"/>
            <w:tcMar>
              <w:top w:w="57" w:type="dxa"/>
              <w:bottom w:w="57" w:type="dxa"/>
            </w:tcMar>
          </w:tcPr>
          <w:p w14:paraId="1363B0C2"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tcPr>
          <w:p w14:paraId="7280BB58"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bCs/>
                <w:spacing w:val="1"/>
                <w:lang w:eastAsia="fr-FR"/>
              </w:rPr>
              <w:t>Number of applications</w:t>
            </w:r>
            <w:r>
              <w:rPr>
                <w:rFonts w:cs="Arial"/>
                <w:bCs/>
                <w:spacing w:val="1"/>
                <w:lang w:eastAsia="fr-FR"/>
              </w:rPr>
              <w:t xml:space="preserve"> claimed for children older than 1 year</w:t>
            </w:r>
          </w:p>
        </w:tc>
        <w:tc>
          <w:tcPr>
            <w:tcW w:w="754" w:type="pct"/>
            <w:shd w:val="clear" w:color="auto" w:fill="auto"/>
            <w:tcMar>
              <w:top w:w="57" w:type="dxa"/>
              <w:bottom w:w="57" w:type="dxa"/>
            </w:tcMar>
          </w:tcPr>
          <w:p w14:paraId="4FA01A00"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
                <w:bCs/>
                <w:spacing w:val="1"/>
                <w:lang w:eastAsia="fr-FR"/>
              </w:rPr>
            </w:pPr>
            <w:r w:rsidRPr="007E29F8">
              <w:rPr>
                <w:rFonts w:cs="Arial"/>
                <w:b/>
                <w:bCs/>
                <w:spacing w:val="1"/>
                <w:lang w:eastAsia="fr-FR"/>
              </w:rPr>
              <w:t>3</w:t>
            </w:r>
          </w:p>
        </w:tc>
        <w:tc>
          <w:tcPr>
            <w:tcW w:w="1712" w:type="pct"/>
            <w:shd w:val="clear" w:color="auto" w:fill="auto"/>
            <w:vAlign w:val="center"/>
          </w:tcPr>
          <w:p w14:paraId="4C1255BB"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r w:rsidRPr="007E29F8">
              <w:rPr>
                <w:rFonts w:cs="Arial"/>
                <w:bCs/>
                <w:spacing w:val="1"/>
                <w:lang w:eastAsia="fr-FR"/>
              </w:rPr>
              <w:t>Applicant’s data</w:t>
            </w:r>
          </w:p>
        </w:tc>
      </w:tr>
      <w:tr w:rsidR="00780E5B" w:rsidRPr="007E29F8" w14:paraId="2BED84D6" w14:textId="77777777" w:rsidTr="000A7410">
        <w:trPr>
          <w:tblHeader/>
        </w:trPr>
        <w:tc>
          <w:tcPr>
            <w:tcW w:w="367" w:type="pct"/>
            <w:vMerge/>
            <w:shd w:val="clear" w:color="auto" w:fill="auto"/>
            <w:tcMar>
              <w:top w:w="57" w:type="dxa"/>
              <w:bottom w:w="57" w:type="dxa"/>
            </w:tcMar>
          </w:tcPr>
          <w:p w14:paraId="36E76D40"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tcPr>
          <w:p w14:paraId="675709A3"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bCs/>
                <w:spacing w:val="1"/>
                <w:lang w:eastAsia="fr-FR"/>
              </w:rPr>
              <w:t>Number of applications</w:t>
            </w:r>
            <w:r>
              <w:rPr>
                <w:rFonts w:cs="Arial"/>
                <w:bCs/>
                <w:spacing w:val="1"/>
                <w:lang w:eastAsia="fr-FR"/>
              </w:rPr>
              <w:t xml:space="preserve"> claimed for children between 0 and 1 year old</w:t>
            </w:r>
          </w:p>
        </w:tc>
        <w:tc>
          <w:tcPr>
            <w:tcW w:w="754" w:type="pct"/>
            <w:shd w:val="clear" w:color="auto" w:fill="auto"/>
            <w:tcMar>
              <w:top w:w="57" w:type="dxa"/>
              <w:bottom w:w="57" w:type="dxa"/>
            </w:tcMar>
          </w:tcPr>
          <w:p w14:paraId="1119A6CE"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
                <w:bCs/>
                <w:spacing w:val="1"/>
                <w:lang w:eastAsia="fr-FR"/>
              </w:rPr>
            </w:pPr>
            <w:r>
              <w:rPr>
                <w:rFonts w:cs="Arial"/>
                <w:b/>
                <w:bCs/>
                <w:spacing w:val="1"/>
                <w:lang w:eastAsia="fr-FR"/>
              </w:rPr>
              <w:t>2</w:t>
            </w:r>
          </w:p>
        </w:tc>
        <w:tc>
          <w:tcPr>
            <w:tcW w:w="1712" w:type="pct"/>
            <w:shd w:val="clear" w:color="auto" w:fill="auto"/>
            <w:vAlign w:val="center"/>
          </w:tcPr>
          <w:p w14:paraId="2020F897"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r w:rsidRPr="007E29F8">
              <w:rPr>
                <w:rFonts w:cs="Arial"/>
                <w:bCs/>
                <w:spacing w:val="1"/>
                <w:lang w:eastAsia="fr-FR"/>
              </w:rPr>
              <w:t>Applicant’s data</w:t>
            </w:r>
          </w:p>
        </w:tc>
      </w:tr>
      <w:tr w:rsidR="00780E5B" w:rsidRPr="007E29F8" w14:paraId="28530CD5" w14:textId="77777777" w:rsidTr="000A7410">
        <w:trPr>
          <w:tblHeader/>
        </w:trPr>
        <w:tc>
          <w:tcPr>
            <w:tcW w:w="367" w:type="pct"/>
            <w:vMerge/>
            <w:shd w:val="clear" w:color="auto" w:fill="auto"/>
            <w:tcMar>
              <w:top w:w="57" w:type="dxa"/>
              <w:bottom w:w="57" w:type="dxa"/>
            </w:tcMar>
          </w:tcPr>
          <w:p w14:paraId="520DC043"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921" w:type="pct"/>
            <w:gridSpan w:val="2"/>
            <w:shd w:val="clear" w:color="auto" w:fill="auto"/>
            <w:tcMar>
              <w:top w:w="57" w:type="dxa"/>
              <w:bottom w:w="57" w:type="dxa"/>
            </w:tcMar>
          </w:tcPr>
          <w:p w14:paraId="74959EDB"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
                <w:bCs/>
                <w:spacing w:val="1"/>
                <w:lang w:eastAsia="fr-FR"/>
              </w:rPr>
            </w:pPr>
            <w:r w:rsidRPr="007E29F8">
              <w:rPr>
                <w:rFonts w:cs="Arial"/>
                <w:b/>
                <w:bCs/>
                <w:spacing w:val="1"/>
                <w:lang w:eastAsia="fr-FR"/>
              </w:rPr>
              <w:t>Body weight (kg)</w:t>
            </w:r>
          </w:p>
        </w:tc>
        <w:tc>
          <w:tcPr>
            <w:tcW w:w="1712" w:type="pct"/>
            <w:vMerge w:val="restart"/>
            <w:shd w:val="clear" w:color="auto" w:fill="auto"/>
            <w:vAlign w:val="center"/>
          </w:tcPr>
          <w:p w14:paraId="2AFC3391"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r w:rsidRPr="007E29F8">
              <w:t>Recommendation no. 14, 2017</w:t>
            </w:r>
            <w:r w:rsidRPr="007E29F8">
              <w:rPr>
                <w:rStyle w:val="Appelnotedebasdep"/>
                <w:rFonts w:cs="Arial"/>
                <w:bCs/>
                <w:spacing w:val="1"/>
                <w:lang w:eastAsia="fr-FR"/>
              </w:rPr>
              <w:footnoteReference w:id="9"/>
            </w:r>
          </w:p>
        </w:tc>
      </w:tr>
      <w:tr w:rsidR="00780E5B" w:rsidRPr="007E29F8" w14:paraId="03EE248D" w14:textId="77777777" w:rsidTr="000A7410">
        <w:trPr>
          <w:tblHeader/>
        </w:trPr>
        <w:tc>
          <w:tcPr>
            <w:tcW w:w="367" w:type="pct"/>
            <w:vMerge/>
            <w:shd w:val="clear" w:color="auto" w:fill="auto"/>
            <w:tcMar>
              <w:top w:w="57" w:type="dxa"/>
              <w:bottom w:w="57" w:type="dxa"/>
            </w:tcMar>
          </w:tcPr>
          <w:p w14:paraId="152001FA"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vAlign w:val="center"/>
          </w:tcPr>
          <w:p w14:paraId="07F888F3"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color w:val="000000"/>
                <w:szCs w:val="18"/>
                <w:lang w:eastAsia="fr-FR"/>
              </w:rPr>
              <w:t>Adult</w:t>
            </w:r>
          </w:p>
        </w:tc>
        <w:tc>
          <w:tcPr>
            <w:tcW w:w="754" w:type="pct"/>
            <w:shd w:val="clear" w:color="auto" w:fill="auto"/>
            <w:tcMar>
              <w:top w:w="57" w:type="dxa"/>
              <w:bottom w:w="57" w:type="dxa"/>
            </w:tcMar>
          </w:tcPr>
          <w:p w14:paraId="64AA7D6F"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Cs/>
                <w:spacing w:val="1"/>
                <w:lang w:eastAsia="fr-FR"/>
              </w:rPr>
            </w:pPr>
            <w:r w:rsidRPr="007E29F8">
              <w:rPr>
                <w:rFonts w:cs="Arial"/>
                <w:color w:val="000000"/>
                <w:lang w:eastAsia="fr-FR"/>
              </w:rPr>
              <w:t>60</w:t>
            </w:r>
          </w:p>
        </w:tc>
        <w:tc>
          <w:tcPr>
            <w:tcW w:w="1712" w:type="pct"/>
            <w:vMerge/>
            <w:shd w:val="clear" w:color="auto" w:fill="auto"/>
            <w:vAlign w:val="center"/>
          </w:tcPr>
          <w:p w14:paraId="7B9AFD23"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780E5B" w:rsidRPr="007E29F8" w14:paraId="06296984" w14:textId="77777777" w:rsidTr="000A7410">
        <w:trPr>
          <w:trHeight w:val="20"/>
          <w:tblHeader/>
        </w:trPr>
        <w:tc>
          <w:tcPr>
            <w:tcW w:w="367" w:type="pct"/>
            <w:vMerge/>
            <w:shd w:val="clear" w:color="auto" w:fill="auto"/>
            <w:tcMar>
              <w:top w:w="57" w:type="dxa"/>
              <w:bottom w:w="57" w:type="dxa"/>
            </w:tcMar>
          </w:tcPr>
          <w:p w14:paraId="61FCDA03"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vAlign w:val="center"/>
          </w:tcPr>
          <w:p w14:paraId="3C44860C"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color w:val="000000"/>
                <w:szCs w:val="18"/>
                <w:lang w:eastAsia="fr-FR"/>
              </w:rPr>
              <w:t>Child (6 to &lt;12 years old)</w:t>
            </w:r>
          </w:p>
        </w:tc>
        <w:tc>
          <w:tcPr>
            <w:tcW w:w="754" w:type="pct"/>
            <w:shd w:val="clear" w:color="auto" w:fill="auto"/>
            <w:tcMar>
              <w:top w:w="57" w:type="dxa"/>
              <w:bottom w:w="57" w:type="dxa"/>
            </w:tcMar>
          </w:tcPr>
          <w:p w14:paraId="2BD755D9"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Cs/>
                <w:spacing w:val="1"/>
                <w:lang w:eastAsia="fr-FR"/>
              </w:rPr>
            </w:pPr>
            <w:r w:rsidRPr="007E29F8">
              <w:rPr>
                <w:rFonts w:cs="Arial"/>
                <w:color w:val="000000"/>
                <w:lang w:eastAsia="fr-FR"/>
              </w:rPr>
              <w:t>23.9</w:t>
            </w:r>
          </w:p>
        </w:tc>
        <w:tc>
          <w:tcPr>
            <w:tcW w:w="1712" w:type="pct"/>
            <w:vMerge/>
            <w:shd w:val="clear" w:color="auto" w:fill="auto"/>
            <w:vAlign w:val="center"/>
          </w:tcPr>
          <w:p w14:paraId="7F05375A"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780E5B" w:rsidRPr="007E29F8" w14:paraId="009C5A0D" w14:textId="77777777" w:rsidTr="000A7410">
        <w:trPr>
          <w:tblHeader/>
        </w:trPr>
        <w:tc>
          <w:tcPr>
            <w:tcW w:w="367" w:type="pct"/>
            <w:vMerge/>
            <w:shd w:val="clear" w:color="auto" w:fill="auto"/>
            <w:tcMar>
              <w:top w:w="57" w:type="dxa"/>
              <w:bottom w:w="57" w:type="dxa"/>
            </w:tcMar>
          </w:tcPr>
          <w:p w14:paraId="7DC19D21"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vAlign w:val="center"/>
          </w:tcPr>
          <w:p w14:paraId="07B5F354"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color w:val="000000"/>
                <w:szCs w:val="18"/>
                <w:lang w:eastAsia="fr-FR"/>
              </w:rPr>
              <w:t>Child (2 to &lt;6 years old)</w:t>
            </w:r>
          </w:p>
        </w:tc>
        <w:tc>
          <w:tcPr>
            <w:tcW w:w="754" w:type="pct"/>
            <w:shd w:val="clear" w:color="auto" w:fill="auto"/>
            <w:tcMar>
              <w:top w:w="57" w:type="dxa"/>
              <w:bottom w:w="57" w:type="dxa"/>
            </w:tcMar>
          </w:tcPr>
          <w:p w14:paraId="6A448633"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Cs/>
                <w:spacing w:val="1"/>
                <w:lang w:eastAsia="fr-FR"/>
              </w:rPr>
            </w:pPr>
            <w:r w:rsidRPr="007E29F8">
              <w:rPr>
                <w:rFonts w:cs="Arial"/>
                <w:color w:val="000000"/>
                <w:lang w:eastAsia="fr-FR"/>
              </w:rPr>
              <w:t>15.6</w:t>
            </w:r>
          </w:p>
        </w:tc>
        <w:tc>
          <w:tcPr>
            <w:tcW w:w="1712" w:type="pct"/>
            <w:vMerge/>
            <w:shd w:val="clear" w:color="auto" w:fill="auto"/>
            <w:vAlign w:val="center"/>
          </w:tcPr>
          <w:p w14:paraId="61DD4491"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780E5B" w:rsidRPr="007E29F8" w14:paraId="4DB5AD92" w14:textId="77777777" w:rsidTr="000A7410">
        <w:trPr>
          <w:tblHeader/>
        </w:trPr>
        <w:tc>
          <w:tcPr>
            <w:tcW w:w="367" w:type="pct"/>
            <w:vMerge/>
            <w:shd w:val="clear" w:color="auto" w:fill="auto"/>
            <w:tcMar>
              <w:top w:w="57" w:type="dxa"/>
              <w:bottom w:w="57" w:type="dxa"/>
            </w:tcMar>
          </w:tcPr>
          <w:p w14:paraId="0937635E"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vAlign w:val="center"/>
          </w:tcPr>
          <w:p w14:paraId="2CEBBAEF"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color w:val="000000"/>
                <w:szCs w:val="18"/>
                <w:lang w:eastAsia="fr-FR"/>
              </w:rPr>
              <w:t>Toddler (1 to &lt;2 years old)</w:t>
            </w:r>
          </w:p>
        </w:tc>
        <w:tc>
          <w:tcPr>
            <w:tcW w:w="754" w:type="pct"/>
            <w:shd w:val="clear" w:color="auto" w:fill="auto"/>
            <w:tcMar>
              <w:top w:w="57" w:type="dxa"/>
              <w:bottom w:w="57" w:type="dxa"/>
            </w:tcMar>
          </w:tcPr>
          <w:p w14:paraId="6A6F2120"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Cs/>
                <w:spacing w:val="1"/>
                <w:lang w:eastAsia="fr-FR"/>
              </w:rPr>
            </w:pPr>
            <w:r w:rsidRPr="007E29F8">
              <w:rPr>
                <w:rFonts w:cs="Arial"/>
                <w:color w:val="000000"/>
                <w:lang w:eastAsia="fr-FR"/>
              </w:rPr>
              <w:t>10</w:t>
            </w:r>
          </w:p>
        </w:tc>
        <w:tc>
          <w:tcPr>
            <w:tcW w:w="1712" w:type="pct"/>
            <w:vMerge/>
            <w:shd w:val="clear" w:color="auto" w:fill="auto"/>
            <w:vAlign w:val="center"/>
          </w:tcPr>
          <w:p w14:paraId="4456B6F5"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780E5B" w:rsidRPr="007E29F8" w14:paraId="1AFB0191" w14:textId="77777777" w:rsidTr="000A7410">
        <w:trPr>
          <w:trHeight w:val="20"/>
          <w:tblHeader/>
        </w:trPr>
        <w:tc>
          <w:tcPr>
            <w:tcW w:w="367" w:type="pct"/>
            <w:vMerge/>
            <w:shd w:val="clear" w:color="auto" w:fill="auto"/>
            <w:tcMar>
              <w:top w:w="57" w:type="dxa"/>
              <w:bottom w:w="57" w:type="dxa"/>
            </w:tcMar>
          </w:tcPr>
          <w:p w14:paraId="4DD08857" w14:textId="77777777" w:rsidR="00780E5B" w:rsidRPr="007E29F8" w:rsidRDefault="00780E5B" w:rsidP="000A7410">
            <w:pPr>
              <w:widowControl w:val="0"/>
              <w:kinsoku w:val="0"/>
              <w:overflowPunct w:val="0"/>
              <w:autoSpaceDE w:val="0"/>
              <w:autoSpaceDN w:val="0"/>
              <w:adjustRightInd w:val="0"/>
              <w:spacing w:before="0" w:after="0"/>
              <w:ind w:left="75"/>
              <w:jc w:val="both"/>
              <w:textAlignment w:val="baseline"/>
              <w:rPr>
                <w:rFonts w:cs="Arial"/>
                <w:bCs/>
                <w:spacing w:val="1"/>
                <w:lang w:eastAsia="fr-FR"/>
              </w:rPr>
            </w:pPr>
          </w:p>
        </w:tc>
        <w:tc>
          <w:tcPr>
            <w:tcW w:w="2167" w:type="pct"/>
            <w:shd w:val="clear" w:color="auto" w:fill="auto"/>
            <w:tcMar>
              <w:top w:w="57" w:type="dxa"/>
              <w:bottom w:w="57" w:type="dxa"/>
            </w:tcMar>
            <w:vAlign w:val="center"/>
          </w:tcPr>
          <w:p w14:paraId="540B4453" w14:textId="77777777" w:rsidR="00780E5B" w:rsidRPr="007E29F8" w:rsidRDefault="00780E5B" w:rsidP="000A7410">
            <w:pPr>
              <w:widowControl w:val="0"/>
              <w:kinsoku w:val="0"/>
              <w:overflowPunct w:val="0"/>
              <w:autoSpaceDE w:val="0"/>
              <w:autoSpaceDN w:val="0"/>
              <w:adjustRightInd w:val="0"/>
              <w:spacing w:before="0" w:after="0"/>
              <w:ind w:left="79" w:right="25"/>
              <w:jc w:val="both"/>
              <w:textAlignment w:val="baseline"/>
              <w:rPr>
                <w:rFonts w:cs="Arial"/>
                <w:bCs/>
                <w:spacing w:val="1"/>
                <w:lang w:eastAsia="fr-FR"/>
              </w:rPr>
            </w:pPr>
            <w:r w:rsidRPr="007E29F8">
              <w:rPr>
                <w:rFonts w:cs="Arial"/>
                <w:color w:val="000000"/>
                <w:szCs w:val="18"/>
                <w:lang w:eastAsia="fr-FR"/>
              </w:rPr>
              <w:t>Infant (&lt;1 year old)</w:t>
            </w:r>
          </w:p>
        </w:tc>
        <w:tc>
          <w:tcPr>
            <w:tcW w:w="754" w:type="pct"/>
            <w:shd w:val="clear" w:color="auto" w:fill="auto"/>
            <w:tcMar>
              <w:top w:w="57" w:type="dxa"/>
              <w:bottom w:w="57" w:type="dxa"/>
            </w:tcMar>
          </w:tcPr>
          <w:p w14:paraId="4F49125F" w14:textId="77777777" w:rsidR="00780E5B" w:rsidRPr="007E29F8" w:rsidRDefault="00780E5B" w:rsidP="000A7410">
            <w:pPr>
              <w:widowControl w:val="0"/>
              <w:kinsoku w:val="0"/>
              <w:overflowPunct w:val="0"/>
              <w:autoSpaceDE w:val="0"/>
              <w:autoSpaceDN w:val="0"/>
              <w:adjustRightInd w:val="0"/>
              <w:spacing w:before="0" w:after="0"/>
              <w:ind w:left="124" w:right="216"/>
              <w:jc w:val="center"/>
              <w:textAlignment w:val="baseline"/>
              <w:rPr>
                <w:rFonts w:cs="Arial"/>
                <w:bCs/>
                <w:spacing w:val="1"/>
                <w:lang w:eastAsia="fr-FR"/>
              </w:rPr>
            </w:pPr>
            <w:r w:rsidRPr="007E29F8">
              <w:rPr>
                <w:rFonts w:cs="Arial"/>
                <w:color w:val="000000"/>
                <w:lang w:eastAsia="fr-FR"/>
              </w:rPr>
              <w:t>8</w:t>
            </w:r>
          </w:p>
        </w:tc>
        <w:tc>
          <w:tcPr>
            <w:tcW w:w="1712" w:type="pct"/>
            <w:vMerge/>
            <w:shd w:val="clear" w:color="auto" w:fill="auto"/>
            <w:vAlign w:val="center"/>
          </w:tcPr>
          <w:p w14:paraId="4152A7C5" w14:textId="77777777" w:rsidR="00780E5B" w:rsidRPr="007E29F8" w:rsidRDefault="00780E5B" w:rsidP="000A7410">
            <w:pPr>
              <w:widowControl w:val="0"/>
              <w:kinsoku w:val="0"/>
              <w:overflowPunct w:val="0"/>
              <w:autoSpaceDE w:val="0"/>
              <w:autoSpaceDN w:val="0"/>
              <w:adjustRightInd w:val="0"/>
              <w:spacing w:before="0" w:after="0"/>
              <w:ind w:left="-14" w:right="-72" w:firstLine="14"/>
              <w:textAlignment w:val="baseline"/>
              <w:rPr>
                <w:rFonts w:cs="Arial"/>
                <w:bCs/>
                <w:spacing w:val="1"/>
                <w:lang w:eastAsia="fr-FR"/>
              </w:rPr>
            </w:pPr>
          </w:p>
        </w:tc>
      </w:tr>
    </w:tbl>
    <w:p w14:paraId="2A77D8B7" w14:textId="77777777" w:rsidR="00780E5B" w:rsidRPr="007E29F8" w:rsidRDefault="00780E5B" w:rsidP="000A7410">
      <w:pPr>
        <w:keepNext/>
        <w:widowControl w:val="0"/>
        <w:kinsoku w:val="0"/>
        <w:overflowPunct w:val="0"/>
        <w:autoSpaceDE w:val="0"/>
        <w:autoSpaceDN w:val="0"/>
        <w:adjustRightInd w:val="0"/>
        <w:spacing w:before="0" w:after="0"/>
        <w:ind w:right="216"/>
        <w:jc w:val="both"/>
        <w:textAlignment w:val="baseline"/>
        <w:rPr>
          <w:rFonts w:cs="Arial"/>
          <w:spacing w:val="1"/>
          <w:u w:val="single"/>
          <w:lang w:eastAsia="fr-FR"/>
        </w:rPr>
      </w:pPr>
    </w:p>
    <w:p w14:paraId="6BC0B7B4" w14:textId="2BCD4725" w:rsidR="00780E5B" w:rsidRDefault="00F1647E" w:rsidP="000A7410">
      <w:pPr>
        <w:keepNext/>
        <w:kinsoku w:val="0"/>
        <w:overflowPunct w:val="0"/>
        <w:autoSpaceDE w:val="0"/>
        <w:autoSpaceDN w:val="0"/>
        <w:adjustRightInd w:val="0"/>
        <w:spacing w:before="0" w:after="0"/>
        <w:ind w:right="216"/>
        <w:jc w:val="both"/>
        <w:textAlignment w:val="baseline"/>
        <w:rPr>
          <w:rFonts w:cs="Arial"/>
          <w:spacing w:val="1"/>
          <w:u w:val="single"/>
          <w:lang w:eastAsia="fr-FR"/>
        </w:rPr>
      </w:pPr>
      <w:r>
        <w:rPr>
          <w:rFonts w:cs="Arial"/>
          <w:spacing w:val="1"/>
          <w:u w:val="single"/>
          <w:lang w:eastAsia="fr-FR"/>
        </w:rPr>
        <w:t>Calculations for Scenario [1c]</w:t>
      </w:r>
    </w:p>
    <w:p w14:paraId="7D2F1B39" w14:textId="77777777" w:rsidR="00F1647E" w:rsidRPr="007E29F8" w:rsidRDefault="00F1647E" w:rsidP="000A7410">
      <w:pPr>
        <w:keepNext/>
        <w:kinsoku w:val="0"/>
        <w:overflowPunct w:val="0"/>
        <w:autoSpaceDE w:val="0"/>
        <w:autoSpaceDN w:val="0"/>
        <w:adjustRightInd w:val="0"/>
        <w:spacing w:before="0" w:after="0"/>
        <w:ind w:right="216"/>
        <w:jc w:val="both"/>
        <w:textAlignment w:val="baseline"/>
        <w:rPr>
          <w:rFonts w:cs="Arial"/>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23"/>
        <w:gridCol w:w="2649"/>
        <w:gridCol w:w="3244"/>
      </w:tblGrid>
      <w:tr w:rsidR="00780E5B" w:rsidRPr="007E29F8" w14:paraId="4EF62066" w14:textId="77777777" w:rsidTr="002655EE">
        <w:trPr>
          <w:cantSplit/>
          <w:trHeight w:val="103"/>
          <w:tblHeader/>
        </w:trPr>
        <w:tc>
          <w:tcPr>
            <w:tcW w:w="5000" w:type="pct"/>
            <w:gridSpan w:val="3"/>
            <w:shd w:val="clear" w:color="auto" w:fill="FFFFCC"/>
          </w:tcPr>
          <w:p w14:paraId="5B546010" w14:textId="77777777" w:rsidR="00780E5B" w:rsidRPr="007E29F8" w:rsidRDefault="00780E5B" w:rsidP="002655EE">
            <w:pPr>
              <w:pStyle w:val="Standaard-Tabellen"/>
              <w:keepNext/>
              <w:rPr>
                <w:rFonts w:eastAsia="Calibri"/>
                <w:b/>
                <w:sz w:val="20"/>
              </w:rPr>
            </w:pPr>
            <w:r w:rsidRPr="007E29F8">
              <w:rPr>
                <w:rFonts w:eastAsia="Calibri"/>
                <w:b/>
                <w:sz w:val="20"/>
              </w:rPr>
              <w:t>Summary table: estimated exposure for Dermal Primary exposure</w:t>
            </w:r>
          </w:p>
        </w:tc>
      </w:tr>
      <w:tr w:rsidR="00780E5B" w:rsidRPr="000A7410" w14:paraId="74F683AC" w14:textId="77777777" w:rsidTr="000A7410">
        <w:trPr>
          <w:cantSplit/>
          <w:trHeight w:val="103"/>
          <w:tblHeader/>
        </w:trPr>
        <w:tc>
          <w:tcPr>
            <w:tcW w:w="1803" w:type="pct"/>
            <w:shd w:val="clear" w:color="auto" w:fill="auto"/>
          </w:tcPr>
          <w:p w14:paraId="5345DA0C" w14:textId="77777777" w:rsidR="00780E5B" w:rsidRPr="000A7410" w:rsidRDefault="00780E5B" w:rsidP="000A7410">
            <w:pPr>
              <w:widowControl w:val="0"/>
              <w:kinsoku w:val="0"/>
              <w:overflowPunct w:val="0"/>
              <w:autoSpaceDE w:val="0"/>
              <w:autoSpaceDN w:val="0"/>
              <w:adjustRightInd w:val="0"/>
              <w:spacing w:before="0" w:after="0"/>
              <w:ind w:left="124" w:right="216"/>
              <w:jc w:val="center"/>
              <w:textAlignment w:val="baseline"/>
              <w:rPr>
                <w:rFonts w:cs="Arial"/>
                <w:b/>
                <w:bCs/>
                <w:spacing w:val="1"/>
                <w:lang w:eastAsia="fr-FR"/>
              </w:rPr>
            </w:pPr>
            <w:r w:rsidRPr="000A7410">
              <w:rPr>
                <w:rFonts w:cs="Arial"/>
                <w:b/>
                <w:bCs/>
                <w:spacing w:val="1"/>
                <w:lang w:eastAsia="fr-FR"/>
              </w:rPr>
              <w:t>Exposure scenario</w:t>
            </w:r>
          </w:p>
        </w:tc>
        <w:tc>
          <w:tcPr>
            <w:tcW w:w="1437" w:type="pct"/>
            <w:shd w:val="clear" w:color="auto" w:fill="auto"/>
          </w:tcPr>
          <w:p w14:paraId="39CAD4E7" w14:textId="77777777" w:rsidR="00780E5B" w:rsidRPr="000A7410" w:rsidRDefault="00780E5B" w:rsidP="000A7410">
            <w:pPr>
              <w:widowControl w:val="0"/>
              <w:kinsoku w:val="0"/>
              <w:overflowPunct w:val="0"/>
              <w:autoSpaceDE w:val="0"/>
              <w:autoSpaceDN w:val="0"/>
              <w:adjustRightInd w:val="0"/>
              <w:spacing w:before="0" w:after="0"/>
              <w:ind w:left="124" w:right="216"/>
              <w:jc w:val="center"/>
              <w:textAlignment w:val="baseline"/>
              <w:rPr>
                <w:rFonts w:cs="Arial"/>
                <w:b/>
                <w:bCs/>
                <w:spacing w:val="1"/>
                <w:lang w:eastAsia="fr-FR"/>
              </w:rPr>
            </w:pPr>
            <w:r w:rsidRPr="000A7410">
              <w:rPr>
                <w:rFonts w:cs="Arial"/>
                <w:b/>
                <w:bCs/>
                <w:spacing w:val="1"/>
                <w:lang w:eastAsia="fr-FR"/>
              </w:rPr>
              <w:t>Tier/PPE</w:t>
            </w:r>
          </w:p>
        </w:tc>
        <w:tc>
          <w:tcPr>
            <w:tcW w:w="1760" w:type="pct"/>
            <w:shd w:val="clear" w:color="auto" w:fill="auto"/>
          </w:tcPr>
          <w:p w14:paraId="355673E4" w14:textId="77777777" w:rsidR="00780E5B" w:rsidRPr="000A7410" w:rsidRDefault="00780E5B" w:rsidP="000A7410">
            <w:pPr>
              <w:widowControl w:val="0"/>
              <w:kinsoku w:val="0"/>
              <w:overflowPunct w:val="0"/>
              <w:autoSpaceDE w:val="0"/>
              <w:autoSpaceDN w:val="0"/>
              <w:adjustRightInd w:val="0"/>
              <w:spacing w:before="0" w:after="0"/>
              <w:ind w:left="124" w:right="117"/>
              <w:jc w:val="center"/>
              <w:textAlignment w:val="baseline"/>
              <w:rPr>
                <w:rFonts w:cs="Arial"/>
                <w:b/>
                <w:bCs/>
                <w:spacing w:val="1"/>
                <w:lang w:eastAsia="fr-FR"/>
              </w:rPr>
            </w:pPr>
            <w:r w:rsidRPr="000A7410">
              <w:rPr>
                <w:rFonts w:cs="Arial"/>
                <w:b/>
                <w:bCs/>
                <w:spacing w:val="1"/>
                <w:lang w:eastAsia="fr-FR"/>
              </w:rPr>
              <w:t>Estimated dermal uptake</w:t>
            </w:r>
          </w:p>
          <w:p w14:paraId="50A8C0BA" w14:textId="77777777" w:rsidR="00780E5B" w:rsidRPr="000A7410" w:rsidRDefault="00780E5B" w:rsidP="000A7410">
            <w:pPr>
              <w:widowControl w:val="0"/>
              <w:kinsoku w:val="0"/>
              <w:overflowPunct w:val="0"/>
              <w:autoSpaceDE w:val="0"/>
              <w:autoSpaceDN w:val="0"/>
              <w:adjustRightInd w:val="0"/>
              <w:spacing w:before="0" w:after="0"/>
              <w:ind w:left="124" w:right="117"/>
              <w:jc w:val="center"/>
              <w:textAlignment w:val="baseline"/>
              <w:rPr>
                <w:rFonts w:cs="Arial"/>
                <w:b/>
                <w:bCs/>
                <w:spacing w:val="1"/>
                <w:lang w:eastAsia="fr-FR"/>
              </w:rPr>
            </w:pPr>
            <w:r w:rsidRPr="000A7410">
              <w:rPr>
                <w:rFonts w:cs="Arial"/>
                <w:b/>
                <w:bCs/>
                <w:spacing w:val="1"/>
                <w:lang w:eastAsia="fr-FR"/>
              </w:rPr>
              <w:t>(mg/ kg bw/d)</w:t>
            </w:r>
          </w:p>
        </w:tc>
      </w:tr>
      <w:tr w:rsidR="00780E5B" w:rsidRPr="000A7410" w14:paraId="7C6057DC" w14:textId="77777777" w:rsidTr="000A7410">
        <w:trPr>
          <w:cantSplit/>
          <w:trHeight w:val="207"/>
          <w:tblHeader/>
        </w:trPr>
        <w:tc>
          <w:tcPr>
            <w:tcW w:w="1803" w:type="pct"/>
            <w:shd w:val="clear" w:color="auto" w:fill="auto"/>
            <w:vAlign w:val="center"/>
          </w:tcPr>
          <w:p w14:paraId="3026511A"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Adult</w:t>
            </w:r>
          </w:p>
        </w:tc>
        <w:tc>
          <w:tcPr>
            <w:tcW w:w="1437" w:type="pct"/>
            <w:shd w:val="clear" w:color="auto" w:fill="auto"/>
            <w:vAlign w:val="center"/>
          </w:tcPr>
          <w:p w14:paraId="4902106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Tier 1</w:t>
            </w:r>
          </w:p>
        </w:tc>
        <w:tc>
          <w:tcPr>
            <w:tcW w:w="1760" w:type="pct"/>
            <w:shd w:val="clear" w:color="auto" w:fill="auto"/>
            <w:vAlign w:val="bottom"/>
          </w:tcPr>
          <w:p w14:paraId="6F3C6E4C"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1.47</w:t>
            </w:r>
          </w:p>
        </w:tc>
      </w:tr>
      <w:tr w:rsidR="00780E5B" w:rsidRPr="000A7410" w14:paraId="565D2C02" w14:textId="77777777" w:rsidTr="000A7410">
        <w:trPr>
          <w:cantSplit/>
          <w:trHeight w:val="153"/>
          <w:tblHeader/>
        </w:trPr>
        <w:tc>
          <w:tcPr>
            <w:tcW w:w="1803" w:type="pct"/>
            <w:shd w:val="clear" w:color="auto" w:fill="auto"/>
            <w:vAlign w:val="center"/>
          </w:tcPr>
          <w:p w14:paraId="171795AD"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Child (6 to &lt;12 years old)</w:t>
            </w:r>
          </w:p>
        </w:tc>
        <w:tc>
          <w:tcPr>
            <w:tcW w:w="1437" w:type="pct"/>
            <w:shd w:val="clear" w:color="auto" w:fill="auto"/>
            <w:vAlign w:val="center"/>
          </w:tcPr>
          <w:p w14:paraId="7ED5BFF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Tier 1</w:t>
            </w:r>
          </w:p>
        </w:tc>
        <w:tc>
          <w:tcPr>
            <w:tcW w:w="1760" w:type="pct"/>
            <w:shd w:val="clear" w:color="auto" w:fill="auto"/>
            <w:vAlign w:val="bottom"/>
          </w:tcPr>
          <w:p w14:paraId="6932A126"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1.75</w:t>
            </w:r>
          </w:p>
        </w:tc>
      </w:tr>
      <w:tr w:rsidR="00780E5B" w:rsidRPr="000A7410" w14:paraId="286FD693" w14:textId="77777777" w:rsidTr="000A7410">
        <w:trPr>
          <w:cantSplit/>
          <w:trHeight w:val="210"/>
          <w:tblHeader/>
        </w:trPr>
        <w:tc>
          <w:tcPr>
            <w:tcW w:w="1803" w:type="pct"/>
            <w:shd w:val="clear" w:color="auto" w:fill="auto"/>
            <w:vAlign w:val="center"/>
          </w:tcPr>
          <w:p w14:paraId="4F6E3692"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Child (2 to &lt;6 years old)</w:t>
            </w:r>
          </w:p>
        </w:tc>
        <w:tc>
          <w:tcPr>
            <w:tcW w:w="1437" w:type="pct"/>
            <w:shd w:val="clear" w:color="auto" w:fill="auto"/>
            <w:vAlign w:val="center"/>
          </w:tcPr>
          <w:p w14:paraId="523063D1"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Tier 1</w:t>
            </w:r>
          </w:p>
        </w:tc>
        <w:tc>
          <w:tcPr>
            <w:tcW w:w="1760" w:type="pct"/>
            <w:shd w:val="clear" w:color="auto" w:fill="auto"/>
            <w:vAlign w:val="bottom"/>
          </w:tcPr>
          <w:p w14:paraId="25722E88"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2.69</w:t>
            </w:r>
          </w:p>
        </w:tc>
      </w:tr>
      <w:tr w:rsidR="00780E5B" w:rsidRPr="000A7410" w14:paraId="257D1CC5" w14:textId="77777777" w:rsidTr="000A7410">
        <w:trPr>
          <w:cantSplit/>
          <w:trHeight w:val="207"/>
          <w:tblHeader/>
        </w:trPr>
        <w:tc>
          <w:tcPr>
            <w:tcW w:w="1803" w:type="pct"/>
            <w:shd w:val="clear" w:color="auto" w:fill="auto"/>
            <w:vAlign w:val="center"/>
          </w:tcPr>
          <w:p w14:paraId="65877D9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Toddler (1 to &lt;2 years old)</w:t>
            </w:r>
          </w:p>
        </w:tc>
        <w:tc>
          <w:tcPr>
            <w:tcW w:w="1437" w:type="pct"/>
            <w:shd w:val="clear" w:color="auto" w:fill="auto"/>
            <w:vAlign w:val="center"/>
          </w:tcPr>
          <w:p w14:paraId="19EA3944"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Tier 1</w:t>
            </w:r>
          </w:p>
        </w:tc>
        <w:tc>
          <w:tcPr>
            <w:tcW w:w="1760" w:type="pct"/>
            <w:shd w:val="clear" w:color="auto" w:fill="auto"/>
            <w:vAlign w:val="bottom"/>
          </w:tcPr>
          <w:p w14:paraId="49A3A1A5"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4.2</w:t>
            </w:r>
          </w:p>
        </w:tc>
      </w:tr>
      <w:tr w:rsidR="00780E5B" w:rsidRPr="000A7410" w14:paraId="6EB61504" w14:textId="77777777" w:rsidTr="000A7410">
        <w:trPr>
          <w:cantSplit/>
          <w:trHeight w:val="207"/>
          <w:tblHeader/>
        </w:trPr>
        <w:tc>
          <w:tcPr>
            <w:tcW w:w="1803" w:type="pct"/>
            <w:tcBorders>
              <w:bottom w:val="double" w:sz="4" w:space="0" w:color="auto"/>
            </w:tcBorders>
            <w:shd w:val="clear" w:color="auto" w:fill="auto"/>
            <w:vAlign w:val="center"/>
          </w:tcPr>
          <w:p w14:paraId="4BC585A3"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Infant (&lt;1 year old)</w:t>
            </w:r>
          </w:p>
        </w:tc>
        <w:tc>
          <w:tcPr>
            <w:tcW w:w="1437" w:type="pct"/>
            <w:tcBorders>
              <w:bottom w:val="double" w:sz="4" w:space="0" w:color="auto"/>
            </w:tcBorders>
            <w:shd w:val="clear" w:color="auto" w:fill="auto"/>
            <w:vAlign w:val="center"/>
          </w:tcPr>
          <w:p w14:paraId="73A4906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Tier 1</w:t>
            </w:r>
          </w:p>
        </w:tc>
        <w:tc>
          <w:tcPr>
            <w:tcW w:w="1760" w:type="pct"/>
            <w:tcBorders>
              <w:bottom w:val="double" w:sz="4" w:space="0" w:color="auto"/>
            </w:tcBorders>
            <w:shd w:val="clear" w:color="auto" w:fill="auto"/>
            <w:vAlign w:val="bottom"/>
          </w:tcPr>
          <w:p w14:paraId="0B44EFF4"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3.5</w:t>
            </w:r>
          </w:p>
        </w:tc>
      </w:tr>
    </w:tbl>
    <w:p w14:paraId="778C44A3" w14:textId="2525C4F0" w:rsidR="00780E5B" w:rsidRPr="007E29F8" w:rsidRDefault="00780E5B" w:rsidP="0071179F">
      <w:pPr>
        <w:widowControl w:val="0"/>
        <w:kinsoku w:val="0"/>
        <w:overflowPunct w:val="0"/>
        <w:autoSpaceDE w:val="0"/>
        <w:autoSpaceDN w:val="0"/>
        <w:adjustRightInd w:val="0"/>
        <w:spacing w:before="0" w:after="0" w:line="290" w:lineRule="exact"/>
        <w:ind w:right="215"/>
        <w:jc w:val="both"/>
        <w:textAlignment w:val="baseline"/>
        <w:rPr>
          <w:rFonts w:cs="Arial"/>
          <w:i/>
          <w:spacing w:val="1"/>
          <w:u w:val="single"/>
          <w:lang w:eastAsia="fr-FR"/>
        </w:rPr>
      </w:pPr>
    </w:p>
    <w:p w14:paraId="3B5D764C" w14:textId="74C4CB00" w:rsidR="00222ACA" w:rsidRDefault="00780E5B" w:rsidP="000A7410">
      <w:pPr>
        <w:widowControl w:val="0"/>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
          <w:i/>
          <w:spacing w:val="1"/>
          <w:u w:val="single"/>
          <w:lang w:eastAsia="fr-FR"/>
        </w:rPr>
      </w:pPr>
      <w:r w:rsidRPr="007E29F8">
        <w:rPr>
          <w:rFonts w:cs="Arial"/>
          <w:i/>
          <w:spacing w:val="1"/>
          <w:u w:val="single"/>
          <w:lang w:eastAsia="fr-FR"/>
        </w:rPr>
        <w:t xml:space="preserve">Scenario [1a]: Primary exposure – </w:t>
      </w:r>
      <w:r w:rsidRPr="007E29F8">
        <w:rPr>
          <w:rFonts w:cs="Arial"/>
          <w:b/>
          <w:i/>
          <w:spacing w:val="1"/>
          <w:u w:val="single"/>
          <w:lang w:eastAsia="fr-FR"/>
        </w:rPr>
        <w:t>application to the skin</w:t>
      </w:r>
      <w:r>
        <w:rPr>
          <w:rFonts w:cs="Arial"/>
          <w:b/>
          <w:i/>
          <w:spacing w:val="1"/>
          <w:u w:val="single"/>
          <w:lang w:eastAsia="fr-FR"/>
        </w:rPr>
        <w:t xml:space="preserve"> against mosquitoes/ticks</w:t>
      </w:r>
      <w:r w:rsidRPr="007E29F8">
        <w:rPr>
          <w:rFonts w:cs="Arial"/>
          <w:i/>
          <w:spacing w:val="1"/>
          <w:u w:val="single"/>
          <w:lang w:eastAsia="fr-FR"/>
        </w:rPr>
        <w:t xml:space="preserve">: Dermal exposure assessment for adults, children, toddlers and infants – </w:t>
      </w:r>
      <w:r w:rsidRPr="007E29F8">
        <w:rPr>
          <w:rFonts w:cs="Arial"/>
          <w:b/>
          <w:i/>
          <w:spacing w:val="1"/>
          <w:u w:val="single"/>
          <w:lang w:eastAsia="fr-FR"/>
        </w:rPr>
        <w:t>temperate conditions</w:t>
      </w:r>
    </w:p>
    <w:tbl>
      <w:tblPr>
        <w:tblW w:w="5356"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1"/>
        <w:gridCol w:w="4441"/>
        <w:gridCol w:w="1286"/>
        <w:gridCol w:w="3517"/>
      </w:tblGrid>
      <w:tr w:rsidR="00780E5B" w:rsidRPr="007E29F8" w14:paraId="04BC728C" w14:textId="77777777" w:rsidTr="002655EE">
        <w:trPr>
          <w:tblHeader/>
        </w:trPr>
        <w:tc>
          <w:tcPr>
            <w:tcW w:w="5000" w:type="pct"/>
            <w:gridSpan w:val="4"/>
            <w:shd w:val="clear" w:color="auto" w:fill="FFFFCC"/>
            <w:tcMar>
              <w:top w:w="57" w:type="dxa"/>
              <w:bottom w:w="57" w:type="dxa"/>
            </w:tcMar>
          </w:tcPr>
          <w:p w14:paraId="2BFF85CA" w14:textId="77777777" w:rsidR="00780E5B" w:rsidRPr="007E29F8" w:rsidRDefault="00780E5B" w:rsidP="00F1647E">
            <w:pPr>
              <w:pStyle w:val="Standaard-Tabellen"/>
              <w:widowControl w:val="0"/>
              <w:rPr>
                <w:rFonts w:eastAsia="Calibri"/>
                <w:b/>
                <w:sz w:val="20"/>
              </w:rPr>
            </w:pPr>
            <w:r w:rsidRPr="007E29F8">
              <w:rPr>
                <w:rFonts w:eastAsia="Calibri"/>
                <w:b/>
                <w:sz w:val="20"/>
              </w:rPr>
              <w:lastRenderedPageBreak/>
              <w:t>Description of Scenario 1a</w:t>
            </w:r>
          </w:p>
        </w:tc>
      </w:tr>
      <w:tr w:rsidR="00780E5B" w:rsidRPr="000A7410" w14:paraId="734C6FD7" w14:textId="77777777" w:rsidTr="000A7410">
        <w:trPr>
          <w:trHeight w:val="1065"/>
          <w:tblHeader/>
        </w:trPr>
        <w:tc>
          <w:tcPr>
            <w:tcW w:w="5000" w:type="pct"/>
            <w:gridSpan w:val="4"/>
            <w:shd w:val="clear" w:color="auto" w:fill="FFFFFF" w:themeFill="background1"/>
            <w:tcMar>
              <w:top w:w="57" w:type="dxa"/>
              <w:bottom w:w="57" w:type="dxa"/>
            </w:tcMar>
          </w:tcPr>
          <w:p w14:paraId="4C83285F"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Adults, children, toddlers and infants can be exposed directly when spraying the product to the skin. It is considered that the exposure of the adult spraying the biocidal product is covered by the exposure to the biocidal product he/she applies on his/her skin.</w:t>
            </w:r>
          </w:p>
          <w:p w14:paraId="5EB0913D"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The exposure by dermal route to the biocidal product can be calculated according to the following equation:</w:t>
            </w:r>
          </w:p>
          <w:p w14:paraId="36C0AB00"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m:oMathPara>
              <m:oMath>
                <m:r>
                  <w:rPr>
                    <w:rFonts w:ascii="Cambria Math" w:hAnsi="Cambria Math" w:cs="Arial"/>
                    <w:color w:val="000000"/>
                    <w:szCs w:val="18"/>
                    <w:lang w:eastAsia="fr-FR"/>
                  </w:rPr>
                  <m:t>ID</m:t>
                </m:r>
                <m:r>
                  <m:rPr>
                    <m:sty m:val="p"/>
                  </m:rPr>
                  <w:rPr>
                    <w:rFonts w:ascii="Cambria Math" w:hAnsi="Cambria Math" w:cs="Arial"/>
                    <w:color w:val="000000"/>
                    <w:szCs w:val="18"/>
                    <w:lang w:eastAsia="fr-FR"/>
                  </w:rPr>
                  <m:t xml:space="preserve">= </m:t>
                </m:r>
                <m:f>
                  <m:fPr>
                    <m:ctrlPr>
                      <w:rPr>
                        <w:rFonts w:ascii="Cambria Math" w:hAnsi="Cambria Math" w:cs="Arial"/>
                        <w:color w:val="000000"/>
                        <w:szCs w:val="18"/>
                        <w:lang w:eastAsia="fr-FR"/>
                      </w:rPr>
                    </m:ctrlPr>
                  </m:fPr>
                  <m:num>
                    <m:r>
                      <w:rPr>
                        <w:rFonts w:ascii="Cambria Math" w:hAnsi="Cambria Math" w:cs="Arial"/>
                        <w:color w:val="000000"/>
                        <w:szCs w:val="18"/>
                        <w:lang w:eastAsia="fr-FR"/>
                      </w:rPr>
                      <m:t>ARp</m:t>
                    </m:r>
                    <m:r>
                      <m:rPr>
                        <m:sty m:val="p"/>
                      </m:rPr>
                      <w:rPr>
                        <w:rFonts w:ascii="Cambria Math" w:hAnsi="Cambria Math" w:cs="Arial"/>
                        <w:color w:val="000000"/>
                        <w:szCs w:val="18"/>
                        <w:lang w:eastAsia="fr-FR"/>
                      </w:rPr>
                      <m:t xml:space="preserve"> ×</m:t>
                    </m:r>
                    <m:r>
                      <w:rPr>
                        <w:rFonts w:ascii="Cambria Math" w:hAnsi="Cambria Math" w:cs="Arial"/>
                        <w:color w:val="000000"/>
                        <w:szCs w:val="18"/>
                        <w:lang w:eastAsia="fr-FR"/>
                      </w:rPr>
                      <m:t>CIR</m:t>
                    </m:r>
                    <m:r>
                      <m:rPr>
                        <m:sty m:val="p"/>
                      </m:rPr>
                      <w:rPr>
                        <w:rFonts w:ascii="Cambria Math" w:hAnsi="Cambria Math" w:cs="Arial"/>
                        <w:color w:val="000000"/>
                        <w:szCs w:val="18"/>
                        <w:lang w:eastAsia="fr-FR"/>
                      </w:rPr>
                      <m:t>3535×</m:t>
                    </m:r>
                    <m:r>
                      <w:rPr>
                        <w:rFonts w:ascii="Cambria Math" w:hAnsi="Cambria Math" w:cs="Arial"/>
                        <w:color w:val="000000"/>
                        <w:szCs w:val="18"/>
                        <w:lang w:eastAsia="fr-FR"/>
                      </w:rPr>
                      <m:t>BS</m:t>
                    </m:r>
                    <m:r>
                      <m:rPr>
                        <m:sty m:val="p"/>
                      </m:rPr>
                      <w:rPr>
                        <w:rFonts w:ascii="Cambria Math" w:hAnsi="Cambria Math" w:cs="Arial"/>
                        <w:color w:val="000000"/>
                        <w:szCs w:val="18"/>
                        <w:lang w:eastAsia="fr-FR"/>
                      </w:rPr>
                      <m:t xml:space="preserve"> ×</m:t>
                    </m:r>
                    <m:r>
                      <w:rPr>
                        <w:rFonts w:ascii="Cambria Math" w:hAnsi="Cambria Math" w:cs="Arial"/>
                        <w:color w:val="000000"/>
                        <w:szCs w:val="18"/>
                        <w:lang w:eastAsia="fr-FR"/>
                      </w:rPr>
                      <m:t>DA</m:t>
                    </m:r>
                    <m:r>
                      <m:rPr>
                        <m:sty m:val="p"/>
                      </m:rPr>
                      <w:rPr>
                        <w:rFonts w:ascii="Cambria Math" w:hAnsi="Cambria Math" w:cs="Arial"/>
                        <w:color w:val="000000"/>
                        <w:szCs w:val="18"/>
                        <w:lang w:eastAsia="fr-FR"/>
                      </w:rPr>
                      <m:t xml:space="preserve"> ×</m:t>
                    </m:r>
                    <m:r>
                      <w:rPr>
                        <w:rFonts w:ascii="Cambria Math" w:hAnsi="Cambria Math" w:cs="Arial"/>
                        <w:color w:val="000000"/>
                        <w:szCs w:val="18"/>
                        <w:lang w:eastAsia="fr-FR"/>
                      </w:rPr>
                      <m:t>N</m:t>
                    </m:r>
                    <m:r>
                      <m:rPr>
                        <m:sty m:val="p"/>
                      </m:rPr>
                      <w:rPr>
                        <w:rFonts w:ascii="Cambria Math" w:hAnsi="Cambria Math" w:cs="Arial"/>
                        <w:color w:val="000000"/>
                        <w:szCs w:val="18"/>
                        <w:lang w:eastAsia="fr-FR"/>
                      </w:rPr>
                      <m:t xml:space="preserve"> </m:t>
                    </m:r>
                  </m:num>
                  <m:den>
                    <m:r>
                      <m:rPr>
                        <m:sty m:val="p"/>
                      </m:rPr>
                      <w:rPr>
                        <w:rFonts w:ascii="Cambria Math" w:hAnsi="Cambria Math" w:cs="Arial"/>
                        <w:color w:val="000000"/>
                        <w:szCs w:val="18"/>
                        <w:lang w:eastAsia="fr-FR"/>
                      </w:rPr>
                      <m:t>100 ×100 ×</m:t>
                    </m:r>
                    <m:r>
                      <w:rPr>
                        <w:rFonts w:ascii="Cambria Math" w:hAnsi="Cambria Math" w:cs="Arial"/>
                        <w:color w:val="000000"/>
                        <w:szCs w:val="18"/>
                        <w:lang w:eastAsia="fr-FR"/>
                      </w:rPr>
                      <m:t>BW</m:t>
                    </m:r>
                  </m:den>
                </m:f>
              </m:oMath>
            </m:oMathPara>
          </w:p>
          <w:p w14:paraId="186CF0AD"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where:</w:t>
            </w:r>
          </w:p>
          <w:p w14:paraId="2659CFE0"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ID</w:t>
            </w:r>
            <w:r w:rsidRPr="000A7410">
              <w:rPr>
                <w:rFonts w:cs="Arial"/>
                <w:color w:val="000000"/>
                <w:szCs w:val="18"/>
                <w:lang w:eastAsia="fr-FR"/>
              </w:rPr>
              <w:tab/>
              <w:t>Internal dose (mg/kg bw/day)</w:t>
            </w:r>
          </w:p>
          <w:p w14:paraId="5E88929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ARp</w:t>
            </w:r>
            <w:r w:rsidRPr="000A7410">
              <w:rPr>
                <w:rFonts w:cs="Arial"/>
                <w:color w:val="000000"/>
                <w:szCs w:val="18"/>
                <w:lang w:eastAsia="fr-FR"/>
              </w:rPr>
              <w:tab/>
              <w:t>Average dose of product applied on skin (mg/cm²)</w:t>
            </w:r>
          </w:p>
          <w:p w14:paraId="386CE9B3"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CIR3535</w:t>
            </w:r>
            <w:r w:rsidRPr="000A7410">
              <w:rPr>
                <w:rFonts w:cs="Arial"/>
                <w:color w:val="000000"/>
                <w:szCs w:val="18"/>
                <w:lang w:eastAsia="fr-FR"/>
              </w:rPr>
              <w:tab/>
              <w:t>Average concentration of substance in product (%)</w:t>
            </w:r>
          </w:p>
          <w:p w14:paraId="454E4401"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BS</w:t>
            </w:r>
            <w:r w:rsidRPr="000A7410">
              <w:rPr>
                <w:rFonts w:cs="Arial"/>
                <w:color w:val="000000"/>
                <w:szCs w:val="18"/>
                <w:lang w:eastAsia="fr-FR"/>
              </w:rPr>
              <w:tab/>
              <w:t>Body surface exposed to the product (cm²)</w:t>
            </w:r>
          </w:p>
          <w:p w14:paraId="6693BB3E"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DA</w:t>
            </w:r>
            <w:r w:rsidRPr="000A7410">
              <w:rPr>
                <w:rFonts w:cs="Arial"/>
                <w:color w:val="000000"/>
                <w:szCs w:val="18"/>
                <w:lang w:eastAsia="fr-FR"/>
              </w:rPr>
              <w:tab/>
              <w:t>Dermal absorption (%)</w:t>
            </w:r>
          </w:p>
          <w:p w14:paraId="4C833468"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N</w:t>
            </w:r>
            <w:r w:rsidRPr="000A7410">
              <w:rPr>
                <w:rFonts w:cs="Arial"/>
                <w:color w:val="000000"/>
                <w:szCs w:val="18"/>
                <w:lang w:eastAsia="fr-FR"/>
              </w:rPr>
              <w:tab/>
              <w:t>Number of product application per day (/day)</w:t>
            </w:r>
          </w:p>
          <w:p w14:paraId="607E4F6C"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BW</w:t>
            </w:r>
            <w:r w:rsidRPr="000A7410">
              <w:rPr>
                <w:rFonts w:cs="Arial"/>
                <w:color w:val="000000"/>
                <w:szCs w:val="18"/>
                <w:lang w:eastAsia="fr-FR"/>
              </w:rPr>
              <w:tab/>
              <w:t>Body weight (kg)</w:t>
            </w:r>
          </w:p>
          <w:p w14:paraId="68B9D3AC"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p w14:paraId="3BFA6DD6"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The product is not intended to be applied on the total body surface but on the following body segments corresponding to uncovered parts. According to Recommendation no. 11, 2018</w:t>
            </w:r>
            <w:r w:rsidRPr="000A7410">
              <w:rPr>
                <w:color w:val="000000"/>
                <w:szCs w:val="18"/>
              </w:rPr>
              <w:footnoteReference w:id="10"/>
            </w:r>
            <w:r w:rsidRPr="000A7410">
              <w:rPr>
                <w:rFonts w:cs="Arial"/>
                <w:color w:val="000000"/>
                <w:szCs w:val="18"/>
                <w:lang w:eastAsia="fr-FR"/>
              </w:rPr>
              <w:t xml:space="preserve">, the uncovered body surface area is approximately equal to 55% of the total body surface (head, neck, hands, lower arms, lower legs, feet and 70% of upper arms and thighs), assuming that during the whole season (mid-term exposure within a year) a short-sleeved shirt (i.e. T-shirt) and shorts are worn). </w:t>
            </w:r>
          </w:p>
          <w:p w14:paraId="11548A5B" w14:textId="006F61BB" w:rsidR="00780E5B" w:rsidRPr="000A7410" w:rsidRDefault="00780E5B" w:rsidP="00F1647E">
            <w:pPr>
              <w:widowControl w:val="0"/>
              <w:spacing w:before="0" w:after="0"/>
              <w:contextualSpacing/>
              <w:jc w:val="both"/>
              <w:rPr>
                <w:rFonts w:cs="Arial"/>
                <w:bCs/>
                <w:spacing w:val="1"/>
                <w:lang w:eastAsia="fr-FR"/>
              </w:rPr>
            </w:pPr>
          </w:p>
        </w:tc>
      </w:tr>
      <w:tr w:rsidR="00780E5B" w:rsidRPr="007E29F8" w14:paraId="321236D6" w14:textId="77777777" w:rsidTr="00222ACA">
        <w:trPr>
          <w:tblHeader/>
        </w:trPr>
        <w:tc>
          <w:tcPr>
            <w:tcW w:w="408" w:type="pct"/>
            <w:shd w:val="clear" w:color="auto" w:fill="BFBFBF" w:themeFill="background1" w:themeFillShade="BF"/>
            <w:tcMar>
              <w:top w:w="57" w:type="dxa"/>
              <w:bottom w:w="57" w:type="dxa"/>
            </w:tcMar>
          </w:tcPr>
          <w:p w14:paraId="566B8071"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u w:val="single"/>
                <w:lang w:eastAsia="fr-FR"/>
              </w:rPr>
            </w:pPr>
          </w:p>
        </w:tc>
        <w:tc>
          <w:tcPr>
            <w:tcW w:w="2206" w:type="pct"/>
            <w:shd w:val="clear" w:color="auto" w:fill="BFBFBF" w:themeFill="background1" w:themeFillShade="BF"/>
            <w:tcMar>
              <w:top w:w="57" w:type="dxa"/>
              <w:bottom w:w="57" w:type="dxa"/>
            </w:tcMar>
          </w:tcPr>
          <w:p w14:paraId="752B5A45"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Parameters</w:t>
            </w:r>
          </w:p>
        </w:tc>
        <w:tc>
          <w:tcPr>
            <w:tcW w:w="639" w:type="pct"/>
            <w:shd w:val="clear" w:color="auto" w:fill="BFBFBF" w:themeFill="background1" w:themeFillShade="BF"/>
            <w:tcMar>
              <w:top w:w="57" w:type="dxa"/>
              <w:bottom w:w="57" w:type="dxa"/>
            </w:tcMar>
          </w:tcPr>
          <w:p w14:paraId="1B330680"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
                <w:bCs/>
                <w:spacing w:val="1"/>
                <w:lang w:eastAsia="fr-FR"/>
              </w:rPr>
            </w:pPr>
            <w:r w:rsidRPr="007E29F8">
              <w:rPr>
                <w:rFonts w:cs="Arial"/>
                <w:b/>
                <w:bCs/>
                <w:spacing w:val="1"/>
                <w:lang w:eastAsia="fr-FR"/>
              </w:rPr>
              <w:t>Value</w:t>
            </w:r>
          </w:p>
        </w:tc>
        <w:tc>
          <w:tcPr>
            <w:tcW w:w="1747" w:type="pct"/>
            <w:shd w:val="clear" w:color="auto" w:fill="BFBFBF" w:themeFill="background1" w:themeFillShade="BF"/>
          </w:tcPr>
          <w:p w14:paraId="0F8D12AD"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
                <w:bCs/>
                <w:spacing w:val="1"/>
                <w:lang w:eastAsia="fr-FR"/>
              </w:rPr>
            </w:pPr>
            <w:r w:rsidRPr="007E29F8">
              <w:rPr>
                <w:rFonts w:cs="Arial"/>
                <w:b/>
                <w:bCs/>
                <w:spacing w:val="1"/>
                <w:lang w:eastAsia="fr-FR"/>
              </w:rPr>
              <w:t>References</w:t>
            </w:r>
          </w:p>
        </w:tc>
      </w:tr>
      <w:tr w:rsidR="00780E5B" w:rsidRPr="007E29F8" w14:paraId="2161BD5F" w14:textId="77777777" w:rsidTr="000A7410">
        <w:trPr>
          <w:tblHeader/>
        </w:trPr>
        <w:tc>
          <w:tcPr>
            <w:tcW w:w="408" w:type="pct"/>
            <w:vMerge w:val="restart"/>
            <w:shd w:val="clear" w:color="auto" w:fill="FFFFFF" w:themeFill="background1"/>
            <w:tcMar>
              <w:top w:w="57" w:type="dxa"/>
              <w:bottom w:w="57" w:type="dxa"/>
            </w:tcMar>
          </w:tcPr>
          <w:p w14:paraId="7FCE8E3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Tier 1</w:t>
            </w:r>
          </w:p>
        </w:tc>
        <w:tc>
          <w:tcPr>
            <w:tcW w:w="2206" w:type="pct"/>
            <w:shd w:val="clear" w:color="auto" w:fill="FFFFFF" w:themeFill="background1"/>
            <w:tcMar>
              <w:top w:w="57" w:type="dxa"/>
              <w:bottom w:w="57" w:type="dxa"/>
            </w:tcMar>
          </w:tcPr>
          <w:p w14:paraId="323322C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Dermal absorption</w:t>
            </w:r>
          </w:p>
        </w:tc>
        <w:tc>
          <w:tcPr>
            <w:tcW w:w="639" w:type="pct"/>
            <w:shd w:val="clear" w:color="auto" w:fill="FFFFFF" w:themeFill="background1"/>
            <w:tcMar>
              <w:top w:w="57" w:type="dxa"/>
              <w:bottom w:w="57" w:type="dxa"/>
            </w:tcMar>
          </w:tcPr>
          <w:p w14:paraId="6ECA391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14%</w:t>
            </w:r>
          </w:p>
        </w:tc>
        <w:tc>
          <w:tcPr>
            <w:tcW w:w="1747" w:type="pct"/>
            <w:shd w:val="clear" w:color="auto" w:fill="FFFFFF" w:themeFill="background1"/>
            <w:vAlign w:val="center"/>
          </w:tcPr>
          <w:p w14:paraId="5EFCC015"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CAR IR3535</w:t>
            </w:r>
          </w:p>
        </w:tc>
      </w:tr>
      <w:tr w:rsidR="00780E5B" w:rsidRPr="007E29F8" w14:paraId="3DD705CB" w14:textId="77777777" w:rsidTr="000A7410">
        <w:trPr>
          <w:tblHeader/>
        </w:trPr>
        <w:tc>
          <w:tcPr>
            <w:tcW w:w="408" w:type="pct"/>
            <w:vMerge/>
            <w:shd w:val="clear" w:color="auto" w:fill="FFFFFF" w:themeFill="background1"/>
            <w:tcMar>
              <w:top w:w="57" w:type="dxa"/>
              <w:bottom w:w="57" w:type="dxa"/>
            </w:tcMar>
          </w:tcPr>
          <w:p w14:paraId="3DAAB3E3"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206" w:type="pct"/>
            <w:shd w:val="clear" w:color="auto" w:fill="FFFFFF" w:themeFill="background1"/>
            <w:tcMar>
              <w:top w:w="57" w:type="dxa"/>
              <w:bottom w:w="57" w:type="dxa"/>
            </w:tcMar>
          </w:tcPr>
          <w:p w14:paraId="58C3E527"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 xml:space="preserve">% of active substance in biocidal product </w:t>
            </w:r>
          </w:p>
        </w:tc>
        <w:tc>
          <w:tcPr>
            <w:tcW w:w="639" w:type="pct"/>
            <w:shd w:val="clear" w:color="auto" w:fill="FFFFFF" w:themeFill="background1"/>
            <w:tcMar>
              <w:top w:w="57" w:type="dxa"/>
              <w:bottom w:w="57" w:type="dxa"/>
            </w:tcMar>
          </w:tcPr>
          <w:p w14:paraId="6E3AF34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20%</w:t>
            </w:r>
          </w:p>
        </w:tc>
        <w:tc>
          <w:tcPr>
            <w:tcW w:w="1747" w:type="pct"/>
            <w:shd w:val="clear" w:color="auto" w:fill="FFFFFF" w:themeFill="background1"/>
            <w:vAlign w:val="center"/>
          </w:tcPr>
          <w:p w14:paraId="66935955"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Applicant’s data</w:t>
            </w:r>
          </w:p>
        </w:tc>
      </w:tr>
      <w:tr w:rsidR="00780E5B" w:rsidRPr="007E29F8" w14:paraId="3ACB8B8D" w14:textId="77777777" w:rsidTr="000A7410">
        <w:trPr>
          <w:tblHeader/>
        </w:trPr>
        <w:tc>
          <w:tcPr>
            <w:tcW w:w="408" w:type="pct"/>
            <w:vMerge/>
            <w:shd w:val="clear" w:color="auto" w:fill="FFFFFF" w:themeFill="background1"/>
            <w:tcMar>
              <w:top w:w="57" w:type="dxa"/>
              <w:bottom w:w="57" w:type="dxa"/>
            </w:tcMar>
          </w:tcPr>
          <w:p w14:paraId="7D061682"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206" w:type="pct"/>
            <w:shd w:val="clear" w:color="auto" w:fill="FFFFFF" w:themeFill="background1"/>
            <w:tcMar>
              <w:top w:w="57" w:type="dxa"/>
              <w:bottom w:w="57" w:type="dxa"/>
            </w:tcMar>
          </w:tcPr>
          <w:p w14:paraId="6D9A6A4A"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Application rate ( g product/m²)</w:t>
            </w:r>
          </w:p>
        </w:tc>
        <w:tc>
          <w:tcPr>
            <w:tcW w:w="639" w:type="pct"/>
            <w:shd w:val="clear" w:color="auto" w:fill="FFFFFF" w:themeFill="background1"/>
            <w:tcMar>
              <w:top w:w="57" w:type="dxa"/>
              <w:bottom w:w="57" w:type="dxa"/>
            </w:tcMar>
          </w:tcPr>
          <w:p w14:paraId="57EC9CD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6</w:t>
            </w:r>
          </w:p>
        </w:tc>
        <w:tc>
          <w:tcPr>
            <w:tcW w:w="1747" w:type="pct"/>
            <w:shd w:val="clear" w:color="auto" w:fill="FFFFFF" w:themeFill="background1"/>
            <w:vAlign w:val="center"/>
          </w:tcPr>
          <w:p w14:paraId="2B496C46"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 xml:space="preserve">Applicant’s data </w:t>
            </w:r>
          </w:p>
        </w:tc>
      </w:tr>
      <w:tr w:rsidR="00780E5B" w:rsidRPr="007E29F8" w14:paraId="6131A606" w14:textId="77777777" w:rsidTr="000A7410">
        <w:trPr>
          <w:trHeight w:val="20"/>
          <w:tblHeader/>
        </w:trPr>
        <w:tc>
          <w:tcPr>
            <w:tcW w:w="408" w:type="pct"/>
            <w:vMerge/>
            <w:shd w:val="clear" w:color="auto" w:fill="FFFFFF" w:themeFill="background1"/>
            <w:tcMar>
              <w:top w:w="57" w:type="dxa"/>
              <w:bottom w:w="57" w:type="dxa"/>
            </w:tcMar>
            <w:vAlign w:val="center"/>
          </w:tcPr>
          <w:p w14:paraId="2DB57D0F"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845" w:type="pct"/>
            <w:gridSpan w:val="2"/>
            <w:shd w:val="clear" w:color="auto" w:fill="FFFFFF" w:themeFill="background1"/>
            <w:tcMar>
              <w:top w:w="57" w:type="dxa"/>
              <w:bottom w:w="57" w:type="dxa"/>
            </w:tcMar>
          </w:tcPr>
          <w:p w14:paraId="268B845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Number of application/day claimed by applicant</w:t>
            </w:r>
          </w:p>
        </w:tc>
        <w:tc>
          <w:tcPr>
            <w:tcW w:w="1747" w:type="pct"/>
            <w:vMerge w:val="restart"/>
            <w:shd w:val="clear" w:color="auto" w:fill="FFFFFF" w:themeFill="background1"/>
            <w:vAlign w:val="center"/>
          </w:tcPr>
          <w:p w14:paraId="515FBF10"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Applicant’s data</w:t>
            </w:r>
          </w:p>
        </w:tc>
      </w:tr>
      <w:tr w:rsidR="00780E5B" w:rsidRPr="007E29F8" w14:paraId="7A3DF066" w14:textId="77777777" w:rsidTr="000A7410">
        <w:trPr>
          <w:tblHeader/>
        </w:trPr>
        <w:tc>
          <w:tcPr>
            <w:tcW w:w="408" w:type="pct"/>
            <w:vMerge/>
            <w:shd w:val="clear" w:color="auto" w:fill="FFFFFF" w:themeFill="background1"/>
            <w:tcMar>
              <w:top w:w="57" w:type="dxa"/>
              <w:bottom w:w="57" w:type="dxa"/>
            </w:tcMar>
            <w:vAlign w:val="center"/>
          </w:tcPr>
          <w:p w14:paraId="48BB0C85"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206" w:type="pct"/>
            <w:shd w:val="clear" w:color="auto" w:fill="FFFFFF" w:themeFill="background1"/>
            <w:tcMar>
              <w:top w:w="57" w:type="dxa"/>
              <w:bottom w:w="57" w:type="dxa"/>
            </w:tcMar>
          </w:tcPr>
          <w:p w14:paraId="4ADC2A13"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Child &gt;6 years old and adult</w:t>
            </w:r>
          </w:p>
        </w:tc>
        <w:tc>
          <w:tcPr>
            <w:tcW w:w="639" w:type="pct"/>
            <w:shd w:val="clear" w:color="auto" w:fill="FFFFFF" w:themeFill="background1"/>
            <w:tcMar>
              <w:top w:w="57" w:type="dxa"/>
              <w:bottom w:w="57" w:type="dxa"/>
            </w:tcMar>
          </w:tcPr>
          <w:p w14:paraId="7B46F9FC"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2</w:t>
            </w:r>
          </w:p>
        </w:tc>
        <w:tc>
          <w:tcPr>
            <w:tcW w:w="1747" w:type="pct"/>
            <w:vMerge/>
            <w:shd w:val="clear" w:color="auto" w:fill="FFFFFF" w:themeFill="background1"/>
            <w:vAlign w:val="center"/>
          </w:tcPr>
          <w:p w14:paraId="6CF125A4"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r>
      <w:tr w:rsidR="00780E5B" w:rsidRPr="007E29F8" w14:paraId="397F5342" w14:textId="77777777" w:rsidTr="000A7410">
        <w:trPr>
          <w:trHeight w:val="20"/>
          <w:tblHeader/>
        </w:trPr>
        <w:tc>
          <w:tcPr>
            <w:tcW w:w="408" w:type="pct"/>
            <w:vMerge/>
            <w:shd w:val="clear" w:color="auto" w:fill="FFFFFF" w:themeFill="background1"/>
            <w:tcMar>
              <w:top w:w="57" w:type="dxa"/>
              <w:bottom w:w="57" w:type="dxa"/>
            </w:tcMar>
            <w:vAlign w:val="center"/>
          </w:tcPr>
          <w:p w14:paraId="353C6195"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206" w:type="pct"/>
            <w:shd w:val="clear" w:color="auto" w:fill="FFFFFF" w:themeFill="background1"/>
            <w:tcMar>
              <w:top w:w="57" w:type="dxa"/>
              <w:bottom w:w="57" w:type="dxa"/>
            </w:tcMar>
          </w:tcPr>
          <w:p w14:paraId="68785397"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Child ≥ 6 months old - 6 years old</w:t>
            </w:r>
          </w:p>
        </w:tc>
        <w:tc>
          <w:tcPr>
            <w:tcW w:w="639" w:type="pct"/>
            <w:shd w:val="clear" w:color="auto" w:fill="FFFFFF" w:themeFill="background1"/>
            <w:tcMar>
              <w:top w:w="57" w:type="dxa"/>
              <w:bottom w:w="57" w:type="dxa"/>
            </w:tcMar>
          </w:tcPr>
          <w:p w14:paraId="6B2BA61D"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1</w:t>
            </w:r>
          </w:p>
        </w:tc>
        <w:tc>
          <w:tcPr>
            <w:tcW w:w="1747" w:type="pct"/>
            <w:vMerge/>
            <w:shd w:val="clear" w:color="auto" w:fill="FFFFFF" w:themeFill="background1"/>
            <w:vAlign w:val="center"/>
          </w:tcPr>
          <w:p w14:paraId="049093B6"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r>
      <w:tr w:rsidR="00780E5B" w:rsidRPr="007E29F8" w14:paraId="5459931C" w14:textId="77777777" w:rsidTr="000A7410">
        <w:trPr>
          <w:tblHeader/>
        </w:trPr>
        <w:tc>
          <w:tcPr>
            <w:tcW w:w="408" w:type="pct"/>
            <w:vMerge/>
            <w:shd w:val="clear" w:color="auto" w:fill="FFFFFF" w:themeFill="background1"/>
            <w:tcMar>
              <w:top w:w="57" w:type="dxa"/>
              <w:bottom w:w="57" w:type="dxa"/>
            </w:tcMar>
          </w:tcPr>
          <w:p w14:paraId="64A9CFE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845" w:type="pct"/>
            <w:gridSpan w:val="2"/>
            <w:shd w:val="clear" w:color="auto" w:fill="FFFFFF" w:themeFill="background1"/>
            <w:tcMar>
              <w:top w:w="57" w:type="dxa"/>
              <w:bottom w:w="57" w:type="dxa"/>
            </w:tcMar>
          </w:tcPr>
          <w:p w14:paraId="6199FBAE"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Body weight (kg)</w:t>
            </w:r>
          </w:p>
        </w:tc>
        <w:tc>
          <w:tcPr>
            <w:tcW w:w="1747" w:type="pct"/>
            <w:vMerge w:val="restart"/>
            <w:shd w:val="clear" w:color="auto" w:fill="FFFFFF" w:themeFill="background1"/>
            <w:vAlign w:val="center"/>
          </w:tcPr>
          <w:p w14:paraId="6B591A7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Recommendation no. 14, 2017</w:t>
            </w:r>
            <w:r w:rsidRPr="000A7410">
              <w:rPr>
                <w:color w:val="000000"/>
                <w:szCs w:val="18"/>
              </w:rPr>
              <w:footnoteReference w:id="11"/>
            </w:r>
          </w:p>
        </w:tc>
      </w:tr>
      <w:tr w:rsidR="00780E5B" w:rsidRPr="007E29F8" w14:paraId="6AFF80A4" w14:textId="77777777" w:rsidTr="000A7410">
        <w:trPr>
          <w:tblHeader/>
        </w:trPr>
        <w:tc>
          <w:tcPr>
            <w:tcW w:w="408" w:type="pct"/>
            <w:vMerge/>
            <w:shd w:val="clear" w:color="auto" w:fill="FFFFFF" w:themeFill="background1"/>
            <w:tcMar>
              <w:top w:w="57" w:type="dxa"/>
              <w:bottom w:w="57" w:type="dxa"/>
            </w:tcMar>
          </w:tcPr>
          <w:p w14:paraId="0B6D7C75"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206" w:type="pct"/>
            <w:shd w:val="clear" w:color="auto" w:fill="FFFFFF" w:themeFill="background1"/>
            <w:tcMar>
              <w:top w:w="57" w:type="dxa"/>
              <w:bottom w:w="57" w:type="dxa"/>
            </w:tcMar>
            <w:vAlign w:val="center"/>
          </w:tcPr>
          <w:p w14:paraId="024C3B7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7E29F8">
              <w:rPr>
                <w:rFonts w:cs="Arial"/>
                <w:color w:val="000000"/>
                <w:szCs w:val="18"/>
                <w:lang w:eastAsia="fr-FR"/>
              </w:rPr>
              <w:t>Adult</w:t>
            </w:r>
          </w:p>
        </w:tc>
        <w:tc>
          <w:tcPr>
            <w:tcW w:w="639" w:type="pct"/>
            <w:shd w:val="clear" w:color="auto" w:fill="FFFFFF" w:themeFill="background1"/>
            <w:tcMar>
              <w:top w:w="57" w:type="dxa"/>
              <w:bottom w:w="57" w:type="dxa"/>
            </w:tcMar>
          </w:tcPr>
          <w:p w14:paraId="41922F7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60</w:t>
            </w:r>
          </w:p>
        </w:tc>
        <w:tc>
          <w:tcPr>
            <w:tcW w:w="1747" w:type="pct"/>
            <w:vMerge/>
            <w:shd w:val="clear" w:color="auto" w:fill="FFFFFF" w:themeFill="background1"/>
            <w:vAlign w:val="center"/>
          </w:tcPr>
          <w:p w14:paraId="20334C36"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r>
      <w:tr w:rsidR="00780E5B" w:rsidRPr="007E29F8" w14:paraId="1957759A" w14:textId="77777777" w:rsidTr="000A7410">
        <w:trPr>
          <w:trHeight w:val="20"/>
          <w:tblHeader/>
        </w:trPr>
        <w:tc>
          <w:tcPr>
            <w:tcW w:w="408" w:type="pct"/>
            <w:vMerge/>
            <w:shd w:val="clear" w:color="auto" w:fill="FFFFFF" w:themeFill="background1"/>
            <w:tcMar>
              <w:top w:w="57" w:type="dxa"/>
              <w:bottom w:w="57" w:type="dxa"/>
            </w:tcMar>
          </w:tcPr>
          <w:p w14:paraId="66F7094A"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206" w:type="pct"/>
            <w:shd w:val="clear" w:color="auto" w:fill="FFFFFF" w:themeFill="background1"/>
            <w:tcMar>
              <w:top w:w="57" w:type="dxa"/>
              <w:bottom w:w="57" w:type="dxa"/>
            </w:tcMar>
            <w:vAlign w:val="center"/>
          </w:tcPr>
          <w:p w14:paraId="2E2C4383"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7E29F8">
              <w:rPr>
                <w:rFonts w:cs="Arial"/>
                <w:color w:val="000000"/>
                <w:szCs w:val="18"/>
                <w:lang w:eastAsia="fr-FR"/>
              </w:rPr>
              <w:t>Child (6 to &lt;12 years old)</w:t>
            </w:r>
          </w:p>
        </w:tc>
        <w:tc>
          <w:tcPr>
            <w:tcW w:w="639" w:type="pct"/>
            <w:shd w:val="clear" w:color="auto" w:fill="FFFFFF" w:themeFill="background1"/>
            <w:tcMar>
              <w:top w:w="57" w:type="dxa"/>
              <w:bottom w:w="57" w:type="dxa"/>
            </w:tcMar>
          </w:tcPr>
          <w:p w14:paraId="7326B41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23.9</w:t>
            </w:r>
          </w:p>
        </w:tc>
        <w:tc>
          <w:tcPr>
            <w:tcW w:w="1747" w:type="pct"/>
            <w:vMerge/>
            <w:shd w:val="clear" w:color="auto" w:fill="FFFFFF" w:themeFill="background1"/>
            <w:vAlign w:val="center"/>
          </w:tcPr>
          <w:p w14:paraId="2ED76C03"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r>
      <w:tr w:rsidR="00780E5B" w:rsidRPr="007E29F8" w14:paraId="24A9137B" w14:textId="77777777" w:rsidTr="000A7410">
        <w:trPr>
          <w:tblHeader/>
        </w:trPr>
        <w:tc>
          <w:tcPr>
            <w:tcW w:w="408" w:type="pct"/>
            <w:vMerge/>
            <w:shd w:val="clear" w:color="auto" w:fill="FFFFFF" w:themeFill="background1"/>
            <w:tcMar>
              <w:top w:w="57" w:type="dxa"/>
              <w:bottom w:w="57" w:type="dxa"/>
            </w:tcMar>
          </w:tcPr>
          <w:p w14:paraId="4B474580"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206" w:type="pct"/>
            <w:shd w:val="clear" w:color="auto" w:fill="FFFFFF" w:themeFill="background1"/>
            <w:tcMar>
              <w:top w:w="57" w:type="dxa"/>
              <w:bottom w:w="57" w:type="dxa"/>
            </w:tcMar>
            <w:vAlign w:val="center"/>
          </w:tcPr>
          <w:p w14:paraId="08420DF4"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7E29F8">
              <w:rPr>
                <w:rFonts w:cs="Arial"/>
                <w:color w:val="000000"/>
                <w:szCs w:val="18"/>
                <w:lang w:eastAsia="fr-FR"/>
              </w:rPr>
              <w:t>Child (2 to &lt;6 years old)</w:t>
            </w:r>
          </w:p>
        </w:tc>
        <w:tc>
          <w:tcPr>
            <w:tcW w:w="639" w:type="pct"/>
            <w:shd w:val="clear" w:color="auto" w:fill="FFFFFF" w:themeFill="background1"/>
            <w:tcMar>
              <w:top w:w="57" w:type="dxa"/>
              <w:bottom w:w="57" w:type="dxa"/>
            </w:tcMar>
          </w:tcPr>
          <w:p w14:paraId="691E03EF"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15.6</w:t>
            </w:r>
          </w:p>
        </w:tc>
        <w:tc>
          <w:tcPr>
            <w:tcW w:w="1747" w:type="pct"/>
            <w:vMerge/>
            <w:shd w:val="clear" w:color="auto" w:fill="FFFFFF" w:themeFill="background1"/>
            <w:vAlign w:val="center"/>
          </w:tcPr>
          <w:p w14:paraId="3F89CDCD"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r>
      <w:tr w:rsidR="00780E5B" w:rsidRPr="007E29F8" w14:paraId="4614AADE" w14:textId="77777777" w:rsidTr="000A7410">
        <w:trPr>
          <w:tblHeader/>
        </w:trPr>
        <w:tc>
          <w:tcPr>
            <w:tcW w:w="408" w:type="pct"/>
            <w:vMerge/>
            <w:shd w:val="clear" w:color="auto" w:fill="FFFFFF" w:themeFill="background1"/>
            <w:tcMar>
              <w:top w:w="57" w:type="dxa"/>
              <w:bottom w:w="57" w:type="dxa"/>
            </w:tcMar>
          </w:tcPr>
          <w:p w14:paraId="055D1FA4"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206" w:type="pct"/>
            <w:shd w:val="clear" w:color="auto" w:fill="FFFFFF" w:themeFill="background1"/>
            <w:tcMar>
              <w:top w:w="57" w:type="dxa"/>
              <w:bottom w:w="57" w:type="dxa"/>
            </w:tcMar>
            <w:vAlign w:val="center"/>
          </w:tcPr>
          <w:p w14:paraId="609394C4"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7E29F8">
              <w:rPr>
                <w:rFonts w:cs="Arial"/>
                <w:color w:val="000000"/>
                <w:szCs w:val="18"/>
                <w:lang w:eastAsia="fr-FR"/>
              </w:rPr>
              <w:t>Toddler (1 to &lt;2 years old)</w:t>
            </w:r>
          </w:p>
        </w:tc>
        <w:tc>
          <w:tcPr>
            <w:tcW w:w="639" w:type="pct"/>
            <w:shd w:val="clear" w:color="auto" w:fill="FFFFFF" w:themeFill="background1"/>
            <w:tcMar>
              <w:top w:w="57" w:type="dxa"/>
              <w:bottom w:w="57" w:type="dxa"/>
            </w:tcMar>
          </w:tcPr>
          <w:p w14:paraId="18BF1A4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10</w:t>
            </w:r>
          </w:p>
        </w:tc>
        <w:tc>
          <w:tcPr>
            <w:tcW w:w="1747" w:type="pct"/>
            <w:vMerge/>
            <w:shd w:val="clear" w:color="auto" w:fill="FFFFFF" w:themeFill="background1"/>
            <w:vAlign w:val="center"/>
          </w:tcPr>
          <w:p w14:paraId="765F6E3A"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r>
      <w:tr w:rsidR="00780E5B" w:rsidRPr="007E29F8" w14:paraId="7AB67B8E" w14:textId="77777777" w:rsidTr="000A7410">
        <w:trPr>
          <w:trHeight w:val="20"/>
          <w:tblHeader/>
        </w:trPr>
        <w:tc>
          <w:tcPr>
            <w:tcW w:w="408" w:type="pct"/>
            <w:vMerge/>
            <w:shd w:val="clear" w:color="auto" w:fill="FFFFFF" w:themeFill="background1"/>
            <w:tcMar>
              <w:top w:w="57" w:type="dxa"/>
              <w:bottom w:w="57" w:type="dxa"/>
            </w:tcMar>
          </w:tcPr>
          <w:p w14:paraId="21EBF3F9"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206" w:type="pct"/>
            <w:shd w:val="clear" w:color="auto" w:fill="FFFFFF" w:themeFill="background1"/>
            <w:tcMar>
              <w:top w:w="57" w:type="dxa"/>
              <w:bottom w:w="57" w:type="dxa"/>
            </w:tcMar>
            <w:vAlign w:val="center"/>
          </w:tcPr>
          <w:p w14:paraId="73FB4B74"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7E29F8">
              <w:rPr>
                <w:rFonts w:cs="Arial"/>
                <w:color w:val="000000"/>
                <w:szCs w:val="18"/>
                <w:lang w:eastAsia="fr-FR"/>
              </w:rPr>
              <w:t>Infant (&lt;1 year old)</w:t>
            </w:r>
          </w:p>
        </w:tc>
        <w:tc>
          <w:tcPr>
            <w:tcW w:w="639" w:type="pct"/>
            <w:shd w:val="clear" w:color="auto" w:fill="FFFFFF" w:themeFill="background1"/>
            <w:tcMar>
              <w:top w:w="57" w:type="dxa"/>
              <w:bottom w:w="57" w:type="dxa"/>
            </w:tcMar>
          </w:tcPr>
          <w:p w14:paraId="0A8AA398"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8</w:t>
            </w:r>
          </w:p>
        </w:tc>
        <w:tc>
          <w:tcPr>
            <w:tcW w:w="1747" w:type="pct"/>
            <w:vMerge/>
            <w:shd w:val="clear" w:color="auto" w:fill="FFFFFF" w:themeFill="background1"/>
            <w:vAlign w:val="center"/>
          </w:tcPr>
          <w:p w14:paraId="03B2BAD7"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r>
      <w:tr w:rsidR="00780E5B" w:rsidRPr="007E29F8" w14:paraId="2F31C560" w14:textId="77777777" w:rsidTr="000A7410">
        <w:trPr>
          <w:tblHeader/>
        </w:trPr>
        <w:tc>
          <w:tcPr>
            <w:tcW w:w="408" w:type="pct"/>
            <w:vMerge/>
            <w:shd w:val="clear" w:color="auto" w:fill="FFFFFF" w:themeFill="background1"/>
            <w:tcMar>
              <w:top w:w="57" w:type="dxa"/>
              <w:bottom w:w="57" w:type="dxa"/>
            </w:tcMar>
          </w:tcPr>
          <w:p w14:paraId="45AEF24B"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tc>
        <w:tc>
          <w:tcPr>
            <w:tcW w:w="2845" w:type="pct"/>
            <w:gridSpan w:val="2"/>
            <w:shd w:val="clear" w:color="auto" w:fill="FFFFFF" w:themeFill="background1"/>
            <w:tcMar>
              <w:top w:w="57" w:type="dxa"/>
              <w:bottom w:w="57" w:type="dxa"/>
            </w:tcMar>
          </w:tcPr>
          <w:p w14:paraId="6391FCE3"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Body surface exposed (cm²)</w:t>
            </w:r>
          </w:p>
        </w:tc>
        <w:tc>
          <w:tcPr>
            <w:tcW w:w="1747" w:type="pct"/>
            <w:vMerge w:val="restart"/>
            <w:shd w:val="clear" w:color="auto" w:fill="FFFFFF" w:themeFill="background1"/>
            <w:vAlign w:val="center"/>
          </w:tcPr>
          <w:p w14:paraId="729F81E7"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 xml:space="preserve">Recommendation no. 11, 2018 </w:t>
            </w:r>
          </w:p>
          <w:p w14:paraId="6C477B45"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Recommendation no. 14, 2017</w:t>
            </w:r>
          </w:p>
          <w:p w14:paraId="0D50E5C1"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p>
          <w:p w14:paraId="738ACEF0"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Body surface considering exposure to head, neck, hands (palms and backs), arms (lower arms and 70% of upper arms), lower legs, 70% of thighs and feet.</w:t>
            </w:r>
          </w:p>
        </w:tc>
      </w:tr>
      <w:tr w:rsidR="00780E5B" w:rsidRPr="007E29F8" w14:paraId="5C869398" w14:textId="77777777" w:rsidTr="000A7410">
        <w:trPr>
          <w:trHeight w:val="20"/>
          <w:tblHeader/>
        </w:trPr>
        <w:tc>
          <w:tcPr>
            <w:tcW w:w="408" w:type="pct"/>
            <w:vMerge/>
            <w:shd w:val="clear" w:color="auto" w:fill="D9D9D9" w:themeFill="background1" w:themeFillShade="D9"/>
            <w:tcMar>
              <w:top w:w="57" w:type="dxa"/>
              <w:bottom w:w="57" w:type="dxa"/>
            </w:tcMar>
          </w:tcPr>
          <w:p w14:paraId="236DB4D7"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lang w:eastAsia="fr-FR"/>
              </w:rPr>
            </w:pPr>
          </w:p>
        </w:tc>
        <w:tc>
          <w:tcPr>
            <w:tcW w:w="2206" w:type="pct"/>
            <w:shd w:val="clear" w:color="auto" w:fill="FFFFFF" w:themeFill="background1"/>
            <w:tcMar>
              <w:top w:w="57" w:type="dxa"/>
              <w:bottom w:w="57" w:type="dxa"/>
            </w:tcMar>
            <w:vAlign w:val="center"/>
          </w:tcPr>
          <w:p w14:paraId="42BF6217"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Adult</w:t>
            </w:r>
          </w:p>
        </w:tc>
        <w:tc>
          <w:tcPr>
            <w:tcW w:w="639" w:type="pct"/>
            <w:shd w:val="clear" w:color="auto" w:fill="FFFFFF" w:themeFill="background1"/>
            <w:tcMar>
              <w:top w:w="57" w:type="dxa"/>
              <w:bottom w:w="57" w:type="dxa"/>
            </w:tcMar>
            <w:vAlign w:val="center"/>
          </w:tcPr>
          <w:p w14:paraId="4322D8DB" w14:textId="77777777" w:rsidR="00780E5B" w:rsidRPr="000A7410" w:rsidRDefault="00780E5B" w:rsidP="000A7410">
            <w:pPr>
              <w:widowControl w:val="0"/>
              <w:kinsoku w:val="0"/>
              <w:overflowPunct w:val="0"/>
              <w:autoSpaceDE w:val="0"/>
              <w:autoSpaceDN w:val="0"/>
              <w:adjustRightInd w:val="0"/>
              <w:spacing w:before="0" w:after="0"/>
              <w:ind w:left="124" w:right="216"/>
              <w:jc w:val="center"/>
              <w:textAlignment w:val="baseline"/>
              <w:rPr>
                <w:rFonts w:cs="Arial"/>
                <w:color w:val="000000"/>
                <w:szCs w:val="18"/>
                <w:lang w:eastAsia="fr-FR"/>
              </w:rPr>
            </w:pPr>
            <w:r w:rsidRPr="000A7410">
              <w:rPr>
                <w:rFonts w:cs="Arial"/>
                <w:color w:val="000000"/>
                <w:szCs w:val="18"/>
                <w:lang w:eastAsia="fr-FR"/>
              </w:rPr>
              <w:t>9588.2</w:t>
            </w:r>
          </w:p>
        </w:tc>
        <w:tc>
          <w:tcPr>
            <w:tcW w:w="1747" w:type="pct"/>
            <w:vMerge/>
            <w:shd w:val="clear" w:color="auto" w:fill="D9D9D9" w:themeFill="background1" w:themeFillShade="D9"/>
            <w:vAlign w:val="center"/>
          </w:tcPr>
          <w:p w14:paraId="2AE634DC"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u w:val="single"/>
                <w:lang w:eastAsia="fr-FR"/>
              </w:rPr>
            </w:pPr>
          </w:p>
        </w:tc>
      </w:tr>
      <w:tr w:rsidR="00780E5B" w:rsidRPr="007E29F8" w14:paraId="0AF04146" w14:textId="77777777" w:rsidTr="000A7410">
        <w:trPr>
          <w:tblHeader/>
        </w:trPr>
        <w:tc>
          <w:tcPr>
            <w:tcW w:w="408" w:type="pct"/>
            <w:vMerge/>
            <w:shd w:val="clear" w:color="auto" w:fill="D9D9D9" w:themeFill="background1" w:themeFillShade="D9"/>
            <w:tcMar>
              <w:top w:w="57" w:type="dxa"/>
              <w:bottom w:w="57" w:type="dxa"/>
            </w:tcMar>
          </w:tcPr>
          <w:p w14:paraId="31D9067C"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lang w:eastAsia="fr-FR"/>
              </w:rPr>
            </w:pPr>
          </w:p>
        </w:tc>
        <w:tc>
          <w:tcPr>
            <w:tcW w:w="2206" w:type="pct"/>
            <w:shd w:val="clear" w:color="auto" w:fill="FFFFFF" w:themeFill="background1"/>
            <w:tcMar>
              <w:top w:w="57" w:type="dxa"/>
              <w:bottom w:w="57" w:type="dxa"/>
            </w:tcMar>
            <w:vAlign w:val="center"/>
          </w:tcPr>
          <w:p w14:paraId="6DDA9BD6"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(6 to &lt;12 years old)</w:t>
            </w:r>
          </w:p>
        </w:tc>
        <w:tc>
          <w:tcPr>
            <w:tcW w:w="639" w:type="pct"/>
            <w:shd w:val="clear" w:color="auto" w:fill="FFFFFF" w:themeFill="background1"/>
            <w:tcMar>
              <w:top w:w="57" w:type="dxa"/>
              <w:bottom w:w="57" w:type="dxa"/>
            </w:tcMar>
            <w:vAlign w:val="center"/>
          </w:tcPr>
          <w:p w14:paraId="769943F2" w14:textId="77777777" w:rsidR="00780E5B" w:rsidRPr="000A7410" w:rsidRDefault="00780E5B" w:rsidP="000A7410">
            <w:pPr>
              <w:widowControl w:val="0"/>
              <w:kinsoku w:val="0"/>
              <w:overflowPunct w:val="0"/>
              <w:autoSpaceDE w:val="0"/>
              <w:autoSpaceDN w:val="0"/>
              <w:adjustRightInd w:val="0"/>
              <w:spacing w:before="0" w:after="0"/>
              <w:ind w:left="124" w:right="216"/>
              <w:jc w:val="center"/>
              <w:textAlignment w:val="baseline"/>
              <w:rPr>
                <w:rFonts w:cs="Arial"/>
                <w:color w:val="000000"/>
                <w:szCs w:val="18"/>
                <w:lang w:eastAsia="fr-FR"/>
              </w:rPr>
            </w:pPr>
            <w:r w:rsidRPr="000A7410">
              <w:rPr>
                <w:rFonts w:cs="Arial"/>
                <w:color w:val="000000"/>
                <w:szCs w:val="18"/>
                <w:lang w:eastAsia="fr-FR"/>
              </w:rPr>
              <w:t>5096.3</w:t>
            </w:r>
          </w:p>
        </w:tc>
        <w:tc>
          <w:tcPr>
            <w:tcW w:w="1747" w:type="pct"/>
            <w:vMerge/>
            <w:shd w:val="clear" w:color="auto" w:fill="D9D9D9" w:themeFill="background1" w:themeFillShade="D9"/>
            <w:vAlign w:val="center"/>
          </w:tcPr>
          <w:p w14:paraId="70D087A2"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u w:val="single"/>
                <w:lang w:eastAsia="fr-FR"/>
              </w:rPr>
            </w:pPr>
          </w:p>
        </w:tc>
      </w:tr>
      <w:tr w:rsidR="00780E5B" w:rsidRPr="007E29F8" w14:paraId="7AC4804A" w14:textId="77777777" w:rsidTr="000A7410">
        <w:trPr>
          <w:tblHeader/>
        </w:trPr>
        <w:tc>
          <w:tcPr>
            <w:tcW w:w="408" w:type="pct"/>
            <w:vMerge/>
            <w:shd w:val="clear" w:color="auto" w:fill="D9D9D9" w:themeFill="background1" w:themeFillShade="D9"/>
            <w:tcMar>
              <w:top w:w="57" w:type="dxa"/>
              <w:bottom w:w="57" w:type="dxa"/>
            </w:tcMar>
          </w:tcPr>
          <w:p w14:paraId="3E04D1CD"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lang w:eastAsia="fr-FR"/>
              </w:rPr>
            </w:pPr>
          </w:p>
        </w:tc>
        <w:tc>
          <w:tcPr>
            <w:tcW w:w="2206" w:type="pct"/>
            <w:shd w:val="clear" w:color="auto" w:fill="FFFFFF" w:themeFill="background1"/>
            <w:tcMar>
              <w:top w:w="57" w:type="dxa"/>
              <w:bottom w:w="57" w:type="dxa"/>
            </w:tcMar>
            <w:vAlign w:val="center"/>
          </w:tcPr>
          <w:p w14:paraId="59F1883A"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(2 to &lt;6 years old)</w:t>
            </w:r>
          </w:p>
        </w:tc>
        <w:tc>
          <w:tcPr>
            <w:tcW w:w="639" w:type="pct"/>
            <w:shd w:val="clear" w:color="auto" w:fill="FFFFFF" w:themeFill="background1"/>
            <w:tcMar>
              <w:top w:w="57" w:type="dxa"/>
              <w:bottom w:w="57" w:type="dxa"/>
            </w:tcMar>
            <w:vAlign w:val="center"/>
          </w:tcPr>
          <w:p w14:paraId="22040259" w14:textId="77777777" w:rsidR="00780E5B" w:rsidRPr="000A7410" w:rsidRDefault="00780E5B" w:rsidP="000A7410">
            <w:pPr>
              <w:widowControl w:val="0"/>
              <w:kinsoku w:val="0"/>
              <w:overflowPunct w:val="0"/>
              <w:autoSpaceDE w:val="0"/>
              <w:autoSpaceDN w:val="0"/>
              <w:adjustRightInd w:val="0"/>
              <w:spacing w:before="0" w:after="0"/>
              <w:ind w:left="124" w:right="216"/>
              <w:jc w:val="center"/>
              <w:textAlignment w:val="baseline"/>
              <w:rPr>
                <w:rFonts w:cs="Arial"/>
                <w:color w:val="000000"/>
                <w:szCs w:val="18"/>
                <w:lang w:eastAsia="fr-FR"/>
              </w:rPr>
            </w:pPr>
            <w:r w:rsidRPr="000A7410">
              <w:rPr>
                <w:rFonts w:cs="Arial"/>
                <w:color w:val="000000"/>
                <w:szCs w:val="18"/>
                <w:lang w:eastAsia="fr-FR"/>
              </w:rPr>
              <w:t>3779.0</w:t>
            </w:r>
          </w:p>
        </w:tc>
        <w:tc>
          <w:tcPr>
            <w:tcW w:w="1747" w:type="pct"/>
            <w:vMerge/>
            <w:shd w:val="clear" w:color="auto" w:fill="D9D9D9" w:themeFill="background1" w:themeFillShade="D9"/>
            <w:vAlign w:val="center"/>
          </w:tcPr>
          <w:p w14:paraId="0EDACBAE"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u w:val="single"/>
                <w:lang w:eastAsia="fr-FR"/>
              </w:rPr>
            </w:pPr>
          </w:p>
        </w:tc>
      </w:tr>
      <w:tr w:rsidR="00780E5B" w:rsidRPr="007E29F8" w14:paraId="0EF487D4" w14:textId="77777777" w:rsidTr="000A7410">
        <w:trPr>
          <w:tblHeader/>
        </w:trPr>
        <w:tc>
          <w:tcPr>
            <w:tcW w:w="408" w:type="pct"/>
            <w:vMerge/>
            <w:shd w:val="clear" w:color="auto" w:fill="D9D9D9" w:themeFill="background1" w:themeFillShade="D9"/>
            <w:tcMar>
              <w:top w:w="57" w:type="dxa"/>
              <w:bottom w:w="57" w:type="dxa"/>
            </w:tcMar>
          </w:tcPr>
          <w:p w14:paraId="5F7A8BEB"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lang w:eastAsia="fr-FR"/>
              </w:rPr>
            </w:pPr>
          </w:p>
        </w:tc>
        <w:tc>
          <w:tcPr>
            <w:tcW w:w="2206" w:type="pct"/>
            <w:shd w:val="clear" w:color="auto" w:fill="FFFFFF" w:themeFill="background1"/>
            <w:tcMar>
              <w:top w:w="57" w:type="dxa"/>
              <w:bottom w:w="57" w:type="dxa"/>
            </w:tcMar>
            <w:vAlign w:val="center"/>
          </w:tcPr>
          <w:p w14:paraId="7B56AC1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Toddler (1 to &lt;2 years old)</w:t>
            </w:r>
          </w:p>
        </w:tc>
        <w:tc>
          <w:tcPr>
            <w:tcW w:w="639" w:type="pct"/>
            <w:shd w:val="clear" w:color="auto" w:fill="FFFFFF" w:themeFill="background1"/>
            <w:tcMar>
              <w:top w:w="57" w:type="dxa"/>
              <w:bottom w:w="57" w:type="dxa"/>
            </w:tcMar>
            <w:vAlign w:val="center"/>
          </w:tcPr>
          <w:p w14:paraId="4714892E" w14:textId="77777777" w:rsidR="00780E5B" w:rsidRPr="000A7410" w:rsidRDefault="00780E5B" w:rsidP="000A7410">
            <w:pPr>
              <w:widowControl w:val="0"/>
              <w:kinsoku w:val="0"/>
              <w:overflowPunct w:val="0"/>
              <w:autoSpaceDE w:val="0"/>
              <w:autoSpaceDN w:val="0"/>
              <w:adjustRightInd w:val="0"/>
              <w:spacing w:before="0" w:after="0"/>
              <w:ind w:left="124" w:right="216"/>
              <w:jc w:val="center"/>
              <w:textAlignment w:val="baseline"/>
              <w:rPr>
                <w:rFonts w:cs="Arial"/>
                <w:color w:val="000000"/>
                <w:szCs w:val="18"/>
                <w:lang w:eastAsia="fr-FR"/>
              </w:rPr>
            </w:pPr>
            <w:r w:rsidRPr="000A7410">
              <w:rPr>
                <w:rFonts w:cs="Arial"/>
                <w:color w:val="000000"/>
                <w:szCs w:val="18"/>
                <w:lang w:eastAsia="fr-FR"/>
              </w:rPr>
              <w:t>2676.5</w:t>
            </w:r>
          </w:p>
        </w:tc>
        <w:tc>
          <w:tcPr>
            <w:tcW w:w="1747" w:type="pct"/>
            <w:vMerge/>
            <w:shd w:val="clear" w:color="auto" w:fill="D9D9D9" w:themeFill="background1" w:themeFillShade="D9"/>
            <w:vAlign w:val="center"/>
          </w:tcPr>
          <w:p w14:paraId="79DF84BF"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u w:val="single"/>
                <w:lang w:eastAsia="fr-FR"/>
              </w:rPr>
            </w:pPr>
          </w:p>
        </w:tc>
      </w:tr>
      <w:tr w:rsidR="00780E5B" w:rsidRPr="007E29F8" w14:paraId="2058223A" w14:textId="77777777" w:rsidTr="000A7410">
        <w:trPr>
          <w:trHeight w:val="20"/>
          <w:tblHeader/>
        </w:trPr>
        <w:tc>
          <w:tcPr>
            <w:tcW w:w="408" w:type="pct"/>
            <w:vMerge/>
            <w:shd w:val="clear" w:color="auto" w:fill="D9D9D9" w:themeFill="background1" w:themeFillShade="D9"/>
            <w:tcMar>
              <w:top w:w="57" w:type="dxa"/>
              <w:bottom w:w="57" w:type="dxa"/>
            </w:tcMar>
          </w:tcPr>
          <w:p w14:paraId="560B8DFB"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lang w:eastAsia="fr-FR"/>
              </w:rPr>
            </w:pPr>
          </w:p>
        </w:tc>
        <w:tc>
          <w:tcPr>
            <w:tcW w:w="2206" w:type="pct"/>
            <w:shd w:val="clear" w:color="auto" w:fill="FFFFFF" w:themeFill="background1"/>
            <w:tcMar>
              <w:top w:w="57" w:type="dxa"/>
              <w:bottom w:w="57" w:type="dxa"/>
            </w:tcMar>
            <w:vAlign w:val="center"/>
          </w:tcPr>
          <w:p w14:paraId="1452B858"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Infant (&lt;1 year old)</w:t>
            </w:r>
          </w:p>
        </w:tc>
        <w:tc>
          <w:tcPr>
            <w:tcW w:w="639" w:type="pct"/>
            <w:shd w:val="clear" w:color="auto" w:fill="FFFFFF" w:themeFill="background1"/>
            <w:tcMar>
              <w:top w:w="57" w:type="dxa"/>
              <w:bottom w:w="57" w:type="dxa"/>
            </w:tcMar>
            <w:vAlign w:val="center"/>
          </w:tcPr>
          <w:p w14:paraId="4476B97F" w14:textId="77777777" w:rsidR="00780E5B" w:rsidRPr="000A7410" w:rsidRDefault="00780E5B" w:rsidP="000A7410">
            <w:pPr>
              <w:widowControl w:val="0"/>
              <w:kinsoku w:val="0"/>
              <w:overflowPunct w:val="0"/>
              <w:autoSpaceDE w:val="0"/>
              <w:autoSpaceDN w:val="0"/>
              <w:adjustRightInd w:val="0"/>
              <w:spacing w:before="0" w:after="0"/>
              <w:ind w:left="124" w:right="216"/>
              <w:jc w:val="center"/>
              <w:textAlignment w:val="baseline"/>
              <w:rPr>
                <w:rFonts w:cs="Arial"/>
                <w:color w:val="000000"/>
                <w:szCs w:val="18"/>
                <w:lang w:eastAsia="fr-FR"/>
              </w:rPr>
            </w:pPr>
            <w:r w:rsidRPr="000A7410">
              <w:rPr>
                <w:rFonts w:cs="Arial"/>
                <w:color w:val="000000"/>
                <w:szCs w:val="18"/>
                <w:lang w:eastAsia="fr-FR"/>
              </w:rPr>
              <w:t>2286.2</w:t>
            </w:r>
          </w:p>
        </w:tc>
        <w:tc>
          <w:tcPr>
            <w:tcW w:w="1747" w:type="pct"/>
            <w:vMerge/>
            <w:shd w:val="clear" w:color="auto" w:fill="D9D9D9" w:themeFill="background1" w:themeFillShade="D9"/>
            <w:vAlign w:val="center"/>
          </w:tcPr>
          <w:p w14:paraId="19B71973" w14:textId="77777777" w:rsidR="00780E5B" w:rsidRPr="007E29F8" w:rsidRDefault="00780E5B" w:rsidP="00F1647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u w:val="single"/>
                <w:lang w:eastAsia="fr-FR"/>
              </w:rPr>
            </w:pPr>
          </w:p>
        </w:tc>
      </w:tr>
    </w:tbl>
    <w:p w14:paraId="1565809F" w14:textId="77777777" w:rsidR="00780E5B" w:rsidRPr="007E29F8" w:rsidRDefault="00780E5B" w:rsidP="00222ACA">
      <w:pPr>
        <w:keepNext/>
        <w:widowControl w:val="0"/>
        <w:kinsoku w:val="0"/>
        <w:overflowPunct w:val="0"/>
        <w:autoSpaceDE w:val="0"/>
        <w:autoSpaceDN w:val="0"/>
        <w:adjustRightInd w:val="0"/>
        <w:spacing w:before="0" w:after="0"/>
        <w:ind w:right="216"/>
        <w:jc w:val="both"/>
        <w:textAlignment w:val="baseline"/>
        <w:rPr>
          <w:rFonts w:cs="Arial"/>
          <w:spacing w:val="1"/>
          <w:u w:val="single"/>
          <w:lang w:eastAsia="fr-FR"/>
        </w:rPr>
      </w:pPr>
    </w:p>
    <w:p w14:paraId="217F2AD9" w14:textId="1BB3A05C" w:rsidR="00780E5B" w:rsidRDefault="00780E5B" w:rsidP="000A7410">
      <w:pPr>
        <w:keepNext/>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spacing w:val="1"/>
          <w:u w:val="single"/>
          <w:lang w:eastAsia="fr-FR"/>
        </w:rPr>
      </w:pPr>
      <w:r w:rsidRPr="007E29F8">
        <w:rPr>
          <w:rFonts w:cs="Arial"/>
          <w:spacing w:val="1"/>
          <w:u w:val="single"/>
          <w:lang w:eastAsia="fr-FR"/>
        </w:rPr>
        <w:t>Calculations for Scenario [1a]</w:t>
      </w:r>
    </w:p>
    <w:p w14:paraId="551BA0E8" w14:textId="77777777" w:rsidR="00F1647E" w:rsidRPr="007E29F8" w:rsidRDefault="00F1647E" w:rsidP="000A7410">
      <w:pPr>
        <w:keepNext/>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23"/>
        <w:gridCol w:w="2649"/>
        <w:gridCol w:w="3244"/>
      </w:tblGrid>
      <w:tr w:rsidR="00780E5B" w:rsidRPr="007E29F8" w14:paraId="39DD4A43" w14:textId="77777777" w:rsidTr="002655EE">
        <w:trPr>
          <w:cantSplit/>
          <w:trHeight w:val="103"/>
          <w:tblHeader/>
        </w:trPr>
        <w:tc>
          <w:tcPr>
            <w:tcW w:w="5000" w:type="pct"/>
            <w:gridSpan w:val="3"/>
            <w:shd w:val="clear" w:color="auto" w:fill="FFFFCC"/>
          </w:tcPr>
          <w:p w14:paraId="269B962F" w14:textId="77777777" w:rsidR="00780E5B" w:rsidRPr="007E29F8" w:rsidRDefault="00780E5B" w:rsidP="002655EE">
            <w:pPr>
              <w:pStyle w:val="Standaard-Tabellen"/>
              <w:rPr>
                <w:rFonts w:eastAsia="Calibri"/>
                <w:b/>
                <w:sz w:val="20"/>
              </w:rPr>
            </w:pPr>
            <w:r w:rsidRPr="007E29F8">
              <w:rPr>
                <w:rFonts w:eastAsia="Calibri"/>
                <w:b/>
                <w:sz w:val="20"/>
              </w:rPr>
              <w:t>Summary table: estimated exposure for Dermal Primary exposure</w:t>
            </w:r>
          </w:p>
        </w:tc>
      </w:tr>
      <w:tr w:rsidR="00780E5B" w:rsidRPr="007E29F8" w14:paraId="1D94636C" w14:textId="77777777" w:rsidTr="002655EE">
        <w:trPr>
          <w:cantSplit/>
          <w:trHeight w:val="103"/>
          <w:tblHeader/>
        </w:trPr>
        <w:tc>
          <w:tcPr>
            <w:tcW w:w="1803" w:type="pct"/>
            <w:shd w:val="clear" w:color="auto" w:fill="BFBFBF" w:themeFill="background1" w:themeFillShade="BF"/>
          </w:tcPr>
          <w:p w14:paraId="7976C73A" w14:textId="77777777" w:rsidR="00780E5B" w:rsidRPr="007E29F8" w:rsidRDefault="00780E5B" w:rsidP="002655EE">
            <w:pPr>
              <w:keepNext/>
              <w:widowControl w:val="0"/>
              <w:shd w:val="clear" w:color="auto" w:fill="D9D9D9" w:themeFill="background1" w:themeFillShade="D9"/>
              <w:kinsoku w:val="0"/>
              <w:overflowPunct w:val="0"/>
              <w:autoSpaceDE w:val="0"/>
              <w:autoSpaceDN w:val="0"/>
              <w:adjustRightInd w:val="0"/>
              <w:spacing w:before="0" w:after="0" w:line="276" w:lineRule="auto"/>
              <w:ind w:left="360" w:right="216"/>
              <w:jc w:val="both"/>
              <w:textAlignment w:val="baseline"/>
              <w:rPr>
                <w:rFonts w:cs="Arial"/>
                <w:b/>
                <w:bCs/>
                <w:spacing w:val="1"/>
                <w:lang w:eastAsia="fr-FR"/>
              </w:rPr>
            </w:pPr>
            <w:r w:rsidRPr="007E29F8">
              <w:rPr>
                <w:rFonts w:cs="Arial"/>
                <w:b/>
                <w:bCs/>
                <w:spacing w:val="1"/>
                <w:lang w:eastAsia="fr-FR"/>
              </w:rPr>
              <w:t>Exposure scenario</w:t>
            </w:r>
          </w:p>
        </w:tc>
        <w:tc>
          <w:tcPr>
            <w:tcW w:w="1437" w:type="pct"/>
            <w:shd w:val="clear" w:color="auto" w:fill="BFBFBF" w:themeFill="background1" w:themeFillShade="BF"/>
          </w:tcPr>
          <w:p w14:paraId="5CC5E292" w14:textId="77777777" w:rsidR="00780E5B" w:rsidRPr="007E29F8" w:rsidRDefault="00780E5B" w:rsidP="002655EE">
            <w:pPr>
              <w:keepNext/>
              <w:widowControl w:val="0"/>
              <w:shd w:val="clear" w:color="auto" w:fill="D9D9D9" w:themeFill="background1" w:themeFillShade="D9"/>
              <w:kinsoku w:val="0"/>
              <w:overflowPunct w:val="0"/>
              <w:autoSpaceDE w:val="0"/>
              <w:autoSpaceDN w:val="0"/>
              <w:adjustRightInd w:val="0"/>
              <w:spacing w:before="0" w:after="0" w:line="276" w:lineRule="auto"/>
              <w:ind w:left="360" w:right="216"/>
              <w:jc w:val="both"/>
              <w:textAlignment w:val="baseline"/>
              <w:rPr>
                <w:rFonts w:cs="Arial"/>
                <w:b/>
                <w:bCs/>
                <w:spacing w:val="1"/>
                <w:lang w:eastAsia="fr-FR"/>
              </w:rPr>
            </w:pPr>
            <w:r w:rsidRPr="007E29F8">
              <w:rPr>
                <w:rFonts w:cs="Arial"/>
                <w:b/>
                <w:bCs/>
                <w:spacing w:val="1"/>
                <w:lang w:eastAsia="fr-FR"/>
              </w:rPr>
              <w:t>Tier/PPE</w:t>
            </w:r>
          </w:p>
        </w:tc>
        <w:tc>
          <w:tcPr>
            <w:tcW w:w="1760" w:type="pct"/>
            <w:shd w:val="clear" w:color="auto" w:fill="BFBFBF" w:themeFill="background1" w:themeFillShade="BF"/>
          </w:tcPr>
          <w:p w14:paraId="2E91E776" w14:textId="77777777" w:rsidR="00780E5B" w:rsidRPr="007E29F8" w:rsidRDefault="00780E5B" w:rsidP="002655EE">
            <w:pPr>
              <w:keepNext/>
              <w:widowControl w:val="0"/>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spacing w:val="1"/>
                <w:lang w:eastAsia="fr-FR"/>
              </w:rPr>
            </w:pPr>
            <w:r w:rsidRPr="007E29F8">
              <w:rPr>
                <w:rFonts w:cs="Arial"/>
                <w:b/>
                <w:bCs/>
                <w:spacing w:val="1"/>
                <w:lang w:eastAsia="fr-FR"/>
              </w:rPr>
              <w:t>Estimated dermal uptake</w:t>
            </w:r>
          </w:p>
          <w:p w14:paraId="2E696D57" w14:textId="77777777" w:rsidR="00780E5B" w:rsidRPr="007E29F8" w:rsidRDefault="00780E5B" w:rsidP="002655EE">
            <w:pPr>
              <w:keepNext/>
              <w:widowControl w:val="0"/>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spacing w:val="1"/>
                <w:lang w:eastAsia="fr-FR"/>
              </w:rPr>
            </w:pPr>
            <w:r w:rsidRPr="007E29F8">
              <w:rPr>
                <w:rFonts w:cs="Arial"/>
                <w:b/>
                <w:bCs/>
                <w:spacing w:val="1"/>
                <w:lang w:eastAsia="fr-FR"/>
              </w:rPr>
              <w:t>(mg/ kg bw/d)</w:t>
            </w:r>
          </w:p>
        </w:tc>
      </w:tr>
      <w:tr w:rsidR="00780E5B" w:rsidRPr="000A7410" w14:paraId="5606C886" w14:textId="77777777" w:rsidTr="000A7410">
        <w:trPr>
          <w:cantSplit/>
          <w:trHeight w:val="207"/>
          <w:tblHeader/>
        </w:trPr>
        <w:tc>
          <w:tcPr>
            <w:tcW w:w="1803" w:type="pct"/>
            <w:shd w:val="clear" w:color="auto" w:fill="FFFFFF" w:themeFill="background1"/>
            <w:vAlign w:val="center"/>
          </w:tcPr>
          <w:p w14:paraId="60B6DE47"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Adult</w:t>
            </w:r>
          </w:p>
        </w:tc>
        <w:tc>
          <w:tcPr>
            <w:tcW w:w="1437" w:type="pct"/>
            <w:shd w:val="clear" w:color="auto" w:fill="FFFFFF" w:themeFill="background1"/>
            <w:vAlign w:val="center"/>
          </w:tcPr>
          <w:p w14:paraId="627A44E6"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(2 applications)</w:t>
            </w:r>
          </w:p>
        </w:tc>
        <w:tc>
          <w:tcPr>
            <w:tcW w:w="1760" w:type="pct"/>
            <w:shd w:val="clear" w:color="auto" w:fill="FFFFFF" w:themeFill="background1"/>
            <w:vAlign w:val="bottom"/>
          </w:tcPr>
          <w:p w14:paraId="07B2161B"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5.37   </w:t>
            </w:r>
          </w:p>
        </w:tc>
      </w:tr>
      <w:tr w:rsidR="00780E5B" w:rsidRPr="000A7410" w14:paraId="19DB67A6" w14:textId="77777777" w:rsidTr="000A7410">
        <w:trPr>
          <w:cantSplit/>
          <w:trHeight w:val="207"/>
          <w:tblHeader/>
        </w:trPr>
        <w:tc>
          <w:tcPr>
            <w:tcW w:w="1803" w:type="pct"/>
            <w:shd w:val="clear" w:color="auto" w:fill="FFFFFF" w:themeFill="background1"/>
            <w:vAlign w:val="center"/>
          </w:tcPr>
          <w:p w14:paraId="5D4797CB" w14:textId="77777777" w:rsidR="00780E5B" w:rsidRPr="007E29F8"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Adult</w:t>
            </w:r>
          </w:p>
        </w:tc>
        <w:tc>
          <w:tcPr>
            <w:tcW w:w="1437" w:type="pct"/>
            <w:shd w:val="clear" w:color="auto" w:fill="FFFFFF" w:themeFill="background1"/>
            <w:vAlign w:val="center"/>
          </w:tcPr>
          <w:p w14:paraId="1E971BCB"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(1 application)</w:t>
            </w:r>
          </w:p>
        </w:tc>
        <w:tc>
          <w:tcPr>
            <w:tcW w:w="1760" w:type="pct"/>
            <w:shd w:val="clear" w:color="auto" w:fill="FFFFFF" w:themeFill="background1"/>
            <w:vAlign w:val="bottom"/>
          </w:tcPr>
          <w:p w14:paraId="2611F471"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2.68   </w:t>
            </w:r>
          </w:p>
        </w:tc>
      </w:tr>
      <w:tr w:rsidR="00780E5B" w:rsidRPr="000A7410" w14:paraId="23CD0D03" w14:textId="77777777" w:rsidTr="000A7410">
        <w:trPr>
          <w:cantSplit/>
          <w:trHeight w:val="153"/>
          <w:tblHeader/>
        </w:trPr>
        <w:tc>
          <w:tcPr>
            <w:tcW w:w="1803" w:type="pct"/>
            <w:shd w:val="clear" w:color="auto" w:fill="FFFFFF" w:themeFill="background1"/>
            <w:vAlign w:val="center"/>
          </w:tcPr>
          <w:p w14:paraId="1124018E"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(6 to &lt;12 years old)</w:t>
            </w:r>
          </w:p>
        </w:tc>
        <w:tc>
          <w:tcPr>
            <w:tcW w:w="1437" w:type="pct"/>
            <w:shd w:val="clear" w:color="auto" w:fill="FFFFFF" w:themeFill="background1"/>
            <w:vAlign w:val="center"/>
          </w:tcPr>
          <w:p w14:paraId="2D5C6B8B"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(2 applications)</w:t>
            </w:r>
          </w:p>
        </w:tc>
        <w:tc>
          <w:tcPr>
            <w:tcW w:w="1760" w:type="pct"/>
            <w:shd w:val="clear" w:color="auto" w:fill="FFFFFF" w:themeFill="background1"/>
            <w:vAlign w:val="bottom"/>
          </w:tcPr>
          <w:p w14:paraId="4D968DDC"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7.16   </w:t>
            </w:r>
          </w:p>
        </w:tc>
      </w:tr>
      <w:tr w:rsidR="00780E5B" w:rsidRPr="000A7410" w14:paraId="22C7C9F8" w14:textId="77777777" w:rsidTr="000A7410">
        <w:trPr>
          <w:cantSplit/>
          <w:trHeight w:val="153"/>
          <w:tblHeader/>
        </w:trPr>
        <w:tc>
          <w:tcPr>
            <w:tcW w:w="1803" w:type="pct"/>
            <w:shd w:val="clear" w:color="auto" w:fill="FFFFFF" w:themeFill="background1"/>
            <w:vAlign w:val="center"/>
          </w:tcPr>
          <w:p w14:paraId="0C78E8A3" w14:textId="77777777" w:rsidR="00780E5B" w:rsidRPr="007E29F8"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(6 to &lt;12 years old)</w:t>
            </w:r>
          </w:p>
        </w:tc>
        <w:tc>
          <w:tcPr>
            <w:tcW w:w="1437" w:type="pct"/>
            <w:shd w:val="clear" w:color="auto" w:fill="FFFFFF" w:themeFill="background1"/>
            <w:vAlign w:val="center"/>
          </w:tcPr>
          <w:p w14:paraId="15815FB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(1 application)</w:t>
            </w:r>
          </w:p>
        </w:tc>
        <w:tc>
          <w:tcPr>
            <w:tcW w:w="1760" w:type="pct"/>
            <w:shd w:val="clear" w:color="auto" w:fill="FFFFFF" w:themeFill="background1"/>
            <w:vAlign w:val="bottom"/>
          </w:tcPr>
          <w:p w14:paraId="1F412F7E"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3.58   </w:t>
            </w:r>
          </w:p>
        </w:tc>
      </w:tr>
      <w:tr w:rsidR="00780E5B" w:rsidRPr="000A7410" w14:paraId="28C0FEFF" w14:textId="77777777" w:rsidTr="000A7410">
        <w:trPr>
          <w:cantSplit/>
          <w:trHeight w:val="210"/>
          <w:tblHeader/>
        </w:trPr>
        <w:tc>
          <w:tcPr>
            <w:tcW w:w="1803" w:type="pct"/>
            <w:shd w:val="clear" w:color="auto" w:fill="FFFFFF" w:themeFill="background1"/>
            <w:vAlign w:val="center"/>
          </w:tcPr>
          <w:p w14:paraId="659BF6B9"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(2 to &lt;6 years old)</w:t>
            </w:r>
          </w:p>
        </w:tc>
        <w:tc>
          <w:tcPr>
            <w:tcW w:w="1437" w:type="pct"/>
            <w:shd w:val="clear" w:color="auto" w:fill="FFFFFF" w:themeFill="background1"/>
            <w:vAlign w:val="center"/>
          </w:tcPr>
          <w:p w14:paraId="2B5509ED"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(1 application)</w:t>
            </w:r>
          </w:p>
        </w:tc>
        <w:tc>
          <w:tcPr>
            <w:tcW w:w="1760" w:type="pct"/>
            <w:shd w:val="clear" w:color="auto" w:fill="FFFFFF" w:themeFill="background1"/>
            <w:vAlign w:val="bottom"/>
          </w:tcPr>
          <w:p w14:paraId="786A8018"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4.07   </w:t>
            </w:r>
          </w:p>
        </w:tc>
      </w:tr>
      <w:tr w:rsidR="00780E5B" w:rsidRPr="000A7410" w14:paraId="5869D5E6" w14:textId="77777777" w:rsidTr="000A7410">
        <w:trPr>
          <w:cantSplit/>
          <w:trHeight w:val="207"/>
          <w:tblHeader/>
        </w:trPr>
        <w:tc>
          <w:tcPr>
            <w:tcW w:w="1803" w:type="pct"/>
            <w:shd w:val="clear" w:color="auto" w:fill="FFFFFF" w:themeFill="background1"/>
            <w:vAlign w:val="center"/>
          </w:tcPr>
          <w:p w14:paraId="0F03543B"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Toddler (1 to &lt;2 years old)</w:t>
            </w:r>
          </w:p>
        </w:tc>
        <w:tc>
          <w:tcPr>
            <w:tcW w:w="1437" w:type="pct"/>
            <w:shd w:val="clear" w:color="auto" w:fill="FFFFFF" w:themeFill="background1"/>
            <w:vAlign w:val="center"/>
          </w:tcPr>
          <w:p w14:paraId="0DC31BE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(1 application)</w:t>
            </w:r>
          </w:p>
        </w:tc>
        <w:tc>
          <w:tcPr>
            <w:tcW w:w="1760" w:type="pct"/>
            <w:shd w:val="clear" w:color="auto" w:fill="FFFFFF" w:themeFill="background1"/>
            <w:vAlign w:val="bottom"/>
          </w:tcPr>
          <w:p w14:paraId="11111BF2"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4.50   </w:t>
            </w:r>
          </w:p>
        </w:tc>
      </w:tr>
      <w:tr w:rsidR="00780E5B" w:rsidRPr="000A7410" w14:paraId="180FA7CC" w14:textId="77777777" w:rsidTr="000A7410">
        <w:trPr>
          <w:cantSplit/>
          <w:trHeight w:val="207"/>
          <w:tblHeader/>
        </w:trPr>
        <w:tc>
          <w:tcPr>
            <w:tcW w:w="1803" w:type="pct"/>
            <w:tcBorders>
              <w:bottom w:val="double" w:sz="4" w:space="0" w:color="auto"/>
            </w:tcBorders>
            <w:shd w:val="clear" w:color="auto" w:fill="FFFFFF" w:themeFill="background1"/>
            <w:vAlign w:val="center"/>
          </w:tcPr>
          <w:p w14:paraId="6F3FC13A"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Infant (&lt;1 year old)</w:t>
            </w:r>
          </w:p>
        </w:tc>
        <w:tc>
          <w:tcPr>
            <w:tcW w:w="1437" w:type="pct"/>
            <w:tcBorders>
              <w:bottom w:val="double" w:sz="4" w:space="0" w:color="auto"/>
            </w:tcBorders>
            <w:shd w:val="clear" w:color="auto" w:fill="FFFFFF" w:themeFill="background1"/>
            <w:vAlign w:val="center"/>
          </w:tcPr>
          <w:p w14:paraId="7BE4C4C1"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(1 application)</w:t>
            </w:r>
          </w:p>
        </w:tc>
        <w:tc>
          <w:tcPr>
            <w:tcW w:w="1760" w:type="pct"/>
            <w:tcBorders>
              <w:bottom w:val="double" w:sz="4" w:space="0" w:color="auto"/>
            </w:tcBorders>
            <w:shd w:val="clear" w:color="auto" w:fill="FFFFFF" w:themeFill="background1"/>
            <w:vAlign w:val="bottom"/>
          </w:tcPr>
          <w:p w14:paraId="125D1587"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4.80   </w:t>
            </w:r>
          </w:p>
        </w:tc>
      </w:tr>
    </w:tbl>
    <w:p w14:paraId="298D7BA5" w14:textId="77777777" w:rsidR="0053704B" w:rsidRDefault="0053704B" w:rsidP="0053704B">
      <w:pPr>
        <w:keepNext/>
        <w:widowControl w:val="0"/>
        <w:kinsoku w:val="0"/>
        <w:overflowPunct w:val="0"/>
        <w:autoSpaceDE w:val="0"/>
        <w:autoSpaceDN w:val="0"/>
        <w:adjustRightInd w:val="0"/>
        <w:spacing w:before="0" w:after="0" w:line="290" w:lineRule="exact"/>
        <w:ind w:right="215"/>
        <w:jc w:val="both"/>
        <w:textAlignment w:val="baseline"/>
        <w:rPr>
          <w:rFonts w:cs="Arial"/>
          <w:color w:val="000000"/>
          <w:szCs w:val="18"/>
          <w:lang w:eastAsia="fr-FR"/>
        </w:rPr>
      </w:pPr>
    </w:p>
    <w:p w14:paraId="52B15746" w14:textId="77777777" w:rsidR="0053704B" w:rsidRDefault="0053704B" w:rsidP="0053704B">
      <w:pPr>
        <w:keepNext/>
        <w:widowControl w:val="0"/>
        <w:kinsoku w:val="0"/>
        <w:overflowPunct w:val="0"/>
        <w:autoSpaceDE w:val="0"/>
        <w:autoSpaceDN w:val="0"/>
        <w:adjustRightInd w:val="0"/>
        <w:spacing w:before="0" w:after="0" w:line="290" w:lineRule="exact"/>
        <w:ind w:right="215"/>
        <w:jc w:val="both"/>
        <w:textAlignment w:val="baseline"/>
        <w:rPr>
          <w:rFonts w:cs="Arial"/>
          <w:color w:val="000000"/>
          <w:szCs w:val="18"/>
          <w:lang w:eastAsia="fr-FR"/>
        </w:rPr>
      </w:pPr>
    </w:p>
    <w:p w14:paraId="4AA50280" w14:textId="32C535E5" w:rsidR="00780E5B" w:rsidRPr="007E29F8" w:rsidRDefault="00780E5B" w:rsidP="000A7410">
      <w:pPr>
        <w:keepNext/>
        <w:widowControl w:val="0"/>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
          <w:i/>
          <w:spacing w:val="1"/>
          <w:u w:val="single"/>
          <w:lang w:eastAsia="fr-FR"/>
        </w:rPr>
      </w:pPr>
      <w:r w:rsidRPr="007E29F8">
        <w:rPr>
          <w:rFonts w:cs="Arial"/>
          <w:i/>
          <w:spacing w:val="1"/>
          <w:u w:val="single"/>
          <w:lang w:eastAsia="fr-FR"/>
        </w:rPr>
        <w:t xml:space="preserve">Scenario [1b]: Primary exposure – </w:t>
      </w:r>
      <w:r w:rsidRPr="007E29F8">
        <w:rPr>
          <w:rFonts w:cs="Arial"/>
          <w:b/>
          <w:i/>
          <w:spacing w:val="1"/>
          <w:u w:val="single"/>
          <w:lang w:eastAsia="fr-FR"/>
        </w:rPr>
        <w:t>application to the skin</w:t>
      </w:r>
      <w:r w:rsidRPr="007E29F8">
        <w:rPr>
          <w:rFonts w:cs="Arial"/>
          <w:i/>
          <w:spacing w:val="1"/>
          <w:u w:val="single"/>
          <w:lang w:eastAsia="fr-FR"/>
        </w:rPr>
        <w:t xml:space="preserve">: Dermal exposure assessment </w:t>
      </w:r>
      <w:r w:rsidRPr="007E29F8">
        <w:rPr>
          <w:rFonts w:cs="Arial"/>
          <w:i/>
          <w:spacing w:val="1"/>
          <w:u w:val="single"/>
          <w:lang w:eastAsia="fr-FR"/>
        </w:rPr>
        <w:lastRenderedPageBreak/>
        <w:t xml:space="preserve">for adults, children, toddlers and infants – </w:t>
      </w:r>
      <w:r w:rsidRPr="007E29F8">
        <w:rPr>
          <w:rFonts w:cs="Arial"/>
          <w:b/>
          <w:i/>
          <w:spacing w:val="1"/>
          <w:u w:val="single"/>
          <w:lang w:eastAsia="fr-FR"/>
        </w:rPr>
        <w:t>tropical conditions</w:t>
      </w:r>
    </w:p>
    <w:p w14:paraId="375DBC58" w14:textId="77777777" w:rsidR="00780E5B" w:rsidRPr="007E29F8" w:rsidRDefault="00780E5B" w:rsidP="00222ACA">
      <w:pPr>
        <w:keepNext/>
        <w:widowControl w:val="0"/>
        <w:kinsoku w:val="0"/>
        <w:overflowPunct w:val="0"/>
        <w:autoSpaceDE w:val="0"/>
        <w:autoSpaceDN w:val="0"/>
        <w:adjustRightInd w:val="0"/>
        <w:spacing w:before="0" w:after="0" w:line="290" w:lineRule="exact"/>
        <w:ind w:right="215"/>
        <w:jc w:val="both"/>
        <w:textAlignment w:val="baseline"/>
        <w:rPr>
          <w:rFonts w:cs="Arial"/>
          <w:b/>
          <w:i/>
          <w:spacing w:val="1"/>
          <w:u w:val="single"/>
          <w:lang w:eastAsia="fr-FR"/>
        </w:rPr>
      </w:pPr>
    </w:p>
    <w:tbl>
      <w:tblPr>
        <w:tblW w:w="562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4519"/>
        <w:gridCol w:w="1303"/>
        <w:gridCol w:w="3473"/>
      </w:tblGrid>
      <w:tr w:rsidR="00780E5B" w:rsidRPr="007E29F8" w14:paraId="42D446EE" w14:textId="77777777" w:rsidTr="002655EE">
        <w:trPr>
          <w:tblHeader/>
          <w:jc w:val="center"/>
        </w:trPr>
        <w:tc>
          <w:tcPr>
            <w:tcW w:w="5000" w:type="pct"/>
            <w:gridSpan w:val="4"/>
            <w:shd w:val="clear" w:color="auto" w:fill="FFFFCC"/>
            <w:tcMar>
              <w:top w:w="57" w:type="dxa"/>
              <w:bottom w:w="57" w:type="dxa"/>
            </w:tcMar>
          </w:tcPr>
          <w:p w14:paraId="220F5FA0" w14:textId="77777777" w:rsidR="00780E5B" w:rsidRPr="007E29F8" w:rsidRDefault="00780E5B" w:rsidP="002655EE">
            <w:pPr>
              <w:pStyle w:val="Standaard-Tabellen"/>
              <w:rPr>
                <w:rFonts w:eastAsia="Calibri"/>
                <w:b/>
                <w:sz w:val="20"/>
              </w:rPr>
            </w:pPr>
            <w:r w:rsidRPr="007E29F8">
              <w:rPr>
                <w:rFonts w:eastAsia="Calibri"/>
                <w:b/>
                <w:sz w:val="20"/>
              </w:rPr>
              <w:t>Description of Scenario 1b</w:t>
            </w:r>
          </w:p>
        </w:tc>
      </w:tr>
      <w:tr w:rsidR="00780E5B" w:rsidRPr="000A7410" w14:paraId="192DAB35" w14:textId="77777777" w:rsidTr="000A7410">
        <w:trPr>
          <w:tblHeader/>
          <w:jc w:val="center"/>
        </w:trPr>
        <w:tc>
          <w:tcPr>
            <w:tcW w:w="5000" w:type="pct"/>
            <w:gridSpan w:val="4"/>
            <w:shd w:val="clear" w:color="auto" w:fill="FFFFFF" w:themeFill="background1"/>
            <w:tcMar>
              <w:top w:w="57" w:type="dxa"/>
              <w:bottom w:w="57" w:type="dxa"/>
            </w:tcMar>
          </w:tcPr>
          <w:p w14:paraId="64B1EF13"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Same parameters are used from Scenario 1a for the intended uses against mosquitoes (intended use #4 - tropical conditions) with an application rate of 8 g product/m².</w:t>
            </w:r>
          </w:p>
        </w:tc>
      </w:tr>
      <w:tr w:rsidR="00780E5B" w:rsidRPr="000A7410" w14:paraId="2796FB33" w14:textId="77777777" w:rsidTr="000A7410">
        <w:trPr>
          <w:tblHeader/>
          <w:jc w:val="center"/>
        </w:trPr>
        <w:tc>
          <w:tcPr>
            <w:tcW w:w="600" w:type="pct"/>
            <w:shd w:val="clear" w:color="auto" w:fill="FFFFFF" w:themeFill="background1"/>
            <w:tcMar>
              <w:top w:w="57" w:type="dxa"/>
              <w:bottom w:w="57" w:type="dxa"/>
            </w:tcMar>
          </w:tcPr>
          <w:p w14:paraId="080DDB09"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tcPr>
          <w:p w14:paraId="1698A663"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Parameters</w:t>
            </w:r>
          </w:p>
        </w:tc>
        <w:tc>
          <w:tcPr>
            <w:tcW w:w="617" w:type="pct"/>
            <w:shd w:val="clear" w:color="auto" w:fill="FFFFFF" w:themeFill="background1"/>
            <w:tcMar>
              <w:top w:w="57" w:type="dxa"/>
              <w:bottom w:w="57" w:type="dxa"/>
            </w:tcMar>
          </w:tcPr>
          <w:p w14:paraId="7933EDB1"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Value</w:t>
            </w:r>
          </w:p>
        </w:tc>
        <w:tc>
          <w:tcPr>
            <w:tcW w:w="1644" w:type="pct"/>
            <w:shd w:val="clear" w:color="auto" w:fill="FFFFFF" w:themeFill="background1"/>
          </w:tcPr>
          <w:p w14:paraId="5832955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References</w:t>
            </w:r>
          </w:p>
        </w:tc>
      </w:tr>
      <w:tr w:rsidR="00780E5B" w:rsidRPr="000A7410" w14:paraId="79C299BE" w14:textId="77777777" w:rsidTr="000A7410">
        <w:trPr>
          <w:tblHeader/>
          <w:jc w:val="center"/>
        </w:trPr>
        <w:tc>
          <w:tcPr>
            <w:tcW w:w="600" w:type="pct"/>
            <w:vMerge w:val="restart"/>
            <w:shd w:val="clear" w:color="auto" w:fill="FFFFFF" w:themeFill="background1"/>
            <w:tcMar>
              <w:top w:w="57" w:type="dxa"/>
              <w:bottom w:w="57" w:type="dxa"/>
            </w:tcMar>
          </w:tcPr>
          <w:p w14:paraId="662FA4E6"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w:t>
            </w:r>
          </w:p>
        </w:tc>
        <w:tc>
          <w:tcPr>
            <w:tcW w:w="2139" w:type="pct"/>
            <w:shd w:val="clear" w:color="auto" w:fill="FFFFFF" w:themeFill="background1"/>
            <w:tcMar>
              <w:top w:w="57" w:type="dxa"/>
              <w:bottom w:w="57" w:type="dxa"/>
            </w:tcMar>
          </w:tcPr>
          <w:p w14:paraId="4CD5EF6F" w14:textId="77777777" w:rsidR="00780E5B" w:rsidRPr="000A7410" w:rsidRDefault="00780E5B" w:rsidP="000A7410">
            <w:pPr>
              <w:widowControl w:val="0"/>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0A7410">
              <w:rPr>
                <w:rFonts w:cs="Arial"/>
                <w:color w:val="000000"/>
                <w:szCs w:val="18"/>
                <w:lang w:eastAsia="fr-FR"/>
              </w:rPr>
              <w:t>Dermal absorption</w:t>
            </w:r>
          </w:p>
        </w:tc>
        <w:tc>
          <w:tcPr>
            <w:tcW w:w="617" w:type="pct"/>
            <w:shd w:val="clear" w:color="auto" w:fill="FFFFFF" w:themeFill="background1"/>
            <w:tcMar>
              <w:top w:w="57" w:type="dxa"/>
              <w:bottom w:w="57" w:type="dxa"/>
            </w:tcMar>
          </w:tcPr>
          <w:p w14:paraId="464F5409"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14%</w:t>
            </w:r>
          </w:p>
        </w:tc>
        <w:tc>
          <w:tcPr>
            <w:tcW w:w="1644" w:type="pct"/>
            <w:shd w:val="clear" w:color="auto" w:fill="FFFFFF" w:themeFill="background1"/>
            <w:vAlign w:val="center"/>
          </w:tcPr>
          <w:p w14:paraId="6C57A785" w14:textId="77777777" w:rsidR="00780E5B" w:rsidRPr="000A7410" w:rsidRDefault="00780E5B" w:rsidP="000A7410">
            <w:pPr>
              <w:widowControl w:val="0"/>
              <w:kinsoku w:val="0"/>
              <w:overflowPunct w:val="0"/>
              <w:autoSpaceDE w:val="0"/>
              <w:autoSpaceDN w:val="0"/>
              <w:adjustRightInd w:val="0"/>
              <w:spacing w:before="0" w:after="0"/>
              <w:ind w:left="79" w:right="25" w:firstLine="14"/>
              <w:textAlignment w:val="baseline"/>
              <w:rPr>
                <w:rFonts w:cs="Arial"/>
                <w:color w:val="000000"/>
                <w:szCs w:val="18"/>
                <w:lang w:eastAsia="fr-FR"/>
              </w:rPr>
            </w:pPr>
            <w:r w:rsidRPr="000A7410">
              <w:rPr>
                <w:rFonts w:cs="Arial"/>
                <w:color w:val="000000"/>
                <w:szCs w:val="18"/>
                <w:lang w:eastAsia="fr-FR"/>
              </w:rPr>
              <w:t>CAR IR3535</w:t>
            </w:r>
          </w:p>
        </w:tc>
      </w:tr>
      <w:tr w:rsidR="00780E5B" w:rsidRPr="000A7410" w14:paraId="066888CC" w14:textId="77777777" w:rsidTr="000A7410">
        <w:trPr>
          <w:tblHeader/>
          <w:jc w:val="center"/>
        </w:trPr>
        <w:tc>
          <w:tcPr>
            <w:tcW w:w="600" w:type="pct"/>
            <w:vMerge/>
            <w:shd w:val="clear" w:color="auto" w:fill="FFFFFF" w:themeFill="background1"/>
            <w:tcMar>
              <w:top w:w="57" w:type="dxa"/>
              <w:bottom w:w="57" w:type="dxa"/>
            </w:tcMar>
          </w:tcPr>
          <w:p w14:paraId="3990F4C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tcPr>
          <w:p w14:paraId="090A44CB"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of active substance in biocidal product </w:t>
            </w:r>
          </w:p>
        </w:tc>
        <w:tc>
          <w:tcPr>
            <w:tcW w:w="617" w:type="pct"/>
            <w:shd w:val="clear" w:color="auto" w:fill="FFFFFF" w:themeFill="background1"/>
            <w:tcMar>
              <w:top w:w="57" w:type="dxa"/>
              <w:bottom w:w="57" w:type="dxa"/>
            </w:tcMar>
          </w:tcPr>
          <w:p w14:paraId="69FDC77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20%</w:t>
            </w:r>
          </w:p>
        </w:tc>
        <w:tc>
          <w:tcPr>
            <w:tcW w:w="1644" w:type="pct"/>
            <w:shd w:val="clear" w:color="auto" w:fill="FFFFFF" w:themeFill="background1"/>
            <w:vAlign w:val="center"/>
          </w:tcPr>
          <w:p w14:paraId="47D9B7AF"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r w:rsidRPr="000A7410">
              <w:rPr>
                <w:rFonts w:cs="Arial"/>
                <w:color w:val="000000"/>
                <w:szCs w:val="18"/>
                <w:lang w:eastAsia="fr-FR"/>
              </w:rPr>
              <w:t>Applicant’s data</w:t>
            </w:r>
          </w:p>
        </w:tc>
      </w:tr>
      <w:tr w:rsidR="00780E5B" w:rsidRPr="000A7410" w14:paraId="7160DEEF" w14:textId="77777777" w:rsidTr="000A7410">
        <w:trPr>
          <w:tblHeader/>
          <w:jc w:val="center"/>
        </w:trPr>
        <w:tc>
          <w:tcPr>
            <w:tcW w:w="600" w:type="pct"/>
            <w:vMerge/>
            <w:shd w:val="clear" w:color="auto" w:fill="FFFFFF" w:themeFill="background1"/>
            <w:tcMar>
              <w:top w:w="57" w:type="dxa"/>
              <w:bottom w:w="57" w:type="dxa"/>
            </w:tcMar>
          </w:tcPr>
          <w:p w14:paraId="7354B3E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tcPr>
          <w:p w14:paraId="13859A4E"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Application rate ( g product/m²)</w:t>
            </w:r>
          </w:p>
        </w:tc>
        <w:tc>
          <w:tcPr>
            <w:tcW w:w="617" w:type="pct"/>
            <w:shd w:val="clear" w:color="auto" w:fill="FFFFFF" w:themeFill="background1"/>
            <w:tcMar>
              <w:top w:w="57" w:type="dxa"/>
              <w:bottom w:w="57" w:type="dxa"/>
            </w:tcMar>
          </w:tcPr>
          <w:p w14:paraId="077D549E"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8</w:t>
            </w:r>
          </w:p>
        </w:tc>
        <w:tc>
          <w:tcPr>
            <w:tcW w:w="1644" w:type="pct"/>
            <w:shd w:val="clear" w:color="auto" w:fill="FFFFFF" w:themeFill="background1"/>
            <w:vAlign w:val="center"/>
          </w:tcPr>
          <w:p w14:paraId="6E23E04D"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r w:rsidRPr="000A7410">
              <w:rPr>
                <w:rFonts w:cs="Arial"/>
                <w:color w:val="000000"/>
                <w:szCs w:val="18"/>
                <w:lang w:eastAsia="fr-FR"/>
              </w:rPr>
              <w:t xml:space="preserve">Applicant’s data </w:t>
            </w:r>
          </w:p>
        </w:tc>
      </w:tr>
      <w:tr w:rsidR="00780E5B" w:rsidRPr="000A7410" w14:paraId="5220212E" w14:textId="77777777" w:rsidTr="000A7410">
        <w:trPr>
          <w:tblHeader/>
          <w:jc w:val="center"/>
        </w:trPr>
        <w:tc>
          <w:tcPr>
            <w:tcW w:w="600" w:type="pct"/>
            <w:vMerge/>
            <w:shd w:val="clear" w:color="auto" w:fill="FFFFFF" w:themeFill="background1"/>
            <w:tcMar>
              <w:top w:w="57" w:type="dxa"/>
              <w:bottom w:w="57" w:type="dxa"/>
            </w:tcMar>
            <w:vAlign w:val="center"/>
          </w:tcPr>
          <w:p w14:paraId="2C55657F"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756" w:type="pct"/>
            <w:gridSpan w:val="2"/>
            <w:shd w:val="clear" w:color="auto" w:fill="FFFFFF" w:themeFill="background1"/>
            <w:tcMar>
              <w:top w:w="57" w:type="dxa"/>
              <w:bottom w:w="57" w:type="dxa"/>
            </w:tcMar>
          </w:tcPr>
          <w:p w14:paraId="6323778D"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Number of application/day</w:t>
            </w:r>
          </w:p>
        </w:tc>
        <w:tc>
          <w:tcPr>
            <w:tcW w:w="1644" w:type="pct"/>
            <w:vMerge w:val="restart"/>
            <w:shd w:val="clear" w:color="auto" w:fill="FFFFFF" w:themeFill="background1"/>
            <w:vAlign w:val="center"/>
          </w:tcPr>
          <w:p w14:paraId="62AE41D3"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r w:rsidRPr="000A7410">
              <w:rPr>
                <w:rFonts w:cs="Arial"/>
                <w:color w:val="000000"/>
                <w:szCs w:val="18"/>
                <w:lang w:eastAsia="fr-FR"/>
              </w:rPr>
              <w:t>Applicant’s data</w:t>
            </w:r>
          </w:p>
        </w:tc>
      </w:tr>
      <w:tr w:rsidR="00780E5B" w:rsidRPr="000A7410" w14:paraId="2CCD280F" w14:textId="77777777" w:rsidTr="000A7410">
        <w:trPr>
          <w:tblHeader/>
          <w:jc w:val="center"/>
        </w:trPr>
        <w:tc>
          <w:tcPr>
            <w:tcW w:w="600" w:type="pct"/>
            <w:vMerge/>
            <w:shd w:val="clear" w:color="auto" w:fill="FFFFFF" w:themeFill="background1"/>
            <w:tcMar>
              <w:top w:w="57" w:type="dxa"/>
              <w:bottom w:w="57" w:type="dxa"/>
            </w:tcMar>
            <w:vAlign w:val="center"/>
          </w:tcPr>
          <w:p w14:paraId="35A5C04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tcPr>
          <w:p w14:paraId="32CDF9C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Child &gt;11 years old and adult</w:t>
            </w:r>
          </w:p>
        </w:tc>
        <w:tc>
          <w:tcPr>
            <w:tcW w:w="617" w:type="pct"/>
            <w:shd w:val="clear" w:color="auto" w:fill="FFFFFF" w:themeFill="background1"/>
            <w:tcMar>
              <w:top w:w="57" w:type="dxa"/>
              <w:bottom w:w="57" w:type="dxa"/>
            </w:tcMar>
          </w:tcPr>
          <w:p w14:paraId="22F2F6B2"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2</w:t>
            </w:r>
          </w:p>
        </w:tc>
        <w:tc>
          <w:tcPr>
            <w:tcW w:w="1644" w:type="pct"/>
            <w:vMerge/>
            <w:shd w:val="clear" w:color="auto" w:fill="FFFFFF" w:themeFill="background1"/>
            <w:vAlign w:val="center"/>
          </w:tcPr>
          <w:p w14:paraId="5DEECA20"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384CF27A" w14:textId="77777777" w:rsidTr="000A7410">
        <w:trPr>
          <w:trHeight w:val="20"/>
          <w:tblHeader/>
          <w:jc w:val="center"/>
        </w:trPr>
        <w:tc>
          <w:tcPr>
            <w:tcW w:w="600" w:type="pct"/>
            <w:vMerge/>
            <w:shd w:val="clear" w:color="auto" w:fill="FFFFFF" w:themeFill="background1"/>
            <w:tcMar>
              <w:top w:w="57" w:type="dxa"/>
              <w:bottom w:w="57" w:type="dxa"/>
            </w:tcMar>
            <w:vAlign w:val="center"/>
          </w:tcPr>
          <w:p w14:paraId="558699A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tcPr>
          <w:p w14:paraId="27C132BF"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Child ≥ 6 months old - 11 years old</w:t>
            </w:r>
          </w:p>
        </w:tc>
        <w:tc>
          <w:tcPr>
            <w:tcW w:w="617" w:type="pct"/>
            <w:shd w:val="clear" w:color="auto" w:fill="FFFFFF" w:themeFill="background1"/>
            <w:tcMar>
              <w:top w:w="57" w:type="dxa"/>
              <w:bottom w:w="57" w:type="dxa"/>
            </w:tcMar>
          </w:tcPr>
          <w:p w14:paraId="39C4A121"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1</w:t>
            </w:r>
          </w:p>
        </w:tc>
        <w:tc>
          <w:tcPr>
            <w:tcW w:w="1644" w:type="pct"/>
            <w:vMerge/>
            <w:shd w:val="clear" w:color="auto" w:fill="FFFFFF" w:themeFill="background1"/>
            <w:vAlign w:val="center"/>
          </w:tcPr>
          <w:p w14:paraId="47663D5D"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2385F475" w14:textId="77777777" w:rsidTr="000A7410">
        <w:trPr>
          <w:tblHeader/>
          <w:jc w:val="center"/>
        </w:trPr>
        <w:tc>
          <w:tcPr>
            <w:tcW w:w="600" w:type="pct"/>
            <w:vMerge/>
            <w:shd w:val="clear" w:color="auto" w:fill="FFFFFF" w:themeFill="background1"/>
            <w:tcMar>
              <w:top w:w="57" w:type="dxa"/>
              <w:bottom w:w="57" w:type="dxa"/>
            </w:tcMar>
          </w:tcPr>
          <w:p w14:paraId="7AFEF60D"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756" w:type="pct"/>
            <w:gridSpan w:val="2"/>
            <w:shd w:val="clear" w:color="auto" w:fill="FFFFFF" w:themeFill="background1"/>
            <w:tcMar>
              <w:top w:w="57" w:type="dxa"/>
              <w:bottom w:w="57" w:type="dxa"/>
            </w:tcMar>
          </w:tcPr>
          <w:p w14:paraId="223258B8"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Body weight (kg)</w:t>
            </w:r>
          </w:p>
        </w:tc>
        <w:tc>
          <w:tcPr>
            <w:tcW w:w="1644" w:type="pct"/>
            <w:vMerge w:val="restart"/>
            <w:shd w:val="clear" w:color="auto" w:fill="FFFFFF" w:themeFill="background1"/>
            <w:vAlign w:val="center"/>
          </w:tcPr>
          <w:p w14:paraId="00825866"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r w:rsidRPr="000A7410">
              <w:rPr>
                <w:rFonts w:cs="Arial"/>
                <w:color w:val="000000"/>
                <w:szCs w:val="18"/>
                <w:lang w:eastAsia="fr-FR"/>
              </w:rPr>
              <w:t>Recommendation no. 14, 2017</w:t>
            </w:r>
          </w:p>
        </w:tc>
      </w:tr>
      <w:tr w:rsidR="00780E5B" w:rsidRPr="000A7410" w14:paraId="171BD630" w14:textId="77777777" w:rsidTr="000A7410">
        <w:trPr>
          <w:tblHeader/>
          <w:jc w:val="center"/>
        </w:trPr>
        <w:tc>
          <w:tcPr>
            <w:tcW w:w="600" w:type="pct"/>
            <w:vMerge/>
            <w:shd w:val="clear" w:color="auto" w:fill="FFFFFF" w:themeFill="background1"/>
            <w:tcMar>
              <w:top w:w="57" w:type="dxa"/>
              <w:bottom w:w="57" w:type="dxa"/>
            </w:tcMar>
          </w:tcPr>
          <w:p w14:paraId="64FFF73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vAlign w:val="center"/>
          </w:tcPr>
          <w:p w14:paraId="4ABB954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Adult</w:t>
            </w:r>
          </w:p>
        </w:tc>
        <w:tc>
          <w:tcPr>
            <w:tcW w:w="617" w:type="pct"/>
            <w:shd w:val="clear" w:color="auto" w:fill="FFFFFF" w:themeFill="background1"/>
            <w:tcMar>
              <w:top w:w="57" w:type="dxa"/>
              <w:bottom w:w="57" w:type="dxa"/>
            </w:tcMar>
          </w:tcPr>
          <w:p w14:paraId="195A2E2B"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60</w:t>
            </w:r>
          </w:p>
        </w:tc>
        <w:tc>
          <w:tcPr>
            <w:tcW w:w="1644" w:type="pct"/>
            <w:vMerge/>
            <w:shd w:val="clear" w:color="auto" w:fill="FFFFFF" w:themeFill="background1"/>
            <w:vAlign w:val="center"/>
          </w:tcPr>
          <w:p w14:paraId="33A9E0A5"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0D6A491F" w14:textId="77777777" w:rsidTr="000A7410">
        <w:trPr>
          <w:tblHeader/>
          <w:jc w:val="center"/>
        </w:trPr>
        <w:tc>
          <w:tcPr>
            <w:tcW w:w="600" w:type="pct"/>
            <w:vMerge/>
            <w:shd w:val="clear" w:color="auto" w:fill="FFFFFF" w:themeFill="background1"/>
            <w:tcMar>
              <w:top w:w="57" w:type="dxa"/>
              <w:bottom w:w="57" w:type="dxa"/>
            </w:tcMar>
          </w:tcPr>
          <w:p w14:paraId="21F4A46A"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vAlign w:val="center"/>
          </w:tcPr>
          <w:p w14:paraId="41543A18"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(6 to &lt;12 years old)</w:t>
            </w:r>
          </w:p>
        </w:tc>
        <w:tc>
          <w:tcPr>
            <w:tcW w:w="617" w:type="pct"/>
            <w:shd w:val="clear" w:color="auto" w:fill="FFFFFF" w:themeFill="background1"/>
            <w:tcMar>
              <w:top w:w="57" w:type="dxa"/>
              <w:bottom w:w="57" w:type="dxa"/>
            </w:tcMar>
          </w:tcPr>
          <w:p w14:paraId="57457E6A"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23.9</w:t>
            </w:r>
          </w:p>
        </w:tc>
        <w:tc>
          <w:tcPr>
            <w:tcW w:w="1644" w:type="pct"/>
            <w:vMerge/>
            <w:shd w:val="clear" w:color="auto" w:fill="FFFFFF" w:themeFill="background1"/>
            <w:vAlign w:val="center"/>
          </w:tcPr>
          <w:p w14:paraId="200F7E3A"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1A06CA85" w14:textId="77777777" w:rsidTr="000A7410">
        <w:trPr>
          <w:tblHeader/>
          <w:jc w:val="center"/>
        </w:trPr>
        <w:tc>
          <w:tcPr>
            <w:tcW w:w="600" w:type="pct"/>
            <w:vMerge/>
            <w:shd w:val="clear" w:color="auto" w:fill="FFFFFF" w:themeFill="background1"/>
            <w:tcMar>
              <w:top w:w="57" w:type="dxa"/>
              <w:bottom w:w="57" w:type="dxa"/>
            </w:tcMar>
          </w:tcPr>
          <w:p w14:paraId="4183D9C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vAlign w:val="center"/>
          </w:tcPr>
          <w:p w14:paraId="7A46142F"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(2 to &lt;6 years old)</w:t>
            </w:r>
          </w:p>
        </w:tc>
        <w:tc>
          <w:tcPr>
            <w:tcW w:w="617" w:type="pct"/>
            <w:shd w:val="clear" w:color="auto" w:fill="FFFFFF" w:themeFill="background1"/>
            <w:tcMar>
              <w:top w:w="57" w:type="dxa"/>
              <w:bottom w:w="57" w:type="dxa"/>
            </w:tcMar>
          </w:tcPr>
          <w:p w14:paraId="6D81431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15.6</w:t>
            </w:r>
          </w:p>
        </w:tc>
        <w:tc>
          <w:tcPr>
            <w:tcW w:w="1644" w:type="pct"/>
            <w:vMerge/>
            <w:shd w:val="clear" w:color="auto" w:fill="FFFFFF" w:themeFill="background1"/>
            <w:vAlign w:val="center"/>
          </w:tcPr>
          <w:p w14:paraId="12F69D8C"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3CEDBFAC" w14:textId="77777777" w:rsidTr="000A7410">
        <w:trPr>
          <w:tblHeader/>
          <w:jc w:val="center"/>
        </w:trPr>
        <w:tc>
          <w:tcPr>
            <w:tcW w:w="600" w:type="pct"/>
            <w:vMerge/>
            <w:shd w:val="clear" w:color="auto" w:fill="FFFFFF" w:themeFill="background1"/>
            <w:tcMar>
              <w:top w:w="57" w:type="dxa"/>
              <w:bottom w:w="57" w:type="dxa"/>
            </w:tcMar>
          </w:tcPr>
          <w:p w14:paraId="11940ECF"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vAlign w:val="center"/>
          </w:tcPr>
          <w:p w14:paraId="7808E167"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Toddler (1 to &lt;2 years old)</w:t>
            </w:r>
          </w:p>
        </w:tc>
        <w:tc>
          <w:tcPr>
            <w:tcW w:w="617" w:type="pct"/>
            <w:shd w:val="clear" w:color="auto" w:fill="FFFFFF" w:themeFill="background1"/>
            <w:tcMar>
              <w:top w:w="57" w:type="dxa"/>
              <w:bottom w:w="57" w:type="dxa"/>
            </w:tcMar>
          </w:tcPr>
          <w:p w14:paraId="07BC3431"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10</w:t>
            </w:r>
          </w:p>
        </w:tc>
        <w:tc>
          <w:tcPr>
            <w:tcW w:w="1644" w:type="pct"/>
            <w:vMerge/>
            <w:shd w:val="clear" w:color="auto" w:fill="FFFFFF" w:themeFill="background1"/>
            <w:vAlign w:val="center"/>
          </w:tcPr>
          <w:p w14:paraId="5A2AF45F"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71D420D4" w14:textId="77777777" w:rsidTr="000A7410">
        <w:trPr>
          <w:tblHeader/>
          <w:jc w:val="center"/>
        </w:trPr>
        <w:tc>
          <w:tcPr>
            <w:tcW w:w="600" w:type="pct"/>
            <w:vMerge/>
            <w:shd w:val="clear" w:color="auto" w:fill="FFFFFF" w:themeFill="background1"/>
            <w:tcMar>
              <w:top w:w="57" w:type="dxa"/>
              <w:bottom w:w="57" w:type="dxa"/>
            </w:tcMar>
          </w:tcPr>
          <w:p w14:paraId="07DEF73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vAlign w:val="center"/>
          </w:tcPr>
          <w:p w14:paraId="0FBDADC7"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Infant (&lt;1 year old)</w:t>
            </w:r>
          </w:p>
        </w:tc>
        <w:tc>
          <w:tcPr>
            <w:tcW w:w="617" w:type="pct"/>
            <w:shd w:val="clear" w:color="auto" w:fill="FFFFFF" w:themeFill="background1"/>
            <w:tcMar>
              <w:top w:w="57" w:type="dxa"/>
              <w:bottom w:w="57" w:type="dxa"/>
            </w:tcMar>
          </w:tcPr>
          <w:p w14:paraId="7AC06DC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8</w:t>
            </w:r>
          </w:p>
        </w:tc>
        <w:tc>
          <w:tcPr>
            <w:tcW w:w="1644" w:type="pct"/>
            <w:vMerge/>
            <w:shd w:val="clear" w:color="auto" w:fill="FFFFFF" w:themeFill="background1"/>
            <w:vAlign w:val="center"/>
          </w:tcPr>
          <w:p w14:paraId="433F6360"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0E19592F" w14:textId="77777777" w:rsidTr="000A7410">
        <w:trPr>
          <w:tblHeader/>
          <w:jc w:val="center"/>
        </w:trPr>
        <w:tc>
          <w:tcPr>
            <w:tcW w:w="600" w:type="pct"/>
            <w:vMerge w:val="restart"/>
            <w:shd w:val="clear" w:color="auto" w:fill="FFFFFF" w:themeFill="background1"/>
            <w:tcMar>
              <w:top w:w="57" w:type="dxa"/>
              <w:bottom w:w="57" w:type="dxa"/>
            </w:tcMar>
          </w:tcPr>
          <w:p w14:paraId="71FC65BD"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w:t>
            </w:r>
          </w:p>
        </w:tc>
        <w:tc>
          <w:tcPr>
            <w:tcW w:w="2756" w:type="pct"/>
            <w:gridSpan w:val="2"/>
            <w:shd w:val="clear" w:color="auto" w:fill="FFFFFF" w:themeFill="background1"/>
            <w:tcMar>
              <w:top w:w="57" w:type="dxa"/>
              <w:bottom w:w="57" w:type="dxa"/>
            </w:tcMar>
          </w:tcPr>
          <w:p w14:paraId="7AD80642"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Body surface exposed (cm²)</w:t>
            </w:r>
          </w:p>
        </w:tc>
        <w:tc>
          <w:tcPr>
            <w:tcW w:w="1644" w:type="pct"/>
            <w:vMerge w:val="restart"/>
            <w:shd w:val="clear" w:color="auto" w:fill="FFFFFF" w:themeFill="background1"/>
            <w:vAlign w:val="center"/>
          </w:tcPr>
          <w:p w14:paraId="4C7502E5"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r w:rsidRPr="000A7410">
              <w:rPr>
                <w:rFonts w:cs="Arial"/>
                <w:color w:val="000000"/>
                <w:szCs w:val="18"/>
                <w:lang w:eastAsia="fr-FR"/>
              </w:rPr>
              <w:t xml:space="preserve">Recommendation no. 11, 2018 </w:t>
            </w:r>
          </w:p>
          <w:p w14:paraId="3FFCDAD7"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r w:rsidRPr="000A7410">
              <w:rPr>
                <w:rFonts w:cs="Arial"/>
                <w:color w:val="000000"/>
                <w:szCs w:val="18"/>
                <w:lang w:eastAsia="fr-FR"/>
              </w:rPr>
              <w:t>Recommendation no. 14, 2017</w:t>
            </w:r>
          </w:p>
          <w:p w14:paraId="6264472A"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p w14:paraId="3C0B0707"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r w:rsidRPr="000A7410">
              <w:rPr>
                <w:rFonts w:cs="Arial"/>
                <w:color w:val="000000"/>
                <w:szCs w:val="18"/>
                <w:lang w:eastAsia="fr-FR"/>
              </w:rPr>
              <w:t>Body surface considering exposure to head, neck, hands (palms and backs), arms (lower arms and 70% of upper arms), lower legs, 70% of thighs and feet.</w:t>
            </w:r>
          </w:p>
        </w:tc>
      </w:tr>
      <w:tr w:rsidR="00780E5B" w:rsidRPr="000A7410" w14:paraId="10504DBC" w14:textId="77777777" w:rsidTr="000A7410">
        <w:trPr>
          <w:tblHeader/>
          <w:jc w:val="center"/>
        </w:trPr>
        <w:tc>
          <w:tcPr>
            <w:tcW w:w="600" w:type="pct"/>
            <w:vMerge/>
            <w:shd w:val="clear" w:color="auto" w:fill="FFFFFF" w:themeFill="background1"/>
            <w:tcMar>
              <w:top w:w="57" w:type="dxa"/>
              <w:bottom w:w="57" w:type="dxa"/>
            </w:tcMar>
          </w:tcPr>
          <w:p w14:paraId="7D7F180B"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vAlign w:val="center"/>
          </w:tcPr>
          <w:p w14:paraId="0FCA5223"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Adult</w:t>
            </w:r>
          </w:p>
        </w:tc>
        <w:tc>
          <w:tcPr>
            <w:tcW w:w="617" w:type="pct"/>
            <w:shd w:val="clear" w:color="auto" w:fill="FFFFFF" w:themeFill="background1"/>
            <w:tcMar>
              <w:top w:w="57" w:type="dxa"/>
              <w:bottom w:w="57" w:type="dxa"/>
            </w:tcMar>
            <w:vAlign w:val="center"/>
          </w:tcPr>
          <w:p w14:paraId="5FBDD12B"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9588.2</w:t>
            </w:r>
          </w:p>
        </w:tc>
        <w:tc>
          <w:tcPr>
            <w:tcW w:w="1644" w:type="pct"/>
            <w:vMerge/>
            <w:shd w:val="clear" w:color="auto" w:fill="FFFFFF" w:themeFill="background1"/>
            <w:vAlign w:val="center"/>
          </w:tcPr>
          <w:p w14:paraId="100E5144"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3A7F48C9" w14:textId="77777777" w:rsidTr="000A7410">
        <w:trPr>
          <w:tblHeader/>
          <w:jc w:val="center"/>
        </w:trPr>
        <w:tc>
          <w:tcPr>
            <w:tcW w:w="600" w:type="pct"/>
            <w:vMerge/>
            <w:shd w:val="clear" w:color="auto" w:fill="FFFFFF" w:themeFill="background1"/>
            <w:tcMar>
              <w:top w:w="57" w:type="dxa"/>
              <w:bottom w:w="57" w:type="dxa"/>
            </w:tcMar>
          </w:tcPr>
          <w:p w14:paraId="73C2E95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vAlign w:val="center"/>
          </w:tcPr>
          <w:p w14:paraId="177E3906"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(6 to &lt;12 years old)</w:t>
            </w:r>
          </w:p>
        </w:tc>
        <w:tc>
          <w:tcPr>
            <w:tcW w:w="617" w:type="pct"/>
            <w:shd w:val="clear" w:color="auto" w:fill="FFFFFF" w:themeFill="background1"/>
            <w:tcMar>
              <w:top w:w="57" w:type="dxa"/>
              <w:bottom w:w="57" w:type="dxa"/>
            </w:tcMar>
            <w:vAlign w:val="center"/>
          </w:tcPr>
          <w:p w14:paraId="605E583F"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5096.3</w:t>
            </w:r>
          </w:p>
        </w:tc>
        <w:tc>
          <w:tcPr>
            <w:tcW w:w="1644" w:type="pct"/>
            <w:vMerge/>
            <w:shd w:val="clear" w:color="auto" w:fill="FFFFFF" w:themeFill="background1"/>
            <w:vAlign w:val="center"/>
          </w:tcPr>
          <w:p w14:paraId="1E6C4427"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1FCEAF17" w14:textId="77777777" w:rsidTr="000A7410">
        <w:trPr>
          <w:tblHeader/>
          <w:jc w:val="center"/>
        </w:trPr>
        <w:tc>
          <w:tcPr>
            <w:tcW w:w="600" w:type="pct"/>
            <w:vMerge/>
            <w:shd w:val="clear" w:color="auto" w:fill="FFFFFF" w:themeFill="background1"/>
            <w:tcMar>
              <w:top w:w="57" w:type="dxa"/>
              <w:bottom w:w="57" w:type="dxa"/>
            </w:tcMar>
          </w:tcPr>
          <w:p w14:paraId="40181ED6"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vAlign w:val="center"/>
          </w:tcPr>
          <w:p w14:paraId="7863CD1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(2 to &lt;6 years old)</w:t>
            </w:r>
          </w:p>
        </w:tc>
        <w:tc>
          <w:tcPr>
            <w:tcW w:w="617" w:type="pct"/>
            <w:shd w:val="clear" w:color="auto" w:fill="FFFFFF" w:themeFill="background1"/>
            <w:tcMar>
              <w:top w:w="57" w:type="dxa"/>
              <w:bottom w:w="57" w:type="dxa"/>
            </w:tcMar>
            <w:vAlign w:val="center"/>
          </w:tcPr>
          <w:p w14:paraId="27BF9A9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3779.0</w:t>
            </w:r>
          </w:p>
        </w:tc>
        <w:tc>
          <w:tcPr>
            <w:tcW w:w="1644" w:type="pct"/>
            <w:vMerge/>
            <w:shd w:val="clear" w:color="auto" w:fill="FFFFFF" w:themeFill="background1"/>
            <w:vAlign w:val="center"/>
          </w:tcPr>
          <w:p w14:paraId="7C994A92"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131C7E2F" w14:textId="77777777" w:rsidTr="000A7410">
        <w:trPr>
          <w:tblHeader/>
          <w:jc w:val="center"/>
        </w:trPr>
        <w:tc>
          <w:tcPr>
            <w:tcW w:w="600" w:type="pct"/>
            <w:vMerge/>
            <w:shd w:val="clear" w:color="auto" w:fill="FFFFFF" w:themeFill="background1"/>
            <w:tcMar>
              <w:top w:w="57" w:type="dxa"/>
              <w:bottom w:w="57" w:type="dxa"/>
            </w:tcMar>
          </w:tcPr>
          <w:p w14:paraId="571FB622"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vAlign w:val="center"/>
          </w:tcPr>
          <w:p w14:paraId="769B19B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Toddler (1 to &lt;2 years old)</w:t>
            </w:r>
          </w:p>
        </w:tc>
        <w:tc>
          <w:tcPr>
            <w:tcW w:w="617" w:type="pct"/>
            <w:shd w:val="clear" w:color="auto" w:fill="FFFFFF" w:themeFill="background1"/>
            <w:tcMar>
              <w:top w:w="57" w:type="dxa"/>
              <w:bottom w:w="57" w:type="dxa"/>
            </w:tcMar>
            <w:vAlign w:val="center"/>
          </w:tcPr>
          <w:p w14:paraId="3736090D"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2676.5</w:t>
            </w:r>
          </w:p>
        </w:tc>
        <w:tc>
          <w:tcPr>
            <w:tcW w:w="1644" w:type="pct"/>
            <w:vMerge/>
            <w:shd w:val="clear" w:color="auto" w:fill="FFFFFF" w:themeFill="background1"/>
            <w:vAlign w:val="center"/>
          </w:tcPr>
          <w:p w14:paraId="2F05F889"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r w:rsidR="00780E5B" w:rsidRPr="000A7410" w14:paraId="7C6FEB96" w14:textId="77777777" w:rsidTr="000A7410">
        <w:trPr>
          <w:tblHeader/>
          <w:jc w:val="center"/>
        </w:trPr>
        <w:tc>
          <w:tcPr>
            <w:tcW w:w="600" w:type="pct"/>
            <w:vMerge/>
            <w:shd w:val="clear" w:color="auto" w:fill="FFFFFF" w:themeFill="background1"/>
            <w:tcMar>
              <w:top w:w="57" w:type="dxa"/>
              <w:bottom w:w="57" w:type="dxa"/>
            </w:tcMar>
          </w:tcPr>
          <w:p w14:paraId="47217F7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p>
        </w:tc>
        <w:tc>
          <w:tcPr>
            <w:tcW w:w="2139" w:type="pct"/>
            <w:shd w:val="clear" w:color="auto" w:fill="FFFFFF" w:themeFill="background1"/>
            <w:tcMar>
              <w:top w:w="57" w:type="dxa"/>
              <w:bottom w:w="57" w:type="dxa"/>
            </w:tcMar>
            <w:vAlign w:val="center"/>
          </w:tcPr>
          <w:p w14:paraId="6B236FB0"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Infant (&lt;1 year old)</w:t>
            </w:r>
          </w:p>
        </w:tc>
        <w:tc>
          <w:tcPr>
            <w:tcW w:w="617" w:type="pct"/>
            <w:shd w:val="clear" w:color="auto" w:fill="FFFFFF" w:themeFill="background1"/>
            <w:tcMar>
              <w:top w:w="57" w:type="dxa"/>
              <w:bottom w:w="57" w:type="dxa"/>
            </w:tcMar>
            <w:vAlign w:val="center"/>
          </w:tcPr>
          <w:p w14:paraId="4980980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2286.2</w:t>
            </w:r>
          </w:p>
        </w:tc>
        <w:tc>
          <w:tcPr>
            <w:tcW w:w="1644" w:type="pct"/>
            <w:vMerge/>
            <w:shd w:val="clear" w:color="auto" w:fill="FFFFFF" w:themeFill="background1"/>
            <w:vAlign w:val="center"/>
          </w:tcPr>
          <w:p w14:paraId="6554ACA4" w14:textId="77777777" w:rsidR="00780E5B" w:rsidRPr="000A7410" w:rsidRDefault="00780E5B" w:rsidP="000A7410">
            <w:pPr>
              <w:widowControl w:val="0"/>
              <w:kinsoku w:val="0"/>
              <w:overflowPunct w:val="0"/>
              <w:autoSpaceDE w:val="0"/>
              <w:autoSpaceDN w:val="0"/>
              <w:adjustRightInd w:val="0"/>
              <w:spacing w:before="0" w:after="0"/>
              <w:ind w:left="79" w:right="25" w:firstLine="14"/>
              <w:jc w:val="center"/>
              <w:textAlignment w:val="baseline"/>
              <w:rPr>
                <w:rFonts w:cs="Arial"/>
                <w:color w:val="000000"/>
                <w:szCs w:val="18"/>
                <w:lang w:eastAsia="fr-FR"/>
              </w:rPr>
            </w:pPr>
          </w:p>
        </w:tc>
      </w:tr>
    </w:tbl>
    <w:p w14:paraId="028DDA71" w14:textId="77777777" w:rsidR="00780E5B" w:rsidRPr="007E29F8" w:rsidRDefault="00780E5B" w:rsidP="00222ACA">
      <w:pPr>
        <w:keepNext/>
        <w:widowControl w:val="0"/>
        <w:kinsoku w:val="0"/>
        <w:overflowPunct w:val="0"/>
        <w:autoSpaceDE w:val="0"/>
        <w:autoSpaceDN w:val="0"/>
        <w:adjustRightInd w:val="0"/>
        <w:spacing w:before="0" w:after="0"/>
        <w:ind w:right="216"/>
        <w:jc w:val="both"/>
        <w:textAlignment w:val="baseline"/>
        <w:rPr>
          <w:rFonts w:cs="Arial"/>
          <w:spacing w:val="1"/>
          <w:u w:val="single"/>
          <w:lang w:eastAsia="fr-FR"/>
        </w:rPr>
      </w:pPr>
    </w:p>
    <w:p w14:paraId="39FB8AF9" w14:textId="45A9046F" w:rsidR="00780E5B" w:rsidRDefault="004F653E" w:rsidP="000A7410">
      <w:pPr>
        <w:keepNext/>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spacing w:val="1"/>
          <w:u w:val="single"/>
          <w:lang w:eastAsia="fr-FR"/>
        </w:rPr>
      </w:pPr>
      <w:r>
        <w:rPr>
          <w:rFonts w:cs="Arial"/>
          <w:spacing w:val="1"/>
          <w:u w:val="single"/>
          <w:lang w:eastAsia="fr-FR"/>
        </w:rPr>
        <w:t>Calculations for Scenario [1b]</w:t>
      </w:r>
    </w:p>
    <w:p w14:paraId="001BE707" w14:textId="77777777" w:rsidR="004F653E" w:rsidRPr="007E29F8" w:rsidRDefault="004F653E" w:rsidP="000A7410">
      <w:pPr>
        <w:keepNext/>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spacing w:val="1"/>
          <w:u w:val="single"/>
          <w:lang w:eastAsia="fr-FR"/>
        </w:rPr>
      </w:pPr>
    </w:p>
    <w:tbl>
      <w:tblPr>
        <w:tblW w:w="49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23"/>
        <w:gridCol w:w="2668"/>
        <w:gridCol w:w="3255"/>
      </w:tblGrid>
      <w:tr w:rsidR="00780E5B" w:rsidRPr="007E29F8" w14:paraId="1C73B960" w14:textId="77777777" w:rsidTr="002655EE">
        <w:trPr>
          <w:cantSplit/>
          <w:trHeight w:val="95"/>
          <w:tblHeader/>
        </w:trPr>
        <w:tc>
          <w:tcPr>
            <w:tcW w:w="5000" w:type="pct"/>
            <w:gridSpan w:val="3"/>
            <w:shd w:val="clear" w:color="auto" w:fill="FFFFCC"/>
          </w:tcPr>
          <w:p w14:paraId="020F3513" w14:textId="77777777" w:rsidR="00780E5B" w:rsidRPr="007E29F8" w:rsidRDefault="00780E5B" w:rsidP="002655EE">
            <w:pPr>
              <w:pStyle w:val="Standaard-Tabellen"/>
              <w:rPr>
                <w:rFonts w:eastAsia="Calibri"/>
                <w:b/>
                <w:sz w:val="20"/>
              </w:rPr>
            </w:pPr>
            <w:r w:rsidRPr="007E29F8">
              <w:rPr>
                <w:rFonts w:eastAsia="Calibri"/>
                <w:b/>
                <w:sz w:val="20"/>
              </w:rPr>
              <w:t>Summary table: estimated exposure for Dermal Primary exposure</w:t>
            </w:r>
          </w:p>
        </w:tc>
      </w:tr>
      <w:tr w:rsidR="00780E5B" w:rsidRPr="000A7410" w14:paraId="6A2EBA08" w14:textId="77777777" w:rsidTr="000A7410">
        <w:trPr>
          <w:cantSplit/>
          <w:trHeight w:val="95"/>
          <w:tblHeader/>
        </w:trPr>
        <w:tc>
          <w:tcPr>
            <w:tcW w:w="1797" w:type="pct"/>
            <w:shd w:val="clear" w:color="auto" w:fill="FFFFFF" w:themeFill="background1"/>
          </w:tcPr>
          <w:p w14:paraId="1E9B5672"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Exposure scenario</w:t>
            </w:r>
          </w:p>
        </w:tc>
        <w:tc>
          <w:tcPr>
            <w:tcW w:w="1443" w:type="pct"/>
            <w:shd w:val="clear" w:color="auto" w:fill="FFFFFF" w:themeFill="background1"/>
          </w:tcPr>
          <w:p w14:paraId="4850113B"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Tier/PPE</w:t>
            </w:r>
          </w:p>
        </w:tc>
        <w:tc>
          <w:tcPr>
            <w:tcW w:w="1760" w:type="pct"/>
            <w:shd w:val="clear" w:color="auto" w:fill="FFFFFF" w:themeFill="background1"/>
          </w:tcPr>
          <w:p w14:paraId="42B1D8A7"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Estimated dermal uptake</w:t>
            </w:r>
          </w:p>
          <w:p w14:paraId="3BD15ECD"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(mg/ kg bw/d)</w:t>
            </w:r>
          </w:p>
        </w:tc>
      </w:tr>
      <w:tr w:rsidR="00780E5B" w:rsidRPr="000A7410" w14:paraId="6714517F" w14:textId="77777777" w:rsidTr="000A7410">
        <w:trPr>
          <w:cantSplit/>
          <w:trHeight w:val="190"/>
          <w:tblHeader/>
        </w:trPr>
        <w:tc>
          <w:tcPr>
            <w:tcW w:w="1797" w:type="pct"/>
            <w:shd w:val="clear" w:color="auto" w:fill="FFFFFF" w:themeFill="background1"/>
            <w:vAlign w:val="center"/>
          </w:tcPr>
          <w:p w14:paraId="1DA3C3C3"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Adult</w:t>
            </w:r>
          </w:p>
        </w:tc>
        <w:tc>
          <w:tcPr>
            <w:tcW w:w="1443" w:type="pct"/>
            <w:shd w:val="clear" w:color="auto" w:fill="FFFFFF" w:themeFill="background1"/>
            <w:vAlign w:val="center"/>
          </w:tcPr>
          <w:p w14:paraId="2E99D72C"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(2 applications)</w:t>
            </w:r>
          </w:p>
        </w:tc>
        <w:tc>
          <w:tcPr>
            <w:tcW w:w="1760" w:type="pct"/>
            <w:shd w:val="clear" w:color="auto" w:fill="FFFFFF" w:themeFill="background1"/>
          </w:tcPr>
          <w:p w14:paraId="5EE089D3"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7.16   </w:t>
            </w:r>
          </w:p>
        </w:tc>
      </w:tr>
      <w:tr w:rsidR="00780E5B" w:rsidRPr="000A7410" w14:paraId="1518D417" w14:textId="77777777" w:rsidTr="000A7410">
        <w:trPr>
          <w:cantSplit/>
          <w:trHeight w:val="190"/>
          <w:tblHeader/>
        </w:trPr>
        <w:tc>
          <w:tcPr>
            <w:tcW w:w="1797" w:type="pct"/>
            <w:shd w:val="clear" w:color="auto" w:fill="FFFFFF" w:themeFill="background1"/>
            <w:vAlign w:val="center"/>
          </w:tcPr>
          <w:p w14:paraId="118759EB" w14:textId="77777777" w:rsidR="00780E5B" w:rsidRPr="007E29F8"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Adult</w:t>
            </w:r>
          </w:p>
        </w:tc>
        <w:tc>
          <w:tcPr>
            <w:tcW w:w="1443" w:type="pct"/>
            <w:shd w:val="clear" w:color="auto" w:fill="FFFFFF" w:themeFill="background1"/>
            <w:vAlign w:val="center"/>
          </w:tcPr>
          <w:p w14:paraId="10914B9D"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(1 application)</w:t>
            </w:r>
          </w:p>
        </w:tc>
        <w:tc>
          <w:tcPr>
            <w:tcW w:w="1760" w:type="pct"/>
            <w:shd w:val="clear" w:color="auto" w:fill="FFFFFF" w:themeFill="background1"/>
          </w:tcPr>
          <w:p w14:paraId="310E8533"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3.58   </w:t>
            </w:r>
          </w:p>
        </w:tc>
      </w:tr>
      <w:tr w:rsidR="00780E5B" w:rsidRPr="000A7410" w14:paraId="61596CAF" w14:textId="77777777" w:rsidTr="000A7410">
        <w:trPr>
          <w:cantSplit/>
          <w:trHeight w:val="141"/>
          <w:tblHeader/>
        </w:trPr>
        <w:tc>
          <w:tcPr>
            <w:tcW w:w="1797" w:type="pct"/>
            <w:shd w:val="clear" w:color="auto" w:fill="FFFFFF" w:themeFill="background1"/>
            <w:vAlign w:val="center"/>
          </w:tcPr>
          <w:p w14:paraId="748D32AB" w14:textId="77777777" w:rsidR="00780E5B" w:rsidRPr="007E29F8"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(6 to &lt;12 years old)</w:t>
            </w:r>
          </w:p>
        </w:tc>
        <w:tc>
          <w:tcPr>
            <w:tcW w:w="1443" w:type="pct"/>
            <w:shd w:val="clear" w:color="auto" w:fill="FFFFFF" w:themeFill="background1"/>
            <w:vAlign w:val="center"/>
          </w:tcPr>
          <w:p w14:paraId="67DDD2CA"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(1 application)</w:t>
            </w:r>
          </w:p>
        </w:tc>
        <w:tc>
          <w:tcPr>
            <w:tcW w:w="1760" w:type="pct"/>
            <w:shd w:val="clear" w:color="auto" w:fill="FFFFFF" w:themeFill="background1"/>
          </w:tcPr>
          <w:p w14:paraId="43EC7536"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4.78   </w:t>
            </w:r>
          </w:p>
        </w:tc>
      </w:tr>
      <w:tr w:rsidR="00780E5B" w:rsidRPr="000A7410" w14:paraId="1A270BCF" w14:textId="77777777" w:rsidTr="000A7410">
        <w:trPr>
          <w:cantSplit/>
          <w:trHeight w:val="193"/>
          <w:tblHeader/>
        </w:trPr>
        <w:tc>
          <w:tcPr>
            <w:tcW w:w="1797" w:type="pct"/>
            <w:shd w:val="clear" w:color="auto" w:fill="FFFFFF" w:themeFill="background1"/>
            <w:vAlign w:val="center"/>
          </w:tcPr>
          <w:p w14:paraId="3EAB6E22"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Child (2 to &lt;6 years old)</w:t>
            </w:r>
          </w:p>
        </w:tc>
        <w:tc>
          <w:tcPr>
            <w:tcW w:w="1443" w:type="pct"/>
            <w:shd w:val="clear" w:color="auto" w:fill="FFFFFF" w:themeFill="background1"/>
            <w:vAlign w:val="center"/>
          </w:tcPr>
          <w:p w14:paraId="51ACF228"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(1 application)</w:t>
            </w:r>
          </w:p>
        </w:tc>
        <w:tc>
          <w:tcPr>
            <w:tcW w:w="1760" w:type="pct"/>
            <w:shd w:val="clear" w:color="auto" w:fill="FFFFFF" w:themeFill="background1"/>
          </w:tcPr>
          <w:p w14:paraId="72D2C04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5.43   </w:t>
            </w:r>
          </w:p>
        </w:tc>
      </w:tr>
      <w:tr w:rsidR="00780E5B" w:rsidRPr="000A7410" w14:paraId="4832F9FB" w14:textId="77777777" w:rsidTr="000A7410">
        <w:trPr>
          <w:cantSplit/>
          <w:trHeight w:val="190"/>
          <w:tblHeader/>
        </w:trPr>
        <w:tc>
          <w:tcPr>
            <w:tcW w:w="1797" w:type="pct"/>
            <w:shd w:val="clear" w:color="auto" w:fill="FFFFFF" w:themeFill="background1"/>
            <w:vAlign w:val="center"/>
          </w:tcPr>
          <w:p w14:paraId="66FCB7AC"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Toddler (1 to &lt;2 years old)</w:t>
            </w:r>
          </w:p>
        </w:tc>
        <w:tc>
          <w:tcPr>
            <w:tcW w:w="1443" w:type="pct"/>
            <w:shd w:val="clear" w:color="auto" w:fill="FFFFFF" w:themeFill="background1"/>
            <w:vAlign w:val="center"/>
          </w:tcPr>
          <w:p w14:paraId="081F3986"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(1 application)</w:t>
            </w:r>
          </w:p>
        </w:tc>
        <w:tc>
          <w:tcPr>
            <w:tcW w:w="1760" w:type="pct"/>
            <w:shd w:val="clear" w:color="auto" w:fill="FFFFFF" w:themeFill="background1"/>
          </w:tcPr>
          <w:p w14:paraId="30EE7CB5"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6.00   </w:t>
            </w:r>
          </w:p>
        </w:tc>
      </w:tr>
      <w:tr w:rsidR="00780E5B" w:rsidRPr="000A7410" w14:paraId="54D9A199" w14:textId="77777777" w:rsidTr="000A7410">
        <w:trPr>
          <w:cantSplit/>
          <w:trHeight w:val="190"/>
          <w:tblHeader/>
        </w:trPr>
        <w:tc>
          <w:tcPr>
            <w:tcW w:w="1797" w:type="pct"/>
            <w:tcBorders>
              <w:bottom w:val="double" w:sz="4" w:space="0" w:color="auto"/>
            </w:tcBorders>
            <w:shd w:val="clear" w:color="auto" w:fill="FFFFFF" w:themeFill="background1"/>
            <w:vAlign w:val="center"/>
          </w:tcPr>
          <w:p w14:paraId="66ACDDEF"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7E29F8">
              <w:rPr>
                <w:rFonts w:cs="Arial"/>
                <w:color w:val="000000"/>
                <w:szCs w:val="18"/>
                <w:lang w:eastAsia="fr-FR"/>
              </w:rPr>
              <w:t>Infant (&lt;1 year old)</w:t>
            </w:r>
          </w:p>
        </w:tc>
        <w:tc>
          <w:tcPr>
            <w:tcW w:w="1443" w:type="pct"/>
            <w:tcBorders>
              <w:bottom w:val="double" w:sz="4" w:space="0" w:color="auto"/>
            </w:tcBorders>
            <w:shd w:val="clear" w:color="auto" w:fill="FFFFFF" w:themeFill="background1"/>
            <w:vAlign w:val="center"/>
          </w:tcPr>
          <w:p w14:paraId="10CB0C2B"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Tier 1 (1 application)</w:t>
            </w:r>
          </w:p>
        </w:tc>
        <w:tc>
          <w:tcPr>
            <w:tcW w:w="1760" w:type="pct"/>
            <w:tcBorders>
              <w:bottom w:val="double" w:sz="4" w:space="0" w:color="auto"/>
            </w:tcBorders>
            <w:shd w:val="clear" w:color="auto" w:fill="FFFFFF" w:themeFill="background1"/>
          </w:tcPr>
          <w:p w14:paraId="589E8824" w14:textId="77777777" w:rsidR="00780E5B" w:rsidRPr="000A7410" w:rsidRDefault="00780E5B" w:rsidP="000A7410">
            <w:pPr>
              <w:widowControl w:val="0"/>
              <w:kinsoku w:val="0"/>
              <w:overflowPunct w:val="0"/>
              <w:autoSpaceDE w:val="0"/>
              <w:autoSpaceDN w:val="0"/>
              <w:adjustRightInd w:val="0"/>
              <w:spacing w:before="0" w:after="0"/>
              <w:ind w:left="79" w:right="25"/>
              <w:jc w:val="center"/>
              <w:textAlignment w:val="baseline"/>
              <w:rPr>
                <w:rFonts w:cs="Arial"/>
                <w:color w:val="000000"/>
                <w:szCs w:val="18"/>
                <w:lang w:eastAsia="fr-FR"/>
              </w:rPr>
            </w:pPr>
            <w:r w:rsidRPr="000A7410">
              <w:rPr>
                <w:rFonts w:cs="Arial"/>
                <w:color w:val="000000"/>
                <w:szCs w:val="18"/>
                <w:lang w:eastAsia="fr-FR"/>
              </w:rPr>
              <w:t xml:space="preserve"> 6.40   </w:t>
            </w:r>
          </w:p>
        </w:tc>
      </w:tr>
    </w:tbl>
    <w:p w14:paraId="75475B12" w14:textId="77777777" w:rsidR="00780E5B" w:rsidRPr="007E29F8" w:rsidRDefault="00780E5B" w:rsidP="00222ACA">
      <w:pPr>
        <w:widowControl w:val="0"/>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p>
    <w:p w14:paraId="31954F18" w14:textId="72A36CFD" w:rsidR="00EE1EEF" w:rsidRDefault="00EE1EEF"/>
    <w:p w14:paraId="1BBE053A" w14:textId="77777777" w:rsidR="00222ACA" w:rsidRPr="009461FB" w:rsidRDefault="00222ACA" w:rsidP="00222ACA">
      <w:pPr>
        <w:pStyle w:val="Paragraphedeliste"/>
        <w:numPr>
          <w:ilvl w:val="0"/>
          <w:numId w:val="68"/>
        </w:numPr>
        <w:rPr>
          <w:b/>
        </w:rPr>
      </w:pPr>
      <w:r w:rsidRPr="009461FB">
        <w:rPr>
          <w:b/>
        </w:rPr>
        <w:t>FIRST AUTHORISATION – 2017 (BE CA)</w:t>
      </w:r>
    </w:p>
    <w:p w14:paraId="7790F831" w14:textId="5E378FC7" w:rsidR="007E3A44" w:rsidRPr="00EE1EEF" w:rsidRDefault="00EE1EEF" w:rsidP="00EE1EEF">
      <w:pPr>
        <w:pStyle w:val="Titre6"/>
        <w:keepNext w:val="0"/>
        <w:widowControl w:val="0"/>
        <w:spacing w:after="0"/>
        <w:rPr>
          <w:lang w:val="en-US"/>
        </w:rPr>
      </w:pPr>
      <w:r w:rsidRPr="002B4716">
        <w:rPr>
          <w:lang w:val="en-US"/>
        </w:rPr>
        <w:t>Scenario 2: Primary exposure: Inhalation exposure assessment for adults,</w:t>
      </w:r>
      <w:r>
        <w:rPr>
          <w:lang w:val="en-US"/>
        </w:rPr>
        <w:t xml:space="preserve"> children, toddlers and infants</w:t>
      </w: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8"/>
        <w:gridCol w:w="4970"/>
        <w:gridCol w:w="1898"/>
      </w:tblGrid>
      <w:tr w:rsidR="007E3A44" w:rsidRPr="00332AD5" w14:paraId="6704012E" w14:textId="77777777" w:rsidTr="00EE1EEF">
        <w:trPr>
          <w:tblHeader/>
        </w:trPr>
        <w:tc>
          <w:tcPr>
            <w:tcW w:w="5000" w:type="pct"/>
            <w:gridSpan w:val="3"/>
            <w:shd w:val="clear" w:color="auto" w:fill="FFFFCC"/>
            <w:tcMar>
              <w:top w:w="57" w:type="dxa"/>
              <w:bottom w:w="57" w:type="dxa"/>
            </w:tcMar>
          </w:tcPr>
          <w:p w14:paraId="0F8E73FA" w14:textId="77777777" w:rsidR="007E3A44" w:rsidRPr="00332AD5" w:rsidRDefault="007E3A44" w:rsidP="00EE1EEF">
            <w:pPr>
              <w:pStyle w:val="Standaard-Tabellen"/>
              <w:widowControl w:val="0"/>
              <w:jc w:val="center"/>
              <w:rPr>
                <w:rFonts w:eastAsia="Calibri"/>
                <w:b/>
              </w:rPr>
            </w:pPr>
            <w:r w:rsidRPr="00332AD5">
              <w:rPr>
                <w:rFonts w:eastAsia="Calibri"/>
                <w:b/>
              </w:rPr>
              <w:lastRenderedPageBreak/>
              <w:t xml:space="preserve">Description of Scenario </w:t>
            </w:r>
            <w:r>
              <w:rPr>
                <w:rFonts w:eastAsia="Calibri"/>
                <w:b/>
              </w:rPr>
              <w:t>2</w:t>
            </w:r>
          </w:p>
        </w:tc>
      </w:tr>
      <w:tr w:rsidR="007E3A44" w:rsidRPr="00FD2055" w14:paraId="7715CE5D" w14:textId="77777777" w:rsidTr="00EE1EEF">
        <w:trPr>
          <w:trHeight w:val="117"/>
          <w:tblHeader/>
        </w:trPr>
        <w:tc>
          <w:tcPr>
            <w:tcW w:w="5000" w:type="pct"/>
            <w:gridSpan w:val="3"/>
            <w:shd w:val="clear" w:color="auto" w:fill="auto"/>
            <w:tcMar>
              <w:top w:w="57" w:type="dxa"/>
              <w:bottom w:w="57" w:type="dxa"/>
            </w:tcMar>
          </w:tcPr>
          <w:p w14:paraId="1FAE26DE" w14:textId="6E1DF850" w:rsidR="007E3A44" w:rsidRPr="00447DE4" w:rsidRDefault="007E3A44" w:rsidP="00EE1EEF">
            <w:pPr>
              <w:widowControl w:val="0"/>
              <w:spacing w:before="0" w:after="0"/>
              <w:rPr>
                <w:rFonts w:eastAsia="Calibri"/>
              </w:rPr>
            </w:pPr>
            <w:r w:rsidRPr="00447DE4">
              <w:rPr>
                <w:rFonts w:eastAsia="Calibri"/>
              </w:rPr>
              <w:t>This scenario is based on the one available in the CAR of IR3535</w:t>
            </w:r>
            <w:r w:rsidRPr="00447DE4">
              <w:rPr>
                <w:rFonts w:eastAsia="Calibri"/>
                <w:vertAlign w:val="superscript"/>
              </w:rPr>
              <w:t>®</w:t>
            </w:r>
            <w:r w:rsidRPr="00447DE4">
              <w:rPr>
                <w:rFonts w:eastAsia="Calibri"/>
              </w:rPr>
              <w:t>. It has been adapted with the documents : Biocide Human Health Exposure Methodology (</w:t>
            </w:r>
            <w:r w:rsidR="00C53DE4">
              <w:rPr>
                <w:rFonts w:eastAsia="Calibri"/>
              </w:rPr>
              <w:t>Oct</w:t>
            </w:r>
            <w:r w:rsidRPr="00447DE4">
              <w:rPr>
                <w:rFonts w:eastAsia="Calibri"/>
              </w:rPr>
              <w:t xml:space="preserve"> 2015) and Guidance on the biocidal products Regulation (volume III Human Health – Part B Risk Assessment, </w:t>
            </w:r>
            <w:r w:rsidR="00C53DE4">
              <w:rPr>
                <w:rFonts w:eastAsia="Calibri"/>
              </w:rPr>
              <w:t>Oct</w:t>
            </w:r>
            <w:r w:rsidRPr="00447DE4">
              <w:rPr>
                <w:rFonts w:eastAsia="Calibri"/>
              </w:rPr>
              <w:t xml:space="preserve"> 2015).</w:t>
            </w:r>
          </w:p>
        </w:tc>
      </w:tr>
      <w:tr w:rsidR="007E3A44" w:rsidRPr="00FD2055" w14:paraId="720F426B" w14:textId="77777777" w:rsidTr="00EE1EEF">
        <w:trPr>
          <w:tblHeader/>
        </w:trPr>
        <w:tc>
          <w:tcPr>
            <w:tcW w:w="5000" w:type="pct"/>
            <w:gridSpan w:val="3"/>
            <w:shd w:val="clear" w:color="auto" w:fill="auto"/>
            <w:tcMar>
              <w:top w:w="57" w:type="dxa"/>
              <w:bottom w:w="57" w:type="dxa"/>
            </w:tcMar>
          </w:tcPr>
          <w:p w14:paraId="1A9ABD13" w14:textId="77777777" w:rsidR="007E3A44" w:rsidRPr="00447DE4" w:rsidRDefault="007E3A44" w:rsidP="00EE1EEF">
            <w:pPr>
              <w:widowControl w:val="0"/>
              <w:shd w:val="clear" w:color="auto" w:fill="FFFFFF"/>
              <w:autoSpaceDE w:val="0"/>
              <w:autoSpaceDN w:val="0"/>
              <w:adjustRightInd w:val="0"/>
              <w:spacing w:before="0" w:after="0"/>
              <w:jc w:val="both"/>
              <w:rPr>
                <w:rFonts w:eastAsia="Calibri"/>
              </w:rPr>
            </w:pPr>
            <w:r w:rsidRPr="00447DE4">
              <w:rPr>
                <w:rFonts w:eastAsia="Calibri"/>
                <w:b/>
              </w:rPr>
              <w:t>Model used:</w:t>
            </w:r>
            <w:r w:rsidRPr="00447DE4">
              <w:rPr>
                <w:rFonts w:eastAsia="Calibri"/>
              </w:rPr>
              <w:t xml:space="preserve"> “Consumer spraying and dusting model 2 - Hand-held trigger spray” from  Biocide Human Health Exposure Methodology, p. 220</w:t>
            </w:r>
          </w:p>
          <w:p w14:paraId="3D543BF9" w14:textId="77777777" w:rsidR="007E3A44" w:rsidRPr="00447DE4" w:rsidRDefault="007E3A44" w:rsidP="00EE1EEF">
            <w:pPr>
              <w:widowControl w:val="0"/>
              <w:shd w:val="clear" w:color="auto" w:fill="FFFFFF"/>
              <w:autoSpaceDE w:val="0"/>
              <w:autoSpaceDN w:val="0"/>
              <w:adjustRightInd w:val="0"/>
              <w:spacing w:before="0" w:after="0"/>
              <w:jc w:val="both"/>
              <w:rPr>
                <w:rFonts w:eastAsia="Calibri"/>
              </w:rPr>
            </w:pPr>
          </w:p>
          <w:p w14:paraId="638D9087" w14:textId="77777777" w:rsidR="007E3A44" w:rsidRPr="00447DE4" w:rsidRDefault="007E3A44" w:rsidP="00EE1EEF">
            <w:pPr>
              <w:widowControl w:val="0"/>
              <w:shd w:val="clear" w:color="auto" w:fill="FFFFFF"/>
              <w:autoSpaceDE w:val="0"/>
              <w:autoSpaceDN w:val="0"/>
              <w:adjustRightInd w:val="0"/>
              <w:spacing w:before="0" w:after="0"/>
              <w:ind w:left="773" w:hanging="773"/>
              <w:jc w:val="both"/>
              <w:rPr>
                <w:rFonts w:eastAsia="Calibri"/>
              </w:rPr>
            </w:pPr>
            <w:r w:rsidRPr="00447DE4">
              <w:rPr>
                <w:rFonts w:eastAsia="Calibri"/>
                <w:b/>
              </w:rPr>
              <w:t>Inhaled product</w:t>
            </w:r>
            <w:r w:rsidRPr="00447DE4">
              <w:rPr>
                <w:rFonts w:eastAsia="Calibri"/>
              </w:rPr>
              <w:t xml:space="preserve"> = </w:t>
            </w:r>
          </w:p>
          <w:p w14:paraId="48EE796A" w14:textId="77777777" w:rsidR="007E3A44" w:rsidRPr="00447DE4" w:rsidRDefault="007E3A44" w:rsidP="00EE1EEF">
            <w:pPr>
              <w:widowControl w:val="0"/>
              <w:shd w:val="clear" w:color="auto" w:fill="FFFFFF"/>
              <w:autoSpaceDE w:val="0"/>
              <w:autoSpaceDN w:val="0"/>
              <w:adjustRightInd w:val="0"/>
              <w:spacing w:before="0" w:after="0"/>
              <w:ind w:left="348"/>
              <w:jc w:val="both"/>
              <w:rPr>
                <w:rFonts w:eastAsia="Calibri"/>
              </w:rPr>
            </w:pPr>
            <w:r w:rsidRPr="00447DE4">
              <w:rPr>
                <w:rFonts w:eastAsia="Calibri"/>
              </w:rPr>
              <w:t>Inhalation rate x number of application/day x spray duration (min.) / 60 min. x  indicative value for inhalation</w:t>
            </w:r>
          </w:p>
          <w:p w14:paraId="7FB4A056" w14:textId="03EFDB48" w:rsidR="007E3A44" w:rsidRPr="00447DE4" w:rsidRDefault="007E3A44" w:rsidP="00EE1EEF">
            <w:pPr>
              <w:widowControl w:val="0"/>
              <w:shd w:val="clear" w:color="auto" w:fill="FFFFFF"/>
              <w:autoSpaceDE w:val="0"/>
              <w:autoSpaceDN w:val="0"/>
              <w:adjustRightInd w:val="0"/>
              <w:spacing w:before="0" w:after="0"/>
              <w:ind w:left="773" w:hanging="773"/>
              <w:jc w:val="both"/>
              <w:rPr>
                <w:rFonts w:eastAsia="Calibri"/>
              </w:rPr>
            </w:pPr>
            <w:r w:rsidRPr="00447DE4">
              <w:rPr>
                <w:rFonts w:eastAsia="Calibri"/>
                <w:b/>
              </w:rPr>
              <w:t>Inhaled active substance</w:t>
            </w:r>
            <w:r w:rsidRPr="00447DE4">
              <w:rPr>
                <w:rFonts w:eastAsia="Calibri"/>
              </w:rPr>
              <w:t xml:space="preserve"> = </w:t>
            </w:r>
          </w:p>
          <w:p w14:paraId="4F77F25C" w14:textId="545ABD17" w:rsidR="007E3A44" w:rsidRPr="00447DE4" w:rsidRDefault="007E3A44" w:rsidP="00EE1EEF">
            <w:pPr>
              <w:widowControl w:val="0"/>
              <w:shd w:val="clear" w:color="auto" w:fill="FFFFFF"/>
              <w:autoSpaceDE w:val="0"/>
              <w:autoSpaceDN w:val="0"/>
              <w:adjustRightInd w:val="0"/>
              <w:spacing w:before="0" w:after="0"/>
              <w:jc w:val="both"/>
              <w:rPr>
                <w:rFonts w:eastAsia="Calibri"/>
              </w:rPr>
            </w:pPr>
            <w:r w:rsidRPr="00447DE4">
              <w:rPr>
                <w:rFonts w:eastAsia="Calibri"/>
              </w:rPr>
              <w:t>inhaled product x percent of a.s. in the b.p.</w:t>
            </w:r>
          </w:p>
          <w:p w14:paraId="47999BA6" w14:textId="77777777" w:rsidR="007E3A44" w:rsidRPr="00447DE4" w:rsidRDefault="007E3A44" w:rsidP="00EE1EEF">
            <w:pPr>
              <w:widowControl w:val="0"/>
              <w:shd w:val="clear" w:color="auto" w:fill="FFFFFF"/>
              <w:autoSpaceDE w:val="0"/>
              <w:autoSpaceDN w:val="0"/>
              <w:adjustRightInd w:val="0"/>
              <w:spacing w:before="0" w:after="0"/>
              <w:ind w:left="348"/>
              <w:jc w:val="both"/>
              <w:rPr>
                <w:rFonts w:eastAsia="Calibri"/>
              </w:rPr>
            </w:pPr>
          </w:p>
          <w:p w14:paraId="6AF4FC2E" w14:textId="77777777" w:rsidR="007E3A44" w:rsidRPr="00447DE4" w:rsidRDefault="007E3A44" w:rsidP="00EE1EEF">
            <w:pPr>
              <w:widowControl w:val="0"/>
              <w:shd w:val="clear" w:color="auto" w:fill="FFFFFF"/>
              <w:autoSpaceDE w:val="0"/>
              <w:autoSpaceDN w:val="0"/>
              <w:adjustRightInd w:val="0"/>
              <w:spacing w:before="0" w:after="0"/>
              <w:jc w:val="both"/>
              <w:rPr>
                <w:rFonts w:eastAsia="Calibri"/>
              </w:rPr>
            </w:pPr>
            <w:r w:rsidRPr="00447DE4">
              <w:rPr>
                <w:rFonts w:eastAsia="Calibri"/>
              </w:rPr>
              <w:t>Particle size distribution will determine the respirable fraction of the product released.  Regarding the cut-off value for respirable droplet size, different sources are available. The BPR guidance VIII part B states that particles below 15 µm may reach the alveolar region of the respiratory tract.  According to the Biocides Human Health Exposure Methodology, particles larger than 20 μm are all non-respirable and particles smaller than 5 μm are respirable for about 35%. The draft Proposal for harmonising the assessment of human exposure to repellents (PT19) states that in general, the cut-off for the respirable fraction is 10 µm, and refers to ConsExpo 4.1 for the assessment of inhalation exposure. In ConsExpo 4.1, the default cut-off for the respirable fraction has been set at 15 µm.  For the present assessment, a cut-off value of 15 µm for the respirable fraction has been chosen.</w:t>
            </w:r>
          </w:p>
          <w:p w14:paraId="537B587C" w14:textId="77777777" w:rsidR="007E3A44" w:rsidRPr="00447DE4" w:rsidRDefault="007E3A44" w:rsidP="00EE1EEF">
            <w:pPr>
              <w:widowControl w:val="0"/>
              <w:shd w:val="clear" w:color="auto" w:fill="FFFFFF"/>
              <w:autoSpaceDE w:val="0"/>
              <w:autoSpaceDN w:val="0"/>
              <w:adjustRightInd w:val="0"/>
              <w:spacing w:before="0" w:after="0"/>
              <w:jc w:val="both"/>
              <w:rPr>
                <w:rFonts w:eastAsia="Calibri"/>
              </w:rPr>
            </w:pPr>
          </w:p>
          <w:p w14:paraId="3DFE7CEA" w14:textId="77777777" w:rsidR="007E3A44" w:rsidRPr="00447DE4" w:rsidRDefault="007E3A44" w:rsidP="00EE1EEF">
            <w:pPr>
              <w:widowControl w:val="0"/>
              <w:shd w:val="clear" w:color="auto" w:fill="FFFFFF"/>
              <w:autoSpaceDE w:val="0"/>
              <w:autoSpaceDN w:val="0"/>
              <w:adjustRightInd w:val="0"/>
              <w:spacing w:before="0" w:after="0"/>
              <w:jc w:val="both"/>
              <w:rPr>
                <w:rFonts w:eastAsia="Calibri"/>
              </w:rPr>
            </w:pPr>
            <w:r w:rsidRPr="00447DE4">
              <w:rPr>
                <w:rFonts w:eastAsia="Calibri"/>
              </w:rPr>
              <w:t>The enterprise provided a study for the distribution of particles and their size. 11</w:t>
            </w:r>
            <w:r w:rsidR="00E9602E">
              <w:rPr>
                <w:rFonts w:eastAsia="Calibri"/>
              </w:rPr>
              <w:t>.</w:t>
            </w:r>
            <w:r w:rsidRPr="00447DE4">
              <w:rPr>
                <w:rFonts w:eastAsia="Calibri"/>
              </w:rPr>
              <w:t>21%(V) of the released biocidal product has a diameter below 15</w:t>
            </w:r>
            <w:r w:rsidR="00E9602E">
              <w:rPr>
                <w:rFonts w:eastAsia="Calibri"/>
              </w:rPr>
              <w:t>.</w:t>
            </w:r>
            <w:r w:rsidRPr="00447DE4">
              <w:rPr>
                <w:rFonts w:eastAsia="Calibri"/>
              </w:rPr>
              <w:t>81 µm. (V). The rest is regarded as non-respirable and is assumed to be taken in orally.</w:t>
            </w:r>
          </w:p>
          <w:p w14:paraId="670AFE1D" w14:textId="77777777" w:rsidR="007E3A44" w:rsidRPr="00447DE4" w:rsidRDefault="007E3A44" w:rsidP="00EE1EEF">
            <w:pPr>
              <w:widowControl w:val="0"/>
              <w:shd w:val="clear" w:color="auto" w:fill="FFFFFF"/>
              <w:autoSpaceDE w:val="0"/>
              <w:autoSpaceDN w:val="0"/>
              <w:adjustRightInd w:val="0"/>
              <w:spacing w:before="0" w:after="0"/>
              <w:jc w:val="both"/>
              <w:rPr>
                <w:rFonts w:eastAsia="Calibri"/>
              </w:rPr>
            </w:pPr>
          </w:p>
          <w:p w14:paraId="2BC387F6" w14:textId="77777777" w:rsidR="007E3A44" w:rsidRPr="00447DE4" w:rsidRDefault="007E3A44" w:rsidP="00EE1EEF">
            <w:pPr>
              <w:widowControl w:val="0"/>
              <w:shd w:val="clear" w:color="auto" w:fill="FFFFFF"/>
              <w:autoSpaceDE w:val="0"/>
              <w:autoSpaceDN w:val="0"/>
              <w:adjustRightInd w:val="0"/>
              <w:spacing w:before="0" w:after="0"/>
              <w:jc w:val="both"/>
              <w:rPr>
                <w:rFonts w:eastAsia="Calibri"/>
                <w:b/>
              </w:rPr>
            </w:pPr>
            <w:r w:rsidRPr="00447DE4">
              <w:rPr>
                <w:rFonts w:eastAsia="Calibri"/>
                <w:b/>
              </w:rPr>
              <w:t xml:space="preserve">Inhalation systemic exposure: </w:t>
            </w:r>
          </w:p>
          <w:p w14:paraId="0743B1A7" w14:textId="77777777" w:rsidR="007E3A44" w:rsidRPr="00447DE4" w:rsidRDefault="007E3A44" w:rsidP="00EE1EEF">
            <w:pPr>
              <w:widowControl w:val="0"/>
              <w:shd w:val="clear" w:color="auto" w:fill="FFFFFF"/>
              <w:autoSpaceDE w:val="0"/>
              <w:autoSpaceDN w:val="0"/>
              <w:adjustRightInd w:val="0"/>
              <w:spacing w:before="0" w:after="0"/>
              <w:ind w:left="348"/>
              <w:jc w:val="both"/>
              <w:rPr>
                <w:rFonts w:eastAsia="Calibri"/>
              </w:rPr>
            </w:pPr>
            <w:r w:rsidRPr="00447DE4">
              <w:rPr>
                <w:rFonts w:eastAsia="Calibri"/>
              </w:rPr>
              <w:t>11</w:t>
            </w:r>
            <w:r w:rsidR="00E9602E">
              <w:rPr>
                <w:rFonts w:eastAsia="Calibri"/>
              </w:rPr>
              <w:t>.</w:t>
            </w:r>
            <w:r w:rsidRPr="00447DE4">
              <w:rPr>
                <w:rFonts w:eastAsia="Calibri"/>
              </w:rPr>
              <w:t>21 % x</w:t>
            </w:r>
            <w:r w:rsidRPr="00447DE4">
              <w:rPr>
                <w:i/>
              </w:rPr>
              <w:t xml:space="preserve"> </w:t>
            </w:r>
            <w:r w:rsidRPr="00447DE4">
              <w:rPr>
                <w:rFonts w:eastAsia="Calibri"/>
              </w:rPr>
              <w:t>inhaled a.s. x inhalation absorption / body weight</w:t>
            </w:r>
          </w:p>
          <w:p w14:paraId="4B02F982" w14:textId="77777777" w:rsidR="007E3A44" w:rsidRPr="00447DE4" w:rsidRDefault="007E3A44" w:rsidP="00EE1EEF">
            <w:pPr>
              <w:widowControl w:val="0"/>
              <w:shd w:val="clear" w:color="auto" w:fill="FFFFFF"/>
              <w:autoSpaceDE w:val="0"/>
              <w:autoSpaceDN w:val="0"/>
              <w:adjustRightInd w:val="0"/>
              <w:spacing w:before="0" w:after="0"/>
              <w:jc w:val="both"/>
              <w:rPr>
                <w:rFonts w:eastAsia="Calibri"/>
                <w:b/>
              </w:rPr>
            </w:pPr>
            <w:r w:rsidRPr="00447DE4">
              <w:rPr>
                <w:rFonts w:eastAsia="Calibri"/>
                <w:b/>
              </w:rPr>
              <w:t>Oral systemic exposure:</w:t>
            </w:r>
          </w:p>
          <w:p w14:paraId="1F0731D4" w14:textId="4696EC43" w:rsidR="007E3A44" w:rsidRPr="007E3A44" w:rsidRDefault="007E3A44" w:rsidP="00EE1EEF">
            <w:pPr>
              <w:widowControl w:val="0"/>
              <w:shd w:val="clear" w:color="auto" w:fill="FFFFFF"/>
              <w:autoSpaceDE w:val="0"/>
              <w:autoSpaceDN w:val="0"/>
              <w:adjustRightInd w:val="0"/>
              <w:spacing w:before="0" w:after="0"/>
              <w:ind w:left="348"/>
              <w:jc w:val="both"/>
              <w:rPr>
                <w:rFonts w:eastAsia="Calibri"/>
              </w:rPr>
            </w:pPr>
            <w:r w:rsidRPr="00447DE4">
              <w:rPr>
                <w:rFonts w:eastAsia="Calibri"/>
              </w:rPr>
              <w:t>88</w:t>
            </w:r>
            <w:r w:rsidR="00E9602E">
              <w:rPr>
                <w:rFonts w:eastAsia="Calibri"/>
              </w:rPr>
              <w:t>.</w:t>
            </w:r>
            <w:r w:rsidRPr="00447DE4">
              <w:rPr>
                <w:rFonts w:eastAsia="Calibri"/>
              </w:rPr>
              <w:t>79 % x inhaled a.s. x oral absorption  / body weight</w:t>
            </w:r>
          </w:p>
        </w:tc>
      </w:tr>
      <w:tr w:rsidR="007E3A44" w:rsidRPr="00FD2055" w14:paraId="0105A855" w14:textId="77777777" w:rsidTr="00EE1EEF">
        <w:trPr>
          <w:tblHeader/>
        </w:trPr>
        <w:tc>
          <w:tcPr>
            <w:tcW w:w="1345" w:type="pct"/>
            <w:shd w:val="clear" w:color="auto" w:fill="BFBFBF" w:themeFill="background1" w:themeFillShade="BF"/>
            <w:tcMar>
              <w:top w:w="57" w:type="dxa"/>
              <w:bottom w:w="57" w:type="dxa"/>
            </w:tcMar>
          </w:tcPr>
          <w:p w14:paraId="4E73E9BF" w14:textId="77777777" w:rsidR="007E3A44" w:rsidRPr="00F4247C" w:rsidRDefault="007E3A44" w:rsidP="00EE1EEF">
            <w:pPr>
              <w:pStyle w:val="Standaard-Tabellen"/>
              <w:widowControl w:val="0"/>
              <w:rPr>
                <w:rFonts w:eastAsia="Calibri"/>
                <w:b/>
              </w:rPr>
            </w:pPr>
          </w:p>
        </w:tc>
        <w:tc>
          <w:tcPr>
            <w:tcW w:w="2645" w:type="pct"/>
            <w:shd w:val="clear" w:color="auto" w:fill="BFBFBF" w:themeFill="background1" w:themeFillShade="BF"/>
            <w:tcMar>
              <w:top w:w="57" w:type="dxa"/>
              <w:bottom w:w="57" w:type="dxa"/>
            </w:tcMar>
          </w:tcPr>
          <w:p w14:paraId="4FDB2D5C" w14:textId="77777777" w:rsidR="007E3A44" w:rsidRPr="00F4247C" w:rsidRDefault="007E3A44" w:rsidP="00EE1EEF">
            <w:pPr>
              <w:pStyle w:val="Standaard-Tabellen"/>
              <w:widowControl w:val="0"/>
              <w:rPr>
                <w:rFonts w:eastAsia="Calibri"/>
                <w:b/>
              </w:rPr>
            </w:pPr>
            <w:r w:rsidRPr="00F4247C">
              <w:rPr>
                <w:rFonts w:eastAsia="Calibri"/>
                <w:b/>
              </w:rPr>
              <w:t>Parameters</w:t>
            </w:r>
          </w:p>
        </w:tc>
        <w:tc>
          <w:tcPr>
            <w:tcW w:w="1010" w:type="pct"/>
            <w:shd w:val="clear" w:color="auto" w:fill="BFBFBF" w:themeFill="background1" w:themeFillShade="BF"/>
            <w:tcMar>
              <w:top w:w="57" w:type="dxa"/>
              <w:bottom w:w="57" w:type="dxa"/>
            </w:tcMar>
          </w:tcPr>
          <w:p w14:paraId="26680E9F" w14:textId="77777777" w:rsidR="007E3A44" w:rsidRPr="00F4247C" w:rsidRDefault="007E3A44" w:rsidP="00EE1EEF">
            <w:pPr>
              <w:pStyle w:val="Standaard-Tabellen"/>
              <w:widowControl w:val="0"/>
              <w:rPr>
                <w:rFonts w:eastAsia="Calibri"/>
                <w:b/>
              </w:rPr>
            </w:pPr>
            <w:r w:rsidRPr="00F4247C">
              <w:rPr>
                <w:rFonts w:eastAsia="Calibri"/>
                <w:b/>
              </w:rPr>
              <w:t>Value</w:t>
            </w:r>
          </w:p>
        </w:tc>
      </w:tr>
      <w:tr w:rsidR="007E3A44" w:rsidRPr="00FD2055" w14:paraId="0D018754" w14:textId="77777777" w:rsidTr="00EE1EEF">
        <w:trPr>
          <w:tblHeader/>
        </w:trPr>
        <w:tc>
          <w:tcPr>
            <w:tcW w:w="1345" w:type="pct"/>
            <w:vMerge w:val="restart"/>
            <w:tcMar>
              <w:top w:w="57" w:type="dxa"/>
              <w:bottom w:w="57" w:type="dxa"/>
            </w:tcMar>
          </w:tcPr>
          <w:p w14:paraId="51176BB1" w14:textId="77777777" w:rsidR="007E3A44" w:rsidRPr="00FD2055" w:rsidRDefault="007E3A44" w:rsidP="00EE1EEF">
            <w:pPr>
              <w:pStyle w:val="Standaard-Tabellen"/>
              <w:widowControl w:val="0"/>
              <w:rPr>
                <w:rFonts w:eastAsia="Calibri"/>
              </w:rPr>
            </w:pPr>
            <w:r>
              <w:rPr>
                <w:rFonts w:eastAsia="Calibri"/>
              </w:rPr>
              <w:t>For All categories</w:t>
            </w:r>
          </w:p>
        </w:tc>
        <w:tc>
          <w:tcPr>
            <w:tcW w:w="2645" w:type="pct"/>
            <w:shd w:val="clear" w:color="auto" w:fill="auto"/>
            <w:tcMar>
              <w:top w:w="57" w:type="dxa"/>
              <w:bottom w:w="57" w:type="dxa"/>
            </w:tcMar>
          </w:tcPr>
          <w:p w14:paraId="0A8B4297" w14:textId="77777777" w:rsidR="007E3A44" w:rsidRPr="00FA0BAC" w:rsidRDefault="007E3A44" w:rsidP="00EE1EEF">
            <w:pPr>
              <w:pStyle w:val="Standaard-Tabellen"/>
              <w:widowControl w:val="0"/>
              <w:rPr>
                <w:rFonts w:eastAsia="Calibri"/>
                <w:vertAlign w:val="superscript"/>
              </w:rPr>
            </w:pPr>
            <w:r>
              <w:rPr>
                <w:rFonts w:eastAsia="Calibri"/>
              </w:rPr>
              <w:t>Inhalation absorption</w:t>
            </w:r>
            <w:r>
              <w:rPr>
                <w:rFonts w:eastAsia="Calibri"/>
                <w:vertAlign w:val="superscript"/>
              </w:rPr>
              <w:t>1</w:t>
            </w:r>
          </w:p>
        </w:tc>
        <w:tc>
          <w:tcPr>
            <w:tcW w:w="1010" w:type="pct"/>
            <w:shd w:val="clear" w:color="auto" w:fill="auto"/>
            <w:tcMar>
              <w:top w:w="57" w:type="dxa"/>
              <w:bottom w:w="57" w:type="dxa"/>
            </w:tcMar>
          </w:tcPr>
          <w:p w14:paraId="1B865F44" w14:textId="77777777" w:rsidR="007E3A44" w:rsidRPr="00FD2055" w:rsidRDefault="007E3A44" w:rsidP="00EE1EEF">
            <w:pPr>
              <w:pStyle w:val="Standaard-Tabellen"/>
              <w:widowControl w:val="0"/>
              <w:rPr>
                <w:rFonts w:eastAsia="Calibri"/>
              </w:rPr>
            </w:pPr>
            <w:r>
              <w:rPr>
                <w:rFonts w:eastAsia="Calibri"/>
              </w:rPr>
              <w:t>100%</w:t>
            </w:r>
          </w:p>
        </w:tc>
      </w:tr>
      <w:tr w:rsidR="007E3A44" w:rsidRPr="00FD2055" w14:paraId="3745F68D" w14:textId="77777777" w:rsidTr="00EE1EEF">
        <w:trPr>
          <w:tblHeader/>
        </w:trPr>
        <w:tc>
          <w:tcPr>
            <w:tcW w:w="1345" w:type="pct"/>
            <w:vMerge/>
            <w:tcMar>
              <w:top w:w="57" w:type="dxa"/>
              <w:bottom w:w="57" w:type="dxa"/>
            </w:tcMar>
          </w:tcPr>
          <w:p w14:paraId="0EB149E8" w14:textId="77777777" w:rsidR="007E3A44"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426CF916" w14:textId="77777777" w:rsidR="007E3A44" w:rsidRDefault="007E3A44" w:rsidP="00EE1EEF">
            <w:pPr>
              <w:pStyle w:val="Standaard-Tabellen"/>
              <w:widowControl w:val="0"/>
              <w:rPr>
                <w:rFonts w:eastAsia="Calibri"/>
              </w:rPr>
            </w:pPr>
            <w:r>
              <w:rPr>
                <w:rFonts w:eastAsia="Calibri"/>
              </w:rPr>
              <w:t>Oral absorption</w:t>
            </w:r>
            <w:r>
              <w:rPr>
                <w:rFonts w:eastAsia="Calibri"/>
                <w:vertAlign w:val="superscript"/>
              </w:rPr>
              <w:t>1</w:t>
            </w:r>
          </w:p>
        </w:tc>
        <w:tc>
          <w:tcPr>
            <w:tcW w:w="1010" w:type="pct"/>
            <w:shd w:val="clear" w:color="auto" w:fill="auto"/>
            <w:tcMar>
              <w:top w:w="57" w:type="dxa"/>
              <w:bottom w:w="57" w:type="dxa"/>
            </w:tcMar>
          </w:tcPr>
          <w:p w14:paraId="699C967C" w14:textId="77777777" w:rsidR="007E3A44" w:rsidRDefault="007E3A44" w:rsidP="00EE1EEF">
            <w:pPr>
              <w:pStyle w:val="Standaard-Tabellen"/>
              <w:widowControl w:val="0"/>
              <w:rPr>
                <w:rFonts w:eastAsia="Calibri"/>
              </w:rPr>
            </w:pPr>
            <w:r>
              <w:rPr>
                <w:rFonts w:eastAsia="Calibri"/>
              </w:rPr>
              <w:t>100%</w:t>
            </w:r>
          </w:p>
        </w:tc>
      </w:tr>
      <w:tr w:rsidR="007E3A44" w:rsidRPr="00FD2055" w14:paraId="0FA68FA0" w14:textId="77777777" w:rsidTr="00EE1EEF">
        <w:trPr>
          <w:tblHeader/>
        </w:trPr>
        <w:tc>
          <w:tcPr>
            <w:tcW w:w="1345" w:type="pct"/>
            <w:vMerge/>
            <w:tcMar>
              <w:top w:w="57" w:type="dxa"/>
              <w:bottom w:w="57" w:type="dxa"/>
            </w:tcMar>
          </w:tcPr>
          <w:p w14:paraId="12106175" w14:textId="77777777" w:rsidR="007E3A44"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19777E01" w14:textId="77777777" w:rsidR="007E3A44" w:rsidRDefault="007E3A44" w:rsidP="00EE1EEF">
            <w:pPr>
              <w:pStyle w:val="Standaard-Tabellen"/>
              <w:widowControl w:val="0"/>
              <w:rPr>
                <w:rFonts w:eastAsia="Calibri"/>
              </w:rPr>
            </w:pPr>
            <w:r>
              <w:rPr>
                <w:rFonts w:eastAsia="Calibri"/>
              </w:rPr>
              <w:t>% of active substance in biocidal product</w:t>
            </w:r>
            <w:r>
              <w:rPr>
                <w:rFonts w:eastAsia="Calibri"/>
                <w:vertAlign w:val="superscript"/>
              </w:rPr>
              <w:t>1</w:t>
            </w:r>
            <w:r>
              <w:rPr>
                <w:rFonts w:eastAsia="Calibri"/>
              </w:rPr>
              <w:t xml:space="preserve"> </w:t>
            </w:r>
          </w:p>
        </w:tc>
        <w:tc>
          <w:tcPr>
            <w:tcW w:w="1010" w:type="pct"/>
            <w:shd w:val="clear" w:color="auto" w:fill="auto"/>
            <w:tcMar>
              <w:top w:w="57" w:type="dxa"/>
              <w:bottom w:w="57" w:type="dxa"/>
            </w:tcMar>
          </w:tcPr>
          <w:p w14:paraId="18299E31" w14:textId="77777777" w:rsidR="007E3A44" w:rsidRDefault="007E3A44" w:rsidP="00EE1EEF">
            <w:pPr>
              <w:pStyle w:val="Standaard-Tabellen"/>
              <w:widowControl w:val="0"/>
              <w:rPr>
                <w:rFonts w:eastAsia="Calibri"/>
              </w:rPr>
            </w:pPr>
            <w:r>
              <w:rPr>
                <w:rFonts w:eastAsia="Calibri"/>
              </w:rPr>
              <w:t>20%</w:t>
            </w:r>
          </w:p>
        </w:tc>
      </w:tr>
      <w:tr w:rsidR="007E3A44" w:rsidRPr="00FD2055" w14:paraId="4F9F131B" w14:textId="77777777" w:rsidTr="00EE1EEF">
        <w:trPr>
          <w:tblHeader/>
        </w:trPr>
        <w:tc>
          <w:tcPr>
            <w:tcW w:w="1345" w:type="pct"/>
            <w:vMerge/>
            <w:tcMar>
              <w:top w:w="57" w:type="dxa"/>
              <w:bottom w:w="57" w:type="dxa"/>
            </w:tcMar>
          </w:tcPr>
          <w:p w14:paraId="03E0AE18" w14:textId="77777777" w:rsidR="007E3A44"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5D836E56" w14:textId="77777777" w:rsidR="007E3A44" w:rsidRDefault="007E3A44" w:rsidP="00EE1EEF">
            <w:pPr>
              <w:pStyle w:val="Standaard-Tabellen"/>
              <w:widowControl w:val="0"/>
              <w:rPr>
                <w:rFonts w:eastAsia="Calibri"/>
              </w:rPr>
            </w:pPr>
            <w:r w:rsidRPr="00B5240E">
              <w:rPr>
                <w:rFonts w:eastAsia="Calibri"/>
              </w:rPr>
              <w:t>Indicative value for inhalation</w:t>
            </w:r>
            <w:r>
              <w:rPr>
                <w:rFonts w:eastAsia="Calibri"/>
                <w:vertAlign w:val="superscript"/>
              </w:rPr>
              <w:t>2</w:t>
            </w:r>
          </w:p>
        </w:tc>
        <w:tc>
          <w:tcPr>
            <w:tcW w:w="1010" w:type="pct"/>
            <w:shd w:val="clear" w:color="auto" w:fill="auto"/>
            <w:tcMar>
              <w:top w:w="57" w:type="dxa"/>
              <w:bottom w:w="57" w:type="dxa"/>
            </w:tcMar>
          </w:tcPr>
          <w:p w14:paraId="162CCC1C" w14:textId="77777777" w:rsidR="007E3A44" w:rsidRPr="004C0F06" w:rsidRDefault="007E3A44" w:rsidP="00EE1EEF">
            <w:pPr>
              <w:pStyle w:val="Standaard-Tabellen"/>
              <w:widowControl w:val="0"/>
              <w:rPr>
                <w:rFonts w:eastAsia="Calibri"/>
              </w:rPr>
            </w:pPr>
            <w:r w:rsidRPr="00B5240E">
              <w:rPr>
                <w:rFonts w:eastAsia="Calibri"/>
              </w:rPr>
              <w:t>10</w:t>
            </w:r>
            <w:r>
              <w:rPr>
                <w:rFonts w:eastAsia="Calibri"/>
              </w:rPr>
              <w:t>.</w:t>
            </w:r>
            <w:r w:rsidRPr="00B5240E">
              <w:rPr>
                <w:rFonts w:eastAsia="Calibri"/>
              </w:rPr>
              <w:t>5 mg/m</w:t>
            </w:r>
            <w:r w:rsidRPr="00B5240E">
              <w:rPr>
                <w:rFonts w:eastAsia="Calibri"/>
                <w:vertAlign w:val="superscript"/>
              </w:rPr>
              <w:t>3</w:t>
            </w:r>
            <w:r>
              <w:rPr>
                <w:rFonts w:eastAsia="Calibri"/>
              </w:rPr>
              <w:t xml:space="preserve"> </w:t>
            </w:r>
          </w:p>
        </w:tc>
      </w:tr>
      <w:tr w:rsidR="007E3A44" w:rsidRPr="004B1716" w14:paraId="3AF27633" w14:textId="77777777" w:rsidTr="00EE1EEF">
        <w:trPr>
          <w:tblHeader/>
        </w:trPr>
        <w:tc>
          <w:tcPr>
            <w:tcW w:w="1345" w:type="pct"/>
            <w:vMerge/>
            <w:tcMar>
              <w:top w:w="57" w:type="dxa"/>
              <w:bottom w:w="57" w:type="dxa"/>
            </w:tcMar>
          </w:tcPr>
          <w:p w14:paraId="24ACD0D8" w14:textId="77777777" w:rsidR="007E3A44"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14D4C6BD" w14:textId="77777777" w:rsidR="007E3A44" w:rsidRDefault="007E3A44" w:rsidP="00EE1EEF">
            <w:pPr>
              <w:pStyle w:val="Standaard-Tabellen"/>
              <w:widowControl w:val="0"/>
              <w:rPr>
                <w:rFonts w:eastAsia="Calibri"/>
              </w:rPr>
            </w:pPr>
            <w:r w:rsidRPr="00B5240E">
              <w:rPr>
                <w:rFonts w:eastAsia="Calibri"/>
              </w:rPr>
              <w:t>Spray duration</w:t>
            </w:r>
            <w:r>
              <w:rPr>
                <w:rFonts w:eastAsia="Calibri"/>
                <w:vertAlign w:val="superscript"/>
              </w:rPr>
              <w:t>3</w:t>
            </w:r>
          </w:p>
        </w:tc>
        <w:tc>
          <w:tcPr>
            <w:tcW w:w="1010" w:type="pct"/>
            <w:shd w:val="clear" w:color="auto" w:fill="auto"/>
            <w:tcMar>
              <w:top w:w="57" w:type="dxa"/>
              <w:bottom w:w="57" w:type="dxa"/>
            </w:tcMar>
          </w:tcPr>
          <w:p w14:paraId="41D8F316" w14:textId="77777777" w:rsidR="007E3A44" w:rsidRPr="004C0F06" w:rsidRDefault="007E3A44" w:rsidP="00EE1EEF">
            <w:pPr>
              <w:pStyle w:val="Standaard-Tabellen"/>
              <w:widowControl w:val="0"/>
              <w:rPr>
                <w:rFonts w:eastAsia="Calibri"/>
                <w:lang w:val="fr-BE"/>
              </w:rPr>
            </w:pPr>
            <w:r w:rsidRPr="00C8507C">
              <w:rPr>
                <w:rFonts w:eastAsia="Calibri"/>
                <w:lang w:val="fr-BE"/>
              </w:rPr>
              <w:t xml:space="preserve">4 minutes </w:t>
            </w:r>
          </w:p>
        </w:tc>
      </w:tr>
      <w:tr w:rsidR="007E3A44" w:rsidRPr="00FD2055" w14:paraId="03B21BB9" w14:textId="77777777" w:rsidTr="00EE1EEF">
        <w:trPr>
          <w:tblHeader/>
        </w:trPr>
        <w:tc>
          <w:tcPr>
            <w:tcW w:w="1345" w:type="pct"/>
            <w:vMerge w:val="restart"/>
            <w:tcMar>
              <w:top w:w="57" w:type="dxa"/>
              <w:bottom w:w="57" w:type="dxa"/>
            </w:tcMar>
          </w:tcPr>
          <w:p w14:paraId="02AD48E4" w14:textId="77777777" w:rsidR="007E3A44" w:rsidRPr="00FD2055" w:rsidRDefault="007E3A44" w:rsidP="00EE1EEF">
            <w:pPr>
              <w:pStyle w:val="Standaard-Tabellen"/>
              <w:widowControl w:val="0"/>
              <w:rPr>
                <w:rFonts w:eastAsia="Calibri"/>
              </w:rPr>
            </w:pPr>
            <w:r w:rsidRPr="00F913A8">
              <w:rPr>
                <w:rFonts w:eastAsia="Calibri"/>
              </w:rPr>
              <w:t>Tier 1- Adult</w:t>
            </w:r>
          </w:p>
        </w:tc>
        <w:tc>
          <w:tcPr>
            <w:tcW w:w="2645" w:type="pct"/>
            <w:shd w:val="clear" w:color="auto" w:fill="auto"/>
            <w:tcMar>
              <w:top w:w="57" w:type="dxa"/>
              <w:bottom w:w="57" w:type="dxa"/>
            </w:tcMar>
          </w:tcPr>
          <w:p w14:paraId="4CD1F572" w14:textId="77777777" w:rsidR="007E3A44" w:rsidRDefault="007E3A44" w:rsidP="00EE1EEF">
            <w:pPr>
              <w:pStyle w:val="Standaard-Tabellen"/>
              <w:widowControl w:val="0"/>
              <w:rPr>
                <w:rFonts w:eastAsia="Calibri"/>
              </w:rPr>
            </w:pPr>
            <w:r>
              <w:rPr>
                <w:rFonts w:eastAsia="Calibri"/>
              </w:rPr>
              <w:t>Number of application / day</w:t>
            </w:r>
            <w:r>
              <w:rPr>
                <w:rFonts w:eastAsia="Calibri"/>
                <w:vertAlign w:val="superscript"/>
              </w:rPr>
              <w:t>1</w:t>
            </w:r>
          </w:p>
        </w:tc>
        <w:tc>
          <w:tcPr>
            <w:tcW w:w="1010" w:type="pct"/>
            <w:shd w:val="clear" w:color="auto" w:fill="auto"/>
            <w:tcMar>
              <w:top w:w="57" w:type="dxa"/>
              <w:bottom w:w="57" w:type="dxa"/>
            </w:tcMar>
          </w:tcPr>
          <w:p w14:paraId="2DC1ED1C" w14:textId="77777777" w:rsidR="007E3A44" w:rsidRDefault="007E3A44" w:rsidP="00EE1EEF">
            <w:pPr>
              <w:pStyle w:val="Standaard-Tabellen"/>
              <w:widowControl w:val="0"/>
              <w:rPr>
                <w:rFonts w:eastAsia="Calibri"/>
              </w:rPr>
            </w:pPr>
            <w:r w:rsidRPr="00FE5603">
              <w:rPr>
                <w:rFonts w:eastAsia="Calibri"/>
              </w:rPr>
              <w:t>3</w:t>
            </w:r>
          </w:p>
        </w:tc>
      </w:tr>
      <w:tr w:rsidR="007E3A44" w:rsidRPr="00FD2055" w14:paraId="05A06965" w14:textId="77777777" w:rsidTr="00EE1EEF">
        <w:trPr>
          <w:tblHeader/>
        </w:trPr>
        <w:tc>
          <w:tcPr>
            <w:tcW w:w="1345" w:type="pct"/>
            <w:vMerge/>
            <w:tcMar>
              <w:top w:w="57" w:type="dxa"/>
              <w:bottom w:w="57" w:type="dxa"/>
            </w:tcMar>
          </w:tcPr>
          <w:p w14:paraId="62DE45CC" w14:textId="77777777" w:rsidR="007E3A44" w:rsidRPr="00FD2055"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042888CB" w14:textId="77777777" w:rsidR="007E3A44" w:rsidRPr="00FD2055" w:rsidRDefault="007E3A44" w:rsidP="00EE1EEF">
            <w:pPr>
              <w:pStyle w:val="Standaard-Tabellen"/>
              <w:widowControl w:val="0"/>
              <w:rPr>
                <w:rFonts w:eastAsia="Calibri"/>
              </w:rPr>
            </w:pPr>
            <w:r>
              <w:rPr>
                <w:rFonts w:eastAsia="Calibri"/>
              </w:rPr>
              <w:t>Body weight</w:t>
            </w:r>
            <w:r>
              <w:rPr>
                <w:rFonts w:eastAsia="Calibri"/>
                <w:vertAlign w:val="superscript"/>
              </w:rPr>
              <w:t>1</w:t>
            </w:r>
            <w:r>
              <w:rPr>
                <w:rFonts w:eastAsia="Calibri"/>
              </w:rPr>
              <w:t xml:space="preserve"> </w:t>
            </w:r>
          </w:p>
        </w:tc>
        <w:tc>
          <w:tcPr>
            <w:tcW w:w="1010" w:type="pct"/>
            <w:shd w:val="clear" w:color="auto" w:fill="auto"/>
            <w:tcMar>
              <w:top w:w="57" w:type="dxa"/>
              <w:bottom w:w="57" w:type="dxa"/>
            </w:tcMar>
          </w:tcPr>
          <w:p w14:paraId="22147385" w14:textId="77777777" w:rsidR="007E3A44" w:rsidRPr="00FD2055" w:rsidRDefault="007E3A44" w:rsidP="00EE1EEF">
            <w:pPr>
              <w:pStyle w:val="Standaard-Tabellen"/>
              <w:widowControl w:val="0"/>
              <w:rPr>
                <w:rFonts w:eastAsia="Calibri"/>
              </w:rPr>
            </w:pPr>
            <w:r>
              <w:rPr>
                <w:rFonts w:eastAsia="Calibri"/>
              </w:rPr>
              <w:t>60 kg</w:t>
            </w:r>
          </w:p>
        </w:tc>
      </w:tr>
      <w:tr w:rsidR="007E3A44" w:rsidRPr="00FD2055" w14:paraId="7E5D243F" w14:textId="77777777" w:rsidTr="00EE1EEF">
        <w:trPr>
          <w:tblHeader/>
        </w:trPr>
        <w:tc>
          <w:tcPr>
            <w:tcW w:w="1345" w:type="pct"/>
            <w:vMerge/>
            <w:tcMar>
              <w:top w:w="57" w:type="dxa"/>
              <w:bottom w:w="57" w:type="dxa"/>
            </w:tcMar>
          </w:tcPr>
          <w:p w14:paraId="75F80461" w14:textId="77777777" w:rsidR="007E3A44" w:rsidRPr="00FD2055"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46CD0263" w14:textId="77777777" w:rsidR="007E3A44" w:rsidRPr="005A44E3" w:rsidRDefault="007E3A44" w:rsidP="00EE1EEF">
            <w:pPr>
              <w:pStyle w:val="Standaard-Tabellen"/>
              <w:widowControl w:val="0"/>
              <w:rPr>
                <w:rFonts w:eastAsia="Calibri"/>
                <w:vertAlign w:val="superscript"/>
              </w:rPr>
            </w:pPr>
            <w:r w:rsidRPr="005A44E3">
              <w:rPr>
                <w:rFonts w:eastAsia="Calibri"/>
              </w:rPr>
              <w:t>Respiration rate [m</w:t>
            </w:r>
            <w:r w:rsidRPr="005A44E3">
              <w:rPr>
                <w:rFonts w:eastAsia="Calibri"/>
                <w:vertAlign w:val="superscript"/>
              </w:rPr>
              <w:t>3</w:t>
            </w:r>
            <w:r>
              <w:rPr>
                <w:rFonts w:eastAsia="Calibri"/>
              </w:rPr>
              <w:t>/air/hour]</w:t>
            </w:r>
            <w:r>
              <w:rPr>
                <w:rFonts w:eastAsia="Calibri"/>
                <w:vertAlign w:val="superscript"/>
              </w:rPr>
              <w:t xml:space="preserve"> 1</w:t>
            </w:r>
          </w:p>
        </w:tc>
        <w:tc>
          <w:tcPr>
            <w:tcW w:w="1010" w:type="pct"/>
            <w:shd w:val="clear" w:color="auto" w:fill="auto"/>
            <w:tcMar>
              <w:top w:w="57" w:type="dxa"/>
              <w:bottom w:w="57" w:type="dxa"/>
            </w:tcMar>
          </w:tcPr>
          <w:p w14:paraId="41E16143" w14:textId="77777777" w:rsidR="007E3A44" w:rsidRPr="00FD2055" w:rsidRDefault="007E3A44" w:rsidP="00EE1EEF">
            <w:pPr>
              <w:pStyle w:val="Standaard-Tabellen"/>
              <w:widowControl w:val="0"/>
              <w:rPr>
                <w:rFonts w:eastAsia="Calibri"/>
              </w:rPr>
            </w:pPr>
            <w:r>
              <w:rPr>
                <w:rFonts w:eastAsia="Calibri"/>
              </w:rPr>
              <w:t xml:space="preserve">1.25 </w:t>
            </w:r>
            <w:r w:rsidRPr="005A44E3">
              <w:rPr>
                <w:rFonts w:eastAsia="Calibri"/>
              </w:rPr>
              <w:t>m³/h</w:t>
            </w:r>
          </w:p>
        </w:tc>
      </w:tr>
      <w:tr w:rsidR="007E3A44" w:rsidRPr="00FD2055" w14:paraId="4D7ECF46" w14:textId="77777777" w:rsidTr="00EE1EEF">
        <w:trPr>
          <w:tblHeader/>
        </w:trPr>
        <w:tc>
          <w:tcPr>
            <w:tcW w:w="1345" w:type="pct"/>
            <w:vMerge/>
            <w:tcMar>
              <w:top w:w="57" w:type="dxa"/>
              <w:bottom w:w="57" w:type="dxa"/>
            </w:tcMar>
          </w:tcPr>
          <w:p w14:paraId="56448E14" w14:textId="77777777" w:rsidR="007E3A44" w:rsidRPr="00FD2055"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1F0B8596" w14:textId="77777777" w:rsidR="007E3A44" w:rsidRPr="00FA0BAC" w:rsidRDefault="007E3A44" w:rsidP="00EE1EEF">
            <w:pPr>
              <w:pStyle w:val="Standaard-Tabellen"/>
              <w:widowControl w:val="0"/>
              <w:rPr>
                <w:rFonts w:eastAsia="Calibri"/>
              </w:rPr>
            </w:pPr>
            <w:r>
              <w:rPr>
                <w:rFonts w:eastAsia="Calibri"/>
              </w:rPr>
              <w:t>Body weight</w:t>
            </w:r>
            <w:r>
              <w:rPr>
                <w:rFonts w:eastAsia="Calibri"/>
                <w:vertAlign w:val="superscript"/>
              </w:rPr>
              <w:t>1</w:t>
            </w:r>
            <w:r>
              <w:rPr>
                <w:rFonts w:eastAsia="Calibri"/>
              </w:rPr>
              <w:t xml:space="preserve"> </w:t>
            </w:r>
          </w:p>
        </w:tc>
        <w:tc>
          <w:tcPr>
            <w:tcW w:w="1010" w:type="pct"/>
            <w:shd w:val="clear" w:color="auto" w:fill="auto"/>
            <w:tcMar>
              <w:top w:w="57" w:type="dxa"/>
              <w:bottom w:w="57" w:type="dxa"/>
            </w:tcMar>
          </w:tcPr>
          <w:p w14:paraId="181089AF" w14:textId="77777777" w:rsidR="007E3A44" w:rsidRPr="00801D6B" w:rsidRDefault="007E3A44" w:rsidP="00EE1EEF">
            <w:pPr>
              <w:pStyle w:val="Standaard-Tabellen"/>
              <w:widowControl w:val="0"/>
              <w:rPr>
                <w:rFonts w:eastAsia="Calibri"/>
              </w:rPr>
            </w:pPr>
            <w:r>
              <w:rPr>
                <w:rFonts w:eastAsia="Calibri"/>
              </w:rPr>
              <w:t>60 kg</w:t>
            </w:r>
          </w:p>
        </w:tc>
      </w:tr>
      <w:tr w:rsidR="007E3A44" w:rsidRPr="00FD2055" w14:paraId="778F0037" w14:textId="77777777" w:rsidTr="00EE1EEF">
        <w:trPr>
          <w:tblHeader/>
        </w:trPr>
        <w:tc>
          <w:tcPr>
            <w:tcW w:w="1345" w:type="pct"/>
            <w:vMerge/>
            <w:tcMar>
              <w:top w:w="57" w:type="dxa"/>
              <w:bottom w:w="57" w:type="dxa"/>
            </w:tcMar>
          </w:tcPr>
          <w:p w14:paraId="14E27BF6" w14:textId="77777777" w:rsidR="007E3A44" w:rsidRPr="00FD2055"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4FBA4370" w14:textId="77777777" w:rsidR="007E3A44" w:rsidRPr="00FA0BAC" w:rsidRDefault="007E3A44" w:rsidP="00EE1EEF">
            <w:pPr>
              <w:pStyle w:val="Standaard-Tabellen"/>
              <w:widowControl w:val="0"/>
              <w:rPr>
                <w:rFonts w:eastAsia="Calibri"/>
              </w:rPr>
            </w:pPr>
            <w:r w:rsidRPr="005A44E3">
              <w:rPr>
                <w:rFonts w:eastAsia="Calibri"/>
              </w:rPr>
              <w:t>Respiration rate [m</w:t>
            </w:r>
            <w:r w:rsidRPr="005A44E3">
              <w:rPr>
                <w:rFonts w:eastAsia="Calibri"/>
                <w:vertAlign w:val="superscript"/>
              </w:rPr>
              <w:t>3</w:t>
            </w:r>
            <w:r>
              <w:rPr>
                <w:rFonts w:eastAsia="Calibri"/>
              </w:rPr>
              <w:t>/air/hour]</w:t>
            </w:r>
            <w:r>
              <w:rPr>
                <w:rFonts w:eastAsia="Calibri"/>
                <w:vertAlign w:val="superscript"/>
              </w:rPr>
              <w:t xml:space="preserve"> 1</w:t>
            </w:r>
          </w:p>
        </w:tc>
        <w:tc>
          <w:tcPr>
            <w:tcW w:w="1010" w:type="pct"/>
            <w:shd w:val="clear" w:color="auto" w:fill="auto"/>
            <w:tcMar>
              <w:top w:w="57" w:type="dxa"/>
              <w:bottom w:w="57" w:type="dxa"/>
            </w:tcMar>
          </w:tcPr>
          <w:p w14:paraId="37BA0CEF" w14:textId="77777777" w:rsidR="007E3A44" w:rsidRPr="00801D6B" w:rsidRDefault="007E3A44" w:rsidP="00EE1EEF">
            <w:pPr>
              <w:pStyle w:val="Standaard-Tabellen"/>
              <w:widowControl w:val="0"/>
              <w:rPr>
                <w:rFonts w:eastAsia="Calibri"/>
              </w:rPr>
            </w:pPr>
            <w:r>
              <w:rPr>
                <w:rFonts w:eastAsia="Calibri"/>
              </w:rPr>
              <w:t xml:space="preserve">1.25 </w:t>
            </w:r>
            <w:r w:rsidRPr="005A44E3">
              <w:rPr>
                <w:rFonts w:eastAsia="Calibri"/>
              </w:rPr>
              <w:t>m³/h</w:t>
            </w:r>
          </w:p>
        </w:tc>
      </w:tr>
      <w:tr w:rsidR="007E3A44" w:rsidRPr="00FD2055" w14:paraId="27FECBC1" w14:textId="77777777" w:rsidTr="00EE1EEF">
        <w:trPr>
          <w:tblHeader/>
        </w:trPr>
        <w:tc>
          <w:tcPr>
            <w:tcW w:w="1345" w:type="pct"/>
            <w:vMerge w:val="restart"/>
            <w:tcMar>
              <w:top w:w="57" w:type="dxa"/>
              <w:bottom w:w="57" w:type="dxa"/>
            </w:tcMar>
          </w:tcPr>
          <w:p w14:paraId="4408448D" w14:textId="77777777" w:rsidR="007E3A44" w:rsidRPr="00FD2055" w:rsidRDefault="007E3A44" w:rsidP="00EE1EEF">
            <w:pPr>
              <w:pStyle w:val="Standaard-Tabellen"/>
              <w:widowControl w:val="0"/>
              <w:rPr>
                <w:rFonts w:eastAsia="Calibri"/>
              </w:rPr>
            </w:pPr>
            <w:r w:rsidRPr="00FD2055">
              <w:rPr>
                <w:rFonts w:eastAsia="Calibri"/>
              </w:rPr>
              <w:t>Tier 1</w:t>
            </w:r>
            <w:r>
              <w:rPr>
                <w:rFonts w:eastAsia="Calibri"/>
              </w:rPr>
              <w:t>- Child</w:t>
            </w:r>
          </w:p>
        </w:tc>
        <w:tc>
          <w:tcPr>
            <w:tcW w:w="2645" w:type="pct"/>
            <w:shd w:val="clear" w:color="auto" w:fill="auto"/>
            <w:tcMar>
              <w:top w:w="57" w:type="dxa"/>
              <w:bottom w:w="57" w:type="dxa"/>
            </w:tcMar>
          </w:tcPr>
          <w:p w14:paraId="0C3AB7C2" w14:textId="77777777" w:rsidR="007E3A44" w:rsidRDefault="007E3A44" w:rsidP="00EE1EEF">
            <w:pPr>
              <w:pStyle w:val="Standaard-Tabellen"/>
              <w:widowControl w:val="0"/>
              <w:rPr>
                <w:rFonts w:eastAsia="Calibri"/>
              </w:rPr>
            </w:pPr>
            <w:r w:rsidRPr="00FA0BAC">
              <w:rPr>
                <w:rFonts w:eastAsia="Calibri"/>
              </w:rPr>
              <w:t>Number of application / day</w:t>
            </w:r>
            <w:r>
              <w:rPr>
                <w:rFonts w:eastAsia="Calibri"/>
                <w:vertAlign w:val="superscript"/>
              </w:rPr>
              <w:t>1</w:t>
            </w:r>
          </w:p>
        </w:tc>
        <w:tc>
          <w:tcPr>
            <w:tcW w:w="1010" w:type="pct"/>
            <w:shd w:val="clear" w:color="auto" w:fill="auto"/>
            <w:tcMar>
              <w:top w:w="57" w:type="dxa"/>
              <w:bottom w:w="57" w:type="dxa"/>
            </w:tcMar>
          </w:tcPr>
          <w:p w14:paraId="43A83B7C" w14:textId="77777777" w:rsidR="007E3A44" w:rsidRDefault="007E3A44" w:rsidP="00EE1EEF">
            <w:pPr>
              <w:pStyle w:val="Standaard-Tabellen"/>
              <w:widowControl w:val="0"/>
              <w:rPr>
                <w:rFonts w:eastAsia="Calibri"/>
              </w:rPr>
            </w:pPr>
            <w:r>
              <w:rPr>
                <w:rFonts w:eastAsia="Calibri"/>
              </w:rPr>
              <w:t>3</w:t>
            </w:r>
          </w:p>
        </w:tc>
      </w:tr>
      <w:tr w:rsidR="007E3A44" w:rsidRPr="00FD2055" w14:paraId="0485129A" w14:textId="77777777" w:rsidTr="00EE1EEF">
        <w:trPr>
          <w:tblHeader/>
        </w:trPr>
        <w:tc>
          <w:tcPr>
            <w:tcW w:w="1345" w:type="pct"/>
            <w:vMerge/>
            <w:tcMar>
              <w:top w:w="57" w:type="dxa"/>
              <w:bottom w:w="57" w:type="dxa"/>
            </w:tcMar>
          </w:tcPr>
          <w:p w14:paraId="74DB7E6E" w14:textId="77777777" w:rsidR="007E3A44" w:rsidRPr="00FD2055"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238E4191" w14:textId="77777777" w:rsidR="007E3A44" w:rsidRPr="00FD2055" w:rsidRDefault="007E3A44" w:rsidP="00EE1EEF">
            <w:pPr>
              <w:pStyle w:val="Standaard-Tabellen"/>
              <w:widowControl w:val="0"/>
              <w:rPr>
                <w:rFonts w:eastAsia="Calibri"/>
              </w:rPr>
            </w:pPr>
            <w:r>
              <w:rPr>
                <w:rFonts w:eastAsia="Calibri"/>
              </w:rPr>
              <w:t>Body weight</w:t>
            </w:r>
            <w:r>
              <w:rPr>
                <w:rFonts w:eastAsia="Calibri"/>
                <w:vertAlign w:val="superscript"/>
              </w:rPr>
              <w:t>1</w:t>
            </w:r>
            <w:r>
              <w:rPr>
                <w:rFonts w:eastAsia="Calibri"/>
              </w:rPr>
              <w:t xml:space="preserve"> </w:t>
            </w:r>
          </w:p>
        </w:tc>
        <w:tc>
          <w:tcPr>
            <w:tcW w:w="1010" w:type="pct"/>
            <w:shd w:val="clear" w:color="auto" w:fill="auto"/>
            <w:tcMar>
              <w:top w:w="57" w:type="dxa"/>
              <w:bottom w:w="57" w:type="dxa"/>
            </w:tcMar>
          </w:tcPr>
          <w:p w14:paraId="2376180B" w14:textId="77777777" w:rsidR="007E3A44" w:rsidRPr="00FD2055" w:rsidRDefault="007E3A44" w:rsidP="00EE1EEF">
            <w:pPr>
              <w:pStyle w:val="Standaard-Tabellen"/>
              <w:widowControl w:val="0"/>
              <w:rPr>
                <w:rFonts w:eastAsia="Calibri"/>
              </w:rPr>
            </w:pPr>
            <w:r>
              <w:rPr>
                <w:rFonts w:eastAsia="Calibri"/>
              </w:rPr>
              <w:t>23.9 kg</w:t>
            </w:r>
          </w:p>
        </w:tc>
      </w:tr>
      <w:tr w:rsidR="007E3A44" w:rsidRPr="00FD2055" w14:paraId="020BEE7C" w14:textId="77777777" w:rsidTr="00EE1EEF">
        <w:trPr>
          <w:tblHeader/>
        </w:trPr>
        <w:tc>
          <w:tcPr>
            <w:tcW w:w="1345" w:type="pct"/>
            <w:vMerge/>
            <w:tcMar>
              <w:top w:w="57" w:type="dxa"/>
              <w:bottom w:w="57" w:type="dxa"/>
            </w:tcMar>
          </w:tcPr>
          <w:p w14:paraId="00273EB1" w14:textId="77777777" w:rsidR="007E3A44" w:rsidRPr="00FD2055"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7C9CCE3C" w14:textId="77777777" w:rsidR="007E3A44" w:rsidRPr="00FD2055" w:rsidRDefault="007E3A44" w:rsidP="00EE1EEF">
            <w:pPr>
              <w:pStyle w:val="Standaard-Tabellen"/>
              <w:widowControl w:val="0"/>
              <w:rPr>
                <w:rFonts w:eastAsia="Calibri"/>
              </w:rPr>
            </w:pPr>
            <w:r w:rsidRPr="005A44E3">
              <w:rPr>
                <w:rFonts w:eastAsia="Calibri"/>
              </w:rPr>
              <w:t>Respiration rate [m</w:t>
            </w:r>
            <w:r w:rsidRPr="005A44E3">
              <w:rPr>
                <w:rFonts w:eastAsia="Calibri"/>
                <w:vertAlign w:val="superscript"/>
              </w:rPr>
              <w:t>3</w:t>
            </w:r>
            <w:r>
              <w:rPr>
                <w:rFonts w:eastAsia="Calibri"/>
              </w:rPr>
              <w:t>/air/hour]</w:t>
            </w:r>
            <w:r>
              <w:rPr>
                <w:rFonts w:eastAsia="Calibri"/>
                <w:vertAlign w:val="superscript"/>
              </w:rPr>
              <w:t xml:space="preserve"> 1</w:t>
            </w:r>
          </w:p>
        </w:tc>
        <w:tc>
          <w:tcPr>
            <w:tcW w:w="1010" w:type="pct"/>
            <w:shd w:val="clear" w:color="auto" w:fill="auto"/>
            <w:tcMar>
              <w:top w:w="57" w:type="dxa"/>
              <w:bottom w:w="57" w:type="dxa"/>
            </w:tcMar>
          </w:tcPr>
          <w:p w14:paraId="26A0CE02" w14:textId="77777777" w:rsidR="007E3A44" w:rsidRPr="00FD2055" w:rsidRDefault="007E3A44" w:rsidP="00EE1EEF">
            <w:pPr>
              <w:pStyle w:val="Standaard-Tabellen"/>
              <w:widowControl w:val="0"/>
              <w:rPr>
                <w:rFonts w:eastAsia="Calibri"/>
              </w:rPr>
            </w:pPr>
            <w:r>
              <w:rPr>
                <w:rFonts w:eastAsia="Calibri"/>
              </w:rPr>
              <w:t>1.32</w:t>
            </w:r>
            <w:r w:rsidRPr="005A44E3">
              <w:rPr>
                <w:rFonts w:eastAsia="Calibri"/>
              </w:rPr>
              <w:t xml:space="preserve"> m³/h</w:t>
            </w:r>
          </w:p>
        </w:tc>
      </w:tr>
      <w:tr w:rsidR="007E3A44" w:rsidRPr="00FD2055" w14:paraId="36B02701" w14:textId="77777777" w:rsidTr="00EE1EEF">
        <w:trPr>
          <w:tblHeader/>
        </w:trPr>
        <w:tc>
          <w:tcPr>
            <w:tcW w:w="1345" w:type="pct"/>
            <w:vMerge w:val="restart"/>
            <w:tcMar>
              <w:top w:w="57" w:type="dxa"/>
              <w:bottom w:w="57" w:type="dxa"/>
            </w:tcMar>
          </w:tcPr>
          <w:p w14:paraId="1EC8B0AA" w14:textId="77777777" w:rsidR="007E3A44" w:rsidRPr="00FD2055" w:rsidRDefault="007E3A44" w:rsidP="00EE1EEF">
            <w:pPr>
              <w:pStyle w:val="Standaard-Tabellen"/>
              <w:widowControl w:val="0"/>
              <w:rPr>
                <w:rFonts w:eastAsia="Calibri"/>
              </w:rPr>
            </w:pPr>
            <w:r w:rsidRPr="00FD2055">
              <w:rPr>
                <w:rFonts w:eastAsia="Calibri"/>
              </w:rPr>
              <w:t>Tier 1</w:t>
            </w:r>
            <w:r>
              <w:rPr>
                <w:rFonts w:eastAsia="Calibri"/>
              </w:rPr>
              <w:t>- Toddler</w:t>
            </w:r>
          </w:p>
        </w:tc>
        <w:tc>
          <w:tcPr>
            <w:tcW w:w="2645" w:type="pct"/>
            <w:shd w:val="clear" w:color="auto" w:fill="auto"/>
            <w:tcMar>
              <w:top w:w="57" w:type="dxa"/>
              <w:bottom w:w="57" w:type="dxa"/>
            </w:tcMar>
          </w:tcPr>
          <w:p w14:paraId="142E2448" w14:textId="77777777" w:rsidR="007E3A44" w:rsidRDefault="007E3A44" w:rsidP="00EE1EEF">
            <w:pPr>
              <w:pStyle w:val="Standaard-Tabellen"/>
              <w:widowControl w:val="0"/>
              <w:rPr>
                <w:rFonts w:eastAsia="Calibri"/>
              </w:rPr>
            </w:pPr>
            <w:r w:rsidRPr="00FA0BAC">
              <w:rPr>
                <w:rFonts w:eastAsia="Calibri"/>
              </w:rPr>
              <w:t>Number of application / day</w:t>
            </w:r>
            <w:r>
              <w:rPr>
                <w:rFonts w:eastAsia="Calibri"/>
                <w:vertAlign w:val="superscript"/>
              </w:rPr>
              <w:t>1</w:t>
            </w:r>
          </w:p>
        </w:tc>
        <w:tc>
          <w:tcPr>
            <w:tcW w:w="1010" w:type="pct"/>
            <w:shd w:val="clear" w:color="auto" w:fill="auto"/>
            <w:tcMar>
              <w:top w:w="57" w:type="dxa"/>
              <w:bottom w:w="57" w:type="dxa"/>
            </w:tcMar>
          </w:tcPr>
          <w:p w14:paraId="4932A351" w14:textId="77777777" w:rsidR="007E3A44" w:rsidRDefault="007E3A44" w:rsidP="00EE1EEF">
            <w:pPr>
              <w:pStyle w:val="Standaard-Tabellen"/>
              <w:widowControl w:val="0"/>
              <w:rPr>
                <w:rFonts w:eastAsia="Calibri"/>
              </w:rPr>
            </w:pPr>
            <w:r>
              <w:rPr>
                <w:rFonts w:eastAsia="Calibri"/>
              </w:rPr>
              <w:t>3</w:t>
            </w:r>
          </w:p>
        </w:tc>
      </w:tr>
      <w:tr w:rsidR="007E3A44" w:rsidRPr="00FD2055" w14:paraId="20816DFA" w14:textId="77777777" w:rsidTr="00EE1EEF">
        <w:trPr>
          <w:tblHeader/>
        </w:trPr>
        <w:tc>
          <w:tcPr>
            <w:tcW w:w="1345" w:type="pct"/>
            <w:vMerge/>
            <w:tcMar>
              <w:top w:w="57" w:type="dxa"/>
              <w:bottom w:w="57" w:type="dxa"/>
            </w:tcMar>
          </w:tcPr>
          <w:p w14:paraId="1ED51D45" w14:textId="77777777" w:rsidR="007E3A44" w:rsidRPr="00FD2055"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70D0939D" w14:textId="77777777" w:rsidR="007E3A44" w:rsidRPr="00FD2055" w:rsidRDefault="007E3A44" w:rsidP="00EE1EEF">
            <w:pPr>
              <w:pStyle w:val="Standaard-Tabellen"/>
              <w:widowControl w:val="0"/>
              <w:rPr>
                <w:rFonts w:eastAsia="Calibri"/>
              </w:rPr>
            </w:pPr>
            <w:r>
              <w:rPr>
                <w:rFonts w:eastAsia="Calibri"/>
              </w:rPr>
              <w:t>Body weight</w:t>
            </w:r>
            <w:r>
              <w:rPr>
                <w:rFonts w:eastAsia="Calibri"/>
                <w:vertAlign w:val="superscript"/>
              </w:rPr>
              <w:t>1</w:t>
            </w:r>
            <w:r>
              <w:rPr>
                <w:rFonts w:eastAsia="Calibri"/>
              </w:rPr>
              <w:t xml:space="preserve"> </w:t>
            </w:r>
          </w:p>
        </w:tc>
        <w:tc>
          <w:tcPr>
            <w:tcW w:w="1010" w:type="pct"/>
            <w:shd w:val="clear" w:color="auto" w:fill="auto"/>
            <w:tcMar>
              <w:top w:w="57" w:type="dxa"/>
              <w:bottom w:w="57" w:type="dxa"/>
            </w:tcMar>
          </w:tcPr>
          <w:p w14:paraId="0CBBED0B" w14:textId="77777777" w:rsidR="007E3A44" w:rsidRPr="00FD2055" w:rsidRDefault="007E3A44" w:rsidP="00EE1EEF">
            <w:pPr>
              <w:pStyle w:val="Standaard-Tabellen"/>
              <w:widowControl w:val="0"/>
              <w:rPr>
                <w:rFonts w:eastAsia="Calibri"/>
              </w:rPr>
            </w:pPr>
            <w:r>
              <w:rPr>
                <w:rFonts w:eastAsia="Calibri"/>
              </w:rPr>
              <w:t>10 kg</w:t>
            </w:r>
          </w:p>
        </w:tc>
      </w:tr>
      <w:tr w:rsidR="007E3A44" w:rsidRPr="00FD2055" w14:paraId="14FEF859" w14:textId="77777777" w:rsidTr="00EE1EEF">
        <w:trPr>
          <w:tblHeader/>
        </w:trPr>
        <w:tc>
          <w:tcPr>
            <w:tcW w:w="1345" w:type="pct"/>
            <w:vMerge/>
            <w:tcMar>
              <w:top w:w="57" w:type="dxa"/>
              <w:bottom w:w="57" w:type="dxa"/>
            </w:tcMar>
          </w:tcPr>
          <w:p w14:paraId="2064E564" w14:textId="77777777" w:rsidR="007E3A44" w:rsidRPr="00FD2055"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59C0F170" w14:textId="77777777" w:rsidR="007E3A44" w:rsidRPr="00FD2055" w:rsidRDefault="007E3A44" w:rsidP="00EE1EEF">
            <w:pPr>
              <w:pStyle w:val="Standaard-Tabellen"/>
              <w:widowControl w:val="0"/>
              <w:rPr>
                <w:rFonts w:eastAsia="Calibri"/>
              </w:rPr>
            </w:pPr>
            <w:r w:rsidRPr="005A44E3">
              <w:rPr>
                <w:rFonts w:eastAsia="Calibri"/>
              </w:rPr>
              <w:t>Respiration rate [m</w:t>
            </w:r>
            <w:r w:rsidRPr="005A44E3">
              <w:rPr>
                <w:rFonts w:eastAsia="Calibri"/>
                <w:vertAlign w:val="superscript"/>
              </w:rPr>
              <w:t>3</w:t>
            </w:r>
            <w:r>
              <w:rPr>
                <w:rFonts w:eastAsia="Calibri"/>
              </w:rPr>
              <w:t>/air/hour]</w:t>
            </w:r>
            <w:r>
              <w:rPr>
                <w:rFonts w:eastAsia="Calibri"/>
                <w:vertAlign w:val="superscript"/>
              </w:rPr>
              <w:t xml:space="preserve"> 1</w:t>
            </w:r>
          </w:p>
        </w:tc>
        <w:tc>
          <w:tcPr>
            <w:tcW w:w="1010" w:type="pct"/>
            <w:shd w:val="clear" w:color="auto" w:fill="auto"/>
            <w:tcMar>
              <w:top w:w="57" w:type="dxa"/>
              <w:bottom w:w="57" w:type="dxa"/>
            </w:tcMar>
          </w:tcPr>
          <w:p w14:paraId="59FB33CC" w14:textId="77777777" w:rsidR="007E3A44" w:rsidRPr="00FD2055" w:rsidRDefault="007E3A44" w:rsidP="00EE1EEF">
            <w:pPr>
              <w:pStyle w:val="Standaard-Tabellen"/>
              <w:widowControl w:val="0"/>
              <w:rPr>
                <w:rFonts w:eastAsia="Calibri"/>
              </w:rPr>
            </w:pPr>
            <w:r>
              <w:rPr>
                <w:rFonts w:eastAsia="Calibri"/>
              </w:rPr>
              <w:t>1.26</w:t>
            </w:r>
            <w:r w:rsidRPr="005A44E3">
              <w:rPr>
                <w:rFonts w:eastAsia="Calibri"/>
              </w:rPr>
              <w:t xml:space="preserve"> m³/h</w:t>
            </w:r>
          </w:p>
        </w:tc>
      </w:tr>
      <w:tr w:rsidR="007E3A44" w:rsidRPr="00FD2055" w14:paraId="5554FEA7" w14:textId="77777777" w:rsidTr="00EE1EEF">
        <w:trPr>
          <w:tblHeader/>
        </w:trPr>
        <w:tc>
          <w:tcPr>
            <w:tcW w:w="1345" w:type="pct"/>
            <w:vMerge w:val="restart"/>
            <w:tcMar>
              <w:top w:w="57" w:type="dxa"/>
              <w:bottom w:w="57" w:type="dxa"/>
            </w:tcMar>
          </w:tcPr>
          <w:p w14:paraId="148A1CA4" w14:textId="77777777" w:rsidR="007E3A44" w:rsidRPr="00FD2055" w:rsidRDefault="007E3A44" w:rsidP="00EE1EEF">
            <w:pPr>
              <w:pStyle w:val="Standaard-Tabellen"/>
              <w:widowControl w:val="0"/>
              <w:rPr>
                <w:rFonts w:eastAsia="Calibri"/>
              </w:rPr>
            </w:pPr>
            <w:r w:rsidRPr="00FD2055">
              <w:rPr>
                <w:rFonts w:eastAsia="Calibri"/>
              </w:rPr>
              <w:t>Tier 1</w:t>
            </w:r>
            <w:r>
              <w:rPr>
                <w:rFonts w:eastAsia="Calibri"/>
              </w:rPr>
              <w:t>- Infant</w:t>
            </w:r>
          </w:p>
        </w:tc>
        <w:tc>
          <w:tcPr>
            <w:tcW w:w="2645" w:type="pct"/>
            <w:shd w:val="clear" w:color="auto" w:fill="auto"/>
            <w:tcMar>
              <w:top w:w="57" w:type="dxa"/>
              <w:bottom w:w="57" w:type="dxa"/>
            </w:tcMar>
          </w:tcPr>
          <w:p w14:paraId="11797CCC" w14:textId="77777777" w:rsidR="007E3A44" w:rsidRDefault="007E3A44" w:rsidP="00EE1EEF">
            <w:pPr>
              <w:pStyle w:val="Standaard-Tabellen"/>
              <w:widowControl w:val="0"/>
              <w:rPr>
                <w:rFonts w:eastAsia="Calibri"/>
              </w:rPr>
            </w:pPr>
            <w:r w:rsidRPr="00FA0BAC">
              <w:rPr>
                <w:rFonts w:eastAsia="Calibri"/>
              </w:rPr>
              <w:t>Number of application / day</w:t>
            </w:r>
            <w:r>
              <w:rPr>
                <w:rFonts w:eastAsia="Calibri"/>
                <w:vertAlign w:val="superscript"/>
              </w:rPr>
              <w:t>1</w:t>
            </w:r>
          </w:p>
        </w:tc>
        <w:tc>
          <w:tcPr>
            <w:tcW w:w="1010" w:type="pct"/>
            <w:shd w:val="clear" w:color="auto" w:fill="auto"/>
            <w:tcMar>
              <w:top w:w="57" w:type="dxa"/>
              <w:bottom w:w="57" w:type="dxa"/>
            </w:tcMar>
          </w:tcPr>
          <w:p w14:paraId="7CB560F1" w14:textId="77777777" w:rsidR="007E3A44" w:rsidRDefault="007E3A44" w:rsidP="00EE1EEF">
            <w:pPr>
              <w:pStyle w:val="Standaard-Tabellen"/>
              <w:widowControl w:val="0"/>
              <w:rPr>
                <w:rFonts w:eastAsia="Calibri"/>
              </w:rPr>
            </w:pPr>
            <w:r>
              <w:rPr>
                <w:rFonts w:eastAsia="Calibri"/>
              </w:rPr>
              <w:t>3</w:t>
            </w:r>
          </w:p>
        </w:tc>
      </w:tr>
      <w:tr w:rsidR="007E3A44" w:rsidRPr="00FD2055" w14:paraId="004688E6" w14:textId="77777777" w:rsidTr="00EE1EEF">
        <w:trPr>
          <w:trHeight w:val="20"/>
          <w:tblHeader/>
        </w:trPr>
        <w:tc>
          <w:tcPr>
            <w:tcW w:w="1345" w:type="pct"/>
            <w:vMerge/>
            <w:tcMar>
              <w:top w:w="57" w:type="dxa"/>
              <w:bottom w:w="57" w:type="dxa"/>
            </w:tcMar>
          </w:tcPr>
          <w:p w14:paraId="38BA254F" w14:textId="77777777" w:rsidR="007E3A44" w:rsidRPr="00FD2055"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58361CF7" w14:textId="77777777" w:rsidR="007E3A44" w:rsidRPr="00FD2055" w:rsidRDefault="007E3A44" w:rsidP="00EE1EEF">
            <w:pPr>
              <w:pStyle w:val="Standaard-Tabellen"/>
              <w:widowControl w:val="0"/>
              <w:rPr>
                <w:rFonts w:eastAsia="Calibri"/>
              </w:rPr>
            </w:pPr>
            <w:r>
              <w:rPr>
                <w:rFonts w:eastAsia="Calibri"/>
              </w:rPr>
              <w:t>Body weight</w:t>
            </w:r>
            <w:r>
              <w:rPr>
                <w:rFonts w:eastAsia="Calibri"/>
                <w:vertAlign w:val="superscript"/>
              </w:rPr>
              <w:t>1</w:t>
            </w:r>
            <w:r>
              <w:rPr>
                <w:rFonts w:eastAsia="Calibri"/>
              </w:rPr>
              <w:t xml:space="preserve"> </w:t>
            </w:r>
          </w:p>
        </w:tc>
        <w:tc>
          <w:tcPr>
            <w:tcW w:w="1010" w:type="pct"/>
            <w:shd w:val="clear" w:color="auto" w:fill="auto"/>
            <w:tcMar>
              <w:top w:w="57" w:type="dxa"/>
              <w:bottom w:w="57" w:type="dxa"/>
            </w:tcMar>
          </w:tcPr>
          <w:p w14:paraId="2F0224B2" w14:textId="77777777" w:rsidR="007E3A44" w:rsidRPr="00FD2055" w:rsidRDefault="007E3A44" w:rsidP="00EE1EEF">
            <w:pPr>
              <w:pStyle w:val="Standaard-Tabellen"/>
              <w:widowControl w:val="0"/>
              <w:rPr>
                <w:rFonts w:eastAsia="Calibri"/>
              </w:rPr>
            </w:pPr>
            <w:r>
              <w:rPr>
                <w:rFonts w:eastAsia="Calibri"/>
              </w:rPr>
              <w:t>8 kg</w:t>
            </w:r>
          </w:p>
        </w:tc>
      </w:tr>
      <w:tr w:rsidR="007E3A44" w:rsidRPr="00FD2055" w14:paraId="57448C78" w14:textId="77777777" w:rsidTr="00EE1EEF">
        <w:trPr>
          <w:tblHeader/>
        </w:trPr>
        <w:tc>
          <w:tcPr>
            <w:tcW w:w="1345" w:type="pct"/>
            <w:vMerge/>
            <w:tcMar>
              <w:top w:w="57" w:type="dxa"/>
              <w:bottom w:w="57" w:type="dxa"/>
            </w:tcMar>
          </w:tcPr>
          <w:p w14:paraId="2CFE96EE" w14:textId="77777777" w:rsidR="007E3A44" w:rsidRPr="00FD2055" w:rsidRDefault="007E3A44" w:rsidP="00EE1EEF">
            <w:pPr>
              <w:pStyle w:val="Standaard-Tabellen"/>
              <w:widowControl w:val="0"/>
              <w:rPr>
                <w:rFonts w:eastAsia="Calibri"/>
              </w:rPr>
            </w:pPr>
          </w:p>
        </w:tc>
        <w:tc>
          <w:tcPr>
            <w:tcW w:w="2645" w:type="pct"/>
            <w:shd w:val="clear" w:color="auto" w:fill="auto"/>
            <w:tcMar>
              <w:top w:w="57" w:type="dxa"/>
              <w:bottom w:w="57" w:type="dxa"/>
            </w:tcMar>
          </w:tcPr>
          <w:p w14:paraId="3DF0E4DB" w14:textId="77777777" w:rsidR="007E3A44" w:rsidRPr="00FD2055" w:rsidRDefault="007E3A44" w:rsidP="00EE1EEF">
            <w:pPr>
              <w:pStyle w:val="Standaard-Tabellen"/>
              <w:widowControl w:val="0"/>
              <w:rPr>
                <w:rFonts w:eastAsia="Calibri"/>
              </w:rPr>
            </w:pPr>
            <w:r w:rsidRPr="005A44E3">
              <w:rPr>
                <w:rFonts w:eastAsia="Calibri"/>
              </w:rPr>
              <w:t>Respiration rate [m</w:t>
            </w:r>
            <w:r w:rsidRPr="005A44E3">
              <w:rPr>
                <w:rFonts w:eastAsia="Calibri"/>
                <w:vertAlign w:val="superscript"/>
              </w:rPr>
              <w:t>3</w:t>
            </w:r>
            <w:r>
              <w:rPr>
                <w:rFonts w:eastAsia="Calibri"/>
              </w:rPr>
              <w:t>/air/hour]</w:t>
            </w:r>
            <w:r>
              <w:rPr>
                <w:rFonts w:eastAsia="Calibri"/>
                <w:vertAlign w:val="superscript"/>
              </w:rPr>
              <w:t xml:space="preserve"> 1</w:t>
            </w:r>
          </w:p>
        </w:tc>
        <w:tc>
          <w:tcPr>
            <w:tcW w:w="1010" w:type="pct"/>
            <w:shd w:val="clear" w:color="auto" w:fill="auto"/>
            <w:tcMar>
              <w:top w:w="57" w:type="dxa"/>
              <w:bottom w:w="57" w:type="dxa"/>
            </w:tcMar>
          </w:tcPr>
          <w:p w14:paraId="5D8876DB" w14:textId="77777777" w:rsidR="007E3A44" w:rsidRPr="00FD2055" w:rsidRDefault="007E3A44" w:rsidP="00EE1EEF">
            <w:pPr>
              <w:pStyle w:val="Standaard-Tabellen"/>
              <w:widowControl w:val="0"/>
              <w:rPr>
                <w:rFonts w:eastAsia="Calibri"/>
              </w:rPr>
            </w:pPr>
            <w:r>
              <w:rPr>
                <w:rFonts w:eastAsia="Calibri"/>
              </w:rPr>
              <w:t>0.84</w:t>
            </w:r>
            <w:r w:rsidRPr="005A44E3">
              <w:rPr>
                <w:rFonts w:eastAsia="Calibri"/>
              </w:rPr>
              <w:t xml:space="preserve"> m³/h</w:t>
            </w:r>
          </w:p>
        </w:tc>
      </w:tr>
      <w:tr w:rsidR="00A80E60" w:rsidRPr="00FD2055" w14:paraId="3B7AE06B" w14:textId="77777777" w:rsidTr="00EE1EEF">
        <w:trPr>
          <w:tblHeader/>
        </w:trPr>
        <w:tc>
          <w:tcPr>
            <w:tcW w:w="1345" w:type="pct"/>
            <w:tcMar>
              <w:top w:w="57" w:type="dxa"/>
              <w:bottom w:w="57" w:type="dxa"/>
            </w:tcMar>
          </w:tcPr>
          <w:p w14:paraId="107351C6" w14:textId="6C1DB0F4" w:rsidR="00A80E60" w:rsidRPr="00FD2055" w:rsidRDefault="00A80E60" w:rsidP="00EE1EEF">
            <w:pPr>
              <w:pStyle w:val="Standaard-Tabellen"/>
              <w:widowControl w:val="0"/>
              <w:rPr>
                <w:rFonts w:eastAsia="Calibri"/>
              </w:rPr>
            </w:pPr>
            <w:r w:rsidRPr="00FD2055">
              <w:rPr>
                <w:rFonts w:eastAsia="Calibri"/>
              </w:rPr>
              <w:t xml:space="preserve">Tier </w:t>
            </w:r>
            <w:r>
              <w:rPr>
                <w:rFonts w:eastAsia="Calibri"/>
              </w:rPr>
              <w:t>2- Infant</w:t>
            </w:r>
          </w:p>
        </w:tc>
        <w:tc>
          <w:tcPr>
            <w:tcW w:w="2645" w:type="pct"/>
            <w:shd w:val="clear" w:color="auto" w:fill="auto"/>
            <w:tcMar>
              <w:top w:w="57" w:type="dxa"/>
              <w:bottom w:w="57" w:type="dxa"/>
            </w:tcMar>
          </w:tcPr>
          <w:p w14:paraId="3314E3C9" w14:textId="4A1A6019" w:rsidR="00A80E60" w:rsidRPr="005A44E3" w:rsidRDefault="00A80E60" w:rsidP="00EE1EEF">
            <w:pPr>
              <w:pStyle w:val="Standaard-Tabellen"/>
              <w:widowControl w:val="0"/>
              <w:rPr>
                <w:rFonts w:eastAsia="Calibri"/>
              </w:rPr>
            </w:pPr>
            <w:r w:rsidRPr="00FA0BAC">
              <w:rPr>
                <w:rFonts w:eastAsia="Calibri"/>
              </w:rPr>
              <w:t>Number of application / day</w:t>
            </w:r>
            <w:r>
              <w:rPr>
                <w:rFonts w:eastAsia="Calibri"/>
                <w:vertAlign w:val="superscript"/>
              </w:rPr>
              <w:t>1</w:t>
            </w:r>
          </w:p>
        </w:tc>
        <w:tc>
          <w:tcPr>
            <w:tcW w:w="1010" w:type="pct"/>
            <w:shd w:val="clear" w:color="auto" w:fill="auto"/>
            <w:tcMar>
              <w:top w:w="57" w:type="dxa"/>
              <w:bottom w:w="57" w:type="dxa"/>
            </w:tcMar>
          </w:tcPr>
          <w:p w14:paraId="43735B1B" w14:textId="70E588CE" w:rsidR="00A80E60" w:rsidRDefault="00A80E60" w:rsidP="00EE1EEF">
            <w:pPr>
              <w:pStyle w:val="Standaard-Tabellen"/>
              <w:widowControl w:val="0"/>
              <w:rPr>
                <w:rFonts w:eastAsia="Calibri"/>
              </w:rPr>
            </w:pPr>
            <w:r>
              <w:rPr>
                <w:rFonts w:eastAsia="Calibri"/>
              </w:rPr>
              <w:t>2</w:t>
            </w:r>
          </w:p>
        </w:tc>
      </w:tr>
    </w:tbl>
    <w:p w14:paraId="7BCDBA6C" w14:textId="77777777" w:rsidR="007E3A44" w:rsidRDefault="007E3A44" w:rsidP="00EE1EEF">
      <w:pPr>
        <w:pStyle w:val="Voetnoot"/>
        <w:widowControl w:val="0"/>
        <w:rPr>
          <w:rFonts w:eastAsia="Calibri"/>
        </w:rPr>
      </w:pPr>
      <w:r w:rsidRPr="00332AD5">
        <w:rPr>
          <w:rStyle w:val="Appelnotedebasdep"/>
          <w:rFonts w:eastAsia="Calibri"/>
          <w:vertAlign w:val="superscript"/>
        </w:rPr>
        <w:t>1</w:t>
      </w:r>
      <w:r w:rsidRPr="00332AD5">
        <w:rPr>
          <w:rStyle w:val="Appelnotedebasdep"/>
          <w:rFonts w:eastAsia="Calibri"/>
        </w:rPr>
        <w:t xml:space="preserve"> </w:t>
      </w:r>
      <w:r w:rsidRPr="00606070">
        <w:rPr>
          <w:rStyle w:val="Appelnotedebasdep"/>
          <w:rFonts w:eastAsia="Calibri"/>
        </w:rPr>
        <w:t>General information, see justification above</w:t>
      </w:r>
    </w:p>
    <w:p w14:paraId="1E75B17B" w14:textId="77777777" w:rsidR="007E3A44" w:rsidRDefault="007E3A44" w:rsidP="00EE1EEF">
      <w:pPr>
        <w:pStyle w:val="Voetnoot"/>
        <w:widowControl w:val="0"/>
        <w:rPr>
          <w:rFonts w:eastAsia="Calibri"/>
        </w:rPr>
      </w:pPr>
      <w:r w:rsidRPr="00FA0BAC">
        <w:rPr>
          <w:rFonts w:eastAsia="Calibri"/>
          <w:vertAlign w:val="superscript"/>
        </w:rPr>
        <w:t>2</w:t>
      </w:r>
      <w:r>
        <w:rPr>
          <w:rFonts w:eastAsia="Calibri"/>
        </w:rPr>
        <w:t xml:space="preserve"> </w:t>
      </w:r>
      <w:r w:rsidRPr="0037612A">
        <w:rPr>
          <w:rFonts w:eastAsia="Calibri"/>
        </w:rPr>
        <w:t>Model used: “Consumer spraying and dusting model 2 - Hand-held trigger spray</w:t>
      </w:r>
      <w:r>
        <w:rPr>
          <w:rFonts w:eastAsia="Calibri"/>
        </w:rPr>
        <w:t>”</w:t>
      </w:r>
      <w:r w:rsidRPr="0037612A">
        <w:t xml:space="preserve"> </w:t>
      </w:r>
      <w:r w:rsidRPr="0037612A">
        <w:rPr>
          <w:rFonts w:eastAsia="Calibri"/>
        </w:rPr>
        <w:t xml:space="preserve">Biocide Human Health Exposure Methodology, p. </w:t>
      </w:r>
      <w:r>
        <w:rPr>
          <w:rFonts w:eastAsia="Calibri"/>
        </w:rPr>
        <w:t>220</w:t>
      </w:r>
    </w:p>
    <w:p w14:paraId="2426730F" w14:textId="77777777" w:rsidR="007E3A44" w:rsidRDefault="007E3A44" w:rsidP="00EE1EEF">
      <w:pPr>
        <w:pStyle w:val="Voetnoot"/>
        <w:widowControl w:val="0"/>
        <w:rPr>
          <w:rFonts w:eastAsia="Calibri"/>
        </w:rPr>
      </w:pPr>
      <w:r>
        <w:rPr>
          <w:rFonts w:eastAsia="Calibri"/>
          <w:vertAlign w:val="superscript"/>
        </w:rPr>
        <w:t>3</w:t>
      </w:r>
      <w:r>
        <w:rPr>
          <w:rFonts w:eastAsia="Calibri"/>
        </w:rPr>
        <w:t xml:space="preserve"> CAR of IR3535</w:t>
      </w:r>
      <w:r w:rsidRPr="00A65E12">
        <w:rPr>
          <w:rFonts w:eastAsia="Calibri"/>
          <w:vertAlign w:val="superscript"/>
        </w:rPr>
        <w:t>®</w:t>
      </w:r>
      <w:r>
        <w:rPr>
          <w:rFonts w:eastAsia="Calibri"/>
        </w:rPr>
        <w:t xml:space="preserve"> (expert judgement) </w:t>
      </w:r>
    </w:p>
    <w:p w14:paraId="7218C2D7" w14:textId="77777777" w:rsidR="007E3A44" w:rsidRDefault="007E3A44" w:rsidP="00EE1EEF">
      <w:pPr>
        <w:widowControl w:val="0"/>
        <w:rPr>
          <w:rFonts w:eastAsia="Calibri"/>
        </w:rPr>
      </w:pPr>
    </w:p>
    <w:p w14:paraId="3AF79B61" w14:textId="77777777" w:rsidR="007E3A44" w:rsidRPr="00F4247C" w:rsidRDefault="007E3A44" w:rsidP="007E3A44">
      <w:pPr>
        <w:pStyle w:val="Titre7"/>
      </w:pPr>
      <w:r w:rsidRPr="00F4247C">
        <w:t>Calculations for scenario 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3"/>
        <w:gridCol w:w="1141"/>
        <w:gridCol w:w="3260"/>
        <w:gridCol w:w="2582"/>
      </w:tblGrid>
      <w:tr w:rsidR="007E3A44" w:rsidRPr="00C20709" w14:paraId="44BD2D3B" w14:textId="77777777" w:rsidTr="00F96662">
        <w:trPr>
          <w:cantSplit/>
          <w:trHeight w:val="293"/>
          <w:tblHeader/>
        </w:trPr>
        <w:tc>
          <w:tcPr>
            <w:tcW w:w="5000" w:type="pct"/>
            <w:gridSpan w:val="4"/>
            <w:shd w:val="clear" w:color="auto" w:fill="FFFFCC"/>
          </w:tcPr>
          <w:p w14:paraId="4810BA05" w14:textId="77777777" w:rsidR="007E3A44" w:rsidRPr="00C20709" w:rsidRDefault="007E3A44" w:rsidP="00F96662">
            <w:pPr>
              <w:pStyle w:val="Standaard-Tabellen"/>
              <w:jc w:val="center"/>
              <w:rPr>
                <w:rFonts w:eastAsia="Calibri"/>
                <w:b/>
              </w:rPr>
            </w:pPr>
            <w:r w:rsidRPr="00C20709">
              <w:rPr>
                <w:rFonts w:eastAsia="Calibri"/>
                <w:b/>
              </w:rPr>
              <w:t xml:space="preserve">Summary table: estimated exposure </w:t>
            </w:r>
            <w:r>
              <w:rPr>
                <w:rFonts w:eastAsia="Calibri"/>
                <w:b/>
              </w:rPr>
              <w:t>for Inhalation Primary exposure</w:t>
            </w:r>
          </w:p>
        </w:tc>
      </w:tr>
      <w:tr w:rsidR="007E3A44" w:rsidRPr="00C20709" w14:paraId="31203C93" w14:textId="77777777" w:rsidTr="00F96662">
        <w:trPr>
          <w:cantSplit/>
          <w:trHeight w:val="444"/>
          <w:tblHeader/>
        </w:trPr>
        <w:tc>
          <w:tcPr>
            <w:tcW w:w="1284" w:type="pct"/>
            <w:shd w:val="clear" w:color="auto" w:fill="BFBFBF" w:themeFill="background1" w:themeFillShade="BF"/>
          </w:tcPr>
          <w:p w14:paraId="287CFAFD" w14:textId="77777777" w:rsidR="007E3A44" w:rsidRPr="00C20709" w:rsidRDefault="007E3A44" w:rsidP="00F96662">
            <w:pPr>
              <w:pStyle w:val="Standaard-Tabellen"/>
              <w:rPr>
                <w:rFonts w:eastAsia="Calibri"/>
                <w:b/>
              </w:rPr>
            </w:pPr>
            <w:r w:rsidRPr="00C20709">
              <w:rPr>
                <w:rFonts w:eastAsia="Calibri"/>
                <w:b/>
              </w:rPr>
              <w:t>Exposure scenario</w:t>
            </w:r>
          </w:p>
        </w:tc>
        <w:tc>
          <w:tcPr>
            <w:tcW w:w="607" w:type="pct"/>
            <w:shd w:val="clear" w:color="auto" w:fill="BFBFBF" w:themeFill="background1" w:themeFillShade="BF"/>
          </w:tcPr>
          <w:p w14:paraId="5DB58B7C" w14:textId="77777777" w:rsidR="007E3A44" w:rsidRPr="00C20709" w:rsidRDefault="007E3A44" w:rsidP="00F96662">
            <w:pPr>
              <w:pStyle w:val="Standaard-Tabellen"/>
              <w:rPr>
                <w:rFonts w:eastAsia="Calibri"/>
                <w:b/>
              </w:rPr>
            </w:pPr>
            <w:r w:rsidRPr="00C20709">
              <w:rPr>
                <w:rFonts w:eastAsia="Calibri"/>
                <w:b/>
              </w:rPr>
              <w:t>Tier/PPE</w:t>
            </w:r>
          </w:p>
        </w:tc>
        <w:tc>
          <w:tcPr>
            <w:tcW w:w="1735" w:type="pct"/>
            <w:shd w:val="clear" w:color="auto" w:fill="BFBFBF" w:themeFill="background1" w:themeFillShade="BF"/>
          </w:tcPr>
          <w:p w14:paraId="18B4EA24" w14:textId="77777777" w:rsidR="007E3A44" w:rsidRPr="00C20709" w:rsidRDefault="007E3A44" w:rsidP="00F96662">
            <w:pPr>
              <w:pStyle w:val="Standaard-Tabellen"/>
              <w:rPr>
                <w:rFonts w:eastAsia="Calibri"/>
                <w:b/>
              </w:rPr>
            </w:pPr>
            <w:r w:rsidRPr="00C20709">
              <w:rPr>
                <w:rFonts w:eastAsia="Calibri"/>
                <w:b/>
              </w:rPr>
              <w:t xml:space="preserve">Estimated </w:t>
            </w:r>
            <w:r>
              <w:rPr>
                <w:rFonts w:eastAsia="Calibri"/>
                <w:b/>
              </w:rPr>
              <w:t>inhalation</w:t>
            </w:r>
            <w:r w:rsidRPr="00C20709">
              <w:rPr>
                <w:rFonts w:eastAsia="Calibri"/>
                <w:b/>
              </w:rPr>
              <w:t xml:space="preserve"> uptake</w:t>
            </w:r>
          </w:p>
        </w:tc>
        <w:tc>
          <w:tcPr>
            <w:tcW w:w="1374" w:type="pct"/>
            <w:shd w:val="clear" w:color="auto" w:fill="BFBFBF" w:themeFill="background1" w:themeFillShade="BF"/>
          </w:tcPr>
          <w:p w14:paraId="6F87359A" w14:textId="77777777" w:rsidR="007E3A44" w:rsidRPr="00C20709" w:rsidRDefault="007E3A44" w:rsidP="00F96662">
            <w:pPr>
              <w:pStyle w:val="Standaard-Tabellen"/>
              <w:rPr>
                <w:rFonts w:eastAsia="Calibri"/>
                <w:b/>
              </w:rPr>
            </w:pPr>
            <w:r w:rsidRPr="00801D6B">
              <w:rPr>
                <w:rFonts w:eastAsia="Calibri"/>
                <w:b/>
              </w:rPr>
              <w:t xml:space="preserve">Estimated </w:t>
            </w:r>
            <w:r>
              <w:rPr>
                <w:rFonts w:eastAsia="Calibri"/>
                <w:b/>
              </w:rPr>
              <w:t xml:space="preserve">oral </w:t>
            </w:r>
            <w:r w:rsidRPr="00801D6B">
              <w:rPr>
                <w:rFonts w:eastAsia="Calibri"/>
                <w:b/>
              </w:rPr>
              <w:t>uptake</w:t>
            </w:r>
          </w:p>
        </w:tc>
      </w:tr>
      <w:tr w:rsidR="007E3A44" w:rsidRPr="00023B29" w14:paraId="53DD14E6" w14:textId="77777777" w:rsidTr="00F96662">
        <w:trPr>
          <w:cantSplit/>
          <w:trHeight w:val="587"/>
          <w:tblHeader/>
        </w:trPr>
        <w:tc>
          <w:tcPr>
            <w:tcW w:w="1284" w:type="pct"/>
            <w:shd w:val="clear" w:color="auto" w:fill="auto"/>
          </w:tcPr>
          <w:p w14:paraId="3CC08EF9" w14:textId="77777777" w:rsidR="007E3A44" w:rsidRPr="00CD63D0" w:rsidRDefault="007E3A44" w:rsidP="00F96662">
            <w:pPr>
              <w:spacing w:after="0"/>
              <w:rPr>
                <w:rFonts w:eastAsia="Calibri"/>
                <w:bCs/>
                <w:sz w:val="18"/>
                <w:szCs w:val="24"/>
                <w:lang w:eastAsia="en-GB"/>
              </w:rPr>
            </w:pPr>
            <w:r w:rsidRPr="00CD63D0">
              <w:rPr>
                <w:rFonts w:eastAsia="Calibri"/>
                <w:bCs/>
                <w:sz w:val="18"/>
                <w:szCs w:val="24"/>
                <w:lang w:eastAsia="en-GB"/>
              </w:rPr>
              <w:t>Scenario 2 – ADULT</w:t>
            </w:r>
          </w:p>
          <w:p w14:paraId="4239A971" w14:textId="77777777" w:rsidR="007E3A44" w:rsidRPr="00FD2055" w:rsidRDefault="007E3A44" w:rsidP="00F96662">
            <w:pPr>
              <w:pStyle w:val="Standaard-Tabellen"/>
              <w:rPr>
                <w:rFonts w:eastAsia="Calibri"/>
              </w:rPr>
            </w:pPr>
            <w:r w:rsidRPr="00CD63D0">
              <w:rPr>
                <w:rFonts w:eastAsia="Calibri"/>
              </w:rPr>
              <w:t>3 appl/d</w:t>
            </w:r>
          </w:p>
        </w:tc>
        <w:tc>
          <w:tcPr>
            <w:tcW w:w="607" w:type="pct"/>
          </w:tcPr>
          <w:p w14:paraId="39263CBA" w14:textId="77777777" w:rsidR="007E3A44" w:rsidRPr="00CD63D0" w:rsidRDefault="007E3A44" w:rsidP="00F96662">
            <w:pPr>
              <w:spacing w:after="0"/>
              <w:rPr>
                <w:rFonts w:eastAsia="Calibri"/>
                <w:bCs/>
                <w:sz w:val="18"/>
                <w:szCs w:val="24"/>
                <w:lang w:eastAsia="en-GB"/>
              </w:rPr>
            </w:pPr>
            <w:r w:rsidRPr="00CD63D0">
              <w:rPr>
                <w:rFonts w:eastAsia="Calibri"/>
                <w:bCs/>
                <w:sz w:val="18"/>
                <w:szCs w:val="24"/>
                <w:lang w:eastAsia="en-GB"/>
              </w:rPr>
              <w:t xml:space="preserve">Tier 1 / </w:t>
            </w:r>
          </w:p>
          <w:p w14:paraId="0AF47BE6" w14:textId="77777777" w:rsidR="007E3A44" w:rsidRPr="00FD2055" w:rsidRDefault="007E3A44" w:rsidP="00F96662">
            <w:pPr>
              <w:pStyle w:val="Standaard-Tabellen"/>
              <w:rPr>
                <w:rFonts w:eastAsia="Calibri"/>
              </w:rPr>
            </w:pPr>
            <w:r w:rsidRPr="00CD63D0">
              <w:rPr>
                <w:rFonts w:eastAsia="Calibri"/>
              </w:rPr>
              <w:t xml:space="preserve">no PPE </w:t>
            </w:r>
          </w:p>
        </w:tc>
        <w:tc>
          <w:tcPr>
            <w:tcW w:w="1735" w:type="pct"/>
            <w:vAlign w:val="center"/>
          </w:tcPr>
          <w:p w14:paraId="6041CF3D" w14:textId="77777777" w:rsidR="007E3A44" w:rsidRPr="00AA53B3" w:rsidRDefault="007E3A44" w:rsidP="00F96662">
            <w:pPr>
              <w:spacing w:line="276" w:lineRule="auto"/>
              <w:jc w:val="both"/>
              <w:rPr>
                <w:rFonts w:cs="Arial"/>
                <w:sz w:val="18"/>
              </w:rPr>
            </w:pPr>
            <w:r w:rsidRPr="00CD63D0">
              <w:rPr>
                <w:rFonts w:cs="Arial"/>
                <w:sz w:val="18"/>
              </w:rPr>
              <w:t>0</w:t>
            </w:r>
            <w:r>
              <w:rPr>
                <w:rFonts w:cs="Arial"/>
                <w:sz w:val="18"/>
              </w:rPr>
              <w:t>.</w:t>
            </w:r>
            <w:r w:rsidRPr="00CD63D0">
              <w:rPr>
                <w:rFonts w:cs="Arial"/>
                <w:sz w:val="18"/>
              </w:rPr>
              <w:t>000981 mg/kg bw</w:t>
            </w:r>
          </w:p>
        </w:tc>
        <w:tc>
          <w:tcPr>
            <w:tcW w:w="1374" w:type="pct"/>
            <w:vAlign w:val="center"/>
          </w:tcPr>
          <w:p w14:paraId="57B84933" w14:textId="77777777" w:rsidR="007E3A44" w:rsidRPr="00AA53B3" w:rsidRDefault="007E3A44" w:rsidP="00F96662">
            <w:pPr>
              <w:spacing w:line="276" w:lineRule="auto"/>
              <w:jc w:val="both"/>
              <w:rPr>
                <w:rFonts w:cs="Arial"/>
                <w:sz w:val="18"/>
              </w:rPr>
            </w:pPr>
            <w:r>
              <w:rPr>
                <w:rFonts w:cs="Arial"/>
                <w:sz w:val="18"/>
              </w:rPr>
              <w:t>0.</w:t>
            </w:r>
            <w:r w:rsidRPr="00CD63D0">
              <w:rPr>
                <w:rFonts w:cs="Arial"/>
                <w:sz w:val="18"/>
              </w:rPr>
              <w:t>00777 mg/kg bw</w:t>
            </w:r>
          </w:p>
        </w:tc>
      </w:tr>
      <w:tr w:rsidR="007E3A44" w:rsidRPr="009A0E6F" w14:paraId="4F0DE645" w14:textId="77777777" w:rsidTr="00F96662">
        <w:trPr>
          <w:cantSplit/>
          <w:trHeight w:val="435"/>
          <w:tblHeader/>
        </w:trPr>
        <w:tc>
          <w:tcPr>
            <w:tcW w:w="1284" w:type="pct"/>
            <w:shd w:val="clear" w:color="auto" w:fill="auto"/>
          </w:tcPr>
          <w:p w14:paraId="6377A08E" w14:textId="77777777" w:rsidR="007E3A44" w:rsidRPr="00CD63D0" w:rsidRDefault="007E3A44" w:rsidP="00F96662">
            <w:pPr>
              <w:spacing w:after="0"/>
              <w:rPr>
                <w:rFonts w:eastAsia="Calibri"/>
                <w:bCs/>
                <w:sz w:val="18"/>
                <w:szCs w:val="24"/>
                <w:lang w:eastAsia="en-GB"/>
              </w:rPr>
            </w:pPr>
            <w:r w:rsidRPr="00CD63D0">
              <w:rPr>
                <w:rFonts w:eastAsia="Calibri"/>
                <w:bCs/>
                <w:sz w:val="18"/>
                <w:szCs w:val="24"/>
                <w:lang w:eastAsia="en-GB"/>
              </w:rPr>
              <w:t>Scenario 2 – CHILD</w:t>
            </w:r>
          </w:p>
          <w:p w14:paraId="7F576217" w14:textId="77777777" w:rsidR="007E3A44" w:rsidRPr="00FD2055" w:rsidRDefault="007E3A44" w:rsidP="00F96662">
            <w:pPr>
              <w:pStyle w:val="Standaard-Tabellen"/>
              <w:rPr>
                <w:rFonts w:eastAsia="Calibri"/>
              </w:rPr>
            </w:pPr>
            <w:r>
              <w:rPr>
                <w:rFonts w:eastAsia="Calibri"/>
                <w:bCs w:val="0"/>
              </w:rPr>
              <w:t>3</w:t>
            </w:r>
            <w:r w:rsidRPr="00CD63D0">
              <w:rPr>
                <w:rFonts w:eastAsia="Calibri"/>
              </w:rPr>
              <w:t xml:space="preserve"> appl/d</w:t>
            </w:r>
          </w:p>
        </w:tc>
        <w:tc>
          <w:tcPr>
            <w:tcW w:w="607" w:type="pct"/>
          </w:tcPr>
          <w:p w14:paraId="565B0BE2" w14:textId="77777777" w:rsidR="007E3A44" w:rsidRPr="00CD63D0" w:rsidRDefault="007E3A44" w:rsidP="00F96662">
            <w:pPr>
              <w:spacing w:after="0"/>
              <w:rPr>
                <w:rFonts w:eastAsia="Calibri"/>
                <w:bCs/>
                <w:sz w:val="18"/>
                <w:szCs w:val="24"/>
                <w:lang w:eastAsia="en-GB"/>
              </w:rPr>
            </w:pPr>
            <w:r w:rsidRPr="00CD63D0">
              <w:rPr>
                <w:rFonts w:eastAsia="Calibri"/>
                <w:bCs/>
                <w:sz w:val="18"/>
                <w:szCs w:val="24"/>
                <w:lang w:eastAsia="en-GB"/>
              </w:rPr>
              <w:t xml:space="preserve">Tier 1 / </w:t>
            </w:r>
          </w:p>
          <w:p w14:paraId="7DE3BCEE" w14:textId="77777777" w:rsidR="007E3A44" w:rsidRPr="00B41694" w:rsidRDefault="007E3A44" w:rsidP="00F96662">
            <w:pPr>
              <w:pStyle w:val="Standaard-Tabellen"/>
              <w:rPr>
                <w:rFonts w:eastAsia="Calibri"/>
              </w:rPr>
            </w:pPr>
            <w:r w:rsidRPr="00CD63D0">
              <w:rPr>
                <w:rFonts w:eastAsia="Calibri"/>
              </w:rPr>
              <w:t>no PPE</w:t>
            </w:r>
          </w:p>
        </w:tc>
        <w:tc>
          <w:tcPr>
            <w:tcW w:w="1735" w:type="pct"/>
            <w:vAlign w:val="center"/>
          </w:tcPr>
          <w:p w14:paraId="24D402E1" w14:textId="77777777" w:rsidR="007E3A44" w:rsidRPr="00AA53B3" w:rsidRDefault="007E3A44" w:rsidP="00F96662">
            <w:pPr>
              <w:spacing w:line="276" w:lineRule="auto"/>
              <w:jc w:val="both"/>
              <w:rPr>
                <w:rFonts w:cs="Arial"/>
                <w:sz w:val="18"/>
              </w:rPr>
            </w:pPr>
            <w:r w:rsidRPr="00CD63D0">
              <w:rPr>
                <w:rFonts w:cs="Arial"/>
                <w:sz w:val="18"/>
              </w:rPr>
              <w:t>0</w:t>
            </w:r>
            <w:r>
              <w:rPr>
                <w:rFonts w:cs="Arial"/>
                <w:sz w:val="18"/>
              </w:rPr>
              <w:t>.</w:t>
            </w:r>
            <w:r w:rsidRPr="00CD63D0">
              <w:rPr>
                <w:rFonts w:cs="Arial"/>
                <w:sz w:val="18"/>
              </w:rPr>
              <w:t>0026 mg/kg bw</w:t>
            </w:r>
          </w:p>
        </w:tc>
        <w:tc>
          <w:tcPr>
            <w:tcW w:w="1374" w:type="pct"/>
            <w:vAlign w:val="center"/>
          </w:tcPr>
          <w:p w14:paraId="747F347F" w14:textId="77777777" w:rsidR="007E3A44" w:rsidRPr="00AA53B3" w:rsidRDefault="007E3A44" w:rsidP="00F96662">
            <w:pPr>
              <w:spacing w:line="276" w:lineRule="auto"/>
              <w:jc w:val="both"/>
              <w:rPr>
                <w:rFonts w:cs="Arial"/>
                <w:sz w:val="18"/>
              </w:rPr>
            </w:pPr>
            <w:r w:rsidRPr="00CD63D0">
              <w:rPr>
                <w:rFonts w:cs="Arial"/>
                <w:sz w:val="18"/>
              </w:rPr>
              <w:t>0</w:t>
            </w:r>
            <w:r>
              <w:rPr>
                <w:rFonts w:cs="Arial"/>
                <w:sz w:val="18"/>
              </w:rPr>
              <w:t>.</w:t>
            </w:r>
            <w:r w:rsidRPr="00CD63D0">
              <w:rPr>
                <w:rFonts w:cs="Arial"/>
                <w:sz w:val="18"/>
              </w:rPr>
              <w:t>021 mg/kg bw</w:t>
            </w:r>
          </w:p>
        </w:tc>
      </w:tr>
      <w:tr w:rsidR="007E3A44" w:rsidRPr="00023B29" w14:paraId="72B73314" w14:textId="77777777" w:rsidTr="00F96662">
        <w:trPr>
          <w:cantSplit/>
          <w:trHeight w:val="435"/>
          <w:tblHeader/>
        </w:trPr>
        <w:tc>
          <w:tcPr>
            <w:tcW w:w="1284" w:type="pct"/>
            <w:shd w:val="clear" w:color="auto" w:fill="auto"/>
          </w:tcPr>
          <w:p w14:paraId="6347C1E7" w14:textId="77777777" w:rsidR="007E3A44" w:rsidRPr="00CD63D0" w:rsidRDefault="007E3A44" w:rsidP="00F96662">
            <w:pPr>
              <w:spacing w:after="0"/>
              <w:rPr>
                <w:rFonts w:eastAsia="Calibri"/>
                <w:bCs/>
                <w:sz w:val="18"/>
                <w:szCs w:val="24"/>
                <w:lang w:eastAsia="en-GB"/>
              </w:rPr>
            </w:pPr>
            <w:r w:rsidRPr="00CD63D0">
              <w:rPr>
                <w:rFonts w:eastAsia="Calibri"/>
                <w:bCs/>
                <w:sz w:val="18"/>
                <w:szCs w:val="24"/>
                <w:lang w:eastAsia="en-GB"/>
              </w:rPr>
              <w:t>Scenario 2 – TODDLER</w:t>
            </w:r>
          </w:p>
          <w:p w14:paraId="52E696C7" w14:textId="77777777" w:rsidR="007E3A44" w:rsidRPr="00FD2055" w:rsidRDefault="007E3A44" w:rsidP="00F96662">
            <w:pPr>
              <w:pStyle w:val="Standaard-Tabellen"/>
              <w:rPr>
                <w:rFonts w:eastAsia="Calibri"/>
              </w:rPr>
            </w:pPr>
            <w:r>
              <w:rPr>
                <w:rFonts w:eastAsia="Calibri"/>
                <w:bCs w:val="0"/>
              </w:rPr>
              <w:t>3</w:t>
            </w:r>
            <w:r w:rsidRPr="00CD63D0">
              <w:rPr>
                <w:rFonts w:eastAsia="Calibri"/>
              </w:rPr>
              <w:t xml:space="preserve"> appl/d</w:t>
            </w:r>
          </w:p>
        </w:tc>
        <w:tc>
          <w:tcPr>
            <w:tcW w:w="607" w:type="pct"/>
          </w:tcPr>
          <w:p w14:paraId="733344A7" w14:textId="77777777" w:rsidR="007E3A44" w:rsidRPr="00CD63D0" w:rsidRDefault="007E3A44" w:rsidP="00F96662">
            <w:pPr>
              <w:spacing w:after="0"/>
              <w:rPr>
                <w:rFonts w:eastAsia="Calibri"/>
                <w:bCs/>
                <w:sz w:val="18"/>
                <w:szCs w:val="24"/>
                <w:lang w:eastAsia="en-GB"/>
              </w:rPr>
            </w:pPr>
            <w:r w:rsidRPr="00CD63D0">
              <w:rPr>
                <w:rFonts w:eastAsia="Calibri"/>
                <w:bCs/>
                <w:sz w:val="18"/>
                <w:szCs w:val="24"/>
                <w:lang w:eastAsia="en-GB"/>
              </w:rPr>
              <w:t xml:space="preserve">Tier 1 / </w:t>
            </w:r>
          </w:p>
          <w:p w14:paraId="10DDBE3F" w14:textId="77777777" w:rsidR="007E3A44" w:rsidRPr="00FD2055" w:rsidRDefault="007E3A44" w:rsidP="00F96662">
            <w:pPr>
              <w:pStyle w:val="Standaard-Tabellen"/>
              <w:rPr>
                <w:rFonts w:eastAsia="Calibri"/>
              </w:rPr>
            </w:pPr>
            <w:r w:rsidRPr="00CD63D0">
              <w:rPr>
                <w:rFonts w:eastAsia="Calibri"/>
              </w:rPr>
              <w:t>no PPE</w:t>
            </w:r>
          </w:p>
        </w:tc>
        <w:tc>
          <w:tcPr>
            <w:tcW w:w="1735" w:type="pct"/>
            <w:vAlign w:val="center"/>
          </w:tcPr>
          <w:p w14:paraId="25D828DE" w14:textId="77777777" w:rsidR="007E3A44" w:rsidRPr="00AA53B3" w:rsidRDefault="007E3A44" w:rsidP="00F96662">
            <w:pPr>
              <w:spacing w:line="276" w:lineRule="auto"/>
              <w:jc w:val="both"/>
              <w:rPr>
                <w:rFonts w:cs="Arial"/>
                <w:sz w:val="18"/>
              </w:rPr>
            </w:pPr>
            <w:r w:rsidRPr="00C633A2">
              <w:rPr>
                <w:rFonts w:cs="Arial"/>
                <w:sz w:val="18"/>
              </w:rPr>
              <w:t>0</w:t>
            </w:r>
            <w:r>
              <w:rPr>
                <w:rFonts w:cs="Arial"/>
                <w:sz w:val="18"/>
              </w:rPr>
              <w:t>.</w:t>
            </w:r>
            <w:r w:rsidRPr="00C633A2">
              <w:rPr>
                <w:rFonts w:cs="Arial"/>
                <w:sz w:val="18"/>
              </w:rPr>
              <w:t>00593 mg/kg bw</w:t>
            </w:r>
          </w:p>
        </w:tc>
        <w:tc>
          <w:tcPr>
            <w:tcW w:w="1374" w:type="pct"/>
            <w:vAlign w:val="center"/>
          </w:tcPr>
          <w:p w14:paraId="70A4860A" w14:textId="77777777" w:rsidR="007E3A44" w:rsidRPr="00AA53B3" w:rsidRDefault="007E3A44" w:rsidP="00F96662">
            <w:pPr>
              <w:spacing w:line="276" w:lineRule="auto"/>
              <w:jc w:val="both"/>
              <w:rPr>
                <w:rFonts w:cs="Arial"/>
                <w:sz w:val="18"/>
              </w:rPr>
            </w:pPr>
            <w:r w:rsidRPr="00C633A2">
              <w:rPr>
                <w:rFonts w:cs="Arial"/>
                <w:sz w:val="18"/>
              </w:rPr>
              <w:t>0</w:t>
            </w:r>
            <w:r>
              <w:rPr>
                <w:rFonts w:cs="Arial"/>
                <w:sz w:val="18"/>
              </w:rPr>
              <w:t>.</w:t>
            </w:r>
            <w:r w:rsidRPr="00C633A2">
              <w:rPr>
                <w:rFonts w:cs="Arial"/>
                <w:sz w:val="18"/>
              </w:rPr>
              <w:t>0470 mg/kg bw</w:t>
            </w:r>
          </w:p>
        </w:tc>
      </w:tr>
      <w:tr w:rsidR="007E3A44" w:rsidRPr="00023B29" w14:paraId="4B83FCE1" w14:textId="77777777" w:rsidTr="00F96662">
        <w:trPr>
          <w:cantSplit/>
          <w:trHeight w:val="595"/>
          <w:tblHeader/>
        </w:trPr>
        <w:tc>
          <w:tcPr>
            <w:tcW w:w="1284" w:type="pct"/>
            <w:shd w:val="clear" w:color="auto" w:fill="auto"/>
          </w:tcPr>
          <w:p w14:paraId="792F736F" w14:textId="77777777" w:rsidR="007E3A44" w:rsidRPr="00CD63D0" w:rsidRDefault="007E3A44" w:rsidP="00F96662">
            <w:pPr>
              <w:spacing w:after="0"/>
              <w:rPr>
                <w:rFonts w:eastAsia="Calibri"/>
                <w:bCs/>
                <w:sz w:val="18"/>
                <w:szCs w:val="24"/>
                <w:lang w:eastAsia="en-GB"/>
              </w:rPr>
            </w:pPr>
            <w:r w:rsidRPr="00CD63D0">
              <w:rPr>
                <w:rFonts w:eastAsia="Calibri"/>
                <w:bCs/>
                <w:sz w:val="18"/>
                <w:szCs w:val="24"/>
                <w:lang w:eastAsia="en-GB"/>
              </w:rPr>
              <w:t>Scenario 2 – INFANT</w:t>
            </w:r>
          </w:p>
          <w:p w14:paraId="2C6C5C31" w14:textId="77777777" w:rsidR="007E3A44" w:rsidRPr="00FD2055" w:rsidRDefault="007E3A44" w:rsidP="00F96662">
            <w:pPr>
              <w:pStyle w:val="Standaard-Tabellen"/>
              <w:rPr>
                <w:rFonts w:eastAsia="Calibri"/>
              </w:rPr>
            </w:pPr>
            <w:r>
              <w:rPr>
                <w:rFonts w:eastAsia="Calibri"/>
                <w:bCs w:val="0"/>
              </w:rPr>
              <w:t>3</w:t>
            </w:r>
            <w:r w:rsidRPr="00CD63D0">
              <w:rPr>
                <w:rFonts w:eastAsia="Calibri"/>
              </w:rPr>
              <w:t xml:space="preserve"> appl/d</w:t>
            </w:r>
          </w:p>
        </w:tc>
        <w:tc>
          <w:tcPr>
            <w:tcW w:w="607" w:type="pct"/>
          </w:tcPr>
          <w:p w14:paraId="541988CF" w14:textId="77777777" w:rsidR="007E3A44" w:rsidRPr="00CD63D0" w:rsidRDefault="007E3A44" w:rsidP="00F96662">
            <w:pPr>
              <w:spacing w:after="0"/>
              <w:rPr>
                <w:rFonts w:eastAsia="Calibri"/>
                <w:bCs/>
                <w:sz w:val="18"/>
                <w:szCs w:val="24"/>
                <w:lang w:eastAsia="en-GB"/>
              </w:rPr>
            </w:pPr>
            <w:r w:rsidRPr="00CD63D0">
              <w:rPr>
                <w:rFonts w:eastAsia="Calibri"/>
                <w:bCs/>
                <w:sz w:val="18"/>
                <w:szCs w:val="24"/>
                <w:lang w:eastAsia="en-GB"/>
              </w:rPr>
              <w:t xml:space="preserve">Tier 1 / </w:t>
            </w:r>
          </w:p>
          <w:p w14:paraId="72A25233" w14:textId="77777777" w:rsidR="007E3A44" w:rsidRPr="00FD2055" w:rsidRDefault="007E3A44" w:rsidP="00F96662">
            <w:pPr>
              <w:pStyle w:val="Standaard-Tabellen"/>
              <w:rPr>
                <w:rFonts w:eastAsia="Calibri"/>
              </w:rPr>
            </w:pPr>
            <w:r w:rsidRPr="00CD63D0">
              <w:rPr>
                <w:rFonts w:eastAsia="Calibri"/>
              </w:rPr>
              <w:t>no PPE</w:t>
            </w:r>
          </w:p>
        </w:tc>
        <w:tc>
          <w:tcPr>
            <w:tcW w:w="1735" w:type="pct"/>
            <w:vAlign w:val="center"/>
          </w:tcPr>
          <w:p w14:paraId="58386909" w14:textId="77777777" w:rsidR="007E3A44" w:rsidRPr="00AA53B3" w:rsidRDefault="007E3A44" w:rsidP="00F96662">
            <w:pPr>
              <w:spacing w:line="276" w:lineRule="auto"/>
              <w:jc w:val="both"/>
              <w:rPr>
                <w:rFonts w:cs="Arial"/>
                <w:sz w:val="18"/>
              </w:rPr>
            </w:pPr>
            <w:r w:rsidRPr="00C633A2">
              <w:rPr>
                <w:rFonts w:cs="Arial"/>
                <w:sz w:val="18"/>
              </w:rPr>
              <w:t>0</w:t>
            </w:r>
            <w:r>
              <w:rPr>
                <w:rFonts w:cs="Arial"/>
                <w:sz w:val="18"/>
              </w:rPr>
              <w:t>.</w:t>
            </w:r>
            <w:r w:rsidRPr="00C633A2">
              <w:rPr>
                <w:rFonts w:cs="Arial"/>
                <w:sz w:val="18"/>
              </w:rPr>
              <w:t>00494 mg/kg bw</w:t>
            </w:r>
          </w:p>
        </w:tc>
        <w:tc>
          <w:tcPr>
            <w:tcW w:w="1374" w:type="pct"/>
            <w:vAlign w:val="center"/>
          </w:tcPr>
          <w:p w14:paraId="07225783" w14:textId="77777777" w:rsidR="007E3A44" w:rsidRPr="00AA53B3" w:rsidRDefault="007E3A44" w:rsidP="00F96662">
            <w:pPr>
              <w:spacing w:line="276" w:lineRule="auto"/>
              <w:jc w:val="both"/>
              <w:rPr>
                <w:rFonts w:cs="Arial"/>
                <w:sz w:val="18"/>
              </w:rPr>
            </w:pPr>
            <w:r w:rsidRPr="00C633A2">
              <w:rPr>
                <w:rFonts w:cs="Arial"/>
                <w:sz w:val="18"/>
              </w:rPr>
              <w:t>0</w:t>
            </w:r>
            <w:r>
              <w:rPr>
                <w:rFonts w:cs="Arial"/>
                <w:sz w:val="18"/>
              </w:rPr>
              <w:t>.</w:t>
            </w:r>
            <w:r w:rsidRPr="00C633A2">
              <w:rPr>
                <w:rFonts w:cs="Arial"/>
                <w:sz w:val="18"/>
              </w:rPr>
              <w:t>0392 mg/kg bw</w:t>
            </w:r>
          </w:p>
        </w:tc>
      </w:tr>
      <w:tr w:rsidR="00A80E60" w:rsidRPr="00023B29" w14:paraId="6532763A" w14:textId="77777777" w:rsidTr="00F96662">
        <w:trPr>
          <w:cantSplit/>
          <w:trHeight w:val="595"/>
          <w:tblHeader/>
        </w:trPr>
        <w:tc>
          <w:tcPr>
            <w:tcW w:w="1284" w:type="pct"/>
            <w:shd w:val="clear" w:color="auto" w:fill="auto"/>
          </w:tcPr>
          <w:p w14:paraId="28C51A5D" w14:textId="77777777" w:rsidR="00A80E60" w:rsidRPr="00CD63D0" w:rsidRDefault="00A80E60" w:rsidP="00A80E60">
            <w:pPr>
              <w:spacing w:after="0"/>
              <w:rPr>
                <w:rFonts w:eastAsia="Calibri"/>
                <w:bCs/>
                <w:sz w:val="18"/>
                <w:szCs w:val="24"/>
                <w:lang w:eastAsia="en-GB"/>
              </w:rPr>
            </w:pPr>
            <w:r w:rsidRPr="00CD63D0">
              <w:rPr>
                <w:rFonts w:eastAsia="Calibri"/>
                <w:bCs/>
                <w:sz w:val="18"/>
                <w:szCs w:val="24"/>
                <w:lang w:eastAsia="en-GB"/>
              </w:rPr>
              <w:t>Scenario 2 – INFANT</w:t>
            </w:r>
          </w:p>
          <w:p w14:paraId="44E8643F" w14:textId="2C912A51" w:rsidR="00A80E60" w:rsidRPr="00CD63D0" w:rsidRDefault="00A80E60" w:rsidP="00A80E60">
            <w:pPr>
              <w:spacing w:after="0"/>
              <w:rPr>
                <w:rFonts w:eastAsia="Calibri"/>
                <w:bCs/>
                <w:sz w:val="18"/>
                <w:szCs w:val="24"/>
                <w:lang w:eastAsia="en-GB"/>
              </w:rPr>
            </w:pPr>
            <w:r>
              <w:rPr>
                <w:rFonts w:eastAsia="Calibri"/>
                <w:bCs/>
              </w:rPr>
              <w:t>2</w:t>
            </w:r>
            <w:r w:rsidRPr="00CD63D0">
              <w:rPr>
                <w:rFonts w:eastAsia="Calibri"/>
              </w:rPr>
              <w:t xml:space="preserve"> appl/d</w:t>
            </w:r>
          </w:p>
        </w:tc>
        <w:tc>
          <w:tcPr>
            <w:tcW w:w="607" w:type="pct"/>
          </w:tcPr>
          <w:p w14:paraId="581138AC" w14:textId="77777777" w:rsidR="00A80E60" w:rsidRPr="00CD63D0" w:rsidRDefault="00A80E60" w:rsidP="00A80E60">
            <w:pPr>
              <w:spacing w:after="0"/>
              <w:rPr>
                <w:rFonts w:eastAsia="Calibri"/>
                <w:bCs/>
                <w:sz w:val="18"/>
                <w:szCs w:val="24"/>
                <w:lang w:eastAsia="en-GB"/>
              </w:rPr>
            </w:pPr>
            <w:r w:rsidRPr="00CD63D0">
              <w:rPr>
                <w:rFonts w:eastAsia="Calibri"/>
                <w:bCs/>
                <w:sz w:val="18"/>
                <w:szCs w:val="24"/>
                <w:lang w:eastAsia="en-GB"/>
              </w:rPr>
              <w:t xml:space="preserve">Tier </w:t>
            </w:r>
            <w:r>
              <w:rPr>
                <w:rFonts w:eastAsia="Calibri"/>
                <w:bCs/>
                <w:sz w:val="18"/>
                <w:szCs w:val="24"/>
                <w:lang w:eastAsia="en-GB"/>
              </w:rPr>
              <w:t>2</w:t>
            </w:r>
            <w:r w:rsidRPr="00CD63D0">
              <w:rPr>
                <w:rFonts w:eastAsia="Calibri"/>
                <w:bCs/>
                <w:sz w:val="18"/>
                <w:szCs w:val="24"/>
                <w:lang w:eastAsia="en-GB"/>
              </w:rPr>
              <w:t xml:space="preserve"> / </w:t>
            </w:r>
          </w:p>
          <w:p w14:paraId="225A992F" w14:textId="27B7F0C2" w:rsidR="00A80E60" w:rsidRPr="00CD63D0" w:rsidRDefault="00A80E60" w:rsidP="00A80E60">
            <w:pPr>
              <w:spacing w:after="0"/>
              <w:rPr>
                <w:rFonts w:eastAsia="Calibri"/>
                <w:bCs/>
                <w:sz w:val="18"/>
                <w:szCs w:val="24"/>
                <w:lang w:eastAsia="en-GB"/>
              </w:rPr>
            </w:pPr>
            <w:r w:rsidRPr="00CD63D0">
              <w:rPr>
                <w:rFonts w:eastAsia="Calibri"/>
              </w:rPr>
              <w:t>no PPE</w:t>
            </w:r>
          </w:p>
        </w:tc>
        <w:tc>
          <w:tcPr>
            <w:tcW w:w="1735" w:type="pct"/>
            <w:vAlign w:val="center"/>
          </w:tcPr>
          <w:p w14:paraId="08B360D1" w14:textId="569C06E3" w:rsidR="00A80E60" w:rsidRPr="00C633A2" w:rsidRDefault="00A80E60" w:rsidP="00A80E60">
            <w:pPr>
              <w:spacing w:line="276" w:lineRule="auto"/>
              <w:jc w:val="both"/>
              <w:rPr>
                <w:rFonts w:cs="Arial"/>
                <w:sz w:val="18"/>
              </w:rPr>
            </w:pPr>
            <w:r w:rsidRPr="00C633A2">
              <w:rPr>
                <w:rFonts w:cs="Arial"/>
                <w:sz w:val="18"/>
              </w:rPr>
              <w:t>0</w:t>
            </w:r>
            <w:r>
              <w:rPr>
                <w:rFonts w:cs="Arial"/>
                <w:sz w:val="18"/>
              </w:rPr>
              <w:t>.</w:t>
            </w:r>
            <w:r w:rsidRPr="00C633A2">
              <w:rPr>
                <w:rFonts w:cs="Arial"/>
                <w:sz w:val="18"/>
              </w:rPr>
              <w:t>00</w:t>
            </w:r>
            <w:r>
              <w:rPr>
                <w:rFonts w:cs="Arial"/>
                <w:sz w:val="18"/>
              </w:rPr>
              <w:t>33</w:t>
            </w:r>
            <w:r w:rsidRPr="00C633A2">
              <w:rPr>
                <w:rFonts w:cs="Arial"/>
                <w:sz w:val="18"/>
              </w:rPr>
              <w:t xml:space="preserve"> mg/kg bw</w:t>
            </w:r>
          </w:p>
        </w:tc>
        <w:tc>
          <w:tcPr>
            <w:tcW w:w="1374" w:type="pct"/>
            <w:vAlign w:val="center"/>
          </w:tcPr>
          <w:p w14:paraId="6495E300" w14:textId="3AC10616" w:rsidR="00A80E60" w:rsidRPr="00C633A2" w:rsidRDefault="00A80E60" w:rsidP="00A80E60">
            <w:pPr>
              <w:spacing w:line="276" w:lineRule="auto"/>
              <w:jc w:val="both"/>
              <w:rPr>
                <w:rFonts w:cs="Arial"/>
                <w:sz w:val="18"/>
              </w:rPr>
            </w:pPr>
            <w:r w:rsidRPr="00C633A2">
              <w:rPr>
                <w:rFonts w:cs="Arial"/>
                <w:sz w:val="18"/>
              </w:rPr>
              <w:t>0</w:t>
            </w:r>
            <w:r>
              <w:rPr>
                <w:rFonts w:cs="Arial"/>
                <w:sz w:val="18"/>
              </w:rPr>
              <w:t>.</w:t>
            </w:r>
            <w:r w:rsidRPr="00C633A2">
              <w:rPr>
                <w:rFonts w:cs="Arial"/>
                <w:sz w:val="18"/>
              </w:rPr>
              <w:t>0</w:t>
            </w:r>
            <w:r>
              <w:rPr>
                <w:rFonts w:cs="Arial"/>
                <w:sz w:val="18"/>
              </w:rPr>
              <w:t>26</w:t>
            </w:r>
            <w:r w:rsidRPr="00C633A2">
              <w:rPr>
                <w:rFonts w:cs="Arial"/>
                <w:sz w:val="18"/>
              </w:rPr>
              <w:t xml:space="preserve"> mg/kg bw</w:t>
            </w:r>
          </w:p>
        </w:tc>
      </w:tr>
    </w:tbl>
    <w:p w14:paraId="218917BC" w14:textId="7C5A091A" w:rsidR="007E3A44" w:rsidRDefault="007E3A44" w:rsidP="007E3A44">
      <w:pPr>
        <w:rPr>
          <w:rFonts w:eastAsia="Calibri"/>
          <w:lang w:val="en-US" w:eastAsia="en-US"/>
        </w:rPr>
      </w:pPr>
    </w:p>
    <w:p w14:paraId="251C2674" w14:textId="5680CEC9" w:rsidR="002655EE" w:rsidRDefault="002655EE" w:rsidP="007E3A44">
      <w:pPr>
        <w:rPr>
          <w:rFonts w:eastAsia="Calibri"/>
          <w:lang w:val="en-US" w:eastAsia="en-US"/>
        </w:rPr>
      </w:pPr>
    </w:p>
    <w:p w14:paraId="674F2AEC" w14:textId="77777777" w:rsidR="00222ACA" w:rsidRPr="000A7410" w:rsidRDefault="00222ACA" w:rsidP="000A7410">
      <w:pPr>
        <w:pStyle w:val="Paragraphedeliste"/>
        <w:keepNext/>
        <w:numPr>
          <w:ilvl w:val="0"/>
          <w:numId w:val="68"/>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0A7410">
        <w:rPr>
          <w:rFonts w:eastAsia="Calibri"/>
          <w:b/>
          <w:lang w:eastAsia="en-US"/>
        </w:rPr>
        <w:t>MAJOR CHANGE FOR SPRAY REPULSIF IR200 – 2019 (FR CA)</w:t>
      </w:r>
    </w:p>
    <w:p w14:paraId="42EDEB7B" w14:textId="77777777" w:rsidR="002655EE" w:rsidRPr="007E29F8" w:rsidRDefault="002655EE" w:rsidP="000A7410">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spacing w:val="1"/>
          <w:lang w:eastAsia="fr-FR"/>
        </w:rPr>
      </w:pPr>
    </w:p>
    <w:p w14:paraId="3C6FAFFD" w14:textId="77777777" w:rsidR="002655EE" w:rsidRPr="007E29F8" w:rsidRDefault="002655EE" w:rsidP="000A7410">
      <w:pPr>
        <w:widowControl w:val="0"/>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i/>
          <w:spacing w:val="1"/>
          <w:u w:val="single"/>
          <w:lang w:eastAsia="fr-FR"/>
        </w:rPr>
      </w:pPr>
      <w:r w:rsidRPr="007E29F8">
        <w:rPr>
          <w:rFonts w:cs="Arial"/>
          <w:i/>
          <w:spacing w:val="1"/>
          <w:u w:val="single"/>
          <w:lang w:eastAsia="fr-FR"/>
        </w:rPr>
        <w:t xml:space="preserve">Scenario [2] - Primary exposure – </w:t>
      </w:r>
      <w:r w:rsidRPr="007E29F8">
        <w:rPr>
          <w:rFonts w:cs="Arial"/>
          <w:b/>
          <w:i/>
          <w:spacing w:val="1"/>
          <w:u w:val="single"/>
          <w:lang w:eastAsia="fr-FR"/>
        </w:rPr>
        <w:t xml:space="preserve">application to the bed linen/clothes – </w:t>
      </w:r>
      <w:r w:rsidRPr="007E29F8">
        <w:rPr>
          <w:rFonts w:cs="Arial"/>
          <w:i/>
          <w:spacing w:val="1"/>
          <w:u w:val="single"/>
          <w:lang w:eastAsia="fr-FR"/>
        </w:rPr>
        <w:t>inhalation and dermal exposure</w:t>
      </w:r>
    </w:p>
    <w:tbl>
      <w:tblPr>
        <w:tblW w:w="5356"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7"/>
        <w:gridCol w:w="4441"/>
        <w:gridCol w:w="1286"/>
        <w:gridCol w:w="3521"/>
      </w:tblGrid>
      <w:tr w:rsidR="002655EE" w:rsidRPr="007E29F8" w14:paraId="003BC0BC" w14:textId="77777777" w:rsidTr="002655EE">
        <w:trPr>
          <w:tblHeader/>
        </w:trPr>
        <w:tc>
          <w:tcPr>
            <w:tcW w:w="5000" w:type="pct"/>
            <w:gridSpan w:val="4"/>
            <w:shd w:val="clear" w:color="auto" w:fill="FFFFCC"/>
            <w:tcMar>
              <w:top w:w="57" w:type="dxa"/>
              <w:bottom w:w="57" w:type="dxa"/>
            </w:tcMar>
          </w:tcPr>
          <w:p w14:paraId="23BF62BD" w14:textId="77777777" w:rsidR="002655EE" w:rsidRPr="007E29F8" w:rsidRDefault="002655EE" w:rsidP="002655EE">
            <w:pPr>
              <w:pStyle w:val="Standaard-Tabellen"/>
              <w:keepNext/>
              <w:rPr>
                <w:rFonts w:eastAsia="Calibri"/>
                <w:b/>
                <w:sz w:val="20"/>
              </w:rPr>
            </w:pPr>
            <w:r w:rsidRPr="007E29F8">
              <w:rPr>
                <w:rFonts w:eastAsia="Calibri"/>
                <w:b/>
                <w:sz w:val="20"/>
              </w:rPr>
              <w:lastRenderedPageBreak/>
              <w:t>Description of Scenario 2</w:t>
            </w:r>
          </w:p>
        </w:tc>
      </w:tr>
      <w:tr w:rsidR="002655EE" w:rsidRPr="000A7410" w14:paraId="27F80ADB" w14:textId="77777777" w:rsidTr="000A7410">
        <w:trPr>
          <w:trHeight w:val="237"/>
          <w:tblHeader/>
        </w:trPr>
        <w:tc>
          <w:tcPr>
            <w:tcW w:w="5000" w:type="pct"/>
            <w:gridSpan w:val="4"/>
            <w:shd w:val="clear" w:color="auto" w:fill="FFFFFF" w:themeFill="background1"/>
            <w:tcMar>
              <w:top w:w="57" w:type="dxa"/>
              <w:bottom w:w="57" w:type="dxa"/>
            </w:tcMar>
          </w:tcPr>
          <w:p w14:paraId="14A20DCC" w14:textId="77777777" w:rsidR="002655EE" w:rsidRPr="000A7410" w:rsidRDefault="002655EE" w:rsidP="000A7410">
            <w:pPr>
              <w:spacing w:line="276" w:lineRule="auto"/>
              <w:jc w:val="both"/>
              <w:rPr>
                <w:rFonts w:cs="Arial"/>
                <w:sz w:val="18"/>
              </w:rPr>
            </w:pPr>
            <w:r w:rsidRPr="000A7410">
              <w:rPr>
                <w:rFonts w:cs="Arial"/>
                <w:sz w:val="18"/>
              </w:rPr>
              <w:t xml:space="preserve">For application to the bed linen and/or clothes, exposure assessment has been assessed. According to BHEEM (p.220), the model Consumer spraying and dusting model 2 from TNsG part 2 (p 197) can be used for inhalation and dermal exposure. The values for trigger spray are used. </w:t>
            </w:r>
          </w:p>
        </w:tc>
      </w:tr>
      <w:tr w:rsidR="002655EE" w:rsidRPr="000A7410" w14:paraId="3B5F97BE" w14:textId="77777777" w:rsidTr="000A7410">
        <w:trPr>
          <w:tblHeader/>
        </w:trPr>
        <w:tc>
          <w:tcPr>
            <w:tcW w:w="406" w:type="pct"/>
            <w:shd w:val="clear" w:color="auto" w:fill="FFFFFF" w:themeFill="background1"/>
            <w:tcMar>
              <w:top w:w="57" w:type="dxa"/>
              <w:bottom w:w="57" w:type="dxa"/>
            </w:tcMar>
          </w:tcPr>
          <w:p w14:paraId="71C544FC" w14:textId="77777777" w:rsidR="002655EE" w:rsidRPr="000A7410" w:rsidRDefault="002655EE" w:rsidP="000A7410">
            <w:pPr>
              <w:spacing w:line="276" w:lineRule="auto"/>
              <w:jc w:val="both"/>
              <w:rPr>
                <w:rFonts w:cs="Arial"/>
                <w:sz w:val="18"/>
              </w:rPr>
            </w:pPr>
          </w:p>
        </w:tc>
        <w:tc>
          <w:tcPr>
            <w:tcW w:w="2206" w:type="pct"/>
            <w:shd w:val="clear" w:color="auto" w:fill="FFFFFF" w:themeFill="background1"/>
            <w:tcMar>
              <w:top w:w="57" w:type="dxa"/>
              <w:bottom w:w="57" w:type="dxa"/>
            </w:tcMar>
          </w:tcPr>
          <w:p w14:paraId="37F46A43" w14:textId="77777777" w:rsidR="002655EE" w:rsidRPr="000A7410" w:rsidRDefault="002655EE" w:rsidP="000A7410">
            <w:pPr>
              <w:spacing w:line="276" w:lineRule="auto"/>
              <w:jc w:val="both"/>
              <w:rPr>
                <w:rFonts w:cs="Arial"/>
                <w:sz w:val="18"/>
              </w:rPr>
            </w:pPr>
            <w:r w:rsidRPr="000A7410">
              <w:rPr>
                <w:rFonts w:cs="Arial"/>
                <w:sz w:val="18"/>
              </w:rPr>
              <w:t>Parameters</w:t>
            </w:r>
          </w:p>
        </w:tc>
        <w:tc>
          <w:tcPr>
            <w:tcW w:w="639" w:type="pct"/>
            <w:shd w:val="clear" w:color="auto" w:fill="FFFFFF" w:themeFill="background1"/>
            <w:tcMar>
              <w:top w:w="57" w:type="dxa"/>
              <w:bottom w:w="57" w:type="dxa"/>
            </w:tcMar>
          </w:tcPr>
          <w:p w14:paraId="369D69C7" w14:textId="77777777" w:rsidR="002655EE" w:rsidRPr="000A7410" w:rsidRDefault="002655EE" w:rsidP="000A7410">
            <w:pPr>
              <w:spacing w:line="276" w:lineRule="auto"/>
              <w:jc w:val="center"/>
              <w:rPr>
                <w:rFonts w:cs="Arial"/>
                <w:sz w:val="18"/>
              </w:rPr>
            </w:pPr>
            <w:r w:rsidRPr="000A7410">
              <w:rPr>
                <w:rFonts w:cs="Arial"/>
                <w:sz w:val="18"/>
              </w:rPr>
              <w:t>Value</w:t>
            </w:r>
          </w:p>
        </w:tc>
        <w:tc>
          <w:tcPr>
            <w:tcW w:w="1749" w:type="pct"/>
            <w:shd w:val="clear" w:color="auto" w:fill="FFFFFF" w:themeFill="background1"/>
          </w:tcPr>
          <w:p w14:paraId="4FEFBE2D" w14:textId="77777777" w:rsidR="002655EE" w:rsidRPr="000A7410" w:rsidRDefault="002655EE" w:rsidP="000A7410">
            <w:pPr>
              <w:spacing w:line="276" w:lineRule="auto"/>
              <w:jc w:val="center"/>
              <w:rPr>
                <w:rFonts w:cs="Arial"/>
                <w:sz w:val="18"/>
              </w:rPr>
            </w:pPr>
            <w:r w:rsidRPr="000A7410">
              <w:rPr>
                <w:rFonts w:cs="Arial"/>
                <w:sz w:val="18"/>
              </w:rPr>
              <w:t>References</w:t>
            </w:r>
          </w:p>
        </w:tc>
      </w:tr>
      <w:tr w:rsidR="002655EE" w:rsidRPr="000A7410" w14:paraId="6F57ED3A" w14:textId="77777777" w:rsidTr="000A7410">
        <w:trPr>
          <w:tblHeader/>
        </w:trPr>
        <w:tc>
          <w:tcPr>
            <w:tcW w:w="406" w:type="pct"/>
            <w:vMerge w:val="restart"/>
            <w:shd w:val="clear" w:color="auto" w:fill="FFFFFF" w:themeFill="background1"/>
            <w:tcMar>
              <w:top w:w="57" w:type="dxa"/>
              <w:bottom w:w="57" w:type="dxa"/>
            </w:tcMar>
          </w:tcPr>
          <w:p w14:paraId="5D4D343B" w14:textId="77777777" w:rsidR="002655EE" w:rsidRPr="000A7410" w:rsidRDefault="002655EE" w:rsidP="000A7410">
            <w:pPr>
              <w:spacing w:line="276" w:lineRule="auto"/>
              <w:jc w:val="both"/>
              <w:rPr>
                <w:rFonts w:cs="Arial"/>
                <w:sz w:val="18"/>
              </w:rPr>
            </w:pPr>
            <w:r w:rsidRPr="000A7410">
              <w:rPr>
                <w:rFonts w:cs="Arial"/>
                <w:sz w:val="18"/>
              </w:rPr>
              <w:t>Tier 1</w:t>
            </w:r>
          </w:p>
        </w:tc>
        <w:tc>
          <w:tcPr>
            <w:tcW w:w="2206" w:type="pct"/>
            <w:shd w:val="clear" w:color="auto" w:fill="FFFFFF" w:themeFill="background1"/>
            <w:tcMar>
              <w:top w:w="57" w:type="dxa"/>
              <w:bottom w:w="57" w:type="dxa"/>
            </w:tcMar>
          </w:tcPr>
          <w:p w14:paraId="75D99DF6" w14:textId="77777777" w:rsidR="002655EE" w:rsidRPr="000A7410" w:rsidRDefault="002655EE" w:rsidP="000A7410">
            <w:pPr>
              <w:spacing w:line="276" w:lineRule="auto"/>
              <w:ind w:right="25"/>
              <w:jc w:val="both"/>
              <w:rPr>
                <w:rFonts w:cs="Arial"/>
                <w:sz w:val="18"/>
              </w:rPr>
            </w:pPr>
            <w:r w:rsidRPr="000A7410">
              <w:rPr>
                <w:rFonts w:cs="Arial"/>
                <w:sz w:val="18"/>
              </w:rPr>
              <w:t>Inhalation absorption</w:t>
            </w:r>
          </w:p>
        </w:tc>
        <w:tc>
          <w:tcPr>
            <w:tcW w:w="639" w:type="pct"/>
            <w:shd w:val="clear" w:color="auto" w:fill="FFFFFF" w:themeFill="background1"/>
            <w:tcMar>
              <w:top w:w="57" w:type="dxa"/>
              <w:bottom w:w="57" w:type="dxa"/>
            </w:tcMar>
          </w:tcPr>
          <w:p w14:paraId="388DE11A" w14:textId="77777777" w:rsidR="002655EE" w:rsidRPr="000A7410" w:rsidRDefault="002655EE" w:rsidP="000A7410">
            <w:pPr>
              <w:spacing w:line="276" w:lineRule="auto"/>
              <w:ind w:right="216"/>
              <w:jc w:val="center"/>
              <w:rPr>
                <w:rFonts w:cs="Arial"/>
                <w:sz w:val="18"/>
              </w:rPr>
            </w:pPr>
            <w:r w:rsidRPr="000A7410">
              <w:rPr>
                <w:rFonts w:cs="Arial"/>
                <w:sz w:val="18"/>
              </w:rPr>
              <w:t>100%</w:t>
            </w:r>
          </w:p>
        </w:tc>
        <w:tc>
          <w:tcPr>
            <w:tcW w:w="1749" w:type="pct"/>
            <w:shd w:val="clear" w:color="auto" w:fill="FFFFFF" w:themeFill="background1"/>
            <w:vAlign w:val="center"/>
          </w:tcPr>
          <w:p w14:paraId="36016A4D" w14:textId="77777777" w:rsidR="002655EE" w:rsidRPr="000A7410" w:rsidRDefault="002655EE" w:rsidP="000A7410">
            <w:pPr>
              <w:spacing w:line="276" w:lineRule="auto"/>
              <w:ind w:right="-72" w:firstLine="14"/>
              <w:rPr>
                <w:rFonts w:cs="Arial"/>
                <w:sz w:val="18"/>
              </w:rPr>
            </w:pPr>
            <w:r w:rsidRPr="000A7410">
              <w:rPr>
                <w:rFonts w:cs="Arial"/>
                <w:sz w:val="18"/>
              </w:rPr>
              <w:t>Default</w:t>
            </w:r>
          </w:p>
        </w:tc>
      </w:tr>
      <w:tr w:rsidR="002655EE" w:rsidRPr="000A7410" w14:paraId="04B8A683" w14:textId="77777777" w:rsidTr="000A7410">
        <w:trPr>
          <w:tblHeader/>
        </w:trPr>
        <w:tc>
          <w:tcPr>
            <w:tcW w:w="406" w:type="pct"/>
            <w:vMerge/>
            <w:shd w:val="clear" w:color="auto" w:fill="FFFFFF" w:themeFill="background1"/>
            <w:tcMar>
              <w:top w:w="57" w:type="dxa"/>
              <w:bottom w:w="57" w:type="dxa"/>
            </w:tcMar>
          </w:tcPr>
          <w:p w14:paraId="1B34C16F" w14:textId="77777777" w:rsidR="002655EE" w:rsidRPr="000A7410" w:rsidRDefault="002655EE" w:rsidP="000A7410">
            <w:pPr>
              <w:spacing w:line="276" w:lineRule="auto"/>
              <w:jc w:val="both"/>
              <w:rPr>
                <w:rFonts w:cs="Arial"/>
                <w:sz w:val="18"/>
              </w:rPr>
            </w:pPr>
          </w:p>
        </w:tc>
        <w:tc>
          <w:tcPr>
            <w:tcW w:w="2206" w:type="pct"/>
            <w:shd w:val="clear" w:color="auto" w:fill="FFFFFF" w:themeFill="background1"/>
            <w:tcMar>
              <w:top w:w="57" w:type="dxa"/>
              <w:bottom w:w="57" w:type="dxa"/>
            </w:tcMar>
          </w:tcPr>
          <w:p w14:paraId="51ED8070" w14:textId="77777777" w:rsidR="002655EE" w:rsidRPr="000A7410" w:rsidRDefault="002655EE" w:rsidP="000A7410">
            <w:pPr>
              <w:spacing w:line="276" w:lineRule="auto"/>
              <w:ind w:right="25"/>
              <w:jc w:val="both"/>
              <w:rPr>
                <w:rFonts w:cs="Arial"/>
                <w:sz w:val="18"/>
              </w:rPr>
            </w:pPr>
            <w:r w:rsidRPr="000A7410">
              <w:rPr>
                <w:rFonts w:cs="Arial"/>
                <w:sz w:val="18"/>
              </w:rPr>
              <w:t>Dermal absorption</w:t>
            </w:r>
          </w:p>
        </w:tc>
        <w:tc>
          <w:tcPr>
            <w:tcW w:w="639" w:type="pct"/>
            <w:shd w:val="clear" w:color="auto" w:fill="FFFFFF" w:themeFill="background1"/>
            <w:tcMar>
              <w:top w:w="57" w:type="dxa"/>
              <w:bottom w:w="57" w:type="dxa"/>
            </w:tcMar>
          </w:tcPr>
          <w:p w14:paraId="1F651C9C" w14:textId="77777777" w:rsidR="002655EE" w:rsidRPr="000A7410" w:rsidRDefault="002655EE" w:rsidP="000A7410">
            <w:pPr>
              <w:spacing w:line="276" w:lineRule="auto"/>
              <w:ind w:right="216"/>
              <w:jc w:val="center"/>
              <w:rPr>
                <w:rFonts w:cs="Arial"/>
                <w:sz w:val="18"/>
              </w:rPr>
            </w:pPr>
            <w:r w:rsidRPr="000A7410">
              <w:rPr>
                <w:rFonts w:cs="Arial"/>
                <w:sz w:val="18"/>
              </w:rPr>
              <w:t>14%</w:t>
            </w:r>
          </w:p>
        </w:tc>
        <w:tc>
          <w:tcPr>
            <w:tcW w:w="1749" w:type="pct"/>
            <w:shd w:val="clear" w:color="auto" w:fill="FFFFFF" w:themeFill="background1"/>
            <w:vAlign w:val="center"/>
          </w:tcPr>
          <w:p w14:paraId="050750EF" w14:textId="77777777" w:rsidR="002655EE" w:rsidRPr="000A7410" w:rsidRDefault="002655EE" w:rsidP="000A7410">
            <w:pPr>
              <w:spacing w:line="276" w:lineRule="auto"/>
              <w:ind w:right="-72" w:firstLine="14"/>
              <w:rPr>
                <w:rFonts w:cs="Arial"/>
                <w:sz w:val="18"/>
              </w:rPr>
            </w:pPr>
            <w:r w:rsidRPr="000A7410">
              <w:rPr>
                <w:rFonts w:cs="Arial"/>
                <w:sz w:val="18"/>
              </w:rPr>
              <w:t>CAR IR3535</w:t>
            </w:r>
          </w:p>
        </w:tc>
      </w:tr>
      <w:tr w:rsidR="002655EE" w:rsidRPr="000A7410" w14:paraId="5B8D4E8E" w14:textId="77777777" w:rsidTr="000A7410">
        <w:trPr>
          <w:tblHeader/>
        </w:trPr>
        <w:tc>
          <w:tcPr>
            <w:tcW w:w="406" w:type="pct"/>
            <w:vMerge/>
            <w:shd w:val="clear" w:color="auto" w:fill="FFFFFF" w:themeFill="background1"/>
            <w:tcMar>
              <w:top w:w="57" w:type="dxa"/>
              <w:bottom w:w="57" w:type="dxa"/>
            </w:tcMar>
          </w:tcPr>
          <w:p w14:paraId="3AD8A038" w14:textId="77777777" w:rsidR="002655EE" w:rsidRPr="000A7410" w:rsidRDefault="002655EE" w:rsidP="000A7410">
            <w:pPr>
              <w:spacing w:line="276" w:lineRule="auto"/>
              <w:jc w:val="both"/>
              <w:rPr>
                <w:rFonts w:cs="Arial"/>
                <w:sz w:val="18"/>
              </w:rPr>
            </w:pPr>
          </w:p>
        </w:tc>
        <w:tc>
          <w:tcPr>
            <w:tcW w:w="2206" w:type="pct"/>
            <w:shd w:val="clear" w:color="auto" w:fill="FFFFFF" w:themeFill="background1"/>
            <w:tcMar>
              <w:top w:w="57" w:type="dxa"/>
              <w:bottom w:w="57" w:type="dxa"/>
            </w:tcMar>
          </w:tcPr>
          <w:p w14:paraId="238759C4" w14:textId="77777777" w:rsidR="002655EE" w:rsidRPr="000A7410" w:rsidRDefault="002655EE" w:rsidP="000A7410">
            <w:pPr>
              <w:spacing w:line="276" w:lineRule="auto"/>
              <w:ind w:right="25"/>
              <w:jc w:val="both"/>
              <w:rPr>
                <w:rFonts w:cs="Arial"/>
                <w:sz w:val="18"/>
              </w:rPr>
            </w:pPr>
            <w:r w:rsidRPr="000A7410">
              <w:rPr>
                <w:rFonts w:cs="Arial"/>
                <w:sz w:val="18"/>
              </w:rPr>
              <w:t xml:space="preserve">% of active substance in biocidal product </w:t>
            </w:r>
          </w:p>
        </w:tc>
        <w:tc>
          <w:tcPr>
            <w:tcW w:w="639" w:type="pct"/>
            <w:shd w:val="clear" w:color="auto" w:fill="FFFFFF" w:themeFill="background1"/>
            <w:tcMar>
              <w:top w:w="57" w:type="dxa"/>
              <w:bottom w:w="57" w:type="dxa"/>
            </w:tcMar>
          </w:tcPr>
          <w:p w14:paraId="1A8B6A61" w14:textId="77777777" w:rsidR="002655EE" w:rsidRPr="000A7410" w:rsidRDefault="002655EE" w:rsidP="000A7410">
            <w:pPr>
              <w:spacing w:line="276" w:lineRule="auto"/>
              <w:ind w:right="216"/>
              <w:jc w:val="center"/>
              <w:rPr>
                <w:rFonts w:cs="Arial"/>
                <w:sz w:val="18"/>
              </w:rPr>
            </w:pPr>
            <w:r w:rsidRPr="000A7410">
              <w:rPr>
                <w:rFonts w:cs="Arial"/>
                <w:sz w:val="18"/>
              </w:rPr>
              <w:t>20%</w:t>
            </w:r>
          </w:p>
        </w:tc>
        <w:tc>
          <w:tcPr>
            <w:tcW w:w="1749" w:type="pct"/>
            <w:shd w:val="clear" w:color="auto" w:fill="FFFFFF" w:themeFill="background1"/>
            <w:vAlign w:val="center"/>
          </w:tcPr>
          <w:p w14:paraId="717CCB39" w14:textId="77777777" w:rsidR="002655EE" w:rsidRPr="000A7410" w:rsidRDefault="002655EE" w:rsidP="000A7410">
            <w:pPr>
              <w:spacing w:line="276" w:lineRule="auto"/>
              <w:ind w:right="-72" w:firstLine="14"/>
              <w:rPr>
                <w:rFonts w:cs="Arial"/>
                <w:sz w:val="18"/>
              </w:rPr>
            </w:pPr>
            <w:r w:rsidRPr="000A7410">
              <w:rPr>
                <w:rFonts w:cs="Arial"/>
                <w:sz w:val="18"/>
              </w:rPr>
              <w:t>Applicant’s data</w:t>
            </w:r>
          </w:p>
        </w:tc>
      </w:tr>
      <w:tr w:rsidR="002655EE" w:rsidRPr="000A7410" w14:paraId="56366926" w14:textId="77777777" w:rsidTr="000A7410">
        <w:trPr>
          <w:trHeight w:val="20"/>
          <w:tblHeader/>
        </w:trPr>
        <w:tc>
          <w:tcPr>
            <w:tcW w:w="406" w:type="pct"/>
            <w:vMerge/>
            <w:shd w:val="clear" w:color="auto" w:fill="FFFFFF" w:themeFill="background1"/>
            <w:tcMar>
              <w:top w:w="57" w:type="dxa"/>
              <w:bottom w:w="57" w:type="dxa"/>
            </w:tcMar>
          </w:tcPr>
          <w:p w14:paraId="570B795F" w14:textId="77777777" w:rsidR="002655EE" w:rsidRPr="000A7410" w:rsidRDefault="002655EE" w:rsidP="000A7410">
            <w:pPr>
              <w:spacing w:line="276" w:lineRule="auto"/>
              <w:jc w:val="both"/>
              <w:rPr>
                <w:rFonts w:cs="Arial"/>
                <w:sz w:val="18"/>
              </w:rPr>
            </w:pPr>
          </w:p>
        </w:tc>
        <w:tc>
          <w:tcPr>
            <w:tcW w:w="2206" w:type="pct"/>
            <w:shd w:val="clear" w:color="auto" w:fill="FFFFFF" w:themeFill="background1"/>
            <w:tcMar>
              <w:top w:w="57" w:type="dxa"/>
              <w:bottom w:w="57" w:type="dxa"/>
            </w:tcMar>
          </w:tcPr>
          <w:p w14:paraId="6E3C1EE8" w14:textId="77777777" w:rsidR="002655EE" w:rsidRPr="000A7410" w:rsidRDefault="002655EE" w:rsidP="000A7410">
            <w:pPr>
              <w:spacing w:line="276" w:lineRule="auto"/>
              <w:ind w:right="25"/>
              <w:jc w:val="both"/>
              <w:rPr>
                <w:rFonts w:cs="Arial"/>
                <w:sz w:val="18"/>
              </w:rPr>
            </w:pPr>
            <w:r w:rsidRPr="000A7410">
              <w:rPr>
                <w:rFonts w:cs="Arial"/>
                <w:sz w:val="18"/>
              </w:rPr>
              <w:t>Duration (min)</w:t>
            </w:r>
          </w:p>
        </w:tc>
        <w:tc>
          <w:tcPr>
            <w:tcW w:w="639" w:type="pct"/>
            <w:shd w:val="clear" w:color="auto" w:fill="FFFFFF" w:themeFill="background1"/>
            <w:tcMar>
              <w:top w:w="57" w:type="dxa"/>
              <w:bottom w:w="57" w:type="dxa"/>
            </w:tcMar>
          </w:tcPr>
          <w:p w14:paraId="137A8B9E" w14:textId="77777777" w:rsidR="002655EE" w:rsidRPr="000A7410" w:rsidRDefault="002655EE" w:rsidP="000A7410">
            <w:pPr>
              <w:spacing w:line="276" w:lineRule="auto"/>
              <w:ind w:right="216"/>
              <w:jc w:val="center"/>
              <w:rPr>
                <w:rFonts w:cs="Arial"/>
                <w:sz w:val="18"/>
              </w:rPr>
            </w:pPr>
            <w:r w:rsidRPr="000A7410">
              <w:rPr>
                <w:rFonts w:cs="Arial"/>
                <w:sz w:val="18"/>
              </w:rPr>
              <w:t>10</w:t>
            </w:r>
          </w:p>
        </w:tc>
        <w:tc>
          <w:tcPr>
            <w:tcW w:w="1749" w:type="pct"/>
            <w:shd w:val="clear" w:color="auto" w:fill="FFFFFF" w:themeFill="background1"/>
            <w:vAlign w:val="center"/>
          </w:tcPr>
          <w:p w14:paraId="5F4ADE13" w14:textId="77777777" w:rsidR="002655EE" w:rsidRPr="000A7410" w:rsidRDefault="002655EE" w:rsidP="000A7410">
            <w:pPr>
              <w:spacing w:line="276" w:lineRule="auto"/>
              <w:ind w:right="-72" w:firstLine="14"/>
              <w:rPr>
                <w:rFonts w:cs="Arial"/>
                <w:sz w:val="18"/>
              </w:rPr>
            </w:pPr>
          </w:p>
        </w:tc>
      </w:tr>
      <w:tr w:rsidR="002655EE" w:rsidRPr="000A7410" w14:paraId="172EADA1" w14:textId="77777777" w:rsidTr="000A7410">
        <w:trPr>
          <w:tblHeader/>
        </w:trPr>
        <w:tc>
          <w:tcPr>
            <w:tcW w:w="406" w:type="pct"/>
            <w:vMerge/>
            <w:shd w:val="clear" w:color="auto" w:fill="FFFFFF" w:themeFill="background1"/>
            <w:tcMar>
              <w:top w:w="57" w:type="dxa"/>
              <w:bottom w:w="57" w:type="dxa"/>
            </w:tcMar>
          </w:tcPr>
          <w:p w14:paraId="006CC661" w14:textId="77777777" w:rsidR="002655EE" w:rsidRPr="000A7410" w:rsidRDefault="002655EE" w:rsidP="000A7410">
            <w:pPr>
              <w:spacing w:line="276" w:lineRule="auto"/>
              <w:jc w:val="both"/>
              <w:rPr>
                <w:rFonts w:cs="Arial"/>
                <w:sz w:val="18"/>
              </w:rPr>
            </w:pPr>
          </w:p>
        </w:tc>
        <w:tc>
          <w:tcPr>
            <w:tcW w:w="2206" w:type="pct"/>
            <w:shd w:val="clear" w:color="auto" w:fill="FFFFFF" w:themeFill="background1"/>
            <w:tcMar>
              <w:top w:w="57" w:type="dxa"/>
              <w:bottom w:w="57" w:type="dxa"/>
            </w:tcMar>
          </w:tcPr>
          <w:p w14:paraId="6803161B" w14:textId="77777777" w:rsidR="002655EE" w:rsidRPr="000A7410" w:rsidRDefault="002655EE" w:rsidP="000A7410">
            <w:pPr>
              <w:spacing w:line="276" w:lineRule="auto"/>
              <w:ind w:right="25"/>
              <w:jc w:val="both"/>
              <w:rPr>
                <w:rFonts w:cs="Arial"/>
                <w:sz w:val="18"/>
              </w:rPr>
            </w:pPr>
            <w:r w:rsidRPr="000A7410">
              <w:rPr>
                <w:rFonts w:cs="Arial"/>
                <w:sz w:val="18"/>
              </w:rPr>
              <w:t>Indicative inhalation value for hand-held trigger spray (mg/m3)</w:t>
            </w:r>
          </w:p>
        </w:tc>
        <w:tc>
          <w:tcPr>
            <w:tcW w:w="639" w:type="pct"/>
            <w:shd w:val="clear" w:color="auto" w:fill="FFFFFF" w:themeFill="background1"/>
            <w:tcMar>
              <w:top w:w="57" w:type="dxa"/>
              <w:bottom w:w="57" w:type="dxa"/>
            </w:tcMar>
            <w:vAlign w:val="center"/>
          </w:tcPr>
          <w:p w14:paraId="597403B8" w14:textId="77777777" w:rsidR="002655EE" w:rsidRPr="000A7410" w:rsidRDefault="002655EE" w:rsidP="000A7410">
            <w:pPr>
              <w:spacing w:line="276" w:lineRule="auto"/>
              <w:ind w:right="216"/>
              <w:jc w:val="center"/>
              <w:rPr>
                <w:rFonts w:cs="Arial"/>
                <w:sz w:val="18"/>
              </w:rPr>
            </w:pPr>
            <w:r w:rsidRPr="000A7410">
              <w:rPr>
                <w:rFonts w:cs="Arial"/>
                <w:sz w:val="18"/>
              </w:rPr>
              <w:t>10.5</w:t>
            </w:r>
          </w:p>
        </w:tc>
        <w:tc>
          <w:tcPr>
            <w:tcW w:w="1749" w:type="pct"/>
            <w:vMerge w:val="restart"/>
            <w:shd w:val="clear" w:color="auto" w:fill="FFFFFF" w:themeFill="background1"/>
            <w:vAlign w:val="center"/>
          </w:tcPr>
          <w:p w14:paraId="52BF7D17" w14:textId="77777777" w:rsidR="002655EE" w:rsidRPr="000A7410" w:rsidRDefault="002655EE" w:rsidP="000A7410">
            <w:pPr>
              <w:spacing w:line="276" w:lineRule="auto"/>
              <w:ind w:right="-72" w:firstLine="14"/>
              <w:rPr>
                <w:rFonts w:cs="Arial"/>
                <w:sz w:val="18"/>
              </w:rPr>
            </w:pPr>
            <w:r w:rsidRPr="000A7410">
              <w:rPr>
                <w:rFonts w:cs="Arial"/>
                <w:sz w:val="18"/>
              </w:rPr>
              <w:t>Consumer spraying and dusting model 2</w:t>
            </w:r>
          </w:p>
        </w:tc>
      </w:tr>
      <w:tr w:rsidR="002655EE" w:rsidRPr="000A7410" w14:paraId="6A4E06BE" w14:textId="77777777" w:rsidTr="000A7410">
        <w:trPr>
          <w:tblHeader/>
        </w:trPr>
        <w:tc>
          <w:tcPr>
            <w:tcW w:w="406" w:type="pct"/>
            <w:vMerge/>
            <w:shd w:val="clear" w:color="auto" w:fill="FFFFFF" w:themeFill="background1"/>
            <w:tcMar>
              <w:top w:w="57" w:type="dxa"/>
              <w:bottom w:w="57" w:type="dxa"/>
            </w:tcMar>
          </w:tcPr>
          <w:p w14:paraId="74C7BDE5" w14:textId="77777777" w:rsidR="002655EE" w:rsidRPr="000A7410" w:rsidRDefault="002655EE" w:rsidP="000A7410">
            <w:pPr>
              <w:spacing w:line="276" w:lineRule="auto"/>
              <w:jc w:val="both"/>
              <w:rPr>
                <w:rFonts w:cs="Arial"/>
                <w:sz w:val="18"/>
              </w:rPr>
            </w:pPr>
          </w:p>
        </w:tc>
        <w:tc>
          <w:tcPr>
            <w:tcW w:w="2206" w:type="pct"/>
            <w:shd w:val="clear" w:color="auto" w:fill="FFFFFF" w:themeFill="background1"/>
            <w:tcMar>
              <w:top w:w="57" w:type="dxa"/>
              <w:bottom w:w="57" w:type="dxa"/>
            </w:tcMar>
          </w:tcPr>
          <w:p w14:paraId="2DCCF42D" w14:textId="77777777" w:rsidR="002655EE" w:rsidRPr="000A7410" w:rsidRDefault="002655EE" w:rsidP="000A7410">
            <w:pPr>
              <w:spacing w:line="276" w:lineRule="auto"/>
              <w:ind w:right="25"/>
              <w:jc w:val="both"/>
              <w:rPr>
                <w:rFonts w:cs="Arial"/>
                <w:sz w:val="18"/>
              </w:rPr>
            </w:pPr>
            <w:r w:rsidRPr="000A7410">
              <w:rPr>
                <w:rFonts w:cs="Arial"/>
                <w:sz w:val="18"/>
              </w:rPr>
              <w:t>Indicative dermal value for hand-held trigger spray (mg/min) – hand/forearm</w:t>
            </w:r>
          </w:p>
        </w:tc>
        <w:tc>
          <w:tcPr>
            <w:tcW w:w="639" w:type="pct"/>
            <w:shd w:val="clear" w:color="auto" w:fill="FFFFFF" w:themeFill="background1"/>
            <w:tcMar>
              <w:top w:w="57" w:type="dxa"/>
              <w:bottom w:w="57" w:type="dxa"/>
            </w:tcMar>
            <w:vAlign w:val="center"/>
          </w:tcPr>
          <w:p w14:paraId="2AC03119" w14:textId="77777777" w:rsidR="002655EE" w:rsidRPr="000A7410" w:rsidRDefault="002655EE" w:rsidP="000A7410">
            <w:pPr>
              <w:spacing w:line="276" w:lineRule="auto"/>
              <w:ind w:right="216"/>
              <w:jc w:val="center"/>
              <w:rPr>
                <w:rFonts w:cs="Arial"/>
                <w:sz w:val="18"/>
              </w:rPr>
            </w:pPr>
            <w:r w:rsidRPr="000A7410">
              <w:rPr>
                <w:rFonts w:cs="Arial"/>
                <w:sz w:val="18"/>
              </w:rPr>
              <w:t>36.1</w:t>
            </w:r>
          </w:p>
        </w:tc>
        <w:tc>
          <w:tcPr>
            <w:tcW w:w="1749" w:type="pct"/>
            <w:vMerge/>
            <w:shd w:val="clear" w:color="auto" w:fill="FFFFFF" w:themeFill="background1"/>
            <w:vAlign w:val="center"/>
          </w:tcPr>
          <w:p w14:paraId="2A286240" w14:textId="77777777" w:rsidR="002655EE" w:rsidRPr="000A7410" w:rsidRDefault="002655EE" w:rsidP="000A7410">
            <w:pPr>
              <w:spacing w:line="276" w:lineRule="auto"/>
              <w:ind w:right="-72" w:firstLine="14"/>
              <w:rPr>
                <w:rFonts w:cs="Arial"/>
                <w:sz w:val="18"/>
              </w:rPr>
            </w:pPr>
          </w:p>
        </w:tc>
      </w:tr>
      <w:tr w:rsidR="002655EE" w:rsidRPr="000A7410" w14:paraId="1137F4BA" w14:textId="77777777" w:rsidTr="000A7410">
        <w:trPr>
          <w:tblHeader/>
        </w:trPr>
        <w:tc>
          <w:tcPr>
            <w:tcW w:w="406" w:type="pct"/>
            <w:vMerge/>
            <w:shd w:val="clear" w:color="auto" w:fill="FFFFFF" w:themeFill="background1"/>
            <w:tcMar>
              <w:top w:w="57" w:type="dxa"/>
              <w:bottom w:w="57" w:type="dxa"/>
            </w:tcMar>
          </w:tcPr>
          <w:p w14:paraId="4E658A87" w14:textId="77777777" w:rsidR="002655EE" w:rsidRPr="000A7410" w:rsidRDefault="002655EE" w:rsidP="000A7410">
            <w:pPr>
              <w:spacing w:line="276" w:lineRule="auto"/>
              <w:jc w:val="both"/>
              <w:rPr>
                <w:rFonts w:cs="Arial"/>
                <w:sz w:val="18"/>
              </w:rPr>
            </w:pPr>
          </w:p>
        </w:tc>
        <w:tc>
          <w:tcPr>
            <w:tcW w:w="2206" w:type="pct"/>
            <w:shd w:val="clear" w:color="auto" w:fill="FFFFFF" w:themeFill="background1"/>
            <w:tcMar>
              <w:top w:w="57" w:type="dxa"/>
              <w:bottom w:w="57" w:type="dxa"/>
            </w:tcMar>
          </w:tcPr>
          <w:p w14:paraId="28803F47" w14:textId="77777777" w:rsidR="002655EE" w:rsidRPr="000A7410" w:rsidRDefault="002655EE" w:rsidP="000A7410">
            <w:pPr>
              <w:spacing w:line="276" w:lineRule="auto"/>
              <w:ind w:right="25"/>
              <w:jc w:val="both"/>
              <w:rPr>
                <w:rFonts w:cs="Arial"/>
                <w:sz w:val="18"/>
              </w:rPr>
            </w:pPr>
            <w:r w:rsidRPr="000A7410">
              <w:rPr>
                <w:rFonts w:cs="Arial"/>
                <w:sz w:val="18"/>
              </w:rPr>
              <w:t>Indicative dermal value for hand-held trigger spray (mg/min) – legs/feet/face</w:t>
            </w:r>
          </w:p>
        </w:tc>
        <w:tc>
          <w:tcPr>
            <w:tcW w:w="639" w:type="pct"/>
            <w:shd w:val="clear" w:color="auto" w:fill="FFFFFF" w:themeFill="background1"/>
            <w:tcMar>
              <w:top w:w="57" w:type="dxa"/>
              <w:bottom w:w="57" w:type="dxa"/>
            </w:tcMar>
            <w:vAlign w:val="center"/>
          </w:tcPr>
          <w:p w14:paraId="5B083F4A" w14:textId="77777777" w:rsidR="002655EE" w:rsidRPr="000A7410" w:rsidRDefault="002655EE" w:rsidP="000A7410">
            <w:pPr>
              <w:spacing w:line="276" w:lineRule="auto"/>
              <w:ind w:right="216"/>
              <w:jc w:val="center"/>
              <w:rPr>
                <w:rFonts w:cs="Arial"/>
                <w:sz w:val="18"/>
              </w:rPr>
            </w:pPr>
            <w:r w:rsidRPr="000A7410">
              <w:rPr>
                <w:rFonts w:cs="Arial"/>
                <w:sz w:val="18"/>
              </w:rPr>
              <w:t>9.7</w:t>
            </w:r>
          </w:p>
        </w:tc>
        <w:tc>
          <w:tcPr>
            <w:tcW w:w="1749" w:type="pct"/>
            <w:vMerge/>
            <w:shd w:val="clear" w:color="auto" w:fill="FFFFFF" w:themeFill="background1"/>
            <w:vAlign w:val="center"/>
          </w:tcPr>
          <w:p w14:paraId="6670D212" w14:textId="77777777" w:rsidR="002655EE" w:rsidRPr="000A7410" w:rsidRDefault="002655EE" w:rsidP="000A7410">
            <w:pPr>
              <w:spacing w:line="276" w:lineRule="auto"/>
              <w:ind w:right="-72" w:firstLine="14"/>
              <w:rPr>
                <w:rFonts w:cs="Arial"/>
                <w:sz w:val="18"/>
              </w:rPr>
            </w:pPr>
          </w:p>
        </w:tc>
      </w:tr>
      <w:tr w:rsidR="002655EE" w:rsidRPr="000A7410" w14:paraId="303281EA" w14:textId="77777777" w:rsidTr="000A7410">
        <w:trPr>
          <w:trHeight w:val="20"/>
          <w:tblHeader/>
        </w:trPr>
        <w:tc>
          <w:tcPr>
            <w:tcW w:w="406" w:type="pct"/>
            <w:vMerge/>
            <w:shd w:val="clear" w:color="auto" w:fill="FFFFFF" w:themeFill="background1"/>
            <w:tcMar>
              <w:top w:w="57" w:type="dxa"/>
              <w:bottom w:w="57" w:type="dxa"/>
            </w:tcMar>
          </w:tcPr>
          <w:p w14:paraId="2AB44489" w14:textId="77777777" w:rsidR="002655EE" w:rsidRPr="000A7410" w:rsidRDefault="002655EE" w:rsidP="000A7410">
            <w:pPr>
              <w:spacing w:line="276" w:lineRule="auto"/>
              <w:jc w:val="both"/>
              <w:rPr>
                <w:rFonts w:cs="Arial"/>
                <w:sz w:val="18"/>
              </w:rPr>
            </w:pPr>
          </w:p>
        </w:tc>
        <w:tc>
          <w:tcPr>
            <w:tcW w:w="2206" w:type="pct"/>
            <w:shd w:val="clear" w:color="auto" w:fill="FFFFFF" w:themeFill="background1"/>
            <w:tcMar>
              <w:top w:w="57" w:type="dxa"/>
              <w:bottom w:w="57" w:type="dxa"/>
            </w:tcMar>
            <w:vAlign w:val="center"/>
          </w:tcPr>
          <w:p w14:paraId="60B601C0" w14:textId="77777777" w:rsidR="002655EE" w:rsidRPr="000A7410" w:rsidRDefault="002655EE" w:rsidP="000A7410">
            <w:pPr>
              <w:spacing w:line="276" w:lineRule="auto"/>
              <w:ind w:right="25"/>
              <w:jc w:val="both"/>
              <w:rPr>
                <w:rFonts w:cs="Arial"/>
                <w:sz w:val="18"/>
              </w:rPr>
            </w:pPr>
            <w:r w:rsidRPr="000A7410">
              <w:rPr>
                <w:rFonts w:cs="Arial"/>
                <w:sz w:val="18"/>
              </w:rPr>
              <w:t>Inhalation rate (m3/h)</w:t>
            </w:r>
          </w:p>
        </w:tc>
        <w:tc>
          <w:tcPr>
            <w:tcW w:w="639" w:type="pct"/>
            <w:shd w:val="clear" w:color="auto" w:fill="FFFFFF" w:themeFill="background1"/>
            <w:tcMar>
              <w:top w:w="57" w:type="dxa"/>
              <w:bottom w:w="57" w:type="dxa"/>
            </w:tcMar>
          </w:tcPr>
          <w:p w14:paraId="416E159E" w14:textId="77777777" w:rsidR="002655EE" w:rsidRPr="000A7410" w:rsidRDefault="002655EE" w:rsidP="000A7410">
            <w:pPr>
              <w:spacing w:line="276" w:lineRule="auto"/>
              <w:ind w:right="216"/>
              <w:jc w:val="center"/>
              <w:rPr>
                <w:rFonts w:cs="Arial"/>
                <w:sz w:val="18"/>
              </w:rPr>
            </w:pPr>
            <w:r w:rsidRPr="000A7410">
              <w:rPr>
                <w:rFonts w:cs="Arial"/>
                <w:sz w:val="18"/>
              </w:rPr>
              <w:t>1.25</w:t>
            </w:r>
          </w:p>
        </w:tc>
        <w:tc>
          <w:tcPr>
            <w:tcW w:w="1749" w:type="pct"/>
            <w:vMerge/>
            <w:shd w:val="clear" w:color="auto" w:fill="FFFFFF" w:themeFill="background1"/>
            <w:vAlign w:val="center"/>
          </w:tcPr>
          <w:p w14:paraId="37401355" w14:textId="77777777" w:rsidR="002655EE" w:rsidRPr="000A7410" w:rsidRDefault="002655EE" w:rsidP="000A7410">
            <w:pPr>
              <w:spacing w:line="276" w:lineRule="auto"/>
              <w:ind w:right="-72" w:firstLine="14"/>
              <w:rPr>
                <w:rFonts w:cs="Arial"/>
                <w:sz w:val="18"/>
              </w:rPr>
            </w:pPr>
          </w:p>
        </w:tc>
      </w:tr>
      <w:tr w:rsidR="002655EE" w:rsidRPr="007E29F8" w14:paraId="11DC1B1D" w14:textId="77777777" w:rsidTr="000A7410">
        <w:trPr>
          <w:tblHeader/>
        </w:trPr>
        <w:tc>
          <w:tcPr>
            <w:tcW w:w="406" w:type="pct"/>
            <w:vMerge/>
            <w:shd w:val="clear" w:color="auto" w:fill="D9D9D9" w:themeFill="background1" w:themeFillShade="D9"/>
            <w:tcMar>
              <w:top w:w="57" w:type="dxa"/>
              <w:bottom w:w="57" w:type="dxa"/>
            </w:tcMar>
          </w:tcPr>
          <w:p w14:paraId="1CAEC647" w14:textId="77777777" w:rsidR="002655EE" w:rsidRPr="007E29F8" w:rsidRDefault="002655EE" w:rsidP="002655E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lang w:eastAsia="fr-FR"/>
              </w:rPr>
            </w:pPr>
          </w:p>
        </w:tc>
        <w:tc>
          <w:tcPr>
            <w:tcW w:w="2206" w:type="pct"/>
            <w:shd w:val="clear" w:color="auto" w:fill="FFFFFF" w:themeFill="background1"/>
            <w:tcMar>
              <w:top w:w="57" w:type="dxa"/>
              <w:bottom w:w="57" w:type="dxa"/>
            </w:tcMar>
            <w:vAlign w:val="center"/>
          </w:tcPr>
          <w:p w14:paraId="77F94437" w14:textId="77777777" w:rsidR="002655EE" w:rsidRPr="000A7410" w:rsidRDefault="002655EE" w:rsidP="000A7410">
            <w:pPr>
              <w:spacing w:line="276" w:lineRule="auto"/>
              <w:ind w:right="25"/>
              <w:jc w:val="both"/>
              <w:rPr>
                <w:rFonts w:cs="Arial"/>
                <w:sz w:val="18"/>
              </w:rPr>
            </w:pPr>
            <w:r w:rsidRPr="000A7410">
              <w:rPr>
                <w:rFonts w:cs="Arial"/>
                <w:sz w:val="18"/>
              </w:rPr>
              <w:t>Body weight (kg)</w:t>
            </w:r>
          </w:p>
        </w:tc>
        <w:tc>
          <w:tcPr>
            <w:tcW w:w="639" w:type="pct"/>
            <w:shd w:val="clear" w:color="auto" w:fill="FFFFFF" w:themeFill="background1"/>
            <w:tcMar>
              <w:top w:w="57" w:type="dxa"/>
              <w:bottom w:w="57" w:type="dxa"/>
            </w:tcMar>
          </w:tcPr>
          <w:p w14:paraId="30BAFB8D" w14:textId="77777777" w:rsidR="002655EE" w:rsidRPr="000A7410" w:rsidRDefault="002655EE" w:rsidP="000A7410">
            <w:pPr>
              <w:spacing w:line="276" w:lineRule="auto"/>
              <w:ind w:left="124" w:right="216"/>
              <w:jc w:val="center"/>
              <w:rPr>
                <w:rFonts w:cs="Arial"/>
                <w:sz w:val="18"/>
              </w:rPr>
            </w:pPr>
            <w:r w:rsidRPr="000A7410">
              <w:rPr>
                <w:rFonts w:cs="Arial"/>
                <w:sz w:val="18"/>
              </w:rPr>
              <w:t>60</w:t>
            </w:r>
          </w:p>
        </w:tc>
        <w:tc>
          <w:tcPr>
            <w:tcW w:w="1749" w:type="pct"/>
            <w:vMerge/>
            <w:shd w:val="clear" w:color="auto" w:fill="D9D9D9" w:themeFill="background1" w:themeFillShade="D9"/>
            <w:vAlign w:val="center"/>
          </w:tcPr>
          <w:p w14:paraId="10511695" w14:textId="77777777" w:rsidR="002655EE" w:rsidRPr="000A7410" w:rsidRDefault="002655EE" w:rsidP="000A7410">
            <w:pPr>
              <w:spacing w:line="276" w:lineRule="auto"/>
              <w:ind w:left="-14" w:right="-72" w:firstLine="14"/>
              <w:rPr>
                <w:rFonts w:cs="Arial"/>
                <w:sz w:val="18"/>
              </w:rPr>
            </w:pPr>
          </w:p>
        </w:tc>
      </w:tr>
    </w:tbl>
    <w:p w14:paraId="4408D7DD" w14:textId="77777777" w:rsidR="002655EE" w:rsidRPr="007E29F8" w:rsidRDefault="002655EE" w:rsidP="008A2D32">
      <w:pPr>
        <w:keepNext/>
        <w:widowControl w:val="0"/>
        <w:kinsoku w:val="0"/>
        <w:overflowPunct w:val="0"/>
        <w:autoSpaceDE w:val="0"/>
        <w:autoSpaceDN w:val="0"/>
        <w:adjustRightInd w:val="0"/>
        <w:spacing w:before="0" w:after="0"/>
        <w:ind w:right="216"/>
        <w:jc w:val="both"/>
        <w:textAlignment w:val="baseline"/>
        <w:rPr>
          <w:rFonts w:cs="Arial"/>
          <w:spacing w:val="1"/>
          <w:u w:val="single"/>
          <w:lang w:eastAsia="fr-FR"/>
        </w:rPr>
      </w:pPr>
    </w:p>
    <w:p w14:paraId="292959D3" w14:textId="2E26E74A" w:rsidR="002655EE" w:rsidRDefault="004F653E" w:rsidP="000A7410">
      <w:pPr>
        <w:spacing w:line="276" w:lineRule="auto"/>
        <w:ind w:right="25"/>
        <w:jc w:val="both"/>
        <w:rPr>
          <w:rFonts w:cs="Arial"/>
          <w:spacing w:val="1"/>
          <w:u w:val="single"/>
          <w:lang w:eastAsia="fr-FR"/>
        </w:rPr>
      </w:pPr>
      <w:r>
        <w:rPr>
          <w:rFonts w:cs="Arial"/>
          <w:spacing w:val="1"/>
          <w:u w:val="single"/>
          <w:lang w:eastAsia="fr-FR"/>
        </w:rPr>
        <w:t>Calculations for Scenario [2]</w:t>
      </w:r>
    </w:p>
    <w:p w14:paraId="2583C180" w14:textId="77777777" w:rsidR="004F653E" w:rsidRPr="007E29F8" w:rsidRDefault="004F653E" w:rsidP="000A7410">
      <w:pPr>
        <w:spacing w:line="276" w:lineRule="auto"/>
        <w:jc w:val="both"/>
        <w:rPr>
          <w:rFonts w:cs="Arial"/>
          <w:spacing w:val="1"/>
          <w:u w:val="single"/>
          <w:lang w:eastAsia="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75"/>
        <w:gridCol w:w="1766"/>
        <w:gridCol w:w="1787"/>
        <w:gridCol w:w="1785"/>
        <w:gridCol w:w="1783"/>
      </w:tblGrid>
      <w:tr w:rsidR="002655EE" w:rsidRPr="007E29F8" w14:paraId="7DCA550C" w14:textId="77777777" w:rsidTr="002655EE">
        <w:trPr>
          <w:cantSplit/>
          <w:trHeight w:val="103"/>
          <w:tblHeader/>
        </w:trPr>
        <w:tc>
          <w:tcPr>
            <w:tcW w:w="3101" w:type="pct"/>
            <w:gridSpan w:val="3"/>
            <w:shd w:val="clear" w:color="auto" w:fill="FFFFCC"/>
          </w:tcPr>
          <w:p w14:paraId="3267B225" w14:textId="77777777" w:rsidR="002655EE" w:rsidRPr="007E29F8" w:rsidRDefault="002655EE" w:rsidP="002655EE">
            <w:pPr>
              <w:pStyle w:val="Standaard-Tabellen"/>
              <w:keepNext/>
              <w:rPr>
                <w:rFonts w:eastAsia="Calibri"/>
                <w:b/>
                <w:sz w:val="20"/>
              </w:rPr>
            </w:pPr>
            <w:r w:rsidRPr="007E29F8">
              <w:rPr>
                <w:rFonts w:eastAsia="Calibri"/>
                <w:b/>
                <w:sz w:val="20"/>
              </w:rPr>
              <w:t>Summary table: estimated exposure for Dermal Primary exposure</w:t>
            </w:r>
          </w:p>
        </w:tc>
        <w:tc>
          <w:tcPr>
            <w:tcW w:w="950" w:type="pct"/>
            <w:shd w:val="clear" w:color="auto" w:fill="FFFFCC"/>
          </w:tcPr>
          <w:p w14:paraId="4F29FBA6" w14:textId="77777777" w:rsidR="002655EE" w:rsidRPr="007E29F8" w:rsidRDefault="002655EE" w:rsidP="002655EE">
            <w:pPr>
              <w:pStyle w:val="Standaard-Tabellen"/>
              <w:keepNext/>
              <w:rPr>
                <w:rFonts w:eastAsia="Calibri"/>
                <w:b/>
                <w:sz w:val="20"/>
              </w:rPr>
            </w:pPr>
          </w:p>
        </w:tc>
        <w:tc>
          <w:tcPr>
            <w:tcW w:w="949" w:type="pct"/>
            <w:shd w:val="clear" w:color="auto" w:fill="FFFFCC"/>
          </w:tcPr>
          <w:p w14:paraId="18A7F0B7" w14:textId="77777777" w:rsidR="002655EE" w:rsidRPr="007E29F8" w:rsidRDefault="002655EE" w:rsidP="002655EE">
            <w:pPr>
              <w:pStyle w:val="Standaard-Tabellen"/>
              <w:keepNext/>
              <w:rPr>
                <w:rFonts w:eastAsia="Calibri"/>
                <w:b/>
                <w:sz w:val="20"/>
              </w:rPr>
            </w:pPr>
          </w:p>
        </w:tc>
      </w:tr>
      <w:tr w:rsidR="002655EE" w:rsidRPr="007E29F8" w14:paraId="4A29817B" w14:textId="77777777" w:rsidTr="002655EE">
        <w:trPr>
          <w:cantSplit/>
          <w:trHeight w:val="103"/>
          <w:tblHeader/>
        </w:trPr>
        <w:tc>
          <w:tcPr>
            <w:tcW w:w="1210" w:type="pct"/>
            <w:shd w:val="clear" w:color="auto" w:fill="BFBFBF" w:themeFill="background1" w:themeFillShade="BF"/>
          </w:tcPr>
          <w:p w14:paraId="562DB2E1" w14:textId="77777777" w:rsidR="002655EE" w:rsidRPr="008A2D32" w:rsidRDefault="002655EE" w:rsidP="002655EE">
            <w:pPr>
              <w:keepNext/>
              <w:shd w:val="clear" w:color="auto" w:fill="D9D9D9" w:themeFill="background1" w:themeFillShade="D9"/>
              <w:kinsoku w:val="0"/>
              <w:overflowPunct w:val="0"/>
              <w:autoSpaceDE w:val="0"/>
              <w:autoSpaceDN w:val="0"/>
              <w:adjustRightInd w:val="0"/>
              <w:spacing w:before="0" w:after="0" w:line="276" w:lineRule="auto"/>
              <w:ind w:left="360" w:right="216"/>
              <w:jc w:val="both"/>
              <w:textAlignment w:val="baseline"/>
              <w:rPr>
                <w:rFonts w:cs="Arial"/>
                <w:b/>
                <w:bCs/>
                <w:spacing w:val="1"/>
                <w:highlight w:val="lightGray"/>
                <w:lang w:eastAsia="fr-FR"/>
              </w:rPr>
            </w:pPr>
            <w:r w:rsidRPr="008A2D32">
              <w:rPr>
                <w:rFonts w:cs="Arial"/>
                <w:b/>
                <w:bCs/>
                <w:spacing w:val="1"/>
                <w:highlight w:val="lightGray"/>
                <w:lang w:eastAsia="fr-FR"/>
              </w:rPr>
              <w:t>Exposure scenario</w:t>
            </w:r>
          </w:p>
        </w:tc>
        <w:tc>
          <w:tcPr>
            <w:tcW w:w="940" w:type="pct"/>
            <w:shd w:val="clear" w:color="auto" w:fill="BFBFBF" w:themeFill="background1" w:themeFillShade="BF"/>
          </w:tcPr>
          <w:p w14:paraId="323455F4" w14:textId="77777777" w:rsidR="002655EE" w:rsidRPr="008A2D32" w:rsidRDefault="002655EE" w:rsidP="002655EE">
            <w:pPr>
              <w:keepNext/>
              <w:shd w:val="clear" w:color="auto" w:fill="D9D9D9" w:themeFill="background1" w:themeFillShade="D9"/>
              <w:kinsoku w:val="0"/>
              <w:overflowPunct w:val="0"/>
              <w:autoSpaceDE w:val="0"/>
              <w:autoSpaceDN w:val="0"/>
              <w:adjustRightInd w:val="0"/>
              <w:spacing w:before="0" w:after="0" w:line="276" w:lineRule="auto"/>
              <w:ind w:left="360" w:right="216"/>
              <w:jc w:val="both"/>
              <w:textAlignment w:val="baseline"/>
              <w:rPr>
                <w:rFonts w:cs="Arial"/>
                <w:b/>
                <w:bCs/>
                <w:spacing w:val="1"/>
                <w:highlight w:val="lightGray"/>
                <w:lang w:eastAsia="fr-FR"/>
              </w:rPr>
            </w:pPr>
            <w:r w:rsidRPr="008A2D32">
              <w:rPr>
                <w:rFonts w:cs="Arial"/>
                <w:b/>
                <w:bCs/>
                <w:spacing w:val="1"/>
                <w:highlight w:val="lightGray"/>
                <w:lang w:eastAsia="fr-FR"/>
              </w:rPr>
              <w:t>Tier/PPE</w:t>
            </w:r>
          </w:p>
        </w:tc>
        <w:tc>
          <w:tcPr>
            <w:tcW w:w="951" w:type="pct"/>
            <w:shd w:val="clear" w:color="auto" w:fill="BFBFBF" w:themeFill="background1" w:themeFillShade="BF"/>
          </w:tcPr>
          <w:p w14:paraId="1CD240EB" w14:textId="77777777" w:rsidR="002655EE" w:rsidRPr="008A2D32" w:rsidRDefault="002655EE" w:rsidP="002655EE">
            <w:pPr>
              <w:keepNext/>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spacing w:val="1"/>
                <w:highlight w:val="lightGray"/>
                <w:lang w:eastAsia="fr-FR"/>
              </w:rPr>
            </w:pPr>
            <w:r w:rsidRPr="008A2D32">
              <w:rPr>
                <w:rFonts w:cs="Arial"/>
                <w:b/>
                <w:bCs/>
                <w:spacing w:val="1"/>
                <w:highlight w:val="lightGray"/>
                <w:lang w:eastAsia="fr-FR"/>
              </w:rPr>
              <w:t>Estimated inhalation uptake</w:t>
            </w:r>
          </w:p>
          <w:p w14:paraId="49113197" w14:textId="77777777" w:rsidR="002655EE" w:rsidRPr="008A2D32" w:rsidRDefault="002655EE" w:rsidP="002655EE">
            <w:pPr>
              <w:keepNext/>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spacing w:val="1"/>
                <w:highlight w:val="lightGray"/>
                <w:lang w:eastAsia="fr-FR"/>
              </w:rPr>
            </w:pPr>
            <w:r w:rsidRPr="008A2D32">
              <w:rPr>
                <w:rFonts w:cs="Arial"/>
                <w:b/>
                <w:bCs/>
                <w:spacing w:val="1"/>
                <w:highlight w:val="lightGray"/>
                <w:lang w:eastAsia="fr-FR"/>
              </w:rPr>
              <w:t>(mg/ kg bw/d)</w:t>
            </w:r>
          </w:p>
        </w:tc>
        <w:tc>
          <w:tcPr>
            <w:tcW w:w="950" w:type="pct"/>
            <w:shd w:val="clear" w:color="auto" w:fill="BFBFBF" w:themeFill="background1" w:themeFillShade="BF"/>
          </w:tcPr>
          <w:p w14:paraId="33A84CDE" w14:textId="77777777" w:rsidR="002655EE" w:rsidRPr="008A2D32" w:rsidRDefault="002655EE" w:rsidP="002655EE">
            <w:pPr>
              <w:keepNext/>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spacing w:val="1"/>
                <w:highlight w:val="lightGray"/>
                <w:lang w:eastAsia="fr-FR"/>
              </w:rPr>
            </w:pPr>
            <w:r w:rsidRPr="008A2D32">
              <w:rPr>
                <w:rFonts w:cs="Arial"/>
                <w:b/>
                <w:bCs/>
                <w:spacing w:val="1"/>
                <w:highlight w:val="lightGray"/>
                <w:lang w:eastAsia="fr-FR"/>
              </w:rPr>
              <w:t>Estimated dermal uptake</w:t>
            </w:r>
          </w:p>
          <w:p w14:paraId="5A99A069" w14:textId="77777777" w:rsidR="002655EE" w:rsidRPr="008A2D32" w:rsidRDefault="002655EE" w:rsidP="002655EE">
            <w:pPr>
              <w:keepNext/>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spacing w:val="1"/>
                <w:highlight w:val="lightGray"/>
                <w:lang w:eastAsia="fr-FR"/>
              </w:rPr>
            </w:pPr>
            <w:r w:rsidRPr="008A2D32">
              <w:rPr>
                <w:rFonts w:cs="Arial"/>
                <w:b/>
                <w:bCs/>
                <w:spacing w:val="1"/>
                <w:highlight w:val="lightGray"/>
                <w:lang w:eastAsia="fr-FR"/>
              </w:rPr>
              <w:t>(mg/ kg bw/d)</w:t>
            </w:r>
          </w:p>
        </w:tc>
        <w:tc>
          <w:tcPr>
            <w:tcW w:w="949" w:type="pct"/>
            <w:shd w:val="clear" w:color="auto" w:fill="BFBFBF" w:themeFill="background1" w:themeFillShade="BF"/>
          </w:tcPr>
          <w:p w14:paraId="52ABCC16" w14:textId="77777777" w:rsidR="002655EE" w:rsidRPr="008A2D32" w:rsidRDefault="002655EE" w:rsidP="002655EE">
            <w:pPr>
              <w:keepNext/>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spacing w:val="1"/>
                <w:highlight w:val="lightGray"/>
                <w:lang w:eastAsia="fr-FR"/>
              </w:rPr>
            </w:pPr>
            <w:r w:rsidRPr="008A2D32">
              <w:rPr>
                <w:rFonts w:cs="Arial"/>
                <w:b/>
                <w:bCs/>
                <w:spacing w:val="1"/>
                <w:highlight w:val="lightGray"/>
                <w:lang w:eastAsia="fr-FR"/>
              </w:rPr>
              <w:t>Total  uptake</w:t>
            </w:r>
          </w:p>
          <w:p w14:paraId="23C15012" w14:textId="77777777" w:rsidR="002655EE" w:rsidRPr="008A2D32" w:rsidRDefault="002655EE" w:rsidP="002655EE">
            <w:pPr>
              <w:keepNext/>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spacing w:val="1"/>
                <w:highlight w:val="lightGray"/>
                <w:lang w:eastAsia="fr-FR"/>
              </w:rPr>
            </w:pPr>
            <w:r w:rsidRPr="008A2D32">
              <w:rPr>
                <w:rFonts w:cs="Arial"/>
                <w:b/>
                <w:bCs/>
                <w:spacing w:val="1"/>
                <w:highlight w:val="lightGray"/>
                <w:lang w:eastAsia="fr-FR"/>
              </w:rPr>
              <w:t>(mg/ kg bw/d)</w:t>
            </w:r>
          </w:p>
        </w:tc>
      </w:tr>
      <w:tr w:rsidR="002655EE" w:rsidRPr="007E29F8" w14:paraId="293DA658" w14:textId="77777777" w:rsidTr="000A7410">
        <w:trPr>
          <w:cantSplit/>
          <w:trHeight w:val="343"/>
          <w:tblHeader/>
        </w:trPr>
        <w:tc>
          <w:tcPr>
            <w:tcW w:w="1210" w:type="pct"/>
            <w:shd w:val="clear" w:color="auto" w:fill="FFFFFF" w:themeFill="background1"/>
            <w:vAlign w:val="center"/>
          </w:tcPr>
          <w:p w14:paraId="35591557" w14:textId="77777777" w:rsidR="002655EE" w:rsidRPr="000A7410" w:rsidRDefault="002655EE" w:rsidP="000A7410">
            <w:pPr>
              <w:spacing w:line="276" w:lineRule="auto"/>
              <w:ind w:right="25"/>
              <w:jc w:val="both"/>
              <w:rPr>
                <w:rFonts w:cs="Arial"/>
                <w:spacing w:val="1"/>
                <w:u w:val="single"/>
                <w:lang w:eastAsia="fr-FR"/>
              </w:rPr>
            </w:pPr>
            <w:r w:rsidRPr="000A7410">
              <w:rPr>
                <w:rFonts w:cs="Arial"/>
                <w:spacing w:val="1"/>
                <w:u w:val="single"/>
                <w:lang w:eastAsia="fr-FR"/>
              </w:rPr>
              <w:t>Adult</w:t>
            </w:r>
          </w:p>
        </w:tc>
        <w:tc>
          <w:tcPr>
            <w:tcW w:w="940" w:type="pct"/>
            <w:shd w:val="clear" w:color="auto" w:fill="FFFFFF" w:themeFill="background1"/>
            <w:vAlign w:val="center"/>
          </w:tcPr>
          <w:p w14:paraId="35947349" w14:textId="77777777" w:rsidR="002655EE" w:rsidRPr="000A7410" w:rsidRDefault="002655EE" w:rsidP="000A7410">
            <w:pPr>
              <w:spacing w:line="276" w:lineRule="auto"/>
              <w:ind w:right="25"/>
              <w:jc w:val="both"/>
              <w:rPr>
                <w:rFonts w:cs="Arial"/>
                <w:spacing w:val="1"/>
                <w:u w:val="single"/>
                <w:lang w:eastAsia="fr-FR"/>
              </w:rPr>
            </w:pPr>
            <w:r w:rsidRPr="000A7410">
              <w:rPr>
                <w:rFonts w:cs="Arial"/>
                <w:spacing w:val="1"/>
                <w:u w:val="single"/>
                <w:lang w:eastAsia="fr-FR"/>
              </w:rPr>
              <w:t>Tier 1</w:t>
            </w:r>
          </w:p>
        </w:tc>
        <w:tc>
          <w:tcPr>
            <w:tcW w:w="951" w:type="pct"/>
            <w:shd w:val="clear" w:color="auto" w:fill="FFFFFF" w:themeFill="background1"/>
            <w:vAlign w:val="center"/>
          </w:tcPr>
          <w:p w14:paraId="1B1798B4" w14:textId="77777777" w:rsidR="002655EE" w:rsidRPr="000A7410" w:rsidRDefault="002655EE" w:rsidP="000A7410">
            <w:pPr>
              <w:spacing w:line="276" w:lineRule="auto"/>
              <w:ind w:right="25"/>
              <w:jc w:val="both"/>
              <w:rPr>
                <w:rFonts w:cs="Arial"/>
                <w:spacing w:val="1"/>
                <w:u w:val="single"/>
                <w:lang w:eastAsia="fr-FR"/>
              </w:rPr>
            </w:pPr>
            <w:r w:rsidRPr="000A7410">
              <w:rPr>
                <w:rFonts w:cs="Arial"/>
                <w:spacing w:val="1"/>
                <w:u w:val="single"/>
                <w:lang w:eastAsia="fr-FR"/>
              </w:rPr>
              <w:t>7.29E-03</w:t>
            </w:r>
          </w:p>
        </w:tc>
        <w:tc>
          <w:tcPr>
            <w:tcW w:w="950" w:type="pct"/>
            <w:shd w:val="clear" w:color="auto" w:fill="FFFFFF" w:themeFill="background1"/>
            <w:vAlign w:val="center"/>
          </w:tcPr>
          <w:p w14:paraId="7349FB6B" w14:textId="77777777" w:rsidR="002655EE" w:rsidRPr="000A7410" w:rsidRDefault="002655EE" w:rsidP="000A7410">
            <w:pPr>
              <w:spacing w:line="276" w:lineRule="auto"/>
              <w:ind w:right="25"/>
              <w:jc w:val="both"/>
              <w:rPr>
                <w:rFonts w:cs="Arial"/>
                <w:spacing w:val="1"/>
                <w:u w:val="single"/>
                <w:lang w:eastAsia="fr-FR"/>
              </w:rPr>
            </w:pPr>
            <w:r w:rsidRPr="000A7410">
              <w:rPr>
                <w:rFonts w:cs="Arial"/>
                <w:spacing w:val="1"/>
                <w:u w:val="single"/>
                <w:lang w:eastAsia="fr-FR"/>
              </w:rPr>
              <w:t>2.14E-01</w:t>
            </w:r>
          </w:p>
        </w:tc>
        <w:tc>
          <w:tcPr>
            <w:tcW w:w="949" w:type="pct"/>
            <w:shd w:val="clear" w:color="auto" w:fill="FFFFFF" w:themeFill="background1"/>
            <w:vAlign w:val="center"/>
          </w:tcPr>
          <w:p w14:paraId="783F2364" w14:textId="77777777" w:rsidR="002655EE" w:rsidRPr="000A7410" w:rsidRDefault="002655EE" w:rsidP="000A7410">
            <w:pPr>
              <w:spacing w:line="276" w:lineRule="auto"/>
              <w:ind w:right="25"/>
              <w:jc w:val="both"/>
              <w:rPr>
                <w:rFonts w:cs="Arial"/>
                <w:spacing w:val="1"/>
                <w:u w:val="single"/>
                <w:lang w:eastAsia="fr-FR"/>
              </w:rPr>
            </w:pPr>
            <w:r w:rsidRPr="000A7410">
              <w:rPr>
                <w:rFonts w:cs="Arial"/>
                <w:spacing w:val="1"/>
                <w:u w:val="single"/>
                <w:lang w:eastAsia="fr-FR"/>
              </w:rPr>
              <w:t>2.21E-01</w:t>
            </w:r>
          </w:p>
        </w:tc>
      </w:tr>
    </w:tbl>
    <w:p w14:paraId="2689CAD0" w14:textId="3A9E8773" w:rsidR="002655EE" w:rsidRDefault="002655EE" w:rsidP="007E3A44">
      <w:pPr>
        <w:rPr>
          <w:rFonts w:eastAsia="Calibri"/>
          <w:lang w:val="en-US" w:eastAsia="en-US"/>
        </w:rPr>
      </w:pPr>
    </w:p>
    <w:p w14:paraId="6EBF2C74" w14:textId="7C9ABFFB" w:rsidR="00222ACA" w:rsidRDefault="00222ACA" w:rsidP="007E3A44">
      <w:pPr>
        <w:rPr>
          <w:rFonts w:eastAsia="Calibri"/>
          <w:lang w:val="en-US" w:eastAsia="en-US"/>
        </w:rPr>
      </w:pPr>
    </w:p>
    <w:p w14:paraId="57C40BC6" w14:textId="0BA13AC5" w:rsidR="00222ACA" w:rsidRDefault="00222ACA" w:rsidP="007E3A44">
      <w:pPr>
        <w:rPr>
          <w:rFonts w:eastAsia="Calibri"/>
          <w:lang w:val="en-US" w:eastAsia="en-US"/>
        </w:rPr>
      </w:pPr>
    </w:p>
    <w:p w14:paraId="43584832" w14:textId="3F46B578" w:rsidR="00222ACA" w:rsidRDefault="00222ACA" w:rsidP="007E3A44">
      <w:pPr>
        <w:rPr>
          <w:rFonts w:eastAsia="Calibri"/>
          <w:lang w:val="en-US" w:eastAsia="en-US"/>
        </w:rPr>
      </w:pPr>
    </w:p>
    <w:p w14:paraId="16ACA26D" w14:textId="0ECF2175" w:rsidR="00222ACA" w:rsidRDefault="00222ACA" w:rsidP="007E3A44">
      <w:pPr>
        <w:rPr>
          <w:rFonts w:eastAsia="Calibri"/>
          <w:lang w:val="en-US" w:eastAsia="en-US"/>
        </w:rPr>
      </w:pPr>
    </w:p>
    <w:p w14:paraId="3B434365" w14:textId="32D3A59A" w:rsidR="00222ACA" w:rsidRDefault="00222ACA" w:rsidP="007E3A44">
      <w:pPr>
        <w:rPr>
          <w:rFonts w:eastAsia="Calibri"/>
          <w:lang w:val="en-US" w:eastAsia="en-US"/>
        </w:rPr>
      </w:pPr>
    </w:p>
    <w:p w14:paraId="7C84CA2D" w14:textId="1B6CA0BF" w:rsidR="00222ACA" w:rsidRDefault="00222ACA" w:rsidP="007E3A44">
      <w:pPr>
        <w:rPr>
          <w:rFonts w:eastAsia="Calibri"/>
          <w:lang w:val="en-US" w:eastAsia="en-US"/>
        </w:rPr>
      </w:pPr>
    </w:p>
    <w:p w14:paraId="315F8EE3" w14:textId="4BA333B2" w:rsidR="00222ACA" w:rsidRDefault="00222ACA" w:rsidP="007E3A44">
      <w:pPr>
        <w:rPr>
          <w:rFonts w:eastAsia="Calibri"/>
          <w:lang w:val="en-US" w:eastAsia="en-US"/>
        </w:rPr>
      </w:pPr>
    </w:p>
    <w:p w14:paraId="4F031811" w14:textId="720C7E47" w:rsidR="00222ACA" w:rsidRDefault="00222ACA" w:rsidP="007E3A44">
      <w:pPr>
        <w:rPr>
          <w:rFonts w:eastAsia="Calibri"/>
          <w:lang w:val="en-US" w:eastAsia="en-US"/>
        </w:rPr>
      </w:pPr>
    </w:p>
    <w:p w14:paraId="64555EAE" w14:textId="619DDCA0" w:rsidR="00222ACA" w:rsidRDefault="00222ACA" w:rsidP="007E3A44">
      <w:pPr>
        <w:rPr>
          <w:rFonts w:eastAsia="Calibri"/>
          <w:lang w:val="en-US" w:eastAsia="en-US"/>
        </w:rPr>
      </w:pPr>
    </w:p>
    <w:p w14:paraId="0025E3A2" w14:textId="77777777" w:rsidR="008A2D32" w:rsidRDefault="008A2D32" w:rsidP="007E3A44">
      <w:pPr>
        <w:rPr>
          <w:rFonts w:eastAsia="Calibri"/>
          <w:lang w:val="en-US" w:eastAsia="en-US"/>
        </w:rPr>
      </w:pPr>
    </w:p>
    <w:p w14:paraId="4D004582" w14:textId="744CC50A" w:rsidR="00222ACA" w:rsidRDefault="00222ACA" w:rsidP="007E3A44">
      <w:pPr>
        <w:rPr>
          <w:rFonts w:eastAsia="Calibri"/>
          <w:lang w:val="en-US" w:eastAsia="en-US"/>
        </w:rPr>
      </w:pPr>
    </w:p>
    <w:p w14:paraId="402FFEB4" w14:textId="6E391C43" w:rsidR="00222ACA" w:rsidRDefault="00222ACA" w:rsidP="007E3A44">
      <w:pPr>
        <w:rPr>
          <w:rFonts w:eastAsia="Calibri"/>
          <w:lang w:val="en-US" w:eastAsia="en-US"/>
        </w:rPr>
      </w:pPr>
    </w:p>
    <w:p w14:paraId="1FFE260F" w14:textId="41E372B2" w:rsidR="00222ACA" w:rsidRDefault="00222ACA" w:rsidP="007E3A44">
      <w:pPr>
        <w:rPr>
          <w:rFonts w:eastAsia="Calibri"/>
          <w:lang w:val="en-US" w:eastAsia="en-US"/>
        </w:rPr>
      </w:pPr>
    </w:p>
    <w:p w14:paraId="4DB3EBEF" w14:textId="63D3C6DD" w:rsidR="00222ACA" w:rsidRDefault="00222ACA" w:rsidP="007E3A44">
      <w:pPr>
        <w:rPr>
          <w:rFonts w:eastAsia="Calibri"/>
          <w:lang w:val="en-US" w:eastAsia="en-US"/>
        </w:rPr>
      </w:pPr>
    </w:p>
    <w:p w14:paraId="4E80E73F" w14:textId="7F464171" w:rsidR="00222ACA" w:rsidRDefault="00222ACA" w:rsidP="007E3A44">
      <w:pPr>
        <w:rPr>
          <w:rFonts w:eastAsia="Calibri"/>
          <w:lang w:val="en-US" w:eastAsia="en-US"/>
        </w:rPr>
      </w:pPr>
    </w:p>
    <w:p w14:paraId="0247582C" w14:textId="77777777" w:rsidR="00222ACA" w:rsidRPr="009461FB" w:rsidRDefault="00222ACA" w:rsidP="00222ACA">
      <w:pPr>
        <w:pStyle w:val="Paragraphedeliste"/>
        <w:numPr>
          <w:ilvl w:val="0"/>
          <w:numId w:val="68"/>
        </w:numPr>
        <w:rPr>
          <w:b/>
        </w:rPr>
      </w:pPr>
      <w:r w:rsidRPr="009461FB">
        <w:rPr>
          <w:b/>
        </w:rPr>
        <w:t>FIRST AUTHORISATION – 2017 (BE CA)</w:t>
      </w:r>
    </w:p>
    <w:p w14:paraId="45497613" w14:textId="77777777" w:rsidR="00222ACA" w:rsidRPr="00664E3E" w:rsidRDefault="00222ACA" w:rsidP="007E3A44">
      <w:pPr>
        <w:rPr>
          <w:rFonts w:eastAsia="Calibri"/>
          <w:lang w:val="en-US" w:eastAsia="en-US"/>
        </w:rPr>
      </w:pPr>
    </w:p>
    <w:p w14:paraId="23605287" w14:textId="77777777" w:rsidR="007E3A44" w:rsidRPr="002B4716" w:rsidRDefault="007E3A44" w:rsidP="007E3A44">
      <w:pPr>
        <w:pStyle w:val="Titre6"/>
        <w:rPr>
          <w:lang w:val="en-US"/>
        </w:rPr>
      </w:pPr>
      <w:r w:rsidRPr="002B4716">
        <w:rPr>
          <w:lang w:val="en-US"/>
        </w:rPr>
        <w:t xml:space="preserve">Scenario 3: Secondary exposure (indirect exposure as a result of use): Hand-mouth transfer reverse reference scenario (oral exposure)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54"/>
        <w:gridCol w:w="5461"/>
        <w:gridCol w:w="1381"/>
      </w:tblGrid>
      <w:tr w:rsidR="007E3A44" w:rsidRPr="00332AD5" w14:paraId="6CB1FFAC" w14:textId="77777777" w:rsidTr="00F96662">
        <w:trPr>
          <w:tblHeader/>
        </w:trPr>
        <w:tc>
          <w:tcPr>
            <w:tcW w:w="5000" w:type="pct"/>
            <w:gridSpan w:val="3"/>
            <w:shd w:val="clear" w:color="auto" w:fill="FFFFCC"/>
            <w:tcMar>
              <w:top w:w="57" w:type="dxa"/>
              <w:bottom w:w="57" w:type="dxa"/>
            </w:tcMar>
          </w:tcPr>
          <w:p w14:paraId="414AC69B" w14:textId="77777777" w:rsidR="007E3A44" w:rsidRPr="00332AD5" w:rsidRDefault="007E3A44" w:rsidP="00F96662">
            <w:pPr>
              <w:pStyle w:val="Standaard-Tabellen"/>
              <w:jc w:val="center"/>
              <w:rPr>
                <w:rFonts w:eastAsia="Calibri"/>
                <w:b/>
              </w:rPr>
            </w:pPr>
            <w:r w:rsidRPr="00332AD5">
              <w:rPr>
                <w:rFonts w:eastAsia="Calibri"/>
                <w:b/>
              </w:rPr>
              <w:t xml:space="preserve">Description of Scenario </w:t>
            </w:r>
            <w:r w:rsidRPr="00447DE4">
              <w:rPr>
                <w:rFonts w:eastAsia="Calibri"/>
                <w:b/>
              </w:rPr>
              <w:t>3</w:t>
            </w:r>
          </w:p>
        </w:tc>
      </w:tr>
      <w:tr w:rsidR="007E3A44" w:rsidRPr="004936D9" w14:paraId="3A74A465" w14:textId="77777777" w:rsidTr="00F96662">
        <w:trPr>
          <w:tblHeader/>
        </w:trPr>
        <w:tc>
          <w:tcPr>
            <w:tcW w:w="5000" w:type="pct"/>
            <w:gridSpan w:val="3"/>
            <w:shd w:val="clear" w:color="auto" w:fill="auto"/>
            <w:tcMar>
              <w:top w:w="57" w:type="dxa"/>
              <w:bottom w:w="57" w:type="dxa"/>
            </w:tcMar>
          </w:tcPr>
          <w:p w14:paraId="03AA61C0" w14:textId="42173464" w:rsidR="007E3A44" w:rsidRPr="004F6031" w:rsidRDefault="007E3A44" w:rsidP="00F96662">
            <w:pPr>
              <w:pStyle w:val="Explanatorynotes"/>
              <w:rPr>
                <w:rFonts w:ascii="Verdana" w:eastAsia="Calibri" w:hAnsi="Verdana"/>
                <w:i w:val="0"/>
              </w:rPr>
            </w:pPr>
            <w:r w:rsidRPr="004F6031">
              <w:rPr>
                <w:rFonts w:ascii="Verdana" w:eastAsia="Calibri" w:hAnsi="Verdana"/>
                <w:i w:val="0"/>
              </w:rPr>
              <w:t xml:space="preserve">This scenario is based on the one available in the </w:t>
            </w:r>
            <w:r w:rsidRPr="00F94E15">
              <w:rPr>
                <w:rFonts w:ascii="Verdana" w:eastAsia="Calibri" w:hAnsi="Verdana"/>
                <w:i w:val="0"/>
              </w:rPr>
              <w:t>CAR of IR3535</w:t>
            </w:r>
            <w:r w:rsidRPr="00F94E15">
              <w:rPr>
                <w:rFonts w:ascii="Verdana" w:eastAsia="Calibri" w:hAnsi="Verdana"/>
                <w:i w:val="0"/>
                <w:vertAlign w:val="superscript"/>
              </w:rPr>
              <w:t>®</w:t>
            </w:r>
            <w:r w:rsidRPr="00F94E15">
              <w:rPr>
                <w:rFonts w:ascii="Verdana" w:eastAsia="Calibri" w:hAnsi="Verdana"/>
                <w:i w:val="0"/>
              </w:rPr>
              <w:t>.</w:t>
            </w:r>
            <w:r w:rsidRPr="004F6031">
              <w:rPr>
                <w:rFonts w:ascii="Verdana" w:eastAsia="Calibri" w:hAnsi="Verdana"/>
                <w:i w:val="0"/>
              </w:rPr>
              <w:t xml:space="preserve"> It has been updated with the document : Biocide Human Health Exposure Methodology (</w:t>
            </w:r>
            <w:r w:rsidR="00C53DE4">
              <w:rPr>
                <w:rFonts w:ascii="Verdana" w:eastAsia="Calibri" w:hAnsi="Verdana"/>
                <w:i w:val="0"/>
              </w:rPr>
              <w:t>Oct</w:t>
            </w:r>
            <w:r w:rsidRPr="004F6031">
              <w:rPr>
                <w:rFonts w:ascii="Verdana" w:eastAsia="Calibri" w:hAnsi="Verdana"/>
                <w:i w:val="0"/>
              </w:rPr>
              <w:t xml:space="preserve"> 2015).</w:t>
            </w:r>
          </w:p>
        </w:tc>
      </w:tr>
      <w:tr w:rsidR="007E3A44" w:rsidRPr="004936D9" w14:paraId="1FEFB210" w14:textId="77777777" w:rsidTr="00F96662">
        <w:trPr>
          <w:tblHeader/>
        </w:trPr>
        <w:tc>
          <w:tcPr>
            <w:tcW w:w="5000" w:type="pct"/>
            <w:gridSpan w:val="3"/>
            <w:shd w:val="clear" w:color="auto" w:fill="auto"/>
            <w:tcMar>
              <w:top w:w="57" w:type="dxa"/>
              <w:bottom w:w="57" w:type="dxa"/>
            </w:tcMar>
          </w:tcPr>
          <w:p w14:paraId="27D37F86" w14:textId="77777777" w:rsidR="007E3A44" w:rsidRPr="000504BE" w:rsidRDefault="007E3A44" w:rsidP="00F96662">
            <w:pPr>
              <w:pStyle w:val="Explanatorynotes"/>
              <w:rPr>
                <w:rFonts w:ascii="Verdana" w:eastAsia="Calibri" w:hAnsi="Verdana"/>
                <w:i w:val="0"/>
              </w:rPr>
            </w:pPr>
            <w:r w:rsidRPr="000504BE">
              <w:rPr>
                <w:rFonts w:ascii="Verdana" w:eastAsia="Calibri" w:hAnsi="Verdana"/>
                <w:i w:val="0"/>
              </w:rPr>
              <w:t>Hand to mouth transfer might be possible for small children. However this scenario is not considered to be a significant route of exposure because of bad palatability (bitterness ) preventing repeated mouthing by small children and you may not apply to children’s hand.</w:t>
            </w:r>
          </w:p>
          <w:p w14:paraId="77D0006F" w14:textId="77777777" w:rsidR="007E3A44" w:rsidRPr="000504BE" w:rsidRDefault="007E3A44" w:rsidP="00F96662">
            <w:pPr>
              <w:pStyle w:val="Explanatorynotes"/>
              <w:rPr>
                <w:rFonts w:ascii="Verdana" w:eastAsia="Calibri" w:hAnsi="Verdana"/>
                <w:i w:val="0"/>
              </w:rPr>
            </w:pPr>
            <w:r w:rsidRPr="000504BE">
              <w:rPr>
                <w:rFonts w:ascii="Verdana" w:eastAsia="Calibri" w:hAnsi="Verdana"/>
                <w:i w:val="0"/>
              </w:rPr>
              <w:t xml:space="preserve">At TM IV 2010, it was agreed to develop the scenario “hand-mouth </w:t>
            </w:r>
            <w:r>
              <w:rPr>
                <w:rFonts w:ascii="Verdana" w:eastAsia="Calibri" w:hAnsi="Verdana"/>
                <w:i w:val="0"/>
              </w:rPr>
              <w:t xml:space="preserve">transfer” consistently with the </w:t>
            </w:r>
            <w:r w:rsidRPr="000504BE">
              <w:rPr>
                <w:rFonts w:ascii="Verdana" w:eastAsia="Calibri" w:hAnsi="Verdana"/>
                <w:i w:val="0"/>
              </w:rPr>
              <w:t>DEET dossier evaluated by SE and to be discus</w:t>
            </w:r>
            <w:r>
              <w:rPr>
                <w:rFonts w:ascii="Verdana" w:eastAsia="Calibri" w:hAnsi="Verdana"/>
                <w:i w:val="0"/>
              </w:rPr>
              <w:t>sed with HEEG a</w:t>
            </w:r>
            <w:r w:rsidRPr="002049A6">
              <w:rPr>
                <w:rFonts w:ascii="Verdana" w:eastAsia="Calibri" w:hAnsi="Verdana"/>
                <w:i w:val="0"/>
              </w:rPr>
              <w:t>nd TM agreed not to sum up the two routes</w:t>
            </w:r>
            <w:r w:rsidRPr="000504BE">
              <w:rPr>
                <w:rFonts w:ascii="Verdana" w:eastAsia="Calibri" w:hAnsi="Verdana"/>
                <w:i w:val="0"/>
              </w:rPr>
              <w:t xml:space="preserve"> (oral and dermal) in small children.</w:t>
            </w:r>
          </w:p>
          <w:p w14:paraId="01AD8A7B" w14:textId="77777777" w:rsidR="007E3A44" w:rsidRDefault="007E3A44" w:rsidP="00F96662">
            <w:pPr>
              <w:pStyle w:val="Explanatorynotes"/>
              <w:rPr>
                <w:rFonts w:ascii="Verdana" w:eastAsia="Calibri" w:hAnsi="Verdana"/>
                <w:i w:val="0"/>
              </w:rPr>
            </w:pPr>
            <w:r w:rsidRPr="000504BE">
              <w:rPr>
                <w:rFonts w:ascii="Verdana" w:eastAsia="Calibri" w:hAnsi="Verdana"/>
                <w:i w:val="0"/>
              </w:rPr>
              <w:t>Reverse reference scenario  is included to show how much IR3535</w:t>
            </w:r>
            <w:r w:rsidRPr="00A068DB">
              <w:rPr>
                <w:rFonts w:ascii="Verdana" w:eastAsia="Calibri" w:hAnsi="Verdana"/>
                <w:i w:val="0"/>
                <w:vertAlign w:val="superscript"/>
              </w:rPr>
              <w:t>®</w:t>
            </w:r>
            <w:r w:rsidRPr="000504BE">
              <w:rPr>
                <w:rFonts w:ascii="Verdana" w:eastAsia="Calibri" w:hAnsi="Verdana"/>
                <w:i w:val="0"/>
              </w:rPr>
              <w:t xml:space="preserve"> anyone can be exposed to, after oral exposure w</w:t>
            </w:r>
            <w:r>
              <w:rPr>
                <w:rFonts w:ascii="Verdana" w:eastAsia="Calibri" w:hAnsi="Verdana"/>
                <w:i w:val="0"/>
              </w:rPr>
              <w:t>ithout exceeding reference dose (</w:t>
            </w:r>
            <w:r w:rsidRPr="000504BE">
              <w:rPr>
                <w:rFonts w:ascii="Verdana" w:eastAsia="Calibri" w:hAnsi="Verdana"/>
                <w:i w:val="0"/>
              </w:rPr>
              <w:t>AEL for IR3535</w:t>
            </w:r>
            <w:r w:rsidRPr="00A068DB">
              <w:rPr>
                <w:rFonts w:ascii="Verdana" w:eastAsia="Calibri" w:hAnsi="Verdana"/>
                <w:i w:val="0"/>
                <w:vertAlign w:val="superscript"/>
              </w:rPr>
              <w:t>®</w:t>
            </w:r>
            <w:r w:rsidRPr="000504BE">
              <w:rPr>
                <w:rFonts w:ascii="Verdana" w:eastAsia="Calibri" w:hAnsi="Verdana"/>
                <w:i w:val="0"/>
              </w:rPr>
              <w:t xml:space="preserve"> is 5 mg/kg bw/d</w:t>
            </w:r>
            <w:r>
              <w:rPr>
                <w:rFonts w:ascii="Verdana" w:eastAsia="Calibri" w:hAnsi="Verdana"/>
                <w:i w:val="0"/>
              </w:rPr>
              <w:t>)</w:t>
            </w:r>
            <w:r w:rsidRPr="000504BE">
              <w:rPr>
                <w:rFonts w:ascii="Verdana" w:eastAsia="Calibri" w:hAnsi="Verdana"/>
                <w:i w:val="0"/>
              </w:rPr>
              <w:t>.</w:t>
            </w:r>
          </w:p>
          <w:p w14:paraId="79A63060" w14:textId="77777777" w:rsidR="007E3A44" w:rsidRPr="00F94E15" w:rsidRDefault="007E3A44" w:rsidP="00F96662">
            <w:pPr>
              <w:pStyle w:val="Explanatorynotes"/>
              <w:rPr>
                <w:rFonts w:ascii="Verdana" w:eastAsia="Calibri" w:hAnsi="Verdana"/>
                <w:i w:val="0"/>
              </w:rPr>
            </w:pPr>
          </w:p>
          <w:p w14:paraId="779ACCB5" w14:textId="77777777" w:rsidR="007E3A44" w:rsidRPr="00F94E15" w:rsidRDefault="007E3A44" w:rsidP="00F96662">
            <w:pPr>
              <w:pStyle w:val="Explanatorynotes"/>
              <w:rPr>
                <w:rFonts w:ascii="Verdana" w:eastAsia="Calibri" w:hAnsi="Verdana"/>
                <w:i w:val="0"/>
              </w:rPr>
            </w:pPr>
            <w:r w:rsidRPr="00F94E15">
              <w:rPr>
                <w:rFonts w:ascii="Verdana" w:eastAsia="Calibri" w:hAnsi="Verdana"/>
                <w:b/>
                <w:i w:val="0"/>
              </w:rPr>
              <w:t>External dermal amount of a.s. per application</w:t>
            </w:r>
            <w:r w:rsidRPr="00F94E15">
              <w:rPr>
                <w:rFonts w:ascii="Verdana" w:eastAsia="Calibri" w:hAnsi="Verdana"/>
                <w:i w:val="0"/>
              </w:rPr>
              <w:t xml:space="preserve">: </w:t>
            </w:r>
          </w:p>
          <w:p w14:paraId="08AC3A03" w14:textId="77777777" w:rsidR="007E3A44" w:rsidRPr="00F94E15" w:rsidRDefault="007E3A44" w:rsidP="00F96662">
            <w:pPr>
              <w:pStyle w:val="Explanatorynotes"/>
              <w:ind w:left="348"/>
              <w:rPr>
                <w:rFonts w:ascii="Verdana" w:eastAsia="Calibri" w:hAnsi="Verdana"/>
                <w:i w:val="0"/>
              </w:rPr>
            </w:pPr>
            <w:r w:rsidRPr="00F94E15">
              <w:rPr>
                <w:rFonts w:ascii="Verdana" w:eastAsia="Calibri" w:hAnsi="Verdana"/>
                <w:i w:val="0"/>
              </w:rPr>
              <w:t>Amount of b</w:t>
            </w:r>
            <w:r>
              <w:rPr>
                <w:rFonts w:ascii="Verdana" w:eastAsia="Calibri" w:hAnsi="Verdana"/>
                <w:i w:val="0"/>
              </w:rPr>
              <w:t>.</w:t>
            </w:r>
            <w:r w:rsidRPr="00F94E15">
              <w:rPr>
                <w:rFonts w:ascii="Verdana" w:eastAsia="Calibri" w:hAnsi="Verdana"/>
                <w:i w:val="0"/>
              </w:rPr>
              <w:t>p</w:t>
            </w:r>
            <w:r>
              <w:rPr>
                <w:rFonts w:ascii="Verdana" w:eastAsia="Calibri" w:hAnsi="Verdana"/>
                <w:i w:val="0"/>
              </w:rPr>
              <w:t>./</w:t>
            </w:r>
            <w:r w:rsidRPr="00F94E15">
              <w:rPr>
                <w:rFonts w:ascii="Verdana" w:eastAsia="Calibri" w:hAnsi="Verdana"/>
                <w:i w:val="0"/>
              </w:rPr>
              <w:t>application</w:t>
            </w:r>
            <w:r>
              <w:rPr>
                <w:rFonts w:ascii="Verdana" w:eastAsia="Calibri" w:hAnsi="Verdana"/>
                <w:i w:val="0"/>
              </w:rPr>
              <w:t xml:space="preserve"> x</w:t>
            </w:r>
            <w:r w:rsidRPr="00F94E15">
              <w:rPr>
                <w:rFonts w:ascii="Verdana" w:eastAsia="Calibri" w:hAnsi="Verdana"/>
                <w:i w:val="0"/>
              </w:rPr>
              <w:t xml:space="preserve"> percent of a.s. in b.p.</w:t>
            </w:r>
            <w:r>
              <w:rPr>
                <w:rFonts w:ascii="Verdana" w:eastAsia="Calibri" w:hAnsi="Verdana"/>
                <w:i w:val="0"/>
              </w:rPr>
              <w:t xml:space="preserve"> / body weight</w:t>
            </w:r>
            <w:r w:rsidRPr="00F94E15">
              <w:rPr>
                <w:rFonts w:ascii="Verdana" w:eastAsia="Calibri" w:hAnsi="Verdana"/>
                <w:i w:val="0"/>
              </w:rPr>
              <w:t xml:space="preserve"> </w:t>
            </w:r>
          </w:p>
          <w:p w14:paraId="523A3B1D" w14:textId="77777777" w:rsidR="007E3A44" w:rsidRPr="00F94E15" w:rsidRDefault="007E3A44" w:rsidP="00F96662">
            <w:pPr>
              <w:pStyle w:val="Explanatorynotes"/>
              <w:rPr>
                <w:rFonts w:ascii="Verdana" w:eastAsia="Calibri" w:hAnsi="Verdana"/>
                <w:b/>
                <w:i w:val="0"/>
              </w:rPr>
            </w:pPr>
            <w:r w:rsidRPr="00F94E15">
              <w:rPr>
                <w:rFonts w:ascii="Verdana" w:eastAsia="Calibri" w:hAnsi="Verdana"/>
                <w:b/>
                <w:i w:val="0"/>
              </w:rPr>
              <w:t>Oral systemic exposure via hand-mouth transfer is:</w:t>
            </w:r>
          </w:p>
          <w:p w14:paraId="1EFA9FF4" w14:textId="77777777" w:rsidR="007E3A44" w:rsidRDefault="007E3A44" w:rsidP="00F96662">
            <w:pPr>
              <w:pStyle w:val="Explanatorynotes"/>
              <w:ind w:left="348"/>
              <w:rPr>
                <w:rFonts w:ascii="Verdana" w:eastAsia="Calibri" w:hAnsi="Verdana"/>
                <w:i w:val="0"/>
              </w:rPr>
            </w:pPr>
            <w:r w:rsidRPr="00F94E15">
              <w:rPr>
                <w:rFonts w:ascii="Verdana" w:eastAsia="Calibri" w:hAnsi="Verdana"/>
                <w:i w:val="0"/>
              </w:rPr>
              <w:t>External dermal amount of a.s. per application x Factor for oral intake by hand-mouth transfer</w:t>
            </w:r>
            <w:r>
              <w:rPr>
                <w:rFonts w:ascii="Verdana" w:eastAsia="Calibri" w:hAnsi="Verdana"/>
                <w:i w:val="0"/>
              </w:rPr>
              <w:t xml:space="preserve"> x oral absorption</w:t>
            </w:r>
          </w:p>
          <w:p w14:paraId="0FD71402" w14:textId="77777777" w:rsidR="007E3A44" w:rsidRPr="00A52D7A" w:rsidRDefault="007E3A44" w:rsidP="00F96662">
            <w:pPr>
              <w:pStyle w:val="Explanatorynotes"/>
              <w:rPr>
                <w:rFonts w:ascii="Verdana" w:eastAsia="Calibri" w:hAnsi="Verdana"/>
                <w:b/>
                <w:i w:val="0"/>
              </w:rPr>
            </w:pPr>
            <w:r w:rsidRPr="00A52D7A">
              <w:rPr>
                <w:rFonts w:ascii="Verdana" w:eastAsia="Calibri" w:hAnsi="Verdana"/>
                <w:b/>
                <w:i w:val="0"/>
              </w:rPr>
              <w:t>Numb</w:t>
            </w:r>
            <w:r>
              <w:rPr>
                <w:rFonts w:ascii="Verdana" w:eastAsia="Calibri" w:hAnsi="Verdana"/>
                <w:b/>
                <w:i w:val="0"/>
              </w:rPr>
              <w:t>er of time</w:t>
            </w:r>
            <w:r w:rsidRPr="00A52D7A">
              <w:rPr>
                <w:rFonts w:ascii="Verdana" w:eastAsia="Calibri" w:hAnsi="Verdana"/>
                <w:b/>
                <w:i w:val="0"/>
              </w:rPr>
              <w:t xml:space="preserve"> of appli</w:t>
            </w:r>
            <w:r>
              <w:rPr>
                <w:rFonts w:ascii="Verdana" w:eastAsia="Calibri" w:hAnsi="Verdana"/>
                <w:b/>
                <w:i w:val="0"/>
              </w:rPr>
              <w:t>cation</w:t>
            </w:r>
            <w:r w:rsidRPr="00A52D7A">
              <w:rPr>
                <w:rFonts w:ascii="Verdana" w:eastAsia="Calibri" w:hAnsi="Verdana"/>
                <w:b/>
                <w:i w:val="0"/>
              </w:rPr>
              <w:t xml:space="preserve"> b.p. before exceeding the AEL via hand-mouth transfer : </w:t>
            </w:r>
          </w:p>
          <w:p w14:paraId="029B6EA0" w14:textId="24669018" w:rsidR="007E3A44" w:rsidRPr="00DE4BBB" w:rsidRDefault="007E3A44" w:rsidP="00DE4BBB">
            <w:pPr>
              <w:pStyle w:val="Explanatorynotes"/>
              <w:ind w:left="348"/>
              <w:rPr>
                <w:rFonts w:ascii="Verdana" w:eastAsia="Calibri" w:hAnsi="Verdana"/>
                <w:i w:val="0"/>
              </w:rPr>
            </w:pPr>
            <w:r>
              <w:rPr>
                <w:rFonts w:ascii="Verdana" w:eastAsia="Calibri" w:hAnsi="Verdana"/>
                <w:i w:val="0"/>
              </w:rPr>
              <w:t xml:space="preserve">AEL / </w:t>
            </w:r>
            <w:r w:rsidRPr="00A52D7A">
              <w:rPr>
                <w:rFonts w:ascii="Verdana" w:eastAsia="Calibri" w:hAnsi="Verdana"/>
                <w:i w:val="0"/>
              </w:rPr>
              <w:t>Oral systemic exposure via hand-mouth transfer</w:t>
            </w:r>
          </w:p>
        </w:tc>
      </w:tr>
      <w:tr w:rsidR="007E3A44" w:rsidRPr="00FD2055" w14:paraId="0BBF3014" w14:textId="77777777" w:rsidTr="00F96662">
        <w:trPr>
          <w:tblHeader/>
        </w:trPr>
        <w:tc>
          <w:tcPr>
            <w:tcW w:w="1359" w:type="pct"/>
            <w:shd w:val="clear" w:color="auto" w:fill="BFBFBF" w:themeFill="background1" w:themeFillShade="BF"/>
            <w:tcMar>
              <w:top w:w="57" w:type="dxa"/>
              <w:bottom w:w="57" w:type="dxa"/>
            </w:tcMar>
          </w:tcPr>
          <w:p w14:paraId="498EE3A9" w14:textId="77777777" w:rsidR="007E3A44" w:rsidRPr="00484F6D" w:rsidRDefault="007E3A44" w:rsidP="00F96662">
            <w:pPr>
              <w:pStyle w:val="Standaard-Tabellen"/>
              <w:rPr>
                <w:rFonts w:eastAsia="Calibri"/>
                <w:b/>
                <w:lang w:val="en-US"/>
              </w:rPr>
            </w:pPr>
          </w:p>
        </w:tc>
        <w:tc>
          <w:tcPr>
            <w:tcW w:w="2906" w:type="pct"/>
            <w:shd w:val="clear" w:color="auto" w:fill="BFBFBF" w:themeFill="background1" w:themeFillShade="BF"/>
            <w:tcMar>
              <w:top w:w="57" w:type="dxa"/>
              <w:bottom w:w="57" w:type="dxa"/>
            </w:tcMar>
          </w:tcPr>
          <w:p w14:paraId="09C09EB1" w14:textId="77777777" w:rsidR="007E3A44" w:rsidRPr="00484F6D" w:rsidRDefault="007E3A44" w:rsidP="00F96662">
            <w:pPr>
              <w:pStyle w:val="Standaard-Tabellen"/>
              <w:rPr>
                <w:rFonts w:eastAsia="Calibri"/>
                <w:b/>
              </w:rPr>
            </w:pPr>
            <w:r w:rsidRPr="00484F6D">
              <w:rPr>
                <w:rFonts w:eastAsia="Calibri"/>
                <w:b/>
              </w:rPr>
              <w:t>Parameters</w:t>
            </w:r>
          </w:p>
        </w:tc>
        <w:tc>
          <w:tcPr>
            <w:tcW w:w="735" w:type="pct"/>
            <w:shd w:val="clear" w:color="auto" w:fill="BFBFBF" w:themeFill="background1" w:themeFillShade="BF"/>
            <w:tcMar>
              <w:top w:w="57" w:type="dxa"/>
              <w:bottom w:w="57" w:type="dxa"/>
            </w:tcMar>
          </w:tcPr>
          <w:p w14:paraId="3D94AD0A" w14:textId="77777777" w:rsidR="007E3A44" w:rsidRPr="00484F6D" w:rsidRDefault="007E3A44" w:rsidP="00F96662">
            <w:pPr>
              <w:pStyle w:val="Standaard-Tabellen"/>
              <w:rPr>
                <w:rFonts w:eastAsia="Calibri"/>
                <w:b/>
              </w:rPr>
            </w:pPr>
            <w:r w:rsidRPr="00484F6D">
              <w:rPr>
                <w:rFonts w:eastAsia="Calibri"/>
                <w:b/>
              </w:rPr>
              <w:t>Value</w:t>
            </w:r>
          </w:p>
        </w:tc>
      </w:tr>
      <w:tr w:rsidR="007E3A44" w:rsidRPr="00FD2055" w14:paraId="344046AD" w14:textId="77777777" w:rsidTr="00F96662">
        <w:trPr>
          <w:tblHeader/>
        </w:trPr>
        <w:tc>
          <w:tcPr>
            <w:tcW w:w="1359" w:type="pct"/>
            <w:vMerge w:val="restart"/>
            <w:tcMar>
              <w:top w:w="57" w:type="dxa"/>
              <w:bottom w:w="57" w:type="dxa"/>
            </w:tcMar>
          </w:tcPr>
          <w:p w14:paraId="40A421C5" w14:textId="77777777" w:rsidR="007E3A44" w:rsidRPr="00FD2055" w:rsidRDefault="007E3A44" w:rsidP="00F96662">
            <w:pPr>
              <w:pStyle w:val="Standaard-Tabellen"/>
              <w:rPr>
                <w:rFonts w:eastAsia="Calibri"/>
              </w:rPr>
            </w:pPr>
            <w:r>
              <w:rPr>
                <w:rFonts w:eastAsia="Calibri"/>
              </w:rPr>
              <w:t>For All categories</w:t>
            </w:r>
          </w:p>
        </w:tc>
        <w:tc>
          <w:tcPr>
            <w:tcW w:w="2906" w:type="pct"/>
            <w:shd w:val="clear" w:color="auto" w:fill="auto"/>
            <w:tcMar>
              <w:top w:w="57" w:type="dxa"/>
              <w:bottom w:w="57" w:type="dxa"/>
            </w:tcMar>
          </w:tcPr>
          <w:p w14:paraId="73B04660" w14:textId="77777777" w:rsidR="007E3A44" w:rsidRPr="00FD2055" w:rsidRDefault="007E3A44" w:rsidP="00F96662">
            <w:pPr>
              <w:pStyle w:val="Standaard-Tabellen"/>
              <w:rPr>
                <w:rFonts w:eastAsia="Calibri"/>
              </w:rPr>
            </w:pPr>
            <w:r>
              <w:rPr>
                <w:rFonts w:eastAsia="Calibri"/>
              </w:rPr>
              <w:t>Oral absorption</w:t>
            </w:r>
            <w:r>
              <w:rPr>
                <w:rFonts w:eastAsia="Calibri"/>
                <w:vertAlign w:val="superscript"/>
              </w:rPr>
              <w:t>1</w:t>
            </w:r>
          </w:p>
        </w:tc>
        <w:tc>
          <w:tcPr>
            <w:tcW w:w="735" w:type="pct"/>
            <w:shd w:val="clear" w:color="auto" w:fill="auto"/>
            <w:tcMar>
              <w:top w:w="57" w:type="dxa"/>
              <w:bottom w:w="57" w:type="dxa"/>
            </w:tcMar>
          </w:tcPr>
          <w:p w14:paraId="4C88B979" w14:textId="77777777" w:rsidR="007E3A44" w:rsidRPr="00FD2055" w:rsidRDefault="007E3A44" w:rsidP="00F96662">
            <w:pPr>
              <w:pStyle w:val="Standaard-Tabellen"/>
              <w:rPr>
                <w:rFonts w:eastAsia="Calibri"/>
              </w:rPr>
            </w:pPr>
            <w:r>
              <w:rPr>
                <w:rFonts w:eastAsia="Calibri"/>
              </w:rPr>
              <w:t>100%</w:t>
            </w:r>
          </w:p>
        </w:tc>
      </w:tr>
      <w:tr w:rsidR="007E3A44" w:rsidRPr="00FD2055" w14:paraId="4B53E0FE" w14:textId="77777777" w:rsidTr="00F96662">
        <w:trPr>
          <w:tblHeader/>
        </w:trPr>
        <w:tc>
          <w:tcPr>
            <w:tcW w:w="1359" w:type="pct"/>
            <w:vMerge/>
            <w:tcMar>
              <w:top w:w="57" w:type="dxa"/>
              <w:bottom w:w="57" w:type="dxa"/>
            </w:tcMar>
          </w:tcPr>
          <w:p w14:paraId="20E42E05" w14:textId="77777777" w:rsidR="007E3A44" w:rsidRPr="00FD2055" w:rsidRDefault="007E3A44" w:rsidP="00F96662">
            <w:pPr>
              <w:pStyle w:val="Standaard-Tabellen"/>
              <w:rPr>
                <w:rFonts w:eastAsia="Calibri"/>
              </w:rPr>
            </w:pPr>
          </w:p>
        </w:tc>
        <w:tc>
          <w:tcPr>
            <w:tcW w:w="2906" w:type="pct"/>
            <w:shd w:val="clear" w:color="auto" w:fill="auto"/>
            <w:tcMar>
              <w:top w:w="57" w:type="dxa"/>
              <w:bottom w:w="57" w:type="dxa"/>
            </w:tcMar>
          </w:tcPr>
          <w:p w14:paraId="6CC6411E" w14:textId="77777777" w:rsidR="007E3A44" w:rsidRPr="00FD2055" w:rsidRDefault="007E3A44" w:rsidP="00F96662">
            <w:pPr>
              <w:pStyle w:val="Standaard-Tabellen"/>
              <w:rPr>
                <w:rFonts w:eastAsia="Calibri"/>
              </w:rPr>
            </w:pPr>
            <w:r>
              <w:rPr>
                <w:rFonts w:eastAsia="Calibri"/>
              </w:rPr>
              <w:t>% of active substance in biocidal product</w:t>
            </w:r>
            <w:r>
              <w:rPr>
                <w:rFonts w:eastAsia="Calibri"/>
                <w:vertAlign w:val="superscript"/>
              </w:rPr>
              <w:t>1</w:t>
            </w:r>
            <w:r>
              <w:rPr>
                <w:rFonts w:eastAsia="Calibri"/>
              </w:rPr>
              <w:t xml:space="preserve"> </w:t>
            </w:r>
          </w:p>
        </w:tc>
        <w:tc>
          <w:tcPr>
            <w:tcW w:w="735" w:type="pct"/>
            <w:shd w:val="clear" w:color="auto" w:fill="auto"/>
            <w:tcMar>
              <w:top w:w="57" w:type="dxa"/>
              <w:bottom w:w="57" w:type="dxa"/>
            </w:tcMar>
          </w:tcPr>
          <w:p w14:paraId="0CBD0ACC" w14:textId="77777777" w:rsidR="007E3A44" w:rsidRPr="00FD2055" w:rsidRDefault="007E3A44" w:rsidP="00F96662">
            <w:pPr>
              <w:pStyle w:val="Standaard-Tabellen"/>
              <w:rPr>
                <w:rFonts w:eastAsia="Calibri"/>
              </w:rPr>
            </w:pPr>
            <w:r>
              <w:rPr>
                <w:rFonts w:eastAsia="Calibri"/>
              </w:rPr>
              <w:t>20%</w:t>
            </w:r>
          </w:p>
        </w:tc>
      </w:tr>
      <w:tr w:rsidR="007E3A44" w:rsidRPr="00FD2055" w14:paraId="687A918E" w14:textId="77777777" w:rsidTr="00F96662">
        <w:trPr>
          <w:tblHeader/>
        </w:trPr>
        <w:tc>
          <w:tcPr>
            <w:tcW w:w="1359" w:type="pct"/>
            <w:vMerge w:val="restart"/>
            <w:tcMar>
              <w:top w:w="57" w:type="dxa"/>
              <w:bottom w:w="57" w:type="dxa"/>
            </w:tcMar>
          </w:tcPr>
          <w:p w14:paraId="6BEB428B" w14:textId="77777777" w:rsidR="007E3A44" w:rsidRPr="00FD2055" w:rsidRDefault="007E3A44" w:rsidP="00F96662">
            <w:pPr>
              <w:pStyle w:val="Standaard-Tabellen"/>
              <w:rPr>
                <w:rFonts w:eastAsia="Calibri"/>
              </w:rPr>
            </w:pPr>
            <w:r w:rsidRPr="00FD2055">
              <w:rPr>
                <w:rFonts w:eastAsia="Calibri"/>
              </w:rPr>
              <w:t>Tier 1</w:t>
            </w:r>
            <w:r>
              <w:rPr>
                <w:rFonts w:eastAsia="Calibri"/>
              </w:rPr>
              <w:t>- Adult</w:t>
            </w:r>
          </w:p>
        </w:tc>
        <w:tc>
          <w:tcPr>
            <w:tcW w:w="2906" w:type="pct"/>
            <w:shd w:val="clear" w:color="auto" w:fill="auto"/>
            <w:tcMar>
              <w:top w:w="57" w:type="dxa"/>
              <w:bottom w:w="57" w:type="dxa"/>
            </w:tcMar>
          </w:tcPr>
          <w:p w14:paraId="3B64B945" w14:textId="77777777" w:rsidR="007E3A44" w:rsidRPr="00FD2055" w:rsidRDefault="007E3A44" w:rsidP="00F96662">
            <w:pPr>
              <w:pStyle w:val="Standaard-Tabellen"/>
              <w:rPr>
                <w:rFonts w:eastAsia="Calibri"/>
              </w:rPr>
            </w:pPr>
            <w:r>
              <w:rPr>
                <w:rFonts w:eastAsia="Calibri"/>
              </w:rPr>
              <w:t>Factor</w:t>
            </w:r>
            <w:r w:rsidRPr="00190CFC">
              <w:rPr>
                <w:rFonts w:eastAsia="Calibri"/>
              </w:rPr>
              <w:t xml:space="preserve"> for oral intake by hand-mouth transfer</w:t>
            </w:r>
            <w:r>
              <w:rPr>
                <w:rFonts w:eastAsia="Calibri"/>
                <w:vertAlign w:val="superscript"/>
              </w:rPr>
              <w:t>2</w:t>
            </w:r>
          </w:p>
        </w:tc>
        <w:tc>
          <w:tcPr>
            <w:tcW w:w="735" w:type="pct"/>
            <w:shd w:val="clear" w:color="auto" w:fill="auto"/>
            <w:tcMar>
              <w:top w:w="57" w:type="dxa"/>
              <w:bottom w:w="57" w:type="dxa"/>
            </w:tcMar>
          </w:tcPr>
          <w:p w14:paraId="22245FC3" w14:textId="0807407B" w:rsidR="007E3A44" w:rsidRPr="00FD2055" w:rsidRDefault="00A80E60" w:rsidP="00F96662">
            <w:pPr>
              <w:pStyle w:val="Standaard-Tabellen"/>
              <w:rPr>
                <w:rFonts w:eastAsia="Calibri"/>
              </w:rPr>
            </w:pPr>
            <w:r>
              <w:rPr>
                <w:rFonts w:eastAsia="Calibri"/>
              </w:rPr>
              <w:t xml:space="preserve">40 </w:t>
            </w:r>
            <w:r w:rsidR="007E3A44">
              <w:rPr>
                <w:rFonts w:eastAsia="Calibri"/>
              </w:rPr>
              <w:t xml:space="preserve">% </w:t>
            </w:r>
          </w:p>
        </w:tc>
      </w:tr>
      <w:tr w:rsidR="007E3A44" w:rsidRPr="00FD2055" w14:paraId="2ED33E76" w14:textId="77777777" w:rsidTr="00F96662">
        <w:trPr>
          <w:tblHeader/>
        </w:trPr>
        <w:tc>
          <w:tcPr>
            <w:tcW w:w="1359" w:type="pct"/>
            <w:vMerge/>
            <w:tcMar>
              <w:top w:w="57" w:type="dxa"/>
              <w:bottom w:w="57" w:type="dxa"/>
            </w:tcMar>
          </w:tcPr>
          <w:p w14:paraId="412EECFF" w14:textId="77777777" w:rsidR="007E3A44" w:rsidRPr="00FD2055" w:rsidRDefault="007E3A44" w:rsidP="00F96662">
            <w:pPr>
              <w:pStyle w:val="Standaard-Tabellen"/>
              <w:rPr>
                <w:rFonts w:eastAsia="Calibri"/>
              </w:rPr>
            </w:pPr>
          </w:p>
        </w:tc>
        <w:tc>
          <w:tcPr>
            <w:tcW w:w="2906" w:type="pct"/>
            <w:shd w:val="clear" w:color="auto" w:fill="auto"/>
            <w:tcMar>
              <w:top w:w="57" w:type="dxa"/>
              <w:bottom w:w="57" w:type="dxa"/>
            </w:tcMar>
          </w:tcPr>
          <w:p w14:paraId="4046C881" w14:textId="77777777" w:rsidR="007E3A44" w:rsidRPr="00FD2055" w:rsidRDefault="007E3A44" w:rsidP="00F96662">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735" w:type="pct"/>
            <w:shd w:val="clear" w:color="auto" w:fill="auto"/>
            <w:tcMar>
              <w:top w:w="57" w:type="dxa"/>
              <w:bottom w:w="57" w:type="dxa"/>
            </w:tcMar>
          </w:tcPr>
          <w:p w14:paraId="7686DCD8" w14:textId="77777777" w:rsidR="007E3A44" w:rsidRPr="00FD2055" w:rsidRDefault="007E3A44" w:rsidP="00F96662">
            <w:pPr>
              <w:pStyle w:val="Standaard-Tabellen"/>
              <w:rPr>
                <w:rFonts w:eastAsia="Calibri"/>
              </w:rPr>
            </w:pPr>
            <w:r>
              <w:rPr>
                <w:rFonts w:eastAsia="Calibri"/>
              </w:rPr>
              <w:t>60 kg</w:t>
            </w:r>
          </w:p>
        </w:tc>
      </w:tr>
      <w:tr w:rsidR="007E3A44" w:rsidRPr="00FD2055" w14:paraId="70FC17C9" w14:textId="77777777" w:rsidTr="00F96662">
        <w:trPr>
          <w:tblHeader/>
        </w:trPr>
        <w:tc>
          <w:tcPr>
            <w:tcW w:w="1359" w:type="pct"/>
            <w:vMerge/>
            <w:tcMar>
              <w:top w:w="57" w:type="dxa"/>
              <w:bottom w:w="57" w:type="dxa"/>
            </w:tcMar>
          </w:tcPr>
          <w:p w14:paraId="790FEF3C" w14:textId="77777777" w:rsidR="007E3A44" w:rsidRPr="00FD2055" w:rsidRDefault="007E3A44" w:rsidP="00F96662">
            <w:pPr>
              <w:pStyle w:val="Standaard-Tabellen"/>
              <w:rPr>
                <w:rFonts w:eastAsia="Calibri"/>
              </w:rPr>
            </w:pPr>
          </w:p>
        </w:tc>
        <w:tc>
          <w:tcPr>
            <w:tcW w:w="2906" w:type="pct"/>
            <w:shd w:val="clear" w:color="auto" w:fill="auto"/>
            <w:tcMar>
              <w:top w:w="57" w:type="dxa"/>
              <w:bottom w:w="57" w:type="dxa"/>
            </w:tcMar>
          </w:tcPr>
          <w:p w14:paraId="7359BDBD" w14:textId="77777777" w:rsidR="007E3A44" w:rsidRDefault="007E3A44" w:rsidP="00F96662">
            <w:pPr>
              <w:pStyle w:val="Standaard-Tabellen"/>
              <w:rPr>
                <w:rFonts w:eastAsia="Calibri"/>
              </w:rPr>
            </w:pPr>
            <w:r>
              <w:rPr>
                <w:rFonts w:eastAsia="Calibri"/>
              </w:rPr>
              <w:t>Amount of biocidal product/ application</w:t>
            </w:r>
            <w:r>
              <w:rPr>
                <w:rFonts w:eastAsia="Calibri"/>
                <w:vertAlign w:val="superscript"/>
              </w:rPr>
              <w:t>1</w:t>
            </w:r>
            <w:r>
              <w:rPr>
                <w:rFonts w:eastAsia="Calibri"/>
              </w:rPr>
              <w:t xml:space="preserve"> </w:t>
            </w:r>
          </w:p>
        </w:tc>
        <w:tc>
          <w:tcPr>
            <w:tcW w:w="735" w:type="pct"/>
            <w:shd w:val="clear" w:color="auto" w:fill="auto"/>
            <w:tcMar>
              <w:top w:w="57" w:type="dxa"/>
              <w:bottom w:w="57" w:type="dxa"/>
            </w:tcMar>
          </w:tcPr>
          <w:p w14:paraId="54D1000F" w14:textId="77777777" w:rsidR="007E3A44" w:rsidRDefault="007E3A44" w:rsidP="00F96662">
            <w:pPr>
              <w:pStyle w:val="Standaard-Tabellen"/>
              <w:rPr>
                <w:rFonts w:eastAsia="Calibri"/>
              </w:rPr>
            </w:pPr>
            <w:r>
              <w:rPr>
                <w:rFonts w:eastAsia="Calibri"/>
              </w:rPr>
              <w:t>1.05 g</w:t>
            </w:r>
          </w:p>
        </w:tc>
      </w:tr>
      <w:tr w:rsidR="007E3A44" w:rsidRPr="00FD2055" w14:paraId="628DBA83" w14:textId="77777777" w:rsidTr="00F96662">
        <w:trPr>
          <w:tblHeader/>
        </w:trPr>
        <w:tc>
          <w:tcPr>
            <w:tcW w:w="1359" w:type="pct"/>
            <w:vMerge w:val="restart"/>
            <w:tcMar>
              <w:top w:w="57" w:type="dxa"/>
              <w:bottom w:w="57" w:type="dxa"/>
            </w:tcMar>
          </w:tcPr>
          <w:p w14:paraId="12298025" w14:textId="77777777" w:rsidR="007E3A44" w:rsidRPr="00FD2055" w:rsidRDefault="007E3A44" w:rsidP="00F96662">
            <w:pPr>
              <w:pStyle w:val="Standaard-Tabellen"/>
              <w:rPr>
                <w:rFonts w:eastAsia="Calibri"/>
              </w:rPr>
            </w:pPr>
            <w:r w:rsidRPr="00FD2055">
              <w:rPr>
                <w:rFonts w:eastAsia="Calibri"/>
              </w:rPr>
              <w:t>Tier 1</w:t>
            </w:r>
            <w:r>
              <w:rPr>
                <w:rFonts w:eastAsia="Calibri"/>
              </w:rPr>
              <w:t>- Child</w:t>
            </w:r>
          </w:p>
        </w:tc>
        <w:tc>
          <w:tcPr>
            <w:tcW w:w="2906" w:type="pct"/>
            <w:shd w:val="clear" w:color="auto" w:fill="auto"/>
            <w:tcMar>
              <w:top w:w="57" w:type="dxa"/>
              <w:bottom w:w="57" w:type="dxa"/>
            </w:tcMar>
          </w:tcPr>
          <w:p w14:paraId="5D25C44F" w14:textId="77777777" w:rsidR="007E3A44" w:rsidRPr="00FD2055" w:rsidRDefault="007E3A44" w:rsidP="00F96662">
            <w:pPr>
              <w:pStyle w:val="Standaard-Tabellen"/>
              <w:rPr>
                <w:rFonts w:eastAsia="Calibri"/>
              </w:rPr>
            </w:pPr>
            <w:r w:rsidRPr="00190CFC">
              <w:rPr>
                <w:rFonts w:eastAsia="Calibri"/>
              </w:rPr>
              <w:t xml:space="preserve">Factor for oral </w:t>
            </w:r>
            <w:r>
              <w:rPr>
                <w:rFonts w:eastAsia="Calibri"/>
              </w:rPr>
              <w:t>intake by hand-mouth transfer</w:t>
            </w:r>
            <w:r>
              <w:rPr>
                <w:rFonts w:eastAsia="Calibri"/>
                <w:vertAlign w:val="superscript"/>
              </w:rPr>
              <w:t>2</w:t>
            </w:r>
            <w:r>
              <w:rPr>
                <w:rFonts w:eastAsia="Calibri"/>
              </w:rPr>
              <w:t xml:space="preserve"> </w:t>
            </w:r>
          </w:p>
        </w:tc>
        <w:tc>
          <w:tcPr>
            <w:tcW w:w="735" w:type="pct"/>
            <w:shd w:val="clear" w:color="auto" w:fill="auto"/>
            <w:tcMar>
              <w:top w:w="57" w:type="dxa"/>
              <w:bottom w:w="57" w:type="dxa"/>
            </w:tcMar>
          </w:tcPr>
          <w:p w14:paraId="0CE905BC" w14:textId="19416E60" w:rsidR="007E3A44" w:rsidRPr="00FD2055" w:rsidRDefault="00A80E60" w:rsidP="00F96662">
            <w:pPr>
              <w:pStyle w:val="Standaard-Tabellen"/>
              <w:rPr>
                <w:rFonts w:eastAsia="Calibri"/>
              </w:rPr>
            </w:pPr>
            <w:r>
              <w:rPr>
                <w:rFonts w:eastAsia="Calibri"/>
              </w:rPr>
              <w:t xml:space="preserve">40 </w:t>
            </w:r>
            <w:r w:rsidR="007E3A44">
              <w:rPr>
                <w:rFonts w:eastAsia="Calibri"/>
              </w:rPr>
              <w:t xml:space="preserve">% </w:t>
            </w:r>
          </w:p>
        </w:tc>
      </w:tr>
      <w:tr w:rsidR="007E3A44" w:rsidRPr="00FD2055" w14:paraId="01918831" w14:textId="77777777" w:rsidTr="00F96662">
        <w:trPr>
          <w:tblHeader/>
        </w:trPr>
        <w:tc>
          <w:tcPr>
            <w:tcW w:w="1359" w:type="pct"/>
            <w:vMerge/>
            <w:tcMar>
              <w:top w:w="57" w:type="dxa"/>
              <w:bottom w:w="57" w:type="dxa"/>
            </w:tcMar>
          </w:tcPr>
          <w:p w14:paraId="72391CC9" w14:textId="77777777" w:rsidR="007E3A44" w:rsidRPr="00FD2055" w:rsidRDefault="007E3A44" w:rsidP="00F96662">
            <w:pPr>
              <w:pStyle w:val="Standaard-Tabellen"/>
              <w:rPr>
                <w:rFonts w:eastAsia="Calibri"/>
              </w:rPr>
            </w:pPr>
          </w:p>
        </w:tc>
        <w:tc>
          <w:tcPr>
            <w:tcW w:w="2906" w:type="pct"/>
            <w:shd w:val="clear" w:color="auto" w:fill="auto"/>
            <w:tcMar>
              <w:top w:w="57" w:type="dxa"/>
              <w:bottom w:w="57" w:type="dxa"/>
            </w:tcMar>
          </w:tcPr>
          <w:p w14:paraId="14124C20" w14:textId="77777777" w:rsidR="007E3A44" w:rsidRPr="00FD2055" w:rsidRDefault="007E3A44" w:rsidP="00F96662">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735" w:type="pct"/>
            <w:shd w:val="clear" w:color="auto" w:fill="auto"/>
            <w:tcMar>
              <w:top w:w="57" w:type="dxa"/>
              <w:bottom w:w="57" w:type="dxa"/>
            </w:tcMar>
          </w:tcPr>
          <w:p w14:paraId="1CFF19E8" w14:textId="77777777" w:rsidR="007E3A44" w:rsidRPr="00FD2055" w:rsidRDefault="007E3A44" w:rsidP="00F96662">
            <w:pPr>
              <w:pStyle w:val="Standaard-Tabellen"/>
              <w:rPr>
                <w:rFonts w:eastAsia="Calibri"/>
              </w:rPr>
            </w:pPr>
            <w:r>
              <w:rPr>
                <w:rFonts w:eastAsia="Calibri"/>
              </w:rPr>
              <w:t>23.9 kg</w:t>
            </w:r>
          </w:p>
        </w:tc>
      </w:tr>
      <w:tr w:rsidR="007E3A44" w:rsidRPr="00FD2055" w14:paraId="0E6EC1CA" w14:textId="77777777" w:rsidTr="00F96662">
        <w:trPr>
          <w:tblHeader/>
        </w:trPr>
        <w:tc>
          <w:tcPr>
            <w:tcW w:w="1359" w:type="pct"/>
            <w:vMerge/>
            <w:tcMar>
              <w:top w:w="57" w:type="dxa"/>
              <w:bottom w:w="57" w:type="dxa"/>
            </w:tcMar>
          </w:tcPr>
          <w:p w14:paraId="4722680A" w14:textId="77777777" w:rsidR="007E3A44" w:rsidRPr="00FD2055" w:rsidRDefault="007E3A44" w:rsidP="00F96662">
            <w:pPr>
              <w:pStyle w:val="Standaard-Tabellen"/>
              <w:rPr>
                <w:rFonts w:eastAsia="Calibri"/>
              </w:rPr>
            </w:pPr>
          </w:p>
        </w:tc>
        <w:tc>
          <w:tcPr>
            <w:tcW w:w="2906" w:type="pct"/>
            <w:shd w:val="clear" w:color="auto" w:fill="auto"/>
            <w:tcMar>
              <w:top w:w="57" w:type="dxa"/>
              <w:bottom w:w="57" w:type="dxa"/>
            </w:tcMar>
          </w:tcPr>
          <w:p w14:paraId="0DFE0FDE" w14:textId="77777777" w:rsidR="007E3A44" w:rsidRDefault="007E3A44" w:rsidP="00F96662">
            <w:pPr>
              <w:pStyle w:val="Standaard-Tabellen"/>
              <w:rPr>
                <w:rFonts w:eastAsia="Calibri"/>
              </w:rPr>
            </w:pPr>
            <w:r w:rsidRPr="00FB7CBD">
              <w:rPr>
                <w:rFonts w:eastAsia="Calibri"/>
              </w:rPr>
              <w:t>Amount of biocidal product/ application</w:t>
            </w:r>
            <w:r>
              <w:rPr>
                <w:rFonts w:eastAsia="Calibri"/>
                <w:vertAlign w:val="superscript"/>
              </w:rPr>
              <w:t>1</w:t>
            </w:r>
          </w:p>
        </w:tc>
        <w:tc>
          <w:tcPr>
            <w:tcW w:w="735" w:type="pct"/>
            <w:shd w:val="clear" w:color="auto" w:fill="auto"/>
            <w:tcMar>
              <w:top w:w="57" w:type="dxa"/>
              <w:bottom w:w="57" w:type="dxa"/>
            </w:tcMar>
          </w:tcPr>
          <w:p w14:paraId="66B37A7C" w14:textId="77777777" w:rsidR="007E3A44" w:rsidRDefault="007E3A44" w:rsidP="00F96662">
            <w:pPr>
              <w:pStyle w:val="Standaard-Tabellen"/>
              <w:rPr>
                <w:rFonts w:eastAsia="Calibri"/>
              </w:rPr>
            </w:pPr>
            <w:r>
              <w:rPr>
                <w:rFonts w:eastAsia="Calibri"/>
              </w:rPr>
              <w:t>0.5 g</w:t>
            </w:r>
          </w:p>
        </w:tc>
      </w:tr>
      <w:tr w:rsidR="007E3A44" w:rsidRPr="00FD2055" w14:paraId="1DC53574" w14:textId="77777777" w:rsidTr="00F96662">
        <w:trPr>
          <w:tblHeader/>
        </w:trPr>
        <w:tc>
          <w:tcPr>
            <w:tcW w:w="1359" w:type="pct"/>
            <w:vMerge w:val="restart"/>
            <w:tcMar>
              <w:top w:w="57" w:type="dxa"/>
              <w:bottom w:w="57" w:type="dxa"/>
            </w:tcMar>
          </w:tcPr>
          <w:p w14:paraId="4A0D1496" w14:textId="77777777" w:rsidR="007E3A44" w:rsidRPr="00FD2055" w:rsidRDefault="007E3A44" w:rsidP="00F96662">
            <w:pPr>
              <w:pStyle w:val="Standaard-Tabellen"/>
              <w:rPr>
                <w:rFonts w:eastAsia="Calibri"/>
              </w:rPr>
            </w:pPr>
            <w:r w:rsidRPr="00BE6284">
              <w:rPr>
                <w:rFonts w:eastAsia="Calibri"/>
              </w:rPr>
              <w:t>Tier 1- Toddler</w:t>
            </w:r>
          </w:p>
        </w:tc>
        <w:tc>
          <w:tcPr>
            <w:tcW w:w="2906" w:type="pct"/>
            <w:shd w:val="clear" w:color="auto" w:fill="auto"/>
            <w:tcMar>
              <w:top w:w="57" w:type="dxa"/>
              <w:bottom w:w="57" w:type="dxa"/>
            </w:tcMar>
          </w:tcPr>
          <w:p w14:paraId="72DB8CCA" w14:textId="77777777" w:rsidR="007E3A44" w:rsidRPr="00FD2055" w:rsidRDefault="007E3A44" w:rsidP="00F96662">
            <w:pPr>
              <w:pStyle w:val="Standaard-Tabellen"/>
              <w:rPr>
                <w:rFonts w:eastAsia="Calibri"/>
              </w:rPr>
            </w:pPr>
            <w:r w:rsidRPr="00190CFC">
              <w:rPr>
                <w:rFonts w:eastAsia="Calibri"/>
              </w:rPr>
              <w:t>Factor for oral intake by hand-mouth transfer</w:t>
            </w:r>
            <w:r>
              <w:rPr>
                <w:rFonts w:eastAsia="Calibri"/>
                <w:vertAlign w:val="superscript"/>
              </w:rPr>
              <w:t>2</w:t>
            </w:r>
            <w:r w:rsidRPr="00190CFC">
              <w:rPr>
                <w:rFonts w:eastAsia="Calibri"/>
              </w:rPr>
              <w:t xml:space="preserve">  </w:t>
            </w:r>
          </w:p>
        </w:tc>
        <w:tc>
          <w:tcPr>
            <w:tcW w:w="735" w:type="pct"/>
            <w:shd w:val="clear" w:color="auto" w:fill="auto"/>
            <w:tcMar>
              <w:top w:w="57" w:type="dxa"/>
              <w:bottom w:w="57" w:type="dxa"/>
            </w:tcMar>
          </w:tcPr>
          <w:p w14:paraId="6BB51A77" w14:textId="7E341B7C" w:rsidR="007E3A44" w:rsidRPr="00FD2055" w:rsidRDefault="00A80E60" w:rsidP="00F96662">
            <w:pPr>
              <w:pStyle w:val="Standaard-Tabellen"/>
              <w:rPr>
                <w:rFonts w:eastAsia="Calibri"/>
              </w:rPr>
            </w:pPr>
            <w:r>
              <w:rPr>
                <w:rFonts w:eastAsia="Calibri"/>
              </w:rPr>
              <w:t xml:space="preserve">29 </w:t>
            </w:r>
            <w:r w:rsidR="007E3A44">
              <w:rPr>
                <w:rFonts w:eastAsia="Calibri"/>
              </w:rPr>
              <w:t>%</w:t>
            </w:r>
          </w:p>
        </w:tc>
      </w:tr>
      <w:tr w:rsidR="007E3A44" w:rsidRPr="00FD2055" w14:paraId="2803B10A" w14:textId="77777777" w:rsidTr="00F96662">
        <w:trPr>
          <w:tblHeader/>
        </w:trPr>
        <w:tc>
          <w:tcPr>
            <w:tcW w:w="1359" w:type="pct"/>
            <w:vMerge/>
            <w:tcMar>
              <w:top w:w="57" w:type="dxa"/>
              <w:bottom w:w="57" w:type="dxa"/>
            </w:tcMar>
          </w:tcPr>
          <w:p w14:paraId="31A05E1C" w14:textId="77777777" w:rsidR="007E3A44" w:rsidRPr="00FD2055" w:rsidRDefault="007E3A44" w:rsidP="00F96662">
            <w:pPr>
              <w:pStyle w:val="Standaard-Tabellen"/>
              <w:rPr>
                <w:rFonts w:eastAsia="Calibri"/>
              </w:rPr>
            </w:pPr>
          </w:p>
        </w:tc>
        <w:tc>
          <w:tcPr>
            <w:tcW w:w="2906" w:type="pct"/>
            <w:shd w:val="clear" w:color="auto" w:fill="auto"/>
            <w:tcMar>
              <w:top w:w="57" w:type="dxa"/>
              <w:bottom w:w="57" w:type="dxa"/>
            </w:tcMar>
          </w:tcPr>
          <w:p w14:paraId="70473023" w14:textId="77777777" w:rsidR="007E3A44" w:rsidRPr="00FD2055" w:rsidRDefault="007E3A44" w:rsidP="00F96662">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735" w:type="pct"/>
            <w:shd w:val="clear" w:color="auto" w:fill="auto"/>
            <w:tcMar>
              <w:top w:w="57" w:type="dxa"/>
              <w:bottom w:w="57" w:type="dxa"/>
            </w:tcMar>
          </w:tcPr>
          <w:p w14:paraId="760E91FE" w14:textId="77777777" w:rsidR="007E3A44" w:rsidRPr="00FD2055" w:rsidRDefault="007E3A44" w:rsidP="00F96662">
            <w:pPr>
              <w:pStyle w:val="Standaard-Tabellen"/>
              <w:rPr>
                <w:rFonts w:eastAsia="Calibri"/>
              </w:rPr>
            </w:pPr>
            <w:r>
              <w:rPr>
                <w:rFonts w:eastAsia="Calibri"/>
              </w:rPr>
              <w:t>10 kg</w:t>
            </w:r>
          </w:p>
        </w:tc>
      </w:tr>
      <w:tr w:rsidR="007E3A44" w:rsidRPr="00FD2055" w14:paraId="5FDEBE3F" w14:textId="77777777" w:rsidTr="00F96662">
        <w:trPr>
          <w:tblHeader/>
        </w:trPr>
        <w:tc>
          <w:tcPr>
            <w:tcW w:w="1359" w:type="pct"/>
            <w:vMerge/>
            <w:tcMar>
              <w:top w:w="57" w:type="dxa"/>
              <w:bottom w:w="57" w:type="dxa"/>
            </w:tcMar>
          </w:tcPr>
          <w:p w14:paraId="30AB9889" w14:textId="77777777" w:rsidR="007E3A44" w:rsidRPr="00FD2055" w:rsidRDefault="007E3A44" w:rsidP="00F96662">
            <w:pPr>
              <w:pStyle w:val="Standaard-Tabellen"/>
              <w:rPr>
                <w:rFonts w:eastAsia="Calibri"/>
              </w:rPr>
            </w:pPr>
          </w:p>
        </w:tc>
        <w:tc>
          <w:tcPr>
            <w:tcW w:w="2906" w:type="pct"/>
            <w:shd w:val="clear" w:color="auto" w:fill="auto"/>
            <w:tcMar>
              <w:top w:w="57" w:type="dxa"/>
              <w:bottom w:w="57" w:type="dxa"/>
            </w:tcMar>
          </w:tcPr>
          <w:p w14:paraId="420799AF" w14:textId="77777777" w:rsidR="007E3A44" w:rsidRPr="00FD2055" w:rsidRDefault="007E3A44" w:rsidP="00F96662">
            <w:pPr>
              <w:pStyle w:val="Standaard-Tabellen"/>
              <w:rPr>
                <w:rFonts w:eastAsia="Calibri"/>
              </w:rPr>
            </w:pPr>
            <w:r w:rsidRPr="00FB7CBD">
              <w:rPr>
                <w:rFonts w:eastAsia="Calibri"/>
              </w:rPr>
              <w:t>Amount of biocidal product/ application</w:t>
            </w:r>
            <w:r>
              <w:rPr>
                <w:rFonts w:eastAsia="Calibri"/>
                <w:vertAlign w:val="superscript"/>
              </w:rPr>
              <w:t>1</w:t>
            </w:r>
          </w:p>
        </w:tc>
        <w:tc>
          <w:tcPr>
            <w:tcW w:w="735" w:type="pct"/>
            <w:shd w:val="clear" w:color="auto" w:fill="auto"/>
            <w:tcMar>
              <w:top w:w="57" w:type="dxa"/>
              <w:bottom w:w="57" w:type="dxa"/>
            </w:tcMar>
          </w:tcPr>
          <w:p w14:paraId="389FA737" w14:textId="300F503F" w:rsidR="007E3A44" w:rsidRPr="00FD2055" w:rsidRDefault="007E3A44" w:rsidP="00A80E60">
            <w:pPr>
              <w:pStyle w:val="Standaard-Tabellen"/>
              <w:rPr>
                <w:rFonts w:eastAsia="Calibri"/>
              </w:rPr>
            </w:pPr>
            <w:r>
              <w:rPr>
                <w:rFonts w:eastAsia="Calibri"/>
              </w:rPr>
              <w:t>0.</w:t>
            </w:r>
            <w:r w:rsidR="00A80E60">
              <w:rPr>
                <w:rFonts w:eastAsia="Calibri"/>
              </w:rPr>
              <w:t xml:space="preserve">5 </w:t>
            </w:r>
            <w:r>
              <w:rPr>
                <w:rFonts w:eastAsia="Calibri"/>
              </w:rPr>
              <w:t>g</w:t>
            </w:r>
          </w:p>
        </w:tc>
      </w:tr>
      <w:tr w:rsidR="007E3A44" w:rsidRPr="00FD2055" w14:paraId="648088A2" w14:textId="77777777" w:rsidTr="00F96662">
        <w:trPr>
          <w:tblHeader/>
        </w:trPr>
        <w:tc>
          <w:tcPr>
            <w:tcW w:w="1359" w:type="pct"/>
            <w:vMerge w:val="restart"/>
            <w:tcMar>
              <w:top w:w="57" w:type="dxa"/>
              <w:bottom w:w="57" w:type="dxa"/>
            </w:tcMar>
          </w:tcPr>
          <w:p w14:paraId="7F356BD9" w14:textId="77777777" w:rsidR="007E3A44" w:rsidRPr="00FD2055" w:rsidRDefault="007E3A44" w:rsidP="00F96662">
            <w:pPr>
              <w:pStyle w:val="Standaard-Tabellen"/>
              <w:rPr>
                <w:rFonts w:eastAsia="Calibri"/>
              </w:rPr>
            </w:pPr>
            <w:r w:rsidRPr="00FB7CBD">
              <w:rPr>
                <w:rFonts w:eastAsia="Calibri"/>
              </w:rPr>
              <w:t>Tier 1- Infant</w:t>
            </w:r>
          </w:p>
        </w:tc>
        <w:tc>
          <w:tcPr>
            <w:tcW w:w="2906" w:type="pct"/>
            <w:shd w:val="clear" w:color="auto" w:fill="auto"/>
            <w:tcMar>
              <w:top w:w="57" w:type="dxa"/>
              <w:bottom w:w="57" w:type="dxa"/>
            </w:tcMar>
          </w:tcPr>
          <w:p w14:paraId="3F77526D" w14:textId="77777777" w:rsidR="007E3A44" w:rsidRPr="00FD2055" w:rsidRDefault="007E3A44" w:rsidP="00F96662">
            <w:pPr>
              <w:pStyle w:val="Standaard-Tabellen"/>
              <w:rPr>
                <w:rFonts w:eastAsia="Calibri"/>
              </w:rPr>
            </w:pPr>
            <w:r w:rsidRPr="00190CFC">
              <w:rPr>
                <w:rFonts w:eastAsia="Calibri"/>
              </w:rPr>
              <w:t>Factor for oral intake by hand-mouth transfer</w:t>
            </w:r>
            <w:r>
              <w:rPr>
                <w:rFonts w:eastAsia="Calibri"/>
                <w:vertAlign w:val="superscript"/>
              </w:rPr>
              <w:t>2</w:t>
            </w:r>
            <w:r w:rsidRPr="00190CFC">
              <w:rPr>
                <w:rFonts w:eastAsia="Calibri"/>
              </w:rPr>
              <w:t xml:space="preserve"> </w:t>
            </w:r>
          </w:p>
        </w:tc>
        <w:tc>
          <w:tcPr>
            <w:tcW w:w="735" w:type="pct"/>
            <w:shd w:val="clear" w:color="auto" w:fill="auto"/>
            <w:tcMar>
              <w:top w:w="57" w:type="dxa"/>
              <w:bottom w:w="57" w:type="dxa"/>
            </w:tcMar>
          </w:tcPr>
          <w:p w14:paraId="5FA1FD55" w14:textId="56863F73" w:rsidR="007E3A44" w:rsidRPr="00FD2055" w:rsidRDefault="00A80E60" w:rsidP="00F96662">
            <w:pPr>
              <w:pStyle w:val="Standaard-Tabellen"/>
              <w:rPr>
                <w:rFonts w:eastAsia="Calibri"/>
              </w:rPr>
            </w:pPr>
            <w:r>
              <w:rPr>
                <w:rFonts w:eastAsia="Calibri"/>
              </w:rPr>
              <w:t xml:space="preserve">29 </w:t>
            </w:r>
            <w:r w:rsidR="007E3A44">
              <w:rPr>
                <w:rFonts w:eastAsia="Calibri"/>
              </w:rPr>
              <w:t>%</w:t>
            </w:r>
          </w:p>
        </w:tc>
      </w:tr>
      <w:tr w:rsidR="007E3A44" w:rsidRPr="00FD2055" w14:paraId="0863B8D5" w14:textId="77777777" w:rsidTr="00F96662">
        <w:trPr>
          <w:tblHeader/>
        </w:trPr>
        <w:tc>
          <w:tcPr>
            <w:tcW w:w="1359" w:type="pct"/>
            <w:vMerge/>
            <w:tcMar>
              <w:top w:w="57" w:type="dxa"/>
              <w:bottom w:w="57" w:type="dxa"/>
            </w:tcMar>
          </w:tcPr>
          <w:p w14:paraId="32069821" w14:textId="77777777" w:rsidR="007E3A44" w:rsidRPr="00FD2055" w:rsidRDefault="007E3A44" w:rsidP="00F96662">
            <w:pPr>
              <w:pStyle w:val="Standaard-Tabellen"/>
              <w:rPr>
                <w:rFonts w:eastAsia="Calibri"/>
              </w:rPr>
            </w:pPr>
          </w:p>
        </w:tc>
        <w:tc>
          <w:tcPr>
            <w:tcW w:w="2906" w:type="pct"/>
            <w:shd w:val="clear" w:color="auto" w:fill="auto"/>
            <w:tcMar>
              <w:top w:w="57" w:type="dxa"/>
              <w:bottom w:w="57" w:type="dxa"/>
            </w:tcMar>
          </w:tcPr>
          <w:p w14:paraId="4206E555" w14:textId="77777777" w:rsidR="007E3A44" w:rsidRPr="00FD2055" w:rsidRDefault="007E3A44" w:rsidP="00F96662">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735" w:type="pct"/>
            <w:shd w:val="clear" w:color="auto" w:fill="auto"/>
            <w:tcMar>
              <w:top w:w="57" w:type="dxa"/>
              <w:bottom w:w="57" w:type="dxa"/>
            </w:tcMar>
          </w:tcPr>
          <w:p w14:paraId="1D98C253" w14:textId="77777777" w:rsidR="007E3A44" w:rsidRPr="00FD2055" w:rsidRDefault="007E3A44" w:rsidP="00F96662">
            <w:pPr>
              <w:pStyle w:val="Standaard-Tabellen"/>
              <w:rPr>
                <w:rFonts w:eastAsia="Calibri"/>
              </w:rPr>
            </w:pPr>
            <w:r>
              <w:rPr>
                <w:rFonts w:eastAsia="Calibri"/>
              </w:rPr>
              <w:t>8 kg</w:t>
            </w:r>
          </w:p>
        </w:tc>
      </w:tr>
      <w:tr w:rsidR="007E3A44" w:rsidRPr="00FD2055" w14:paraId="10C52916" w14:textId="77777777" w:rsidTr="00F96662">
        <w:trPr>
          <w:tblHeader/>
        </w:trPr>
        <w:tc>
          <w:tcPr>
            <w:tcW w:w="1359" w:type="pct"/>
            <w:vMerge/>
            <w:tcMar>
              <w:top w:w="57" w:type="dxa"/>
              <w:bottom w:w="57" w:type="dxa"/>
            </w:tcMar>
          </w:tcPr>
          <w:p w14:paraId="74B66C36" w14:textId="77777777" w:rsidR="007E3A44" w:rsidRPr="00FD2055" w:rsidRDefault="007E3A44" w:rsidP="00F96662">
            <w:pPr>
              <w:pStyle w:val="Standaard-Tabellen"/>
              <w:rPr>
                <w:rFonts w:eastAsia="Calibri"/>
              </w:rPr>
            </w:pPr>
          </w:p>
        </w:tc>
        <w:tc>
          <w:tcPr>
            <w:tcW w:w="2906" w:type="pct"/>
            <w:shd w:val="clear" w:color="auto" w:fill="auto"/>
            <w:tcMar>
              <w:top w:w="57" w:type="dxa"/>
              <w:bottom w:w="57" w:type="dxa"/>
            </w:tcMar>
          </w:tcPr>
          <w:p w14:paraId="15625399" w14:textId="77777777" w:rsidR="007E3A44" w:rsidRPr="00FD2055" w:rsidRDefault="007E3A44" w:rsidP="00F96662">
            <w:pPr>
              <w:pStyle w:val="Standaard-Tabellen"/>
              <w:rPr>
                <w:rFonts w:eastAsia="Calibri"/>
              </w:rPr>
            </w:pPr>
            <w:r w:rsidRPr="00FB7CBD">
              <w:rPr>
                <w:rFonts w:eastAsia="Calibri"/>
              </w:rPr>
              <w:t>Amount of biocidal product/ application</w:t>
            </w:r>
            <w:r>
              <w:rPr>
                <w:rFonts w:eastAsia="Calibri"/>
                <w:vertAlign w:val="superscript"/>
              </w:rPr>
              <w:t>1</w:t>
            </w:r>
          </w:p>
        </w:tc>
        <w:tc>
          <w:tcPr>
            <w:tcW w:w="735" w:type="pct"/>
            <w:shd w:val="clear" w:color="auto" w:fill="auto"/>
            <w:tcMar>
              <w:top w:w="57" w:type="dxa"/>
              <w:bottom w:w="57" w:type="dxa"/>
            </w:tcMar>
          </w:tcPr>
          <w:p w14:paraId="782DD159" w14:textId="773D1250" w:rsidR="007E3A44" w:rsidRPr="00FD2055" w:rsidRDefault="007E3A44" w:rsidP="00A80E60">
            <w:pPr>
              <w:pStyle w:val="Standaard-Tabellen"/>
              <w:rPr>
                <w:rFonts w:eastAsia="Calibri"/>
              </w:rPr>
            </w:pPr>
            <w:r>
              <w:rPr>
                <w:rFonts w:eastAsia="Calibri"/>
              </w:rPr>
              <w:t>0.</w:t>
            </w:r>
            <w:r w:rsidR="00A80E60">
              <w:rPr>
                <w:rFonts w:eastAsia="Calibri"/>
              </w:rPr>
              <w:t xml:space="preserve">5 </w:t>
            </w:r>
            <w:r>
              <w:rPr>
                <w:rFonts w:eastAsia="Calibri"/>
              </w:rPr>
              <w:t>g</w:t>
            </w:r>
          </w:p>
        </w:tc>
      </w:tr>
    </w:tbl>
    <w:p w14:paraId="76C5FE3E" w14:textId="77777777" w:rsidR="007E3A44" w:rsidRDefault="007E3A44" w:rsidP="007E3A44">
      <w:pPr>
        <w:pStyle w:val="Voetnoot"/>
        <w:rPr>
          <w:rFonts w:eastAsia="Calibri"/>
        </w:rPr>
      </w:pPr>
      <w:r>
        <w:rPr>
          <w:rStyle w:val="Appelnotedebasdep"/>
          <w:rFonts w:eastAsia="Calibri"/>
          <w:vertAlign w:val="superscript"/>
        </w:rPr>
        <w:t xml:space="preserve">1 </w:t>
      </w:r>
      <w:r w:rsidRPr="00606070">
        <w:rPr>
          <w:rStyle w:val="Appelnotedebasdep"/>
          <w:rFonts w:eastAsia="Calibri"/>
        </w:rPr>
        <w:t>General information, see justification above</w:t>
      </w:r>
    </w:p>
    <w:p w14:paraId="24B774C8" w14:textId="7585953E" w:rsidR="007E3A44" w:rsidRDefault="007E3A44" w:rsidP="007E3A44">
      <w:pPr>
        <w:pStyle w:val="Voetnoot"/>
        <w:rPr>
          <w:rFonts w:eastAsia="Calibri"/>
        </w:rPr>
      </w:pPr>
      <w:r w:rsidRPr="00FA0BAC">
        <w:rPr>
          <w:rFonts w:eastAsia="Calibri"/>
          <w:vertAlign w:val="superscript"/>
        </w:rPr>
        <w:t>2</w:t>
      </w:r>
      <w:r>
        <w:rPr>
          <w:rFonts w:eastAsia="Calibri"/>
          <w:vertAlign w:val="superscript"/>
        </w:rPr>
        <w:t xml:space="preserve"> </w:t>
      </w:r>
      <w:r w:rsidRPr="009400D3">
        <w:rPr>
          <w:rStyle w:val="Appelnotedebasdep"/>
          <w:rFonts w:eastAsia="Calibri"/>
        </w:rPr>
        <w:t xml:space="preserve"> </w:t>
      </w:r>
      <w:r w:rsidR="00A80E60">
        <w:rPr>
          <w:rStyle w:val="Appelnotedebasdep"/>
          <w:rFonts w:eastAsia="Calibri"/>
        </w:rPr>
        <w:t>For repellent which could be applied on the uncovered parts of the body, 4</w:t>
      </w:r>
      <w:r w:rsidR="00A80E60" w:rsidRPr="00720D4C">
        <w:rPr>
          <w:rStyle w:val="Appelnotedebasdep"/>
          <w:rFonts w:eastAsia="Calibri"/>
        </w:rPr>
        <w:t xml:space="preserve">% </w:t>
      </w:r>
      <w:r w:rsidR="00A80E60">
        <w:rPr>
          <w:rStyle w:val="Appelnotedebasdep"/>
          <w:rFonts w:eastAsia="Calibri"/>
        </w:rPr>
        <w:t>for adults and 8 % for children are used (factor of the surface area of the fingers/hands reported to</w:t>
      </w:r>
      <w:r w:rsidR="00A80E60" w:rsidRPr="009C3717">
        <w:t xml:space="preserve"> </w:t>
      </w:r>
      <w:r w:rsidR="00A80E60" w:rsidRPr="009C3717">
        <w:rPr>
          <w:rStyle w:val="Appelnotedebasdep"/>
          <w:rFonts w:eastAsia="Calibri"/>
        </w:rPr>
        <w:t>the treated body surface</w:t>
      </w:r>
      <w:r w:rsidR="00A80E60">
        <w:rPr>
          <w:rStyle w:val="Appelnotedebasdep"/>
          <w:rFonts w:eastAsia="Calibri"/>
        </w:rPr>
        <w:t>)</w:t>
      </w:r>
      <w:r w:rsidR="00A80E60">
        <w:rPr>
          <w:rFonts w:eastAsia="Calibri"/>
        </w:rPr>
        <w:t>.</w:t>
      </w:r>
      <w:r w:rsidR="00A80E60">
        <w:rPr>
          <w:rStyle w:val="Appelnotedebasdep"/>
          <w:rFonts w:eastAsia="Calibri"/>
        </w:rPr>
        <w:t xml:space="preserve"> These factors cannot be used here since the product is applied only on head. The factor was calculated between the head and the palms of the hands (possible area for transfer of product, the transfer is considered to be 100%). For adults and children, this factor can be approximated by 40% and for toddlers and infants, it will be 29%</w:t>
      </w:r>
      <w:r w:rsidR="00A80E60">
        <w:rPr>
          <w:rFonts w:eastAsia="Calibri"/>
        </w:rPr>
        <w:t>.</w:t>
      </w:r>
    </w:p>
    <w:p w14:paraId="2D07D1A2" w14:textId="77777777" w:rsidR="007E3A44" w:rsidRDefault="007E3A44" w:rsidP="007E3A44">
      <w:pPr>
        <w:rPr>
          <w:rFonts w:eastAsia="Calibri"/>
        </w:rPr>
      </w:pPr>
    </w:p>
    <w:p w14:paraId="2001F770" w14:textId="77777777" w:rsidR="007E3A44" w:rsidRPr="00484F6D" w:rsidRDefault="007E3A44" w:rsidP="007E3A44">
      <w:pPr>
        <w:pStyle w:val="Titre7"/>
      </w:pPr>
      <w:r w:rsidRPr="00484F6D">
        <w:t>Calculations for scenario 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7"/>
        <w:gridCol w:w="2039"/>
        <w:gridCol w:w="4420"/>
      </w:tblGrid>
      <w:tr w:rsidR="007E3A44" w:rsidRPr="00C20709" w14:paraId="37EB2052" w14:textId="77777777" w:rsidTr="00F96662">
        <w:trPr>
          <w:cantSplit/>
          <w:trHeight w:val="594"/>
          <w:tblHeader/>
        </w:trPr>
        <w:tc>
          <w:tcPr>
            <w:tcW w:w="5000" w:type="pct"/>
            <w:gridSpan w:val="3"/>
            <w:shd w:val="clear" w:color="auto" w:fill="FFFFCC"/>
          </w:tcPr>
          <w:p w14:paraId="067E5763" w14:textId="77777777" w:rsidR="007E3A44" w:rsidRPr="00C20709" w:rsidRDefault="007E3A44" w:rsidP="00F96662">
            <w:pPr>
              <w:pStyle w:val="Standaard-Tabellen"/>
              <w:jc w:val="center"/>
              <w:rPr>
                <w:rFonts w:eastAsia="Calibri"/>
                <w:b/>
              </w:rPr>
            </w:pPr>
            <w:r w:rsidRPr="00485489">
              <w:rPr>
                <w:rFonts w:eastAsia="Calibri"/>
                <w:b/>
              </w:rPr>
              <w:t>Summary table: estimated exposure for Hand-mouth transfer reverse reference scenario (oral exposure)</w:t>
            </w:r>
          </w:p>
        </w:tc>
      </w:tr>
      <w:tr w:rsidR="007E3A44" w:rsidRPr="00C20709" w14:paraId="550840A8" w14:textId="77777777" w:rsidTr="00F96662">
        <w:trPr>
          <w:cantSplit/>
          <w:trHeight w:val="594"/>
          <w:tblHeader/>
        </w:trPr>
        <w:tc>
          <w:tcPr>
            <w:tcW w:w="1563" w:type="pct"/>
            <w:shd w:val="clear" w:color="auto" w:fill="BFBFBF" w:themeFill="background1" w:themeFillShade="BF"/>
          </w:tcPr>
          <w:p w14:paraId="5243BBD6" w14:textId="77777777" w:rsidR="007E3A44" w:rsidRPr="00C20709" w:rsidRDefault="007E3A44" w:rsidP="00F96662">
            <w:pPr>
              <w:pStyle w:val="Standaard-Tabellen"/>
              <w:rPr>
                <w:rFonts w:eastAsia="Calibri"/>
                <w:b/>
              </w:rPr>
            </w:pPr>
            <w:r w:rsidRPr="00C20709">
              <w:rPr>
                <w:rFonts w:eastAsia="Calibri"/>
                <w:b/>
              </w:rPr>
              <w:t>Exposure scenario</w:t>
            </w:r>
          </w:p>
        </w:tc>
        <w:tc>
          <w:tcPr>
            <w:tcW w:w="1085" w:type="pct"/>
            <w:shd w:val="clear" w:color="auto" w:fill="BFBFBF" w:themeFill="background1" w:themeFillShade="BF"/>
          </w:tcPr>
          <w:p w14:paraId="0B89D69D" w14:textId="77777777" w:rsidR="007E3A44" w:rsidRPr="00C20709" w:rsidRDefault="007E3A44" w:rsidP="00F96662">
            <w:pPr>
              <w:pStyle w:val="Standaard-Tabellen"/>
              <w:rPr>
                <w:rFonts w:eastAsia="Calibri"/>
                <w:b/>
              </w:rPr>
            </w:pPr>
            <w:r w:rsidRPr="00C20709">
              <w:rPr>
                <w:rFonts w:eastAsia="Calibri"/>
                <w:b/>
              </w:rPr>
              <w:t>Tier/PPE</w:t>
            </w:r>
          </w:p>
        </w:tc>
        <w:tc>
          <w:tcPr>
            <w:tcW w:w="2352" w:type="pct"/>
            <w:shd w:val="clear" w:color="auto" w:fill="BFBFBF" w:themeFill="background1" w:themeFillShade="BF"/>
          </w:tcPr>
          <w:p w14:paraId="41FAFEA8" w14:textId="77777777" w:rsidR="007E3A44" w:rsidRPr="00C20709" w:rsidRDefault="007E3A44" w:rsidP="00F96662">
            <w:pPr>
              <w:pStyle w:val="Standaard-Tabellen"/>
              <w:rPr>
                <w:rFonts w:eastAsia="Calibri"/>
                <w:b/>
              </w:rPr>
            </w:pPr>
            <w:r w:rsidRPr="001C4A1C">
              <w:rPr>
                <w:rFonts w:eastAsia="Calibri"/>
                <w:b/>
              </w:rPr>
              <w:t>Calculated exposure to IR3535</w:t>
            </w:r>
            <w:r w:rsidRPr="001C4A1C">
              <w:rPr>
                <w:rFonts w:eastAsia="Calibri"/>
                <w:b/>
                <w:vertAlign w:val="superscript"/>
              </w:rPr>
              <w:t>®</w:t>
            </w:r>
          </w:p>
        </w:tc>
      </w:tr>
      <w:tr w:rsidR="00A80E60" w:rsidRPr="00FD2055" w14:paraId="1DFFA89D" w14:textId="77777777" w:rsidTr="00F96662">
        <w:trPr>
          <w:cantSplit/>
          <w:trHeight w:val="391"/>
          <w:tblHeader/>
        </w:trPr>
        <w:tc>
          <w:tcPr>
            <w:tcW w:w="1563" w:type="pct"/>
            <w:shd w:val="clear" w:color="auto" w:fill="auto"/>
          </w:tcPr>
          <w:p w14:paraId="38A54DC4" w14:textId="77777777" w:rsidR="00A80E60" w:rsidRPr="00FD2055" w:rsidRDefault="00A80E60" w:rsidP="00A80E60">
            <w:pPr>
              <w:pStyle w:val="Standaard-Tabellen"/>
              <w:rPr>
                <w:rFonts w:eastAsia="Calibri"/>
              </w:rPr>
            </w:pPr>
            <w:r w:rsidRPr="00FD2055">
              <w:rPr>
                <w:rFonts w:eastAsia="Calibri"/>
              </w:rPr>
              <w:t xml:space="preserve">Scenario </w:t>
            </w:r>
            <w:r>
              <w:rPr>
                <w:rFonts w:eastAsia="Calibri"/>
              </w:rPr>
              <w:t>3 – ADULT</w:t>
            </w:r>
          </w:p>
        </w:tc>
        <w:tc>
          <w:tcPr>
            <w:tcW w:w="1085" w:type="pct"/>
          </w:tcPr>
          <w:p w14:paraId="38A51EC9" w14:textId="77777777" w:rsidR="00A80E60" w:rsidRPr="00FD2055" w:rsidRDefault="00A80E60" w:rsidP="00A80E60">
            <w:pPr>
              <w:pStyle w:val="Standaard-Tabellen"/>
              <w:rPr>
                <w:rFonts w:eastAsia="Calibri"/>
              </w:rPr>
            </w:pPr>
            <w:r>
              <w:rPr>
                <w:rFonts w:eastAsia="Calibri"/>
              </w:rPr>
              <w:t xml:space="preserve">Tier 1 / no PPE </w:t>
            </w:r>
          </w:p>
        </w:tc>
        <w:tc>
          <w:tcPr>
            <w:tcW w:w="2352" w:type="pct"/>
          </w:tcPr>
          <w:p w14:paraId="319AE2E8" w14:textId="55EDF3B2" w:rsidR="00A80E60" w:rsidRPr="00FD2055" w:rsidRDefault="00A80E60" w:rsidP="00A80E60">
            <w:pPr>
              <w:pStyle w:val="Standaard-Tabellen"/>
              <w:rPr>
                <w:rFonts w:eastAsia="Calibri"/>
              </w:rPr>
            </w:pPr>
            <w:r w:rsidRPr="001C4A1C">
              <w:rPr>
                <w:rFonts w:eastAsia="Calibri"/>
              </w:rPr>
              <w:t xml:space="preserve">Adult up to </w:t>
            </w:r>
            <w:r>
              <w:rPr>
                <w:rFonts w:eastAsia="Calibri"/>
              </w:rPr>
              <w:t>3.57</w:t>
            </w:r>
            <w:r w:rsidRPr="001C4A1C">
              <w:rPr>
                <w:rFonts w:eastAsia="Calibri"/>
              </w:rPr>
              <w:t xml:space="preserve"> applications</w:t>
            </w:r>
          </w:p>
        </w:tc>
      </w:tr>
      <w:tr w:rsidR="00A80E60" w:rsidRPr="00FD2055" w14:paraId="2085B371" w14:textId="77777777" w:rsidTr="00F96662">
        <w:trPr>
          <w:cantSplit/>
          <w:trHeight w:val="391"/>
          <w:tblHeader/>
        </w:trPr>
        <w:tc>
          <w:tcPr>
            <w:tcW w:w="1563" w:type="pct"/>
            <w:shd w:val="clear" w:color="auto" w:fill="auto"/>
          </w:tcPr>
          <w:p w14:paraId="73F449B3" w14:textId="77777777" w:rsidR="00A80E60" w:rsidRPr="00FD2055" w:rsidRDefault="00A80E60" w:rsidP="00A80E60">
            <w:pPr>
              <w:pStyle w:val="Standaard-Tabellen"/>
              <w:rPr>
                <w:rFonts w:eastAsia="Calibri"/>
              </w:rPr>
            </w:pPr>
            <w:r w:rsidRPr="00FD2055">
              <w:rPr>
                <w:rFonts w:eastAsia="Calibri"/>
              </w:rPr>
              <w:t xml:space="preserve">Scenario </w:t>
            </w:r>
            <w:r>
              <w:rPr>
                <w:rFonts w:eastAsia="Calibri"/>
              </w:rPr>
              <w:t>3 – CHILD</w:t>
            </w:r>
          </w:p>
        </w:tc>
        <w:tc>
          <w:tcPr>
            <w:tcW w:w="1085" w:type="pct"/>
          </w:tcPr>
          <w:p w14:paraId="7DBC60D8" w14:textId="77777777" w:rsidR="00A80E60" w:rsidRPr="00FD2055" w:rsidRDefault="00A80E60" w:rsidP="00A80E60">
            <w:pPr>
              <w:pStyle w:val="Standaard-Tabellen"/>
              <w:rPr>
                <w:rFonts w:eastAsia="Calibri"/>
              </w:rPr>
            </w:pPr>
            <w:r>
              <w:rPr>
                <w:rFonts w:eastAsia="Calibri"/>
              </w:rPr>
              <w:t xml:space="preserve">Tier 1 / </w:t>
            </w:r>
            <w:r w:rsidRPr="00B41694">
              <w:rPr>
                <w:rFonts w:eastAsia="Calibri"/>
              </w:rPr>
              <w:t>no PPE</w:t>
            </w:r>
          </w:p>
        </w:tc>
        <w:tc>
          <w:tcPr>
            <w:tcW w:w="2352" w:type="pct"/>
          </w:tcPr>
          <w:p w14:paraId="3EDC3262" w14:textId="23BFD761" w:rsidR="00A80E60" w:rsidRPr="00FD2055" w:rsidRDefault="00A80E60" w:rsidP="00A80E60">
            <w:pPr>
              <w:pStyle w:val="Standaard-Tabellen"/>
              <w:rPr>
                <w:rFonts w:eastAsia="Calibri"/>
              </w:rPr>
            </w:pPr>
            <w:r w:rsidRPr="001C4A1C">
              <w:rPr>
                <w:rFonts w:eastAsia="Calibri"/>
              </w:rPr>
              <w:t xml:space="preserve">Child up to </w:t>
            </w:r>
            <w:r>
              <w:rPr>
                <w:rFonts w:eastAsia="Calibri"/>
              </w:rPr>
              <w:t>2.99</w:t>
            </w:r>
            <w:r w:rsidRPr="001C4A1C">
              <w:rPr>
                <w:rFonts w:eastAsia="Calibri"/>
              </w:rPr>
              <w:t xml:space="preserve"> applications</w:t>
            </w:r>
          </w:p>
        </w:tc>
      </w:tr>
      <w:tr w:rsidR="00A80E60" w:rsidRPr="00FD2055" w14:paraId="374E44F4" w14:textId="77777777" w:rsidTr="00F96662">
        <w:trPr>
          <w:cantSplit/>
          <w:trHeight w:val="391"/>
          <w:tblHeader/>
        </w:trPr>
        <w:tc>
          <w:tcPr>
            <w:tcW w:w="1563" w:type="pct"/>
            <w:shd w:val="clear" w:color="auto" w:fill="auto"/>
          </w:tcPr>
          <w:p w14:paraId="4441C7B9" w14:textId="77777777" w:rsidR="00A80E60" w:rsidRPr="00FD2055" w:rsidRDefault="00A80E60" w:rsidP="00A80E60">
            <w:pPr>
              <w:pStyle w:val="Standaard-Tabellen"/>
              <w:rPr>
                <w:rFonts w:eastAsia="Calibri"/>
              </w:rPr>
            </w:pPr>
            <w:r>
              <w:rPr>
                <w:rFonts w:eastAsia="Calibri"/>
              </w:rPr>
              <w:t>Scenario 3</w:t>
            </w:r>
            <w:r w:rsidRPr="00B41694">
              <w:rPr>
                <w:rFonts w:eastAsia="Calibri"/>
              </w:rPr>
              <w:t xml:space="preserve"> </w:t>
            </w:r>
            <w:r>
              <w:rPr>
                <w:rFonts w:eastAsia="Calibri"/>
              </w:rPr>
              <w:t>–</w:t>
            </w:r>
            <w:r w:rsidRPr="00B41694">
              <w:rPr>
                <w:rFonts w:eastAsia="Calibri"/>
              </w:rPr>
              <w:t xml:space="preserve"> </w:t>
            </w:r>
            <w:r>
              <w:rPr>
                <w:rFonts w:eastAsia="Calibri"/>
              </w:rPr>
              <w:t>TODDLER</w:t>
            </w:r>
          </w:p>
        </w:tc>
        <w:tc>
          <w:tcPr>
            <w:tcW w:w="1085" w:type="pct"/>
          </w:tcPr>
          <w:p w14:paraId="2A97DD99" w14:textId="77777777" w:rsidR="00A80E60" w:rsidRPr="00FD2055" w:rsidRDefault="00A80E60" w:rsidP="00A80E60">
            <w:pPr>
              <w:pStyle w:val="Standaard-Tabellen"/>
              <w:rPr>
                <w:rFonts w:eastAsia="Calibri"/>
              </w:rPr>
            </w:pPr>
            <w:r>
              <w:rPr>
                <w:rFonts w:eastAsia="Calibri"/>
              </w:rPr>
              <w:t xml:space="preserve">Tier 1 / </w:t>
            </w:r>
            <w:r w:rsidRPr="00B41694">
              <w:rPr>
                <w:rFonts w:eastAsia="Calibri"/>
              </w:rPr>
              <w:t>no PPE</w:t>
            </w:r>
          </w:p>
        </w:tc>
        <w:tc>
          <w:tcPr>
            <w:tcW w:w="2352" w:type="pct"/>
          </w:tcPr>
          <w:p w14:paraId="1F1D04CF" w14:textId="5C255FA6" w:rsidR="00A80E60" w:rsidRPr="00FD2055" w:rsidRDefault="00A80E60" w:rsidP="00A80E60">
            <w:pPr>
              <w:pStyle w:val="Standaard-Tabellen"/>
              <w:rPr>
                <w:rFonts w:eastAsia="Calibri"/>
              </w:rPr>
            </w:pPr>
            <w:r>
              <w:rPr>
                <w:rFonts w:eastAsia="Calibri"/>
              </w:rPr>
              <w:t>Toddler</w:t>
            </w:r>
            <w:r w:rsidRPr="001C4A1C">
              <w:rPr>
                <w:rFonts w:eastAsia="Calibri"/>
              </w:rPr>
              <w:t xml:space="preserve"> up to </w:t>
            </w:r>
            <w:r>
              <w:rPr>
                <w:rFonts w:eastAsia="Calibri"/>
              </w:rPr>
              <w:t xml:space="preserve">1.72 </w:t>
            </w:r>
            <w:r w:rsidRPr="001C4A1C">
              <w:rPr>
                <w:rFonts w:eastAsia="Calibri"/>
              </w:rPr>
              <w:t>applications</w:t>
            </w:r>
          </w:p>
        </w:tc>
      </w:tr>
      <w:tr w:rsidR="00A80E60" w:rsidRPr="00FD2055" w14:paraId="42D0F67E" w14:textId="77777777" w:rsidTr="00F96662">
        <w:trPr>
          <w:cantSplit/>
          <w:trHeight w:val="391"/>
          <w:tblHeader/>
        </w:trPr>
        <w:tc>
          <w:tcPr>
            <w:tcW w:w="1563" w:type="pct"/>
            <w:shd w:val="clear" w:color="auto" w:fill="auto"/>
          </w:tcPr>
          <w:p w14:paraId="50B8109E" w14:textId="77777777" w:rsidR="00A80E60" w:rsidRPr="00FD2055" w:rsidRDefault="00A80E60" w:rsidP="00A80E60">
            <w:pPr>
              <w:pStyle w:val="Standaard-Tabellen"/>
              <w:rPr>
                <w:rFonts w:eastAsia="Calibri"/>
              </w:rPr>
            </w:pPr>
            <w:r>
              <w:rPr>
                <w:rFonts w:eastAsia="Calibri"/>
              </w:rPr>
              <w:t>Scenario 3 – INFANT</w:t>
            </w:r>
          </w:p>
        </w:tc>
        <w:tc>
          <w:tcPr>
            <w:tcW w:w="1085" w:type="pct"/>
          </w:tcPr>
          <w:p w14:paraId="40625E48" w14:textId="77777777" w:rsidR="00A80E60" w:rsidRPr="00FD2055" w:rsidRDefault="00A80E60" w:rsidP="00A80E60">
            <w:pPr>
              <w:pStyle w:val="Standaard-Tabellen"/>
              <w:rPr>
                <w:rFonts w:eastAsia="Calibri"/>
              </w:rPr>
            </w:pPr>
            <w:r>
              <w:rPr>
                <w:rFonts w:eastAsia="Calibri"/>
              </w:rPr>
              <w:t xml:space="preserve">Tier 1 / </w:t>
            </w:r>
            <w:r w:rsidRPr="00B41694">
              <w:rPr>
                <w:rFonts w:eastAsia="Calibri"/>
              </w:rPr>
              <w:t>no PPE</w:t>
            </w:r>
          </w:p>
        </w:tc>
        <w:tc>
          <w:tcPr>
            <w:tcW w:w="2352" w:type="pct"/>
          </w:tcPr>
          <w:p w14:paraId="18C7C4AE" w14:textId="729C0595" w:rsidR="00A80E60" w:rsidRPr="00FD2055" w:rsidRDefault="00A80E60" w:rsidP="00A80E60">
            <w:pPr>
              <w:pStyle w:val="Standaard-Tabellen"/>
              <w:rPr>
                <w:rFonts w:eastAsia="Calibri"/>
              </w:rPr>
            </w:pPr>
            <w:r w:rsidRPr="001C4A1C">
              <w:rPr>
                <w:rFonts w:eastAsia="Calibri"/>
              </w:rPr>
              <w:t xml:space="preserve">Infant up to </w:t>
            </w:r>
            <w:r>
              <w:rPr>
                <w:rFonts w:eastAsia="Calibri"/>
              </w:rPr>
              <w:t>1.38</w:t>
            </w:r>
            <w:r w:rsidRPr="001C4A1C">
              <w:rPr>
                <w:rFonts w:eastAsia="Calibri"/>
              </w:rPr>
              <w:t xml:space="preserve"> applications</w:t>
            </w:r>
          </w:p>
        </w:tc>
      </w:tr>
    </w:tbl>
    <w:p w14:paraId="658D0ADA" w14:textId="42B5645E" w:rsidR="007E3A44" w:rsidRDefault="007E3A44" w:rsidP="007E3A44">
      <w:pPr>
        <w:rPr>
          <w:rFonts w:eastAsia="Calibri"/>
          <w:lang w:eastAsia="en-US"/>
        </w:rPr>
      </w:pPr>
    </w:p>
    <w:p w14:paraId="43D83347" w14:textId="37245597" w:rsidR="0083059C" w:rsidRDefault="0083059C" w:rsidP="007E3A44">
      <w:pPr>
        <w:rPr>
          <w:rFonts w:eastAsia="Calibri"/>
          <w:lang w:eastAsia="en-US"/>
        </w:rPr>
      </w:pPr>
    </w:p>
    <w:p w14:paraId="32A8E942" w14:textId="77777777" w:rsidR="0083059C" w:rsidRDefault="0083059C" w:rsidP="0083059C">
      <w:pPr>
        <w:rPr>
          <w:rFonts w:eastAsia="Calibri"/>
          <w:lang w:eastAsia="en-US"/>
        </w:rPr>
      </w:pPr>
    </w:p>
    <w:p w14:paraId="15095076" w14:textId="77777777" w:rsidR="0083059C" w:rsidRDefault="0083059C" w:rsidP="0083059C">
      <w:pPr>
        <w:rPr>
          <w:rFonts w:eastAsia="Calibri"/>
          <w:lang w:val="en-US" w:eastAsia="en-US"/>
        </w:rPr>
      </w:pPr>
    </w:p>
    <w:p w14:paraId="3B4B23AC" w14:textId="77777777" w:rsidR="002655EE" w:rsidRPr="007E29F8" w:rsidRDefault="002655EE" w:rsidP="002655EE">
      <w:pPr>
        <w:rPr>
          <w:rFonts w:eastAsia="Calibri"/>
          <w:lang w:eastAsia="en-US"/>
        </w:rPr>
      </w:pPr>
    </w:p>
    <w:p w14:paraId="0B4F564D" w14:textId="77777777" w:rsidR="008A2D32" w:rsidRPr="000A7410" w:rsidRDefault="008A2D32" w:rsidP="000A7410">
      <w:pPr>
        <w:pStyle w:val="Paragraphedeliste"/>
        <w:keepNext/>
        <w:numPr>
          <w:ilvl w:val="0"/>
          <w:numId w:val="68"/>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0A7410">
        <w:rPr>
          <w:rFonts w:eastAsia="Calibri"/>
          <w:b/>
          <w:lang w:eastAsia="en-US"/>
        </w:rPr>
        <w:t>MAJOR CHANGE FOR SPRAY REPULSIF IR200 – 2019 (FR CA)</w:t>
      </w:r>
    </w:p>
    <w:p w14:paraId="544184A8" w14:textId="77777777" w:rsidR="002655EE" w:rsidRPr="007E29F8" w:rsidRDefault="002655EE" w:rsidP="000A7410">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6"/>
        <w:jc w:val="both"/>
        <w:textAlignment w:val="baseline"/>
        <w:rPr>
          <w:rFonts w:cs="Arial"/>
          <w:b/>
          <w:spacing w:val="1"/>
          <w:u w:val="single"/>
          <w:lang w:eastAsia="fr-FR"/>
        </w:rPr>
      </w:pPr>
    </w:p>
    <w:p w14:paraId="708AFDB7" w14:textId="77777777" w:rsidR="002655EE" w:rsidRPr="007E29F8" w:rsidRDefault="002655EE" w:rsidP="000A7410">
      <w:pPr>
        <w:keepNext/>
        <w:widowControl w:val="0"/>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i/>
          <w:spacing w:val="1"/>
          <w:u w:val="single"/>
          <w:lang w:eastAsia="fr-FR"/>
        </w:rPr>
      </w:pPr>
      <w:r w:rsidRPr="007E29F8">
        <w:rPr>
          <w:rFonts w:cs="Arial"/>
          <w:i/>
          <w:spacing w:val="1"/>
          <w:u w:val="single"/>
          <w:lang w:eastAsia="fr-FR"/>
        </w:rPr>
        <w:t xml:space="preserve">Scenario [3]: </w:t>
      </w:r>
      <w:r w:rsidRPr="007E29F8">
        <w:rPr>
          <w:rFonts w:cs="Arial"/>
          <w:bCs/>
          <w:i/>
          <w:spacing w:val="1"/>
          <w:u w:val="single"/>
          <w:lang w:eastAsia="fr-FR"/>
        </w:rPr>
        <w:t>Post-application phase - Hand-to-mouth transfer</w:t>
      </w:r>
    </w:p>
    <w:p w14:paraId="1F3449C6" w14:textId="77777777" w:rsidR="002655EE" w:rsidRPr="007E29F8" w:rsidRDefault="002655EE" w:rsidP="008A2D32">
      <w:pPr>
        <w:keepNext/>
        <w:widowControl w:val="0"/>
        <w:kinsoku w:val="0"/>
        <w:overflowPunct w:val="0"/>
        <w:autoSpaceDE w:val="0"/>
        <w:autoSpaceDN w:val="0"/>
        <w:adjustRightInd w:val="0"/>
        <w:spacing w:before="0" w:after="0" w:line="290" w:lineRule="exact"/>
        <w:ind w:right="215"/>
        <w:jc w:val="both"/>
        <w:textAlignment w:val="baseline"/>
        <w:rPr>
          <w:rFonts w:cs="Arial"/>
          <w:b/>
          <w:i/>
          <w:spacing w:val="1"/>
          <w:u w:val="single"/>
          <w:lang w:eastAsia="fr-FR"/>
        </w:rPr>
      </w:pPr>
    </w:p>
    <w:tbl>
      <w:tblPr>
        <w:tblW w:w="504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3"/>
        <w:gridCol w:w="4723"/>
        <w:gridCol w:w="1276"/>
        <w:gridCol w:w="2815"/>
      </w:tblGrid>
      <w:tr w:rsidR="002655EE" w:rsidRPr="007E29F8" w14:paraId="540341A9" w14:textId="77777777" w:rsidTr="002655EE">
        <w:trPr>
          <w:trHeight w:val="103"/>
          <w:tblHeader/>
        </w:trPr>
        <w:tc>
          <w:tcPr>
            <w:tcW w:w="5000" w:type="pct"/>
            <w:gridSpan w:val="4"/>
            <w:shd w:val="clear" w:color="auto" w:fill="FFFFCC"/>
            <w:tcMar>
              <w:top w:w="57" w:type="dxa"/>
              <w:bottom w:w="57" w:type="dxa"/>
            </w:tcMar>
          </w:tcPr>
          <w:p w14:paraId="33FEE0CF" w14:textId="77777777" w:rsidR="002655EE" w:rsidRPr="007E29F8" w:rsidRDefault="002655EE" w:rsidP="002655EE">
            <w:pPr>
              <w:pStyle w:val="Standaard-Tabellen"/>
              <w:rPr>
                <w:rFonts w:eastAsia="Calibri"/>
                <w:b/>
                <w:sz w:val="20"/>
              </w:rPr>
            </w:pPr>
            <w:r w:rsidRPr="007E29F8">
              <w:rPr>
                <w:rFonts w:eastAsia="Calibri"/>
                <w:b/>
                <w:sz w:val="20"/>
              </w:rPr>
              <w:t>Description of Scenario 3</w:t>
            </w:r>
          </w:p>
        </w:tc>
      </w:tr>
      <w:tr w:rsidR="002655EE" w:rsidRPr="000A7410" w14:paraId="0001E7E7" w14:textId="77777777" w:rsidTr="000A7410">
        <w:trPr>
          <w:trHeight w:val="792"/>
          <w:tblHeader/>
        </w:trPr>
        <w:tc>
          <w:tcPr>
            <w:tcW w:w="5000" w:type="pct"/>
            <w:gridSpan w:val="4"/>
            <w:shd w:val="clear" w:color="auto" w:fill="FFFFFF" w:themeFill="background1"/>
            <w:tcMar>
              <w:top w:w="57" w:type="dxa"/>
              <w:bottom w:w="57" w:type="dxa"/>
            </w:tcMar>
          </w:tcPr>
          <w:p w14:paraId="1BFACFC8" w14:textId="77777777" w:rsidR="002655EE" w:rsidRPr="000A7410" w:rsidRDefault="002655EE" w:rsidP="000A7410">
            <w:pPr>
              <w:pStyle w:val="Standaard-Tabellen"/>
              <w:rPr>
                <w:rFonts w:eastAsia="Calibri"/>
              </w:rPr>
            </w:pPr>
            <w:r>
              <w:rPr>
                <w:rFonts w:eastAsia="Calibri"/>
              </w:rPr>
              <w:t>After application on the skin, a person</w:t>
            </w:r>
            <w:r w:rsidRPr="007E29F8">
              <w:rPr>
                <w:rFonts w:eastAsia="Calibri"/>
              </w:rPr>
              <w:t xml:space="preserve"> can be exposed orally to the biocidal product</w:t>
            </w:r>
            <w:r w:rsidRPr="000A7410">
              <w:rPr>
                <w:rFonts w:eastAsia="Calibri"/>
              </w:rPr>
              <w:t xml:space="preserve"> via</w:t>
            </w:r>
            <w:r w:rsidRPr="007E29F8">
              <w:rPr>
                <w:rFonts w:eastAsia="Calibri"/>
              </w:rPr>
              <w:t xml:space="preserve"> hand-to-mouth behaviour. Even if the product contains a bittering agent, a reverse scenario calculation was included, with the application rate of 0.8 mg/cm².</w:t>
            </w:r>
          </w:p>
        </w:tc>
      </w:tr>
      <w:tr w:rsidR="002655EE" w:rsidRPr="000A7410" w14:paraId="51AF994F" w14:textId="77777777" w:rsidTr="002655EE">
        <w:trPr>
          <w:trHeight w:val="103"/>
          <w:tblHeader/>
        </w:trPr>
        <w:tc>
          <w:tcPr>
            <w:tcW w:w="350" w:type="pct"/>
            <w:shd w:val="clear" w:color="auto" w:fill="BFBFBF" w:themeFill="background1" w:themeFillShade="BF"/>
            <w:tcMar>
              <w:top w:w="57" w:type="dxa"/>
              <w:bottom w:w="57" w:type="dxa"/>
            </w:tcMar>
          </w:tcPr>
          <w:p w14:paraId="642A3DE4" w14:textId="77777777" w:rsidR="002655EE" w:rsidRPr="000A7410" w:rsidRDefault="002655EE" w:rsidP="000A7410">
            <w:pPr>
              <w:pStyle w:val="Standaard-Tabellen"/>
              <w:rPr>
                <w:rFonts w:eastAsia="Calibri"/>
              </w:rPr>
            </w:pPr>
          </w:p>
        </w:tc>
        <w:tc>
          <w:tcPr>
            <w:tcW w:w="2492" w:type="pct"/>
            <w:shd w:val="clear" w:color="auto" w:fill="BFBFBF" w:themeFill="background1" w:themeFillShade="BF"/>
            <w:tcMar>
              <w:top w:w="57" w:type="dxa"/>
              <w:bottom w:w="57" w:type="dxa"/>
            </w:tcMar>
          </w:tcPr>
          <w:p w14:paraId="43953DC7" w14:textId="77777777" w:rsidR="002655EE" w:rsidRPr="000A7410" w:rsidRDefault="002655EE" w:rsidP="000A7410">
            <w:pPr>
              <w:pStyle w:val="Standaard-Tabellen"/>
              <w:rPr>
                <w:rFonts w:eastAsia="Calibri"/>
              </w:rPr>
            </w:pPr>
            <w:r w:rsidRPr="000A7410">
              <w:rPr>
                <w:rFonts w:eastAsia="Calibri"/>
              </w:rPr>
              <w:t>Parameters</w:t>
            </w:r>
          </w:p>
        </w:tc>
        <w:tc>
          <w:tcPr>
            <w:tcW w:w="673" w:type="pct"/>
            <w:shd w:val="clear" w:color="auto" w:fill="BFBFBF" w:themeFill="background1" w:themeFillShade="BF"/>
            <w:tcMar>
              <w:top w:w="57" w:type="dxa"/>
              <w:bottom w:w="57" w:type="dxa"/>
            </w:tcMar>
          </w:tcPr>
          <w:p w14:paraId="4F6FDCD9" w14:textId="77777777" w:rsidR="002655EE" w:rsidRPr="000A7410" w:rsidRDefault="002655EE" w:rsidP="000A7410">
            <w:pPr>
              <w:pStyle w:val="Standaard-Tabellen"/>
              <w:rPr>
                <w:rFonts w:eastAsia="Calibri"/>
              </w:rPr>
            </w:pPr>
            <w:r w:rsidRPr="000A7410">
              <w:rPr>
                <w:rFonts w:eastAsia="Calibri"/>
              </w:rPr>
              <w:t>Value</w:t>
            </w:r>
          </w:p>
        </w:tc>
        <w:tc>
          <w:tcPr>
            <w:tcW w:w="1485" w:type="pct"/>
            <w:shd w:val="clear" w:color="auto" w:fill="BFBFBF" w:themeFill="background1" w:themeFillShade="BF"/>
          </w:tcPr>
          <w:p w14:paraId="11785DB5" w14:textId="77777777" w:rsidR="002655EE" w:rsidRPr="000A7410" w:rsidRDefault="002655EE" w:rsidP="000A7410">
            <w:pPr>
              <w:pStyle w:val="Standaard-Tabellen"/>
              <w:rPr>
                <w:rFonts w:eastAsia="Calibri"/>
              </w:rPr>
            </w:pPr>
            <w:r w:rsidRPr="000A7410">
              <w:rPr>
                <w:rFonts w:eastAsia="Calibri"/>
              </w:rPr>
              <w:t>References</w:t>
            </w:r>
          </w:p>
        </w:tc>
      </w:tr>
      <w:tr w:rsidR="002655EE" w:rsidRPr="000A7410" w14:paraId="1730BA47" w14:textId="77777777" w:rsidTr="00FA1064">
        <w:trPr>
          <w:trHeight w:val="131"/>
          <w:tblHeader/>
        </w:trPr>
        <w:tc>
          <w:tcPr>
            <w:tcW w:w="350" w:type="pct"/>
            <w:vMerge w:val="restart"/>
            <w:shd w:val="clear" w:color="auto" w:fill="FFFFFF" w:themeFill="background1"/>
            <w:tcMar>
              <w:top w:w="57" w:type="dxa"/>
              <w:bottom w:w="57" w:type="dxa"/>
            </w:tcMar>
          </w:tcPr>
          <w:p w14:paraId="58993A26" w14:textId="77777777" w:rsidR="002655EE" w:rsidRPr="000A7410" w:rsidRDefault="002655EE" w:rsidP="00FA1064">
            <w:pPr>
              <w:pStyle w:val="Standaard-Tabellen"/>
              <w:rPr>
                <w:rFonts w:eastAsia="Calibri"/>
              </w:rPr>
            </w:pPr>
            <w:r w:rsidRPr="000A7410">
              <w:rPr>
                <w:rFonts w:eastAsia="Calibri"/>
              </w:rPr>
              <w:t>Tier 1</w:t>
            </w:r>
          </w:p>
        </w:tc>
        <w:tc>
          <w:tcPr>
            <w:tcW w:w="2492" w:type="pct"/>
            <w:shd w:val="clear" w:color="auto" w:fill="FFFFFF" w:themeFill="background1"/>
            <w:tcMar>
              <w:top w:w="57" w:type="dxa"/>
              <w:bottom w:w="57" w:type="dxa"/>
            </w:tcMar>
          </w:tcPr>
          <w:p w14:paraId="0958A477" w14:textId="77777777" w:rsidR="002655EE" w:rsidRPr="000A7410" w:rsidRDefault="002655EE" w:rsidP="00FA1064">
            <w:pPr>
              <w:pStyle w:val="Standaard-Tabellen"/>
              <w:rPr>
                <w:rFonts w:eastAsia="Calibri"/>
              </w:rPr>
            </w:pPr>
            <w:r w:rsidRPr="000A7410">
              <w:rPr>
                <w:rFonts w:eastAsia="Calibri"/>
              </w:rPr>
              <w:t>Oral absorption</w:t>
            </w:r>
          </w:p>
        </w:tc>
        <w:tc>
          <w:tcPr>
            <w:tcW w:w="673" w:type="pct"/>
            <w:shd w:val="clear" w:color="auto" w:fill="FFFFFF" w:themeFill="background1"/>
            <w:tcMar>
              <w:top w:w="57" w:type="dxa"/>
              <w:bottom w:w="57" w:type="dxa"/>
            </w:tcMar>
          </w:tcPr>
          <w:p w14:paraId="28AA28D9" w14:textId="77777777" w:rsidR="002655EE" w:rsidRPr="000A7410" w:rsidRDefault="002655EE" w:rsidP="00FA1064">
            <w:pPr>
              <w:pStyle w:val="Standaard-Tabellen"/>
              <w:rPr>
                <w:rFonts w:eastAsia="Calibri"/>
              </w:rPr>
            </w:pPr>
            <w:r w:rsidRPr="000A7410">
              <w:rPr>
                <w:rFonts w:eastAsia="Calibri"/>
              </w:rPr>
              <w:t>100%</w:t>
            </w:r>
          </w:p>
        </w:tc>
        <w:tc>
          <w:tcPr>
            <w:tcW w:w="1485" w:type="pct"/>
            <w:shd w:val="clear" w:color="auto" w:fill="FFFFFF" w:themeFill="background1"/>
            <w:vAlign w:val="center"/>
          </w:tcPr>
          <w:p w14:paraId="22EDC87A" w14:textId="77777777" w:rsidR="002655EE" w:rsidRPr="000A7410" w:rsidRDefault="002655EE" w:rsidP="00FA1064">
            <w:pPr>
              <w:pStyle w:val="Standaard-Tabellen"/>
              <w:rPr>
                <w:rFonts w:eastAsia="Calibri"/>
              </w:rPr>
            </w:pPr>
            <w:r w:rsidRPr="000A7410">
              <w:rPr>
                <w:rFonts w:eastAsia="Calibri"/>
              </w:rPr>
              <w:t>Default value</w:t>
            </w:r>
          </w:p>
        </w:tc>
      </w:tr>
      <w:tr w:rsidR="002655EE" w:rsidRPr="000A7410" w14:paraId="062BD0CD" w14:textId="77777777" w:rsidTr="00FA1064">
        <w:trPr>
          <w:trHeight w:val="155"/>
          <w:tblHeader/>
        </w:trPr>
        <w:tc>
          <w:tcPr>
            <w:tcW w:w="350" w:type="pct"/>
            <w:vMerge/>
            <w:shd w:val="clear" w:color="auto" w:fill="FFFFFF" w:themeFill="background1"/>
            <w:tcMar>
              <w:top w:w="57" w:type="dxa"/>
              <w:bottom w:w="57" w:type="dxa"/>
            </w:tcMar>
          </w:tcPr>
          <w:p w14:paraId="4366F3FC" w14:textId="77777777" w:rsidR="002655EE" w:rsidRPr="000A7410" w:rsidRDefault="002655EE" w:rsidP="00FA1064">
            <w:pPr>
              <w:pStyle w:val="Standaard-Tabellen"/>
              <w:rPr>
                <w:rFonts w:eastAsia="Calibri"/>
              </w:rPr>
            </w:pPr>
          </w:p>
        </w:tc>
        <w:tc>
          <w:tcPr>
            <w:tcW w:w="2492" w:type="pct"/>
            <w:shd w:val="clear" w:color="auto" w:fill="FFFFFF" w:themeFill="background1"/>
            <w:tcMar>
              <w:top w:w="57" w:type="dxa"/>
              <w:bottom w:w="57" w:type="dxa"/>
            </w:tcMar>
          </w:tcPr>
          <w:p w14:paraId="5FAADB3E" w14:textId="77777777" w:rsidR="002655EE" w:rsidRPr="000A7410" w:rsidRDefault="002655EE" w:rsidP="00FA1064">
            <w:pPr>
              <w:pStyle w:val="Standaard-Tabellen"/>
              <w:rPr>
                <w:rFonts w:eastAsia="Calibri"/>
              </w:rPr>
            </w:pPr>
            <w:r w:rsidRPr="000A7410">
              <w:rPr>
                <w:rFonts w:eastAsia="Calibri"/>
              </w:rPr>
              <w:t xml:space="preserve">% of active substance in biocidal product </w:t>
            </w:r>
          </w:p>
        </w:tc>
        <w:tc>
          <w:tcPr>
            <w:tcW w:w="673" w:type="pct"/>
            <w:shd w:val="clear" w:color="auto" w:fill="FFFFFF" w:themeFill="background1"/>
            <w:tcMar>
              <w:top w:w="57" w:type="dxa"/>
              <w:bottom w:w="57" w:type="dxa"/>
            </w:tcMar>
          </w:tcPr>
          <w:p w14:paraId="38A9CB6A" w14:textId="77777777" w:rsidR="002655EE" w:rsidRPr="000A7410" w:rsidRDefault="002655EE" w:rsidP="00FA1064">
            <w:pPr>
              <w:pStyle w:val="Standaard-Tabellen"/>
              <w:rPr>
                <w:rFonts w:eastAsia="Calibri"/>
              </w:rPr>
            </w:pPr>
            <w:r w:rsidRPr="000A7410">
              <w:rPr>
                <w:rFonts w:eastAsia="Calibri"/>
              </w:rPr>
              <w:t>20%</w:t>
            </w:r>
          </w:p>
        </w:tc>
        <w:tc>
          <w:tcPr>
            <w:tcW w:w="1485" w:type="pct"/>
            <w:shd w:val="clear" w:color="auto" w:fill="FFFFFF" w:themeFill="background1"/>
            <w:vAlign w:val="center"/>
          </w:tcPr>
          <w:p w14:paraId="64ED7EF1" w14:textId="77777777" w:rsidR="002655EE" w:rsidRPr="000A7410" w:rsidRDefault="002655EE" w:rsidP="00FA1064">
            <w:pPr>
              <w:pStyle w:val="Standaard-Tabellen"/>
              <w:rPr>
                <w:rFonts w:eastAsia="Calibri"/>
              </w:rPr>
            </w:pPr>
            <w:r w:rsidRPr="000A7410">
              <w:rPr>
                <w:rFonts w:eastAsia="Calibri"/>
              </w:rPr>
              <w:t>Applicant’s data</w:t>
            </w:r>
          </w:p>
        </w:tc>
      </w:tr>
      <w:tr w:rsidR="002655EE" w:rsidRPr="000A7410" w14:paraId="105D6B5B" w14:textId="77777777" w:rsidTr="00FA1064">
        <w:trPr>
          <w:trHeight w:val="160"/>
          <w:tblHeader/>
        </w:trPr>
        <w:tc>
          <w:tcPr>
            <w:tcW w:w="350" w:type="pct"/>
            <w:vMerge/>
            <w:shd w:val="clear" w:color="auto" w:fill="FFFFFF" w:themeFill="background1"/>
            <w:tcMar>
              <w:top w:w="57" w:type="dxa"/>
              <w:bottom w:w="57" w:type="dxa"/>
            </w:tcMar>
          </w:tcPr>
          <w:p w14:paraId="59F5F581" w14:textId="77777777" w:rsidR="002655EE" w:rsidRPr="000A7410" w:rsidRDefault="002655EE" w:rsidP="00FA1064">
            <w:pPr>
              <w:pStyle w:val="Standaard-Tabellen"/>
              <w:rPr>
                <w:rFonts w:eastAsia="Calibri"/>
              </w:rPr>
            </w:pPr>
          </w:p>
        </w:tc>
        <w:tc>
          <w:tcPr>
            <w:tcW w:w="2492" w:type="pct"/>
            <w:shd w:val="clear" w:color="auto" w:fill="FFFFFF" w:themeFill="background1"/>
            <w:tcMar>
              <w:top w:w="57" w:type="dxa"/>
              <w:bottom w:w="57" w:type="dxa"/>
            </w:tcMar>
          </w:tcPr>
          <w:p w14:paraId="4BD83612" w14:textId="77777777" w:rsidR="002655EE" w:rsidRPr="000A7410" w:rsidRDefault="002655EE" w:rsidP="00FA1064">
            <w:pPr>
              <w:pStyle w:val="Standaard-Tabellen"/>
              <w:rPr>
                <w:rFonts w:eastAsia="Calibri"/>
              </w:rPr>
            </w:pPr>
            <w:r w:rsidRPr="000A7410">
              <w:rPr>
                <w:rFonts w:eastAsia="Calibri"/>
              </w:rPr>
              <w:t>Application rate (mg/cm²)</w:t>
            </w:r>
          </w:p>
        </w:tc>
        <w:tc>
          <w:tcPr>
            <w:tcW w:w="673" w:type="pct"/>
            <w:shd w:val="clear" w:color="auto" w:fill="FFFFFF" w:themeFill="background1"/>
            <w:tcMar>
              <w:top w:w="57" w:type="dxa"/>
              <w:bottom w:w="57" w:type="dxa"/>
            </w:tcMar>
          </w:tcPr>
          <w:p w14:paraId="409F3312" w14:textId="77777777" w:rsidR="002655EE" w:rsidRPr="000A7410" w:rsidRDefault="002655EE" w:rsidP="00FA1064">
            <w:pPr>
              <w:pStyle w:val="Standaard-Tabellen"/>
              <w:rPr>
                <w:rFonts w:eastAsia="Calibri"/>
              </w:rPr>
            </w:pPr>
            <w:r w:rsidRPr="000A7410">
              <w:rPr>
                <w:rFonts w:eastAsia="Calibri"/>
              </w:rPr>
              <w:t>0.8</w:t>
            </w:r>
          </w:p>
        </w:tc>
        <w:tc>
          <w:tcPr>
            <w:tcW w:w="1485" w:type="pct"/>
            <w:shd w:val="clear" w:color="auto" w:fill="FFFFFF" w:themeFill="background1"/>
            <w:vAlign w:val="center"/>
          </w:tcPr>
          <w:p w14:paraId="36770DE9" w14:textId="77777777" w:rsidR="002655EE" w:rsidRPr="000A7410" w:rsidRDefault="002655EE" w:rsidP="00FA1064">
            <w:pPr>
              <w:pStyle w:val="Standaard-Tabellen"/>
              <w:rPr>
                <w:rFonts w:eastAsia="Calibri"/>
              </w:rPr>
            </w:pPr>
            <w:r w:rsidRPr="000A7410">
              <w:rPr>
                <w:rFonts w:eastAsia="Calibri"/>
              </w:rPr>
              <w:t>Applicant’s data</w:t>
            </w:r>
          </w:p>
        </w:tc>
      </w:tr>
      <w:tr w:rsidR="002655EE" w:rsidRPr="000A7410" w14:paraId="6FF37255" w14:textId="77777777" w:rsidTr="00FA1064">
        <w:trPr>
          <w:trHeight w:val="155"/>
          <w:tblHeader/>
        </w:trPr>
        <w:tc>
          <w:tcPr>
            <w:tcW w:w="350" w:type="pct"/>
            <w:vMerge/>
            <w:shd w:val="clear" w:color="auto" w:fill="FFFFFF" w:themeFill="background1"/>
            <w:tcMar>
              <w:top w:w="57" w:type="dxa"/>
              <w:bottom w:w="57" w:type="dxa"/>
            </w:tcMar>
          </w:tcPr>
          <w:p w14:paraId="6AEC2F03" w14:textId="77777777" w:rsidR="002655EE" w:rsidRPr="000A7410" w:rsidRDefault="002655EE" w:rsidP="00FA1064">
            <w:pPr>
              <w:pStyle w:val="Standaard-Tabellen"/>
              <w:rPr>
                <w:rFonts w:eastAsia="Calibri"/>
              </w:rPr>
            </w:pPr>
          </w:p>
        </w:tc>
        <w:tc>
          <w:tcPr>
            <w:tcW w:w="3165" w:type="pct"/>
            <w:gridSpan w:val="2"/>
            <w:shd w:val="clear" w:color="auto" w:fill="FFFFFF" w:themeFill="background1"/>
            <w:tcMar>
              <w:top w:w="57" w:type="dxa"/>
              <w:bottom w:w="57" w:type="dxa"/>
            </w:tcMar>
          </w:tcPr>
          <w:p w14:paraId="01D485B2" w14:textId="77777777" w:rsidR="002655EE" w:rsidRPr="000A7410" w:rsidRDefault="002655EE" w:rsidP="00FA1064">
            <w:pPr>
              <w:pStyle w:val="Standaard-Tabellen"/>
              <w:rPr>
                <w:rFonts w:eastAsia="Calibri"/>
              </w:rPr>
            </w:pPr>
            <w:r w:rsidRPr="000A7410">
              <w:rPr>
                <w:rFonts w:eastAsia="Calibri"/>
              </w:rPr>
              <w:t>Body weight (kg)</w:t>
            </w:r>
          </w:p>
        </w:tc>
        <w:tc>
          <w:tcPr>
            <w:tcW w:w="1485" w:type="pct"/>
            <w:vMerge w:val="restart"/>
            <w:shd w:val="clear" w:color="auto" w:fill="FFFFFF" w:themeFill="background1"/>
            <w:vAlign w:val="center"/>
          </w:tcPr>
          <w:p w14:paraId="5119BE07" w14:textId="77777777" w:rsidR="002655EE" w:rsidRPr="000A7410" w:rsidRDefault="002655EE" w:rsidP="00FA1064">
            <w:pPr>
              <w:pStyle w:val="Standaard-Tabellen"/>
              <w:rPr>
                <w:rFonts w:eastAsia="Calibri"/>
              </w:rPr>
            </w:pPr>
            <w:r w:rsidRPr="000A7410">
              <w:rPr>
                <w:rFonts w:eastAsia="Calibri"/>
              </w:rPr>
              <w:t>Recommendation no. 14, 2017</w:t>
            </w:r>
          </w:p>
          <w:p w14:paraId="639BED82" w14:textId="77777777" w:rsidR="002655EE" w:rsidRPr="000A7410" w:rsidRDefault="002655EE" w:rsidP="00FA1064">
            <w:pPr>
              <w:pStyle w:val="Standaard-Tabellen"/>
              <w:rPr>
                <w:rFonts w:eastAsia="Calibri"/>
              </w:rPr>
            </w:pPr>
          </w:p>
        </w:tc>
      </w:tr>
      <w:tr w:rsidR="002655EE" w:rsidRPr="000A7410" w14:paraId="09324C6F" w14:textId="77777777" w:rsidTr="00FA1064">
        <w:trPr>
          <w:trHeight w:val="155"/>
          <w:tblHeader/>
        </w:trPr>
        <w:tc>
          <w:tcPr>
            <w:tcW w:w="350" w:type="pct"/>
            <w:vMerge/>
            <w:shd w:val="clear" w:color="auto" w:fill="FFFFFF" w:themeFill="background1"/>
            <w:tcMar>
              <w:top w:w="57" w:type="dxa"/>
              <w:bottom w:w="57" w:type="dxa"/>
            </w:tcMar>
          </w:tcPr>
          <w:p w14:paraId="69762C79" w14:textId="77777777" w:rsidR="002655EE" w:rsidRPr="000A7410" w:rsidRDefault="002655EE" w:rsidP="00FA1064">
            <w:pPr>
              <w:pStyle w:val="Standaard-Tabellen"/>
              <w:rPr>
                <w:rFonts w:eastAsia="Calibri"/>
              </w:rPr>
            </w:pPr>
          </w:p>
        </w:tc>
        <w:tc>
          <w:tcPr>
            <w:tcW w:w="2492" w:type="pct"/>
            <w:shd w:val="clear" w:color="auto" w:fill="FFFFFF" w:themeFill="background1"/>
            <w:tcMar>
              <w:top w:w="57" w:type="dxa"/>
              <w:bottom w:w="57" w:type="dxa"/>
            </w:tcMar>
            <w:vAlign w:val="center"/>
          </w:tcPr>
          <w:p w14:paraId="75951910" w14:textId="77777777" w:rsidR="002655EE" w:rsidRPr="000A7410" w:rsidRDefault="002655EE" w:rsidP="00FA1064">
            <w:pPr>
              <w:pStyle w:val="Standaard-Tabellen"/>
              <w:rPr>
                <w:rFonts w:eastAsia="Calibri"/>
              </w:rPr>
            </w:pPr>
            <w:r w:rsidRPr="000A7410">
              <w:rPr>
                <w:rFonts w:eastAsia="Calibri"/>
              </w:rPr>
              <w:t>Adult</w:t>
            </w:r>
          </w:p>
        </w:tc>
        <w:tc>
          <w:tcPr>
            <w:tcW w:w="673" w:type="pct"/>
            <w:shd w:val="clear" w:color="auto" w:fill="FFFFFF" w:themeFill="background1"/>
            <w:tcMar>
              <w:top w:w="57" w:type="dxa"/>
              <w:bottom w:w="57" w:type="dxa"/>
            </w:tcMar>
          </w:tcPr>
          <w:p w14:paraId="73EF655C" w14:textId="77777777" w:rsidR="002655EE" w:rsidRPr="000A7410" w:rsidRDefault="002655EE" w:rsidP="00FA1064">
            <w:pPr>
              <w:pStyle w:val="Standaard-Tabellen"/>
              <w:rPr>
                <w:rFonts w:eastAsia="Calibri"/>
              </w:rPr>
            </w:pPr>
            <w:r w:rsidRPr="000A7410">
              <w:rPr>
                <w:rFonts w:eastAsia="Calibri"/>
              </w:rPr>
              <w:t>60</w:t>
            </w:r>
          </w:p>
        </w:tc>
        <w:tc>
          <w:tcPr>
            <w:tcW w:w="1485" w:type="pct"/>
            <w:vMerge/>
            <w:shd w:val="clear" w:color="auto" w:fill="FFFFFF" w:themeFill="background1"/>
            <w:vAlign w:val="center"/>
          </w:tcPr>
          <w:p w14:paraId="42105FA6" w14:textId="77777777" w:rsidR="002655EE" w:rsidRPr="000A7410" w:rsidRDefault="002655EE" w:rsidP="00FA1064">
            <w:pPr>
              <w:pStyle w:val="Standaard-Tabellen"/>
              <w:rPr>
                <w:rFonts w:eastAsia="Calibri"/>
              </w:rPr>
            </w:pPr>
          </w:p>
        </w:tc>
      </w:tr>
      <w:tr w:rsidR="002655EE" w:rsidRPr="000A7410" w14:paraId="6B690D2C" w14:textId="77777777" w:rsidTr="00FA1064">
        <w:trPr>
          <w:trHeight w:val="160"/>
          <w:tblHeader/>
        </w:trPr>
        <w:tc>
          <w:tcPr>
            <w:tcW w:w="350" w:type="pct"/>
            <w:vMerge/>
            <w:shd w:val="clear" w:color="auto" w:fill="FFFFFF" w:themeFill="background1"/>
            <w:tcMar>
              <w:top w:w="57" w:type="dxa"/>
              <w:bottom w:w="57" w:type="dxa"/>
            </w:tcMar>
          </w:tcPr>
          <w:p w14:paraId="69AAEBBB" w14:textId="77777777" w:rsidR="002655EE" w:rsidRPr="000A7410" w:rsidRDefault="002655EE" w:rsidP="00FA1064">
            <w:pPr>
              <w:pStyle w:val="Standaard-Tabellen"/>
              <w:rPr>
                <w:rFonts w:eastAsia="Calibri"/>
              </w:rPr>
            </w:pPr>
          </w:p>
        </w:tc>
        <w:tc>
          <w:tcPr>
            <w:tcW w:w="2492" w:type="pct"/>
            <w:shd w:val="clear" w:color="auto" w:fill="FFFFFF" w:themeFill="background1"/>
            <w:tcMar>
              <w:top w:w="57" w:type="dxa"/>
              <w:bottom w:w="57" w:type="dxa"/>
            </w:tcMar>
            <w:vAlign w:val="center"/>
          </w:tcPr>
          <w:p w14:paraId="5D22419E" w14:textId="77777777" w:rsidR="002655EE" w:rsidRPr="000A7410" w:rsidRDefault="002655EE" w:rsidP="00FA1064">
            <w:pPr>
              <w:pStyle w:val="Standaard-Tabellen"/>
              <w:rPr>
                <w:rFonts w:eastAsia="Calibri"/>
              </w:rPr>
            </w:pPr>
            <w:r w:rsidRPr="000A7410">
              <w:rPr>
                <w:rFonts w:eastAsia="Calibri"/>
              </w:rPr>
              <w:t>Child (6 to &lt;12 years old)</w:t>
            </w:r>
          </w:p>
        </w:tc>
        <w:tc>
          <w:tcPr>
            <w:tcW w:w="673" w:type="pct"/>
            <w:shd w:val="clear" w:color="auto" w:fill="FFFFFF" w:themeFill="background1"/>
            <w:tcMar>
              <w:top w:w="57" w:type="dxa"/>
              <w:bottom w:w="57" w:type="dxa"/>
            </w:tcMar>
          </w:tcPr>
          <w:p w14:paraId="063C3EB1" w14:textId="77777777" w:rsidR="002655EE" w:rsidRPr="000A7410" w:rsidRDefault="002655EE" w:rsidP="00FA1064">
            <w:pPr>
              <w:pStyle w:val="Standaard-Tabellen"/>
              <w:rPr>
                <w:rFonts w:eastAsia="Calibri"/>
              </w:rPr>
            </w:pPr>
            <w:r w:rsidRPr="000A7410">
              <w:rPr>
                <w:rFonts w:eastAsia="Calibri"/>
              </w:rPr>
              <w:t>23.9</w:t>
            </w:r>
          </w:p>
        </w:tc>
        <w:tc>
          <w:tcPr>
            <w:tcW w:w="1485" w:type="pct"/>
            <w:vMerge/>
            <w:shd w:val="clear" w:color="auto" w:fill="FFFFFF" w:themeFill="background1"/>
            <w:vAlign w:val="center"/>
          </w:tcPr>
          <w:p w14:paraId="503DBC2E" w14:textId="77777777" w:rsidR="002655EE" w:rsidRPr="000A7410" w:rsidRDefault="002655EE" w:rsidP="00FA1064">
            <w:pPr>
              <w:pStyle w:val="Standaard-Tabellen"/>
              <w:rPr>
                <w:rFonts w:eastAsia="Calibri"/>
              </w:rPr>
            </w:pPr>
          </w:p>
        </w:tc>
      </w:tr>
      <w:tr w:rsidR="002655EE" w:rsidRPr="000A7410" w14:paraId="5377BB78" w14:textId="77777777" w:rsidTr="00FA1064">
        <w:trPr>
          <w:trHeight w:val="155"/>
          <w:tblHeader/>
        </w:trPr>
        <w:tc>
          <w:tcPr>
            <w:tcW w:w="350" w:type="pct"/>
            <w:vMerge/>
            <w:shd w:val="clear" w:color="auto" w:fill="FFFFFF" w:themeFill="background1"/>
            <w:tcMar>
              <w:top w:w="57" w:type="dxa"/>
              <w:bottom w:w="57" w:type="dxa"/>
            </w:tcMar>
          </w:tcPr>
          <w:p w14:paraId="382B305E" w14:textId="77777777" w:rsidR="002655EE" w:rsidRPr="000A7410" w:rsidRDefault="002655EE" w:rsidP="00FA1064">
            <w:pPr>
              <w:pStyle w:val="Standaard-Tabellen"/>
              <w:rPr>
                <w:rFonts w:eastAsia="Calibri"/>
              </w:rPr>
            </w:pPr>
          </w:p>
        </w:tc>
        <w:tc>
          <w:tcPr>
            <w:tcW w:w="2492" w:type="pct"/>
            <w:shd w:val="clear" w:color="auto" w:fill="FFFFFF" w:themeFill="background1"/>
            <w:tcMar>
              <w:top w:w="57" w:type="dxa"/>
              <w:bottom w:w="57" w:type="dxa"/>
            </w:tcMar>
            <w:vAlign w:val="center"/>
          </w:tcPr>
          <w:p w14:paraId="6BEB68D4" w14:textId="77777777" w:rsidR="002655EE" w:rsidRPr="000A7410" w:rsidRDefault="002655EE" w:rsidP="00FA1064">
            <w:pPr>
              <w:pStyle w:val="Standaard-Tabellen"/>
              <w:rPr>
                <w:rFonts w:eastAsia="Calibri"/>
              </w:rPr>
            </w:pPr>
            <w:r w:rsidRPr="000A7410">
              <w:rPr>
                <w:rFonts w:eastAsia="Calibri"/>
              </w:rPr>
              <w:t>Child (2 to &lt;6 years old)</w:t>
            </w:r>
          </w:p>
        </w:tc>
        <w:tc>
          <w:tcPr>
            <w:tcW w:w="673" w:type="pct"/>
            <w:shd w:val="clear" w:color="auto" w:fill="FFFFFF" w:themeFill="background1"/>
            <w:tcMar>
              <w:top w:w="57" w:type="dxa"/>
              <w:bottom w:w="57" w:type="dxa"/>
            </w:tcMar>
          </w:tcPr>
          <w:p w14:paraId="41216F52" w14:textId="77777777" w:rsidR="002655EE" w:rsidRPr="000A7410" w:rsidRDefault="002655EE" w:rsidP="00FA1064">
            <w:pPr>
              <w:pStyle w:val="Standaard-Tabellen"/>
              <w:rPr>
                <w:rFonts w:eastAsia="Calibri"/>
              </w:rPr>
            </w:pPr>
            <w:r w:rsidRPr="000A7410">
              <w:rPr>
                <w:rFonts w:eastAsia="Calibri"/>
              </w:rPr>
              <w:t>15.6</w:t>
            </w:r>
          </w:p>
        </w:tc>
        <w:tc>
          <w:tcPr>
            <w:tcW w:w="1485" w:type="pct"/>
            <w:vMerge/>
            <w:shd w:val="clear" w:color="auto" w:fill="FFFFFF" w:themeFill="background1"/>
            <w:vAlign w:val="center"/>
          </w:tcPr>
          <w:p w14:paraId="3AB8829E" w14:textId="77777777" w:rsidR="002655EE" w:rsidRPr="000A7410" w:rsidRDefault="002655EE" w:rsidP="00FA1064">
            <w:pPr>
              <w:pStyle w:val="Standaard-Tabellen"/>
              <w:rPr>
                <w:rFonts w:eastAsia="Calibri"/>
              </w:rPr>
            </w:pPr>
          </w:p>
        </w:tc>
      </w:tr>
      <w:tr w:rsidR="002655EE" w:rsidRPr="000A7410" w14:paraId="22D9668E" w14:textId="77777777" w:rsidTr="00FA1064">
        <w:trPr>
          <w:trHeight w:val="160"/>
          <w:tblHeader/>
        </w:trPr>
        <w:tc>
          <w:tcPr>
            <w:tcW w:w="350" w:type="pct"/>
            <w:vMerge/>
            <w:shd w:val="clear" w:color="auto" w:fill="FFFFFF" w:themeFill="background1"/>
            <w:tcMar>
              <w:top w:w="57" w:type="dxa"/>
              <w:bottom w:w="57" w:type="dxa"/>
            </w:tcMar>
          </w:tcPr>
          <w:p w14:paraId="335FBCCB" w14:textId="77777777" w:rsidR="002655EE" w:rsidRPr="000A7410" w:rsidRDefault="002655EE" w:rsidP="00FA1064">
            <w:pPr>
              <w:pStyle w:val="Standaard-Tabellen"/>
              <w:rPr>
                <w:rFonts w:eastAsia="Calibri"/>
              </w:rPr>
            </w:pPr>
          </w:p>
        </w:tc>
        <w:tc>
          <w:tcPr>
            <w:tcW w:w="2492" w:type="pct"/>
            <w:shd w:val="clear" w:color="auto" w:fill="FFFFFF" w:themeFill="background1"/>
            <w:tcMar>
              <w:top w:w="57" w:type="dxa"/>
              <w:bottom w:w="57" w:type="dxa"/>
            </w:tcMar>
            <w:vAlign w:val="center"/>
          </w:tcPr>
          <w:p w14:paraId="7ADA752F" w14:textId="77777777" w:rsidR="002655EE" w:rsidRPr="000A7410" w:rsidRDefault="002655EE" w:rsidP="00FA1064">
            <w:pPr>
              <w:pStyle w:val="Standaard-Tabellen"/>
              <w:rPr>
                <w:rFonts w:eastAsia="Calibri"/>
              </w:rPr>
            </w:pPr>
            <w:r w:rsidRPr="000A7410">
              <w:rPr>
                <w:rFonts w:eastAsia="Calibri"/>
              </w:rPr>
              <w:t>Toddler (1 to &lt;2 years old)</w:t>
            </w:r>
          </w:p>
        </w:tc>
        <w:tc>
          <w:tcPr>
            <w:tcW w:w="673" w:type="pct"/>
            <w:shd w:val="clear" w:color="auto" w:fill="FFFFFF" w:themeFill="background1"/>
            <w:tcMar>
              <w:top w:w="57" w:type="dxa"/>
              <w:bottom w:w="57" w:type="dxa"/>
            </w:tcMar>
          </w:tcPr>
          <w:p w14:paraId="29CE8A2E" w14:textId="77777777" w:rsidR="002655EE" w:rsidRPr="000A7410" w:rsidRDefault="002655EE" w:rsidP="00FA1064">
            <w:pPr>
              <w:pStyle w:val="Standaard-Tabellen"/>
              <w:rPr>
                <w:rFonts w:eastAsia="Calibri"/>
              </w:rPr>
            </w:pPr>
            <w:r w:rsidRPr="000A7410">
              <w:rPr>
                <w:rFonts w:eastAsia="Calibri"/>
              </w:rPr>
              <w:t>10</w:t>
            </w:r>
          </w:p>
        </w:tc>
        <w:tc>
          <w:tcPr>
            <w:tcW w:w="1485" w:type="pct"/>
            <w:vMerge/>
            <w:shd w:val="clear" w:color="auto" w:fill="FFFFFF" w:themeFill="background1"/>
            <w:vAlign w:val="center"/>
          </w:tcPr>
          <w:p w14:paraId="7397D528" w14:textId="77777777" w:rsidR="002655EE" w:rsidRPr="000A7410" w:rsidRDefault="002655EE" w:rsidP="00FA1064">
            <w:pPr>
              <w:pStyle w:val="Standaard-Tabellen"/>
              <w:rPr>
                <w:rFonts w:eastAsia="Calibri"/>
              </w:rPr>
            </w:pPr>
          </w:p>
        </w:tc>
      </w:tr>
      <w:tr w:rsidR="002655EE" w:rsidRPr="000A7410" w14:paraId="5A4DFD25" w14:textId="77777777" w:rsidTr="00FA1064">
        <w:trPr>
          <w:trHeight w:val="155"/>
          <w:tblHeader/>
        </w:trPr>
        <w:tc>
          <w:tcPr>
            <w:tcW w:w="350" w:type="pct"/>
            <w:vMerge/>
            <w:shd w:val="clear" w:color="auto" w:fill="FFFFFF" w:themeFill="background1"/>
            <w:tcMar>
              <w:top w:w="57" w:type="dxa"/>
              <w:bottom w:w="57" w:type="dxa"/>
            </w:tcMar>
          </w:tcPr>
          <w:p w14:paraId="0940155B" w14:textId="77777777" w:rsidR="002655EE" w:rsidRPr="000A7410" w:rsidRDefault="002655EE" w:rsidP="00FA1064">
            <w:pPr>
              <w:pStyle w:val="Standaard-Tabellen"/>
              <w:rPr>
                <w:rFonts w:eastAsia="Calibri"/>
              </w:rPr>
            </w:pPr>
          </w:p>
        </w:tc>
        <w:tc>
          <w:tcPr>
            <w:tcW w:w="2492" w:type="pct"/>
            <w:shd w:val="clear" w:color="auto" w:fill="FFFFFF" w:themeFill="background1"/>
            <w:tcMar>
              <w:top w:w="57" w:type="dxa"/>
              <w:bottom w:w="57" w:type="dxa"/>
            </w:tcMar>
            <w:vAlign w:val="center"/>
          </w:tcPr>
          <w:p w14:paraId="7A7FE746" w14:textId="77777777" w:rsidR="002655EE" w:rsidRPr="000A7410" w:rsidRDefault="002655EE" w:rsidP="00FA1064">
            <w:pPr>
              <w:pStyle w:val="Standaard-Tabellen"/>
              <w:rPr>
                <w:rFonts w:eastAsia="Calibri"/>
              </w:rPr>
            </w:pPr>
            <w:r w:rsidRPr="000A7410">
              <w:rPr>
                <w:rFonts w:eastAsia="Calibri"/>
              </w:rPr>
              <w:t>Infant (&lt;1 year old)</w:t>
            </w:r>
          </w:p>
        </w:tc>
        <w:tc>
          <w:tcPr>
            <w:tcW w:w="673" w:type="pct"/>
            <w:shd w:val="clear" w:color="auto" w:fill="FFFFFF" w:themeFill="background1"/>
            <w:tcMar>
              <w:top w:w="57" w:type="dxa"/>
              <w:bottom w:w="57" w:type="dxa"/>
            </w:tcMar>
          </w:tcPr>
          <w:p w14:paraId="17D85082" w14:textId="77777777" w:rsidR="002655EE" w:rsidRPr="000A7410" w:rsidRDefault="002655EE" w:rsidP="00FA1064">
            <w:pPr>
              <w:pStyle w:val="Standaard-Tabellen"/>
              <w:rPr>
                <w:rFonts w:eastAsia="Calibri"/>
              </w:rPr>
            </w:pPr>
            <w:r w:rsidRPr="000A7410">
              <w:rPr>
                <w:rFonts w:eastAsia="Calibri"/>
              </w:rPr>
              <w:t>8</w:t>
            </w:r>
          </w:p>
        </w:tc>
        <w:tc>
          <w:tcPr>
            <w:tcW w:w="1485" w:type="pct"/>
            <w:vMerge/>
            <w:shd w:val="clear" w:color="auto" w:fill="FFFFFF" w:themeFill="background1"/>
            <w:vAlign w:val="center"/>
          </w:tcPr>
          <w:p w14:paraId="60954A3D" w14:textId="77777777" w:rsidR="002655EE" w:rsidRPr="000A7410" w:rsidRDefault="002655EE" w:rsidP="00FA1064">
            <w:pPr>
              <w:pStyle w:val="Standaard-Tabellen"/>
              <w:rPr>
                <w:rFonts w:eastAsia="Calibri"/>
              </w:rPr>
            </w:pPr>
          </w:p>
        </w:tc>
      </w:tr>
      <w:tr w:rsidR="002655EE" w:rsidRPr="000A7410" w14:paraId="47E7B343" w14:textId="77777777" w:rsidTr="00FA1064">
        <w:trPr>
          <w:trHeight w:val="258"/>
          <w:tblHeader/>
        </w:trPr>
        <w:tc>
          <w:tcPr>
            <w:tcW w:w="350" w:type="pct"/>
            <w:vMerge/>
            <w:shd w:val="clear" w:color="auto" w:fill="FFFFFF" w:themeFill="background1"/>
            <w:tcMar>
              <w:top w:w="57" w:type="dxa"/>
              <w:bottom w:w="57" w:type="dxa"/>
            </w:tcMar>
          </w:tcPr>
          <w:p w14:paraId="7CF55F5C" w14:textId="77777777" w:rsidR="002655EE" w:rsidRPr="000A7410" w:rsidRDefault="002655EE" w:rsidP="00FA1064">
            <w:pPr>
              <w:pStyle w:val="Standaard-Tabellen"/>
              <w:rPr>
                <w:rFonts w:eastAsia="Calibri"/>
              </w:rPr>
            </w:pPr>
          </w:p>
        </w:tc>
        <w:tc>
          <w:tcPr>
            <w:tcW w:w="3165" w:type="pct"/>
            <w:gridSpan w:val="2"/>
            <w:shd w:val="clear" w:color="auto" w:fill="FFFFFF" w:themeFill="background1"/>
            <w:tcMar>
              <w:top w:w="57" w:type="dxa"/>
              <w:bottom w:w="57" w:type="dxa"/>
            </w:tcMar>
          </w:tcPr>
          <w:p w14:paraId="6C585457" w14:textId="77777777" w:rsidR="002655EE" w:rsidRPr="000A7410" w:rsidRDefault="002655EE" w:rsidP="00FA1064">
            <w:pPr>
              <w:pStyle w:val="Standaard-Tabellen"/>
              <w:rPr>
                <w:rFonts w:eastAsia="Calibri"/>
              </w:rPr>
            </w:pPr>
            <w:r w:rsidRPr="000A7410">
              <w:rPr>
                <w:rFonts w:eastAsia="Calibri"/>
              </w:rPr>
              <w:t>Hand surface area (one hand) (cm²)</w:t>
            </w:r>
          </w:p>
        </w:tc>
        <w:tc>
          <w:tcPr>
            <w:tcW w:w="1485" w:type="pct"/>
            <w:vMerge w:val="restart"/>
            <w:shd w:val="clear" w:color="auto" w:fill="FFFFFF" w:themeFill="background1"/>
            <w:vAlign w:val="center"/>
          </w:tcPr>
          <w:p w14:paraId="13A87AA1" w14:textId="77777777" w:rsidR="002655EE" w:rsidRPr="000A7410" w:rsidRDefault="002655EE" w:rsidP="00FA1064">
            <w:pPr>
              <w:pStyle w:val="Standaard-Tabellen"/>
              <w:rPr>
                <w:rFonts w:eastAsia="Calibri"/>
              </w:rPr>
            </w:pPr>
            <w:r w:rsidRPr="000A7410">
              <w:rPr>
                <w:rFonts w:eastAsia="Calibri"/>
              </w:rPr>
              <w:t>Recommendation no. 14, 2017</w:t>
            </w:r>
          </w:p>
          <w:p w14:paraId="4175310E" w14:textId="77777777" w:rsidR="002655EE" w:rsidRPr="000A7410" w:rsidRDefault="002655EE" w:rsidP="00FA1064">
            <w:pPr>
              <w:pStyle w:val="Standaard-Tabellen"/>
              <w:shd w:val="clear" w:color="auto" w:fill="FFFFFF" w:themeFill="background1"/>
              <w:rPr>
                <w:rFonts w:eastAsia="Calibri"/>
              </w:rPr>
            </w:pPr>
          </w:p>
        </w:tc>
      </w:tr>
      <w:tr w:rsidR="002655EE" w:rsidRPr="000A7410" w14:paraId="746E8439" w14:textId="77777777" w:rsidTr="00FA1064">
        <w:trPr>
          <w:trHeight w:val="160"/>
          <w:tblHeader/>
        </w:trPr>
        <w:tc>
          <w:tcPr>
            <w:tcW w:w="350" w:type="pct"/>
            <w:vMerge/>
            <w:shd w:val="clear" w:color="auto" w:fill="FFFFFF" w:themeFill="background1"/>
            <w:tcMar>
              <w:top w:w="57" w:type="dxa"/>
              <w:bottom w:w="57" w:type="dxa"/>
            </w:tcMar>
          </w:tcPr>
          <w:p w14:paraId="1ED4EEA1" w14:textId="77777777" w:rsidR="002655EE" w:rsidRPr="000A7410" w:rsidRDefault="002655EE" w:rsidP="00FA1064">
            <w:pPr>
              <w:pStyle w:val="Standaard-Tabellen"/>
              <w:shd w:val="clear" w:color="auto" w:fill="FFFFFF" w:themeFill="background1"/>
              <w:rPr>
                <w:rFonts w:eastAsia="Calibri"/>
              </w:rPr>
            </w:pPr>
          </w:p>
        </w:tc>
        <w:tc>
          <w:tcPr>
            <w:tcW w:w="2492" w:type="pct"/>
            <w:shd w:val="clear" w:color="auto" w:fill="FFFFFF" w:themeFill="background1"/>
            <w:tcMar>
              <w:top w:w="57" w:type="dxa"/>
              <w:bottom w:w="57" w:type="dxa"/>
            </w:tcMar>
            <w:vAlign w:val="center"/>
          </w:tcPr>
          <w:p w14:paraId="69D34F6E" w14:textId="77777777" w:rsidR="002655EE" w:rsidRPr="000A7410" w:rsidRDefault="002655EE" w:rsidP="00FA1064">
            <w:pPr>
              <w:pStyle w:val="Standaard-Tabellen"/>
              <w:shd w:val="clear" w:color="auto" w:fill="FFFFFF" w:themeFill="background1"/>
              <w:rPr>
                <w:rFonts w:eastAsia="Calibri"/>
              </w:rPr>
            </w:pPr>
            <w:r w:rsidRPr="000A7410">
              <w:rPr>
                <w:rFonts w:eastAsia="Calibri"/>
              </w:rPr>
              <w:t>Adult</w:t>
            </w:r>
          </w:p>
        </w:tc>
        <w:tc>
          <w:tcPr>
            <w:tcW w:w="673" w:type="pct"/>
            <w:shd w:val="clear" w:color="auto" w:fill="FFFFFF" w:themeFill="background1"/>
            <w:tcMar>
              <w:top w:w="57" w:type="dxa"/>
              <w:bottom w:w="57" w:type="dxa"/>
            </w:tcMar>
            <w:vAlign w:val="center"/>
          </w:tcPr>
          <w:p w14:paraId="6A9B30F6" w14:textId="77777777" w:rsidR="002655EE" w:rsidRPr="000A7410" w:rsidRDefault="002655EE" w:rsidP="00FA1064">
            <w:pPr>
              <w:pStyle w:val="Standaard-Tabellen"/>
              <w:shd w:val="clear" w:color="auto" w:fill="FFFFFF" w:themeFill="background1"/>
              <w:rPr>
                <w:rFonts w:eastAsia="Calibri"/>
              </w:rPr>
            </w:pPr>
            <w:r w:rsidRPr="000A7410">
              <w:rPr>
                <w:rFonts w:eastAsia="Calibri"/>
              </w:rPr>
              <w:t>410</w:t>
            </w:r>
          </w:p>
        </w:tc>
        <w:tc>
          <w:tcPr>
            <w:tcW w:w="1485" w:type="pct"/>
            <w:vMerge/>
            <w:shd w:val="clear" w:color="auto" w:fill="FFFFFF" w:themeFill="background1"/>
            <w:vAlign w:val="center"/>
          </w:tcPr>
          <w:p w14:paraId="5EB22CD3" w14:textId="77777777" w:rsidR="002655EE" w:rsidRPr="000A7410" w:rsidRDefault="002655EE" w:rsidP="00FA1064">
            <w:pPr>
              <w:pStyle w:val="Standaard-Tabellen"/>
              <w:shd w:val="clear" w:color="auto" w:fill="FFFFFF" w:themeFill="background1"/>
              <w:rPr>
                <w:rFonts w:eastAsia="Calibri"/>
              </w:rPr>
            </w:pPr>
          </w:p>
        </w:tc>
      </w:tr>
      <w:tr w:rsidR="002655EE" w:rsidRPr="000A7410" w14:paraId="54B13801" w14:textId="77777777" w:rsidTr="00FA1064">
        <w:trPr>
          <w:trHeight w:val="155"/>
          <w:tblHeader/>
        </w:trPr>
        <w:tc>
          <w:tcPr>
            <w:tcW w:w="350" w:type="pct"/>
            <w:vMerge/>
            <w:shd w:val="clear" w:color="auto" w:fill="FFFFFF" w:themeFill="background1"/>
            <w:tcMar>
              <w:top w:w="57" w:type="dxa"/>
              <w:bottom w:w="57" w:type="dxa"/>
            </w:tcMar>
          </w:tcPr>
          <w:p w14:paraId="4ED37C49" w14:textId="77777777" w:rsidR="002655EE" w:rsidRPr="000A7410" w:rsidRDefault="002655EE" w:rsidP="00FA1064">
            <w:pPr>
              <w:pStyle w:val="Standaard-Tabellen"/>
              <w:shd w:val="clear" w:color="auto" w:fill="FFFFFF" w:themeFill="background1"/>
              <w:rPr>
                <w:rFonts w:eastAsia="Calibri"/>
              </w:rPr>
            </w:pPr>
          </w:p>
        </w:tc>
        <w:tc>
          <w:tcPr>
            <w:tcW w:w="2492" w:type="pct"/>
            <w:shd w:val="clear" w:color="auto" w:fill="FFFFFF" w:themeFill="background1"/>
            <w:tcMar>
              <w:top w:w="57" w:type="dxa"/>
              <w:bottom w:w="57" w:type="dxa"/>
            </w:tcMar>
            <w:vAlign w:val="center"/>
          </w:tcPr>
          <w:p w14:paraId="2253E6D8" w14:textId="77777777" w:rsidR="002655EE" w:rsidRPr="000A7410" w:rsidRDefault="002655EE" w:rsidP="00FA1064">
            <w:pPr>
              <w:pStyle w:val="Standaard-Tabellen"/>
              <w:shd w:val="clear" w:color="auto" w:fill="FFFFFF" w:themeFill="background1"/>
              <w:rPr>
                <w:rFonts w:eastAsia="Calibri"/>
              </w:rPr>
            </w:pPr>
            <w:r w:rsidRPr="000A7410">
              <w:rPr>
                <w:rFonts w:eastAsia="Calibri"/>
              </w:rPr>
              <w:t>Child (6 to &lt;12 years old)</w:t>
            </w:r>
          </w:p>
        </w:tc>
        <w:tc>
          <w:tcPr>
            <w:tcW w:w="673" w:type="pct"/>
            <w:shd w:val="clear" w:color="auto" w:fill="FFFFFF" w:themeFill="background1"/>
            <w:tcMar>
              <w:top w:w="57" w:type="dxa"/>
              <w:bottom w:w="57" w:type="dxa"/>
            </w:tcMar>
            <w:vAlign w:val="center"/>
          </w:tcPr>
          <w:p w14:paraId="07CBBCA5" w14:textId="77777777" w:rsidR="002655EE" w:rsidRPr="000A7410" w:rsidRDefault="002655EE" w:rsidP="00FA1064">
            <w:pPr>
              <w:pStyle w:val="Standaard-Tabellen"/>
              <w:shd w:val="clear" w:color="auto" w:fill="FFFFFF" w:themeFill="background1"/>
              <w:rPr>
                <w:rFonts w:eastAsia="Calibri"/>
              </w:rPr>
            </w:pPr>
            <w:r w:rsidRPr="000A7410">
              <w:rPr>
                <w:rFonts w:eastAsia="Calibri"/>
              </w:rPr>
              <w:t>213.9</w:t>
            </w:r>
          </w:p>
        </w:tc>
        <w:tc>
          <w:tcPr>
            <w:tcW w:w="1485" w:type="pct"/>
            <w:vMerge/>
            <w:shd w:val="clear" w:color="auto" w:fill="FFFFFF" w:themeFill="background1"/>
            <w:vAlign w:val="center"/>
          </w:tcPr>
          <w:p w14:paraId="2E10C70E" w14:textId="77777777" w:rsidR="002655EE" w:rsidRPr="000A7410" w:rsidRDefault="002655EE" w:rsidP="00FA1064">
            <w:pPr>
              <w:pStyle w:val="Standaard-Tabellen"/>
              <w:shd w:val="clear" w:color="auto" w:fill="FFFFFF" w:themeFill="background1"/>
              <w:rPr>
                <w:rFonts w:eastAsia="Calibri"/>
              </w:rPr>
            </w:pPr>
          </w:p>
        </w:tc>
      </w:tr>
      <w:tr w:rsidR="002655EE" w:rsidRPr="000A7410" w14:paraId="5B768FAD" w14:textId="77777777" w:rsidTr="00FA1064">
        <w:trPr>
          <w:trHeight w:val="155"/>
          <w:tblHeader/>
        </w:trPr>
        <w:tc>
          <w:tcPr>
            <w:tcW w:w="350" w:type="pct"/>
            <w:vMerge/>
            <w:shd w:val="clear" w:color="auto" w:fill="FFFFFF" w:themeFill="background1"/>
            <w:tcMar>
              <w:top w:w="57" w:type="dxa"/>
              <w:bottom w:w="57" w:type="dxa"/>
            </w:tcMar>
          </w:tcPr>
          <w:p w14:paraId="2DBE68FD" w14:textId="77777777" w:rsidR="002655EE" w:rsidRPr="000A7410" w:rsidRDefault="002655EE" w:rsidP="00FA1064">
            <w:pPr>
              <w:pStyle w:val="Standaard-Tabellen"/>
              <w:shd w:val="clear" w:color="auto" w:fill="FFFFFF" w:themeFill="background1"/>
              <w:rPr>
                <w:rFonts w:eastAsia="Calibri"/>
              </w:rPr>
            </w:pPr>
          </w:p>
        </w:tc>
        <w:tc>
          <w:tcPr>
            <w:tcW w:w="2492" w:type="pct"/>
            <w:shd w:val="clear" w:color="auto" w:fill="FFFFFF" w:themeFill="background1"/>
            <w:tcMar>
              <w:top w:w="57" w:type="dxa"/>
              <w:bottom w:w="57" w:type="dxa"/>
            </w:tcMar>
            <w:vAlign w:val="center"/>
          </w:tcPr>
          <w:p w14:paraId="7CCE7797" w14:textId="77777777" w:rsidR="002655EE" w:rsidRPr="000A7410" w:rsidRDefault="002655EE" w:rsidP="00FA1064">
            <w:pPr>
              <w:pStyle w:val="Standaard-Tabellen"/>
              <w:shd w:val="clear" w:color="auto" w:fill="FFFFFF" w:themeFill="background1"/>
              <w:rPr>
                <w:rFonts w:eastAsia="Calibri"/>
              </w:rPr>
            </w:pPr>
            <w:r w:rsidRPr="000A7410">
              <w:rPr>
                <w:rFonts w:eastAsia="Calibri"/>
              </w:rPr>
              <w:t>Child (2 to &lt;6 years old)</w:t>
            </w:r>
          </w:p>
        </w:tc>
        <w:tc>
          <w:tcPr>
            <w:tcW w:w="673" w:type="pct"/>
            <w:shd w:val="clear" w:color="auto" w:fill="FFFFFF" w:themeFill="background1"/>
            <w:tcMar>
              <w:top w:w="57" w:type="dxa"/>
              <w:bottom w:w="57" w:type="dxa"/>
            </w:tcMar>
            <w:vAlign w:val="center"/>
          </w:tcPr>
          <w:p w14:paraId="17CED937" w14:textId="77777777" w:rsidR="002655EE" w:rsidRPr="000A7410" w:rsidRDefault="002655EE" w:rsidP="00FA1064">
            <w:pPr>
              <w:pStyle w:val="Standaard-Tabellen"/>
              <w:shd w:val="clear" w:color="auto" w:fill="FFFFFF" w:themeFill="background1"/>
              <w:rPr>
                <w:rFonts w:eastAsia="Calibri"/>
              </w:rPr>
            </w:pPr>
            <w:r w:rsidRPr="000A7410">
              <w:rPr>
                <w:rFonts w:eastAsia="Calibri"/>
              </w:rPr>
              <w:t>165.9</w:t>
            </w:r>
          </w:p>
        </w:tc>
        <w:tc>
          <w:tcPr>
            <w:tcW w:w="1485" w:type="pct"/>
            <w:vMerge/>
            <w:shd w:val="clear" w:color="auto" w:fill="FFFFFF" w:themeFill="background1"/>
            <w:vAlign w:val="center"/>
          </w:tcPr>
          <w:p w14:paraId="756FC21C" w14:textId="77777777" w:rsidR="002655EE" w:rsidRPr="000A7410" w:rsidRDefault="002655EE" w:rsidP="00FA1064">
            <w:pPr>
              <w:pStyle w:val="Standaard-Tabellen"/>
              <w:shd w:val="clear" w:color="auto" w:fill="FFFFFF" w:themeFill="background1"/>
              <w:rPr>
                <w:rFonts w:eastAsia="Calibri"/>
              </w:rPr>
            </w:pPr>
          </w:p>
        </w:tc>
      </w:tr>
      <w:tr w:rsidR="002655EE" w:rsidRPr="000A7410" w14:paraId="459EC4A5" w14:textId="77777777" w:rsidTr="00FA1064">
        <w:trPr>
          <w:trHeight w:val="160"/>
          <w:tblHeader/>
        </w:trPr>
        <w:tc>
          <w:tcPr>
            <w:tcW w:w="350" w:type="pct"/>
            <w:vMerge/>
            <w:shd w:val="clear" w:color="auto" w:fill="FFFFFF" w:themeFill="background1"/>
            <w:tcMar>
              <w:top w:w="57" w:type="dxa"/>
              <w:bottom w:w="57" w:type="dxa"/>
            </w:tcMar>
          </w:tcPr>
          <w:p w14:paraId="6E72C213" w14:textId="77777777" w:rsidR="002655EE" w:rsidRPr="000A7410" w:rsidRDefault="002655EE" w:rsidP="00FA1064">
            <w:pPr>
              <w:pStyle w:val="Standaard-Tabellen"/>
              <w:shd w:val="clear" w:color="auto" w:fill="FFFFFF" w:themeFill="background1"/>
              <w:rPr>
                <w:rFonts w:eastAsia="Calibri"/>
              </w:rPr>
            </w:pPr>
          </w:p>
        </w:tc>
        <w:tc>
          <w:tcPr>
            <w:tcW w:w="2492" w:type="pct"/>
            <w:shd w:val="clear" w:color="auto" w:fill="FFFFFF" w:themeFill="background1"/>
            <w:tcMar>
              <w:top w:w="57" w:type="dxa"/>
              <w:bottom w:w="57" w:type="dxa"/>
            </w:tcMar>
            <w:vAlign w:val="center"/>
          </w:tcPr>
          <w:p w14:paraId="438C5820" w14:textId="77777777" w:rsidR="002655EE" w:rsidRPr="000A7410" w:rsidRDefault="002655EE" w:rsidP="00FA1064">
            <w:pPr>
              <w:pStyle w:val="Standaard-Tabellen"/>
              <w:shd w:val="clear" w:color="auto" w:fill="FFFFFF" w:themeFill="background1"/>
              <w:rPr>
                <w:rFonts w:eastAsia="Calibri"/>
              </w:rPr>
            </w:pPr>
            <w:r w:rsidRPr="000A7410">
              <w:rPr>
                <w:rFonts w:eastAsia="Calibri"/>
              </w:rPr>
              <w:t>Toddler (1 to &lt;2 years old)</w:t>
            </w:r>
          </w:p>
        </w:tc>
        <w:tc>
          <w:tcPr>
            <w:tcW w:w="673" w:type="pct"/>
            <w:shd w:val="clear" w:color="auto" w:fill="FFFFFF" w:themeFill="background1"/>
            <w:tcMar>
              <w:top w:w="57" w:type="dxa"/>
              <w:bottom w:w="57" w:type="dxa"/>
            </w:tcMar>
            <w:vAlign w:val="center"/>
          </w:tcPr>
          <w:p w14:paraId="7A1D9BF6" w14:textId="77777777" w:rsidR="002655EE" w:rsidRPr="000A7410" w:rsidRDefault="002655EE" w:rsidP="00FA1064">
            <w:pPr>
              <w:pStyle w:val="Standaard-Tabellen"/>
              <w:shd w:val="clear" w:color="auto" w:fill="FFFFFF" w:themeFill="background1"/>
              <w:rPr>
                <w:rFonts w:eastAsia="Calibri"/>
              </w:rPr>
            </w:pPr>
            <w:r w:rsidRPr="000A7410">
              <w:rPr>
                <w:rFonts w:eastAsia="Calibri"/>
              </w:rPr>
              <w:t>115.2</w:t>
            </w:r>
          </w:p>
        </w:tc>
        <w:tc>
          <w:tcPr>
            <w:tcW w:w="1485" w:type="pct"/>
            <w:vMerge/>
            <w:shd w:val="clear" w:color="auto" w:fill="FFFFFF" w:themeFill="background1"/>
            <w:vAlign w:val="center"/>
          </w:tcPr>
          <w:p w14:paraId="5CF5327D" w14:textId="77777777" w:rsidR="002655EE" w:rsidRPr="000A7410" w:rsidRDefault="002655EE" w:rsidP="00FA1064">
            <w:pPr>
              <w:pStyle w:val="Standaard-Tabellen"/>
              <w:shd w:val="clear" w:color="auto" w:fill="FFFFFF" w:themeFill="background1"/>
              <w:rPr>
                <w:rFonts w:eastAsia="Calibri"/>
              </w:rPr>
            </w:pPr>
          </w:p>
        </w:tc>
      </w:tr>
      <w:tr w:rsidR="002655EE" w:rsidRPr="007E29F8" w14:paraId="6E4F3E68" w14:textId="77777777" w:rsidTr="00FA1064">
        <w:trPr>
          <w:trHeight w:val="131"/>
          <w:tblHeader/>
        </w:trPr>
        <w:tc>
          <w:tcPr>
            <w:tcW w:w="350" w:type="pct"/>
            <w:vMerge/>
            <w:shd w:val="clear" w:color="auto" w:fill="FFFFFF" w:themeFill="background1"/>
            <w:tcMar>
              <w:top w:w="57" w:type="dxa"/>
              <w:bottom w:w="57" w:type="dxa"/>
            </w:tcMar>
          </w:tcPr>
          <w:p w14:paraId="76EAC29B"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5"/>
              <w:jc w:val="both"/>
              <w:textAlignment w:val="baseline"/>
              <w:rPr>
                <w:rFonts w:cs="Arial"/>
                <w:bCs/>
                <w:spacing w:val="1"/>
                <w:lang w:eastAsia="fr-FR"/>
              </w:rPr>
            </w:pPr>
          </w:p>
        </w:tc>
        <w:tc>
          <w:tcPr>
            <w:tcW w:w="2492" w:type="pct"/>
            <w:shd w:val="clear" w:color="auto" w:fill="FFFFFF" w:themeFill="background1"/>
            <w:tcMar>
              <w:top w:w="57" w:type="dxa"/>
              <w:bottom w:w="57" w:type="dxa"/>
            </w:tcMar>
            <w:vAlign w:val="center"/>
          </w:tcPr>
          <w:p w14:paraId="2738BE41"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9" w:right="25"/>
              <w:jc w:val="both"/>
              <w:textAlignment w:val="baseline"/>
              <w:rPr>
                <w:rFonts w:cs="Arial"/>
                <w:bCs/>
                <w:spacing w:val="1"/>
                <w:u w:val="single"/>
                <w:lang w:eastAsia="fr-FR"/>
              </w:rPr>
            </w:pPr>
            <w:r w:rsidRPr="007E29F8">
              <w:rPr>
                <w:rFonts w:cs="Arial"/>
                <w:color w:val="000000"/>
                <w:szCs w:val="18"/>
                <w:lang w:eastAsia="fr-FR"/>
              </w:rPr>
              <w:t>Infant (&lt;1 year old)</w:t>
            </w:r>
          </w:p>
        </w:tc>
        <w:tc>
          <w:tcPr>
            <w:tcW w:w="673" w:type="pct"/>
            <w:shd w:val="clear" w:color="auto" w:fill="FFFFFF" w:themeFill="background1"/>
            <w:tcMar>
              <w:top w:w="57" w:type="dxa"/>
              <w:bottom w:w="57" w:type="dxa"/>
            </w:tcMar>
            <w:vAlign w:val="center"/>
          </w:tcPr>
          <w:p w14:paraId="46E78686"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124" w:right="216"/>
              <w:jc w:val="center"/>
              <w:textAlignment w:val="baseline"/>
              <w:rPr>
                <w:rFonts w:cs="Arial"/>
                <w:bCs/>
                <w:spacing w:val="1"/>
                <w:u w:val="single"/>
                <w:lang w:eastAsia="fr-FR"/>
              </w:rPr>
            </w:pPr>
            <w:r w:rsidRPr="007E29F8">
              <w:rPr>
                <w:rFonts w:cs="Arial"/>
                <w:color w:val="000000"/>
                <w:sz w:val="18"/>
                <w:szCs w:val="18"/>
                <w:lang w:eastAsia="fr-FR"/>
              </w:rPr>
              <w:t>98.4</w:t>
            </w:r>
          </w:p>
        </w:tc>
        <w:tc>
          <w:tcPr>
            <w:tcW w:w="1485" w:type="pct"/>
            <w:vMerge/>
            <w:shd w:val="clear" w:color="auto" w:fill="FFFFFF" w:themeFill="background1"/>
            <w:vAlign w:val="center"/>
          </w:tcPr>
          <w:p w14:paraId="3B20A463"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14" w:right="-72" w:firstLine="14"/>
              <w:textAlignment w:val="baseline"/>
              <w:rPr>
                <w:rFonts w:cs="Arial"/>
                <w:bCs/>
                <w:spacing w:val="1"/>
                <w:u w:val="single"/>
                <w:lang w:eastAsia="fr-FR"/>
              </w:rPr>
            </w:pPr>
          </w:p>
        </w:tc>
      </w:tr>
    </w:tbl>
    <w:p w14:paraId="30C56F8B" w14:textId="77777777" w:rsidR="008A2D32" w:rsidRDefault="008A2D32" w:rsidP="00FA1064">
      <w:pPr>
        <w:keepNext/>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spacing w:val="1"/>
          <w:u w:val="single"/>
          <w:lang w:eastAsia="fr-FR"/>
        </w:rPr>
      </w:pPr>
    </w:p>
    <w:p w14:paraId="100417A4" w14:textId="54D56719" w:rsidR="002655EE" w:rsidRDefault="004F653E" w:rsidP="00FA1064">
      <w:pPr>
        <w:keepNext/>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spacing w:val="1"/>
          <w:u w:val="single"/>
          <w:lang w:eastAsia="fr-FR"/>
        </w:rPr>
      </w:pPr>
      <w:r>
        <w:rPr>
          <w:rFonts w:cs="Arial"/>
          <w:spacing w:val="1"/>
          <w:u w:val="single"/>
          <w:lang w:eastAsia="fr-FR"/>
        </w:rPr>
        <w:t>Calculations for Scenario [3]</w:t>
      </w:r>
    </w:p>
    <w:p w14:paraId="19E10160" w14:textId="77777777" w:rsidR="004F653E" w:rsidRPr="007E29F8" w:rsidRDefault="004F653E" w:rsidP="00FA1064">
      <w:pPr>
        <w:keepNext/>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spacing w:val="1"/>
          <w:u w:val="single"/>
          <w:lang w:eastAsia="fr-FR"/>
        </w:rPr>
      </w:pPr>
    </w:p>
    <w:tbl>
      <w:tblPr>
        <w:tblW w:w="50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36"/>
        <w:gridCol w:w="1929"/>
        <w:gridCol w:w="2218"/>
        <w:gridCol w:w="2217"/>
      </w:tblGrid>
      <w:tr w:rsidR="002655EE" w:rsidRPr="007E29F8" w14:paraId="4365ACF6" w14:textId="77777777" w:rsidTr="002655EE">
        <w:trPr>
          <w:cantSplit/>
          <w:trHeight w:val="103"/>
          <w:tblHeader/>
        </w:trPr>
        <w:tc>
          <w:tcPr>
            <w:tcW w:w="5000" w:type="pct"/>
            <w:gridSpan w:val="4"/>
            <w:shd w:val="clear" w:color="auto" w:fill="FFFFCC"/>
          </w:tcPr>
          <w:p w14:paraId="080BAFD8" w14:textId="77777777" w:rsidR="002655EE" w:rsidRPr="007E29F8" w:rsidRDefault="002655EE" w:rsidP="002655EE">
            <w:pPr>
              <w:pStyle w:val="Standaard-Tabellen"/>
              <w:rPr>
                <w:rFonts w:eastAsia="Calibri"/>
                <w:b/>
                <w:sz w:val="20"/>
              </w:rPr>
            </w:pPr>
            <w:r w:rsidRPr="007E29F8">
              <w:rPr>
                <w:rFonts w:eastAsia="Calibri"/>
                <w:b/>
                <w:sz w:val="20"/>
              </w:rPr>
              <w:t>Summary table: estimated exposure for Dermal Primary exposure</w:t>
            </w:r>
          </w:p>
        </w:tc>
      </w:tr>
      <w:tr w:rsidR="002655EE" w:rsidRPr="007E29F8" w14:paraId="38D15809" w14:textId="77777777" w:rsidTr="00265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A93BC0"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spacing w:val="1"/>
                <w:sz w:val="18"/>
                <w:lang w:eastAsia="fr-FR"/>
              </w:rPr>
            </w:pPr>
            <w:r w:rsidRPr="007E29F8">
              <w:rPr>
                <w:rFonts w:cs="Arial"/>
                <w:b/>
                <w:spacing w:val="1"/>
                <w:sz w:val="18"/>
                <w:lang w:eastAsia="fr-FR"/>
              </w:rPr>
              <w:t>Exposure scenario</w:t>
            </w:r>
          </w:p>
        </w:tc>
        <w:tc>
          <w:tcPr>
            <w:tcW w:w="10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65FB2F" w14:textId="77777777" w:rsidR="002655EE" w:rsidRPr="0090387F" w:rsidRDefault="002655EE" w:rsidP="002655EE">
            <w:pPr>
              <w:keepNext/>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spacing w:val="1"/>
                <w:sz w:val="18"/>
                <w:lang w:val="fr-FR" w:eastAsia="fr-FR"/>
              </w:rPr>
            </w:pPr>
            <w:r w:rsidRPr="0090387F">
              <w:rPr>
                <w:rFonts w:cs="Arial"/>
                <w:b/>
                <w:spacing w:val="1"/>
                <w:sz w:val="18"/>
                <w:lang w:val="fr-FR" w:eastAsia="fr-FR"/>
              </w:rPr>
              <w:t>Maximum external quantity IR3535 (mg)</w:t>
            </w:r>
          </w:p>
        </w:tc>
        <w:tc>
          <w:tcPr>
            <w:tcW w:w="11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620A06"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sz w:val="18"/>
                <w:lang w:eastAsia="fr-FR"/>
              </w:rPr>
            </w:pPr>
            <w:r w:rsidRPr="007E29F8">
              <w:rPr>
                <w:rFonts w:cs="Arial"/>
                <w:b/>
                <w:bCs/>
                <w:spacing w:val="1"/>
                <w:sz w:val="18"/>
                <w:lang w:eastAsia="fr-FR"/>
              </w:rPr>
              <w:t>Skin surface area to put in the mouth to reach the AEL short-term (cm</w:t>
            </w:r>
            <w:r w:rsidRPr="007E29F8">
              <w:rPr>
                <w:rFonts w:cs="Arial"/>
                <w:b/>
                <w:spacing w:val="1"/>
                <w:sz w:val="18"/>
                <w:vertAlign w:val="superscript"/>
                <w:lang w:eastAsia="fr-FR"/>
              </w:rPr>
              <w:t>2</w:t>
            </w:r>
            <w:r w:rsidRPr="007E29F8">
              <w:rPr>
                <w:rFonts w:cs="Arial"/>
                <w:b/>
                <w:bCs/>
                <w:spacing w:val="1"/>
                <w:sz w:val="18"/>
                <w:lang w:eastAsia="fr-FR"/>
              </w:rPr>
              <w:t>)</w:t>
            </w:r>
          </w:p>
        </w:tc>
        <w:tc>
          <w:tcPr>
            <w:tcW w:w="11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75AC1"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b/>
              </w:rPr>
            </w:pPr>
            <w:r w:rsidRPr="007E29F8">
              <w:rPr>
                <w:b/>
              </w:rPr>
              <w:t>%  hand surface area to put in the mouth to reach the AEL short-term</w:t>
            </w:r>
          </w:p>
        </w:tc>
      </w:tr>
      <w:tr w:rsidR="002655EE" w:rsidRPr="000A7410" w14:paraId="4D0BDBC0" w14:textId="77777777" w:rsidTr="00FA1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8"/>
        </w:trPr>
        <w:tc>
          <w:tcPr>
            <w:tcW w:w="1615" w:type="pct"/>
            <w:tcBorders>
              <w:top w:val="nil"/>
              <w:left w:val="single" w:sz="4" w:space="0" w:color="auto"/>
              <w:bottom w:val="single" w:sz="4" w:space="0" w:color="auto"/>
              <w:right w:val="single" w:sz="4" w:space="0" w:color="auto"/>
            </w:tcBorders>
            <w:shd w:val="clear" w:color="auto" w:fill="FFFFFF" w:themeFill="background1"/>
            <w:vAlign w:val="center"/>
            <w:hideMark/>
          </w:tcPr>
          <w:p w14:paraId="522B1468" w14:textId="77777777" w:rsidR="002655EE" w:rsidRPr="000A7410" w:rsidRDefault="002655EE" w:rsidP="000A7410">
            <w:pPr>
              <w:pStyle w:val="Standaard-Tabellen"/>
              <w:rPr>
                <w:rFonts w:eastAsia="Calibri"/>
              </w:rPr>
            </w:pPr>
            <w:r w:rsidRPr="000A7410">
              <w:rPr>
                <w:rFonts w:eastAsia="Calibri"/>
              </w:rPr>
              <w:t>Adult (1 application)</w:t>
            </w:r>
          </w:p>
        </w:tc>
        <w:tc>
          <w:tcPr>
            <w:tcW w:w="1026" w:type="pct"/>
            <w:tcBorders>
              <w:top w:val="nil"/>
              <w:left w:val="nil"/>
              <w:bottom w:val="single" w:sz="4" w:space="0" w:color="auto"/>
              <w:right w:val="single" w:sz="4" w:space="0" w:color="auto"/>
            </w:tcBorders>
            <w:shd w:val="clear" w:color="auto" w:fill="FFFFFF" w:themeFill="background1"/>
            <w:noWrap/>
            <w:vAlign w:val="center"/>
            <w:hideMark/>
          </w:tcPr>
          <w:p w14:paraId="59BAAA07" w14:textId="77777777" w:rsidR="002655EE" w:rsidRPr="000A7410" w:rsidRDefault="002655EE" w:rsidP="000A7410">
            <w:pPr>
              <w:pStyle w:val="Standaard-Tabellen"/>
              <w:rPr>
                <w:rFonts w:eastAsia="Calibri"/>
              </w:rPr>
            </w:pPr>
            <w:r w:rsidRPr="000A7410">
              <w:rPr>
                <w:rFonts w:eastAsia="Calibri"/>
              </w:rPr>
              <w:t>300.0</w:t>
            </w:r>
          </w:p>
        </w:tc>
        <w:tc>
          <w:tcPr>
            <w:tcW w:w="1180" w:type="pct"/>
            <w:tcBorders>
              <w:top w:val="nil"/>
              <w:left w:val="nil"/>
              <w:bottom w:val="single" w:sz="4" w:space="0" w:color="auto"/>
              <w:right w:val="single" w:sz="4" w:space="0" w:color="auto"/>
            </w:tcBorders>
            <w:shd w:val="clear" w:color="auto" w:fill="FFFFFF" w:themeFill="background1"/>
            <w:noWrap/>
            <w:vAlign w:val="center"/>
            <w:hideMark/>
          </w:tcPr>
          <w:p w14:paraId="6919BCFC" w14:textId="77777777" w:rsidR="002655EE" w:rsidRPr="000A7410" w:rsidRDefault="002655EE" w:rsidP="000A7410">
            <w:pPr>
              <w:pStyle w:val="Standaard-Tabellen"/>
              <w:rPr>
                <w:rFonts w:eastAsia="Calibri"/>
              </w:rPr>
            </w:pPr>
            <w:r w:rsidRPr="000A7410">
              <w:rPr>
                <w:rFonts w:eastAsia="Calibri"/>
              </w:rPr>
              <w:t>1875</w:t>
            </w:r>
          </w:p>
        </w:tc>
        <w:tc>
          <w:tcPr>
            <w:tcW w:w="1179" w:type="pct"/>
            <w:tcBorders>
              <w:top w:val="nil"/>
              <w:left w:val="nil"/>
              <w:bottom w:val="single" w:sz="4" w:space="0" w:color="auto"/>
              <w:right w:val="single" w:sz="4" w:space="0" w:color="auto"/>
            </w:tcBorders>
            <w:shd w:val="clear" w:color="auto" w:fill="FFFFFF" w:themeFill="background1"/>
            <w:vAlign w:val="center"/>
          </w:tcPr>
          <w:p w14:paraId="1B7405B6" w14:textId="77777777" w:rsidR="002655EE" w:rsidRPr="000A7410" w:rsidRDefault="002655EE" w:rsidP="000A7410">
            <w:pPr>
              <w:pStyle w:val="Standaard-Tabellen"/>
              <w:rPr>
                <w:rFonts w:eastAsia="Calibri"/>
              </w:rPr>
            </w:pPr>
            <w:r w:rsidRPr="000A7410">
              <w:rPr>
                <w:rFonts w:eastAsia="Calibri"/>
              </w:rPr>
              <w:t>457.3%</w:t>
            </w:r>
          </w:p>
        </w:tc>
      </w:tr>
      <w:tr w:rsidR="002655EE" w:rsidRPr="000A7410" w14:paraId="411D3476" w14:textId="77777777" w:rsidTr="00FA1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615"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FA3D46" w14:textId="77777777" w:rsidR="002655EE" w:rsidRPr="000A7410" w:rsidRDefault="002655EE" w:rsidP="000A7410">
            <w:pPr>
              <w:pStyle w:val="Standaard-Tabellen"/>
              <w:rPr>
                <w:rFonts w:eastAsia="Calibri"/>
              </w:rPr>
            </w:pPr>
            <w:r w:rsidRPr="000A7410">
              <w:rPr>
                <w:rFonts w:eastAsia="Calibri"/>
              </w:rPr>
              <w:t xml:space="preserve">Child (6 to &lt;12 years old) </w:t>
            </w:r>
          </w:p>
          <w:p w14:paraId="4D0D8F2E" w14:textId="77777777" w:rsidR="002655EE" w:rsidRPr="000A7410" w:rsidRDefault="002655EE" w:rsidP="000A7410">
            <w:pPr>
              <w:pStyle w:val="Standaard-Tabellen"/>
              <w:rPr>
                <w:rFonts w:eastAsia="Calibri"/>
              </w:rPr>
            </w:pPr>
            <w:r w:rsidRPr="000A7410">
              <w:rPr>
                <w:rFonts w:eastAsia="Calibri"/>
              </w:rPr>
              <w:t>(1 application)</w:t>
            </w:r>
          </w:p>
        </w:tc>
        <w:tc>
          <w:tcPr>
            <w:tcW w:w="1026" w:type="pct"/>
            <w:tcBorders>
              <w:top w:val="nil"/>
              <w:left w:val="nil"/>
              <w:bottom w:val="single" w:sz="4" w:space="0" w:color="auto"/>
              <w:right w:val="single" w:sz="4" w:space="0" w:color="auto"/>
            </w:tcBorders>
            <w:shd w:val="clear" w:color="auto" w:fill="FFFFFF" w:themeFill="background1"/>
            <w:noWrap/>
            <w:vAlign w:val="center"/>
            <w:hideMark/>
          </w:tcPr>
          <w:p w14:paraId="1C3AAF01" w14:textId="77777777" w:rsidR="002655EE" w:rsidRPr="000A7410" w:rsidRDefault="002655EE" w:rsidP="000A7410">
            <w:pPr>
              <w:pStyle w:val="Standaard-Tabellen"/>
              <w:rPr>
                <w:rFonts w:eastAsia="Calibri"/>
              </w:rPr>
            </w:pPr>
            <w:r w:rsidRPr="000A7410">
              <w:rPr>
                <w:rFonts w:eastAsia="Calibri"/>
              </w:rPr>
              <w:t>119.5</w:t>
            </w:r>
          </w:p>
        </w:tc>
        <w:tc>
          <w:tcPr>
            <w:tcW w:w="1180" w:type="pct"/>
            <w:tcBorders>
              <w:top w:val="nil"/>
              <w:left w:val="nil"/>
              <w:bottom w:val="single" w:sz="4" w:space="0" w:color="auto"/>
              <w:right w:val="single" w:sz="4" w:space="0" w:color="auto"/>
            </w:tcBorders>
            <w:shd w:val="clear" w:color="auto" w:fill="FFFFFF" w:themeFill="background1"/>
            <w:noWrap/>
            <w:vAlign w:val="center"/>
            <w:hideMark/>
          </w:tcPr>
          <w:p w14:paraId="1258844B" w14:textId="77777777" w:rsidR="002655EE" w:rsidRPr="000A7410" w:rsidRDefault="002655EE" w:rsidP="000A7410">
            <w:pPr>
              <w:pStyle w:val="Standaard-Tabellen"/>
              <w:rPr>
                <w:rFonts w:eastAsia="Calibri"/>
              </w:rPr>
            </w:pPr>
            <w:r w:rsidRPr="000A7410">
              <w:rPr>
                <w:rFonts w:eastAsia="Calibri"/>
              </w:rPr>
              <w:t>746</w:t>
            </w:r>
          </w:p>
        </w:tc>
        <w:tc>
          <w:tcPr>
            <w:tcW w:w="1179" w:type="pct"/>
            <w:tcBorders>
              <w:top w:val="nil"/>
              <w:left w:val="nil"/>
              <w:bottom w:val="single" w:sz="4" w:space="0" w:color="auto"/>
              <w:right w:val="single" w:sz="4" w:space="0" w:color="auto"/>
            </w:tcBorders>
            <w:shd w:val="clear" w:color="auto" w:fill="FFFFFF" w:themeFill="background1"/>
            <w:vAlign w:val="center"/>
          </w:tcPr>
          <w:p w14:paraId="68D7FD4C" w14:textId="77777777" w:rsidR="002655EE" w:rsidRPr="000A7410" w:rsidRDefault="002655EE" w:rsidP="000A7410">
            <w:pPr>
              <w:pStyle w:val="Standaard-Tabellen"/>
              <w:rPr>
                <w:rFonts w:eastAsia="Calibri"/>
              </w:rPr>
            </w:pPr>
            <w:r w:rsidRPr="000A7410">
              <w:rPr>
                <w:rFonts w:eastAsia="Calibri"/>
              </w:rPr>
              <w:t>349.2%</w:t>
            </w:r>
          </w:p>
        </w:tc>
      </w:tr>
      <w:tr w:rsidR="002655EE" w:rsidRPr="000A7410" w14:paraId="2B170040" w14:textId="77777777" w:rsidTr="00FA1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61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8726345" w14:textId="77777777" w:rsidR="002655EE" w:rsidRPr="000A7410" w:rsidRDefault="002655EE" w:rsidP="000A7410">
            <w:pPr>
              <w:pStyle w:val="Standaard-Tabellen"/>
              <w:rPr>
                <w:rFonts w:eastAsia="Calibri"/>
              </w:rPr>
            </w:pPr>
            <w:r w:rsidRPr="000A7410">
              <w:rPr>
                <w:rFonts w:eastAsia="Calibri"/>
              </w:rPr>
              <w:t xml:space="preserve">Child (2 to &lt;6 years old) </w:t>
            </w:r>
          </w:p>
          <w:p w14:paraId="7756FDB8" w14:textId="77777777" w:rsidR="002655EE" w:rsidRPr="000A7410" w:rsidRDefault="002655EE" w:rsidP="000A7410">
            <w:pPr>
              <w:pStyle w:val="Standaard-Tabellen"/>
              <w:rPr>
                <w:rFonts w:eastAsia="Calibri"/>
              </w:rPr>
            </w:pPr>
            <w:r w:rsidRPr="000A7410">
              <w:rPr>
                <w:rFonts w:eastAsia="Calibri"/>
              </w:rPr>
              <w:t>(1 application)</w:t>
            </w:r>
          </w:p>
        </w:tc>
        <w:tc>
          <w:tcPr>
            <w:tcW w:w="1026" w:type="pct"/>
            <w:tcBorders>
              <w:top w:val="nil"/>
              <w:left w:val="nil"/>
              <w:bottom w:val="single" w:sz="4" w:space="0" w:color="auto"/>
              <w:right w:val="single" w:sz="4" w:space="0" w:color="auto"/>
            </w:tcBorders>
            <w:shd w:val="clear" w:color="auto" w:fill="FFFFFF" w:themeFill="background1"/>
            <w:noWrap/>
            <w:vAlign w:val="center"/>
            <w:hideMark/>
          </w:tcPr>
          <w:p w14:paraId="5F5069C3" w14:textId="77777777" w:rsidR="002655EE" w:rsidRPr="000A7410" w:rsidRDefault="002655EE" w:rsidP="000A7410">
            <w:pPr>
              <w:pStyle w:val="Standaard-Tabellen"/>
              <w:rPr>
                <w:rFonts w:eastAsia="Calibri"/>
              </w:rPr>
            </w:pPr>
            <w:r w:rsidRPr="000A7410">
              <w:rPr>
                <w:rFonts w:eastAsia="Calibri"/>
              </w:rPr>
              <w:t>78.0</w:t>
            </w:r>
          </w:p>
        </w:tc>
        <w:tc>
          <w:tcPr>
            <w:tcW w:w="1180" w:type="pct"/>
            <w:tcBorders>
              <w:top w:val="nil"/>
              <w:left w:val="nil"/>
              <w:bottom w:val="single" w:sz="4" w:space="0" w:color="auto"/>
              <w:right w:val="single" w:sz="4" w:space="0" w:color="auto"/>
            </w:tcBorders>
            <w:shd w:val="clear" w:color="auto" w:fill="FFFFFF" w:themeFill="background1"/>
            <w:noWrap/>
            <w:vAlign w:val="center"/>
            <w:hideMark/>
          </w:tcPr>
          <w:p w14:paraId="2AF649AA" w14:textId="77777777" w:rsidR="002655EE" w:rsidRPr="000A7410" w:rsidRDefault="002655EE" w:rsidP="000A7410">
            <w:pPr>
              <w:pStyle w:val="Standaard-Tabellen"/>
              <w:rPr>
                <w:rFonts w:eastAsia="Calibri"/>
              </w:rPr>
            </w:pPr>
            <w:r w:rsidRPr="000A7410">
              <w:rPr>
                <w:rFonts w:eastAsia="Calibri"/>
              </w:rPr>
              <w:t>487</w:t>
            </w:r>
          </w:p>
        </w:tc>
        <w:tc>
          <w:tcPr>
            <w:tcW w:w="1179" w:type="pct"/>
            <w:tcBorders>
              <w:top w:val="nil"/>
              <w:left w:val="nil"/>
              <w:bottom w:val="single" w:sz="4" w:space="0" w:color="auto"/>
              <w:right w:val="single" w:sz="4" w:space="0" w:color="auto"/>
            </w:tcBorders>
            <w:shd w:val="clear" w:color="auto" w:fill="FFFFFF" w:themeFill="background1"/>
            <w:vAlign w:val="center"/>
          </w:tcPr>
          <w:p w14:paraId="4574C0D8" w14:textId="77777777" w:rsidR="002655EE" w:rsidRPr="000A7410" w:rsidRDefault="002655EE" w:rsidP="000A7410">
            <w:pPr>
              <w:pStyle w:val="Standaard-Tabellen"/>
              <w:rPr>
                <w:rFonts w:eastAsia="Calibri"/>
              </w:rPr>
            </w:pPr>
            <w:r w:rsidRPr="000A7410">
              <w:rPr>
                <w:rFonts w:eastAsia="Calibri"/>
              </w:rPr>
              <w:t>294.7%</w:t>
            </w:r>
          </w:p>
        </w:tc>
      </w:tr>
      <w:tr w:rsidR="002655EE" w:rsidRPr="000A7410" w14:paraId="76740854" w14:textId="77777777" w:rsidTr="00FA1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615" w:type="pct"/>
            <w:tcBorders>
              <w:top w:val="nil"/>
              <w:left w:val="single" w:sz="4" w:space="0" w:color="auto"/>
              <w:bottom w:val="single" w:sz="4" w:space="0" w:color="auto"/>
              <w:right w:val="single" w:sz="4" w:space="0" w:color="auto"/>
            </w:tcBorders>
            <w:shd w:val="clear" w:color="auto" w:fill="FFFFFF" w:themeFill="background1"/>
            <w:vAlign w:val="center"/>
            <w:hideMark/>
          </w:tcPr>
          <w:p w14:paraId="2C7172AA" w14:textId="77777777" w:rsidR="002655EE" w:rsidRPr="000A7410" w:rsidRDefault="002655EE" w:rsidP="000A7410">
            <w:pPr>
              <w:pStyle w:val="Standaard-Tabellen"/>
              <w:rPr>
                <w:rFonts w:eastAsia="Calibri"/>
              </w:rPr>
            </w:pPr>
            <w:r w:rsidRPr="000A7410">
              <w:rPr>
                <w:rFonts w:eastAsia="Calibri"/>
              </w:rPr>
              <w:t xml:space="preserve">Toddler (1 to &lt;2 years old) </w:t>
            </w:r>
          </w:p>
          <w:p w14:paraId="1748AE50" w14:textId="77777777" w:rsidR="002655EE" w:rsidRPr="000A7410" w:rsidRDefault="002655EE" w:rsidP="000A7410">
            <w:pPr>
              <w:pStyle w:val="Standaard-Tabellen"/>
              <w:rPr>
                <w:rFonts w:eastAsia="Calibri"/>
              </w:rPr>
            </w:pPr>
            <w:r w:rsidRPr="000A7410">
              <w:rPr>
                <w:rFonts w:eastAsia="Calibri"/>
              </w:rPr>
              <w:t>(1 application)</w:t>
            </w:r>
          </w:p>
        </w:tc>
        <w:tc>
          <w:tcPr>
            <w:tcW w:w="1026" w:type="pct"/>
            <w:tcBorders>
              <w:top w:val="nil"/>
              <w:left w:val="nil"/>
              <w:bottom w:val="single" w:sz="4" w:space="0" w:color="auto"/>
              <w:right w:val="single" w:sz="4" w:space="0" w:color="auto"/>
            </w:tcBorders>
            <w:shd w:val="clear" w:color="auto" w:fill="FFFFFF" w:themeFill="background1"/>
            <w:noWrap/>
            <w:vAlign w:val="center"/>
            <w:hideMark/>
          </w:tcPr>
          <w:p w14:paraId="5A5402A3" w14:textId="77777777" w:rsidR="002655EE" w:rsidRPr="000A7410" w:rsidRDefault="002655EE" w:rsidP="000A7410">
            <w:pPr>
              <w:pStyle w:val="Standaard-Tabellen"/>
              <w:rPr>
                <w:rFonts w:eastAsia="Calibri"/>
              </w:rPr>
            </w:pPr>
            <w:r w:rsidRPr="000A7410">
              <w:rPr>
                <w:rFonts w:eastAsia="Calibri"/>
              </w:rPr>
              <w:t>50.0</w:t>
            </w:r>
          </w:p>
        </w:tc>
        <w:tc>
          <w:tcPr>
            <w:tcW w:w="1180" w:type="pct"/>
            <w:tcBorders>
              <w:top w:val="nil"/>
              <w:left w:val="nil"/>
              <w:bottom w:val="single" w:sz="4" w:space="0" w:color="auto"/>
              <w:right w:val="single" w:sz="4" w:space="0" w:color="auto"/>
            </w:tcBorders>
            <w:shd w:val="clear" w:color="auto" w:fill="FFFFFF" w:themeFill="background1"/>
            <w:noWrap/>
            <w:vAlign w:val="center"/>
            <w:hideMark/>
          </w:tcPr>
          <w:p w14:paraId="63F5FD4E" w14:textId="77777777" w:rsidR="002655EE" w:rsidRPr="000A7410" w:rsidRDefault="002655EE" w:rsidP="000A7410">
            <w:pPr>
              <w:pStyle w:val="Standaard-Tabellen"/>
              <w:rPr>
                <w:rFonts w:eastAsia="Calibri"/>
              </w:rPr>
            </w:pPr>
            <w:r w:rsidRPr="000A7410">
              <w:rPr>
                <w:rFonts w:eastAsia="Calibri"/>
              </w:rPr>
              <w:t>312</w:t>
            </w:r>
          </w:p>
        </w:tc>
        <w:tc>
          <w:tcPr>
            <w:tcW w:w="1179" w:type="pct"/>
            <w:tcBorders>
              <w:top w:val="nil"/>
              <w:left w:val="nil"/>
              <w:bottom w:val="single" w:sz="4" w:space="0" w:color="auto"/>
              <w:right w:val="single" w:sz="4" w:space="0" w:color="auto"/>
            </w:tcBorders>
            <w:shd w:val="clear" w:color="auto" w:fill="FFFFFF" w:themeFill="background1"/>
            <w:vAlign w:val="center"/>
          </w:tcPr>
          <w:p w14:paraId="6F038E39" w14:textId="77777777" w:rsidR="002655EE" w:rsidRPr="000A7410" w:rsidRDefault="002655EE" w:rsidP="000A7410">
            <w:pPr>
              <w:pStyle w:val="Standaard-Tabellen"/>
              <w:rPr>
                <w:rFonts w:eastAsia="Calibri"/>
              </w:rPr>
            </w:pPr>
            <w:r w:rsidRPr="000A7410">
              <w:rPr>
                <w:rFonts w:eastAsia="Calibri"/>
              </w:rPr>
              <w:t>271.3%</w:t>
            </w:r>
          </w:p>
        </w:tc>
      </w:tr>
      <w:tr w:rsidR="002655EE" w:rsidRPr="000A7410" w14:paraId="7965769C" w14:textId="77777777" w:rsidTr="00FA1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615" w:type="pct"/>
            <w:tcBorders>
              <w:top w:val="nil"/>
              <w:left w:val="single" w:sz="4" w:space="0" w:color="auto"/>
              <w:bottom w:val="single" w:sz="4" w:space="0" w:color="auto"/>
              <w:right w:val="single" w:sz="4" w:space="0" w:color="auto"/>
            </w:tcBorders>
            <w:shd w:val="clear" w:color="auto" w:fill="FFFFFF" w:themeFill="background1"/>
            <w:vAlign w:val="center"/>
            <w:hideMark/>
          </w:tcPr>
          <w:p w14:paraId="5C7086CF" w14:textId="77777777" w:rsidR="002655EE" w:rsidRPr="000A7410" w:rsidRDefault="002655EE" w:rsidP="000A7410">
            <w:pPr>
              <w:pStyle w:val="Standaard-Tabellen"/>
              <w:rPr>
                <w:rFonts w:eastAsia="Calibri"/>
              </w:rPr>
            </w:pPr>
            <w:r w:rsidRPr="000A7410">
              <w:rPr>
                <w:rFonts w:eastAsia="Calibri"/>
              </w:rPr>
              <w:t xml:space="preserve">Infant (&lt;1 year old) </w:t>
            </w:r>
          </w:p>
          <w:p w14:paraId="63F09C9F" w14:textId="77777777" w:rsidR="002655EE" w:rsidRPr="000A7410" w:rsidRDefault="002655EE" w:rsidP="000A7410">
            <w:pPr>
              <w:pStyle w:val="Standaard-Tabellen"/>
              <w:rPr>
                <w:rFonts w:eastAsia="Calibri"/>
              </w:rPr>
            </w:pPr>
            <w:r w:rsidRPr="000A7410">
              <w:rPr>
                <w:rFonts w:eastAsia="Calibri"/>
              </w:rPr>
              <w:t>(1 application)</w:t>
            </w:r>
          </w:p>
        </w:tc>
        <w:tc>
          <w:tcPr>
            <w:tcW w:w="1026" w:type="pct"/>
            <w:tcBorders>
              <w:top w:val="nil"/>
              <w:left w:val="nil"/>
              <w:bottom w:val="single" w:sz="4" w:space="0" w:color="auto"/>
              <w:right w:val="single" w:sz="4" w:space="0" w:color="auto"/>
            </w:tcBorders>
            <w:shd w:val="clear" w:color="auto" w:fill="FFFFFF" w:themeFill="background1"/>
            <w:noWrap/>
            <w:vAlign w:val="center"/>
            <w:hideMark/>
          </w:tcPr>
          <w:p w14:paraId="20B56F68" w14:textId="77777777" w:rsidR="002655EE" w:rsidRPr="000A7410" w:rsidRDefault="002655EE" w:rsidP="000A7410">
            <w:pPr>
              <w:pStyle w:val="Standaard-Tabellen"/>
              <w:rPr>
                <w:rFonts w:eastAsia="Calibri"/>
              </w:rPr>
            </w:pPr>
            <w:r w:rsidRPr="000A7410">
              <w:rPr>
                <w:rFonts w:eastAsia="Calibri"/>
              </w:rPr>
              <w:t>40.0</w:t>
            </w:r>
          </w:p>
        </w:tc>
        <w:tc>
          <w:tcPr>
            <w:tcW w:w="1180" w:type="pct"/>
            <w:tcBorders>
              <w:top w:val="nil"/>
              <w:left w:val="nil"/>
              <w:bottom w:val="single" w:sz="4" w:space="0" w:color="auto"/>
              <w:right w:val="single" w:sz="4" w:space="0" w:color="auto"/>
            </w:tcBorders>
            <w:shd w:val="clear" w:color="auto" w:fill="FFFFFF" w:themeFill="background1"/>
            <w:noWrap/>
            <w:vAlign w:val="center"/>
            <w:hideMark/>
          </w:tcPr>
          <w:p w14:paraId="6B7FB4FB" w14:textId="77777777" w:rsidR="002655EE" w:rsidRPr="000A7410" w:rsidRDefault="002655EE" w:rsidP="000A7410">
            <w:pPr>
              <w:pStyle w:val="Standaard-Tabellen"/>
              <w:rPr>
                <w:rFonts w:eastAsia="Calibri"/>
              </w:rPr>
            </w:pPr>
            <w:r w:rsidRPr="000A7410">
              <w:rPr>
                <w:rFonts w:eastAsia="Calibri"/>
              </w:rPr>
              <w:t>250</w:t>
            </w:r>
          </w:p>
        </w:tc>
        <w:tc>
          <w:tcPr>
            <w:tcW w:w="1179" w:type="pct"/>
            <w:tcBorders>
              <w:top w:val="nil"/>
              <w:left w:val="nil"/>
              <w:bottom w:val="single" w:sz="4" w:space="0" w:color="auto"/>
              <w:right w:val="single" w:sz="4" w:space="0" w:color="auto"/>
            </w:tcBorders>
            <w:shd w:val="clear" w:color="auto" w:fill="FFFFFF" w:themeFill="background1"/>
            <w:vAlign w:val="center"/>
          </w:tcPr>
          <w:p w14:paraId="1D4EF6F9" w14:textId="77777777" w:rsidR="002655EE" w:rsidRPr="000A7410" w:rsidRDefault="002655EE" w:rsidP="000A7410">
            <w:pPr>
              <w:pStyle w:val="Standaard-Tabellen"/>
              <w:rPr>
                <w:rFonts w:eastAsia="Calibri"/>
              </w:rPr>
            </w:pPr>
            <w:r w:rsidRPr="000A7410">
              <w:rPr>
                <w:rFonts w:eastAsia="Calibri"/>
              </w:rPr>
              <w:t>254.1%</w:t>
            </w:r>
          </w:p>
        </w:tc>
      </w:tr>
    </w:tbl>
    <w:p w14:paraId="07F444D8" w14:textId="1776210F" w:rsidR="0083059C" w:rsidRDefault="0083059C" w:rsidP="007E3A44">
      <w:pPr>
        <w:rPr>
          <w:rFonts w:eastAsia="Calibri"/>
          <w:lang w:eastAsia="en-US"/>
        </w:rPr>
      </w:pPr>
    </w:p>
    <w:p w14:paraId="29DF020F" w14:textId="4AB06C5D" w:rsidR="0083059C" w:rsidRDefault="0083059C" w:rsidP="007E3A44">
      <w:pPr>
        <w:rPr>
          <w:rFonts w:eastAsia="Calibri"/>
          <w:lang w:eastAsia="en-US"/>
        </w:rPr>
      </w:pPr>
    </w:p>
    <w:p w14:paraId="6D3A1B0D" w14:textId="77777777" w:rsidR="0083059C" w:rsidRDefault="0083059C" w:rsidP="007E3A44">
      <w:pPr>
        <w:rPr>
          <w:rFonts w:eastAsia="Calibri"/>
          <w:lang w:eastAsia="en-US"/>
        </w:rPr>
      </w:pPr>
    </w:p>
    <w:p w14:paraId="1BD8218B" w14:textId="77777777" w:rsidR="00222ACA" w:rsidRPr="009461FB" w:rsidRDefault="00222ACA" w:rsidP="00222ACA">
      <w:pPr>
        <w:pStyle w:val="Paragraphedeliste"/>
        <w:numPr>
          <w:ilvl w:val="0"/>
          <w:numId w:val="68"/>
        </w:numPr>
        <w:rPr>
          <w:b/>
        </w:rPr>
      </w:pPr>
      <w:r w:rsidRPr="009461FB">
        <w:rPr>
          <w:b/>
        </w:rPr>
        <w:t>FIRST AUTHORISATION – 2017 (BE CA)</w:t>
      </w:r>
    </w:p>
    <w:p w14:paraId="6EE6272F" w14:textId="668F11C6" w:rsidR="007E3A44" w:rsidRPr="002B4716" w:rsidRDefault="007E3A44" w:rsidP="007E3A44">
      <w:pPr>
        <w:pStyle w:val="Titre6"/>
        <w:rPr>
          <w:lang w:val="en-US"/>
        </w:rPr>
      </w:pPr>
      <w:r w:rsidRPr="002B4716">
        <w:rPr>
          <w:lang w:val="en-US"/>
        </w:rPr>
        <w:t xml:space="preserve">Scenario 4: Parent treating two children and himself/herself (spraying) (combined </w:t>
      </w:r>
      <w:r w:rsidR="00A80E60">
        <w:rPr>
          <w:lang w:val="en-US"/>
        </w:rPr>
        <w:t xml:space="preserve">dermal and </w:t>
      </w:r>
      <w:r w:rsidRPr="002B4716">
        <w:rPr>
          <w:lang w:val="en-US"/>
        </w:rPr>
        <w:t>inhalative exposure)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04"/>
        <w:gridCol w:w="4335"/>
        <w:gridCol w:w="3657"/>
      </w:tblGrid>
      <w:tr w:rsidR="007E3A44" w:rsidRPr="00332AD5" w14:paraId="7C9EABB8" w14:textId="77777777" w:rsidTr="00F96662">
        <w:trPr>
          <w:tblHeader/>
        </w:trPr>
        <w:tc>
          <w:tcPr>
            <w:tcW w:w="5000" w:type="pct"/>
            <w:gridSpan w:val="3"/>
            <w:shd w:val="clear" w:color="auto" w:fill="FFFFCC"/>
            <w:tcMar>
              <w:top w:w="57" w:type="dxa"/>
              <w:bottom w:w="57" w:type="dxa"/>
            </w:tcMar>
          </w:tcPr>
          <w:p w14:paraId="0E7A15B0" w14:textId="77777777" w:rsidR="007E3A44" w:rsidRPr="00332AD5" w:rsidRDefault="007E3A44" w:rsidP="00272957">
            <w:pPr>
              <w:pStyle w:val="Standaard-Tabellen"/>
              <w:keepNext/>
              <w:jc w:val="center"/>
              <w:rPr>
                <w:rFonts w:eastAsia="Calibri"/>
                <w:b/>
              </w:rPr>
            </w:pPr>
            <w:r w:rsidRPr="00332AD5">
              <w:rPr>
                <w:rFonts w:eastAsia="Calibri"/>
                <w:b/>
              </w:rPr>
              <w:t xml:space="preserve">Description of Scenario </w:t>
            </w:r>
            <w:r>
              <w:rPr>
                <w:rFonts w:eastAsia="Calibri"/>
                <w:b/>
              </w:rPr>
              <w:t>4</w:t>
            </w:r>
          </w:p>
        </w:tc>
      </w:tr>
      <w:tr w:rsidR="00A80E60" w:rsidRPr="00FD2055" w14:paraId="795B8C6F" w14:textId="77777777" w:rsidTr="00F96662">
        <w:trPr>
          <w:tblHeader/>
        </w:trPr>
        <w:tc>
          <w:tcPr>
            <w:tcW w:w="5000" w:type="pct"/>
            <w:gridSpan w:val="3"/>
            <w:shd w:val="clear" w:color="auto" w:fill="auto"/>
            <w:tcMar>
              <w:top w:w="57" w:type="dxa"/>
              <w:bottom w:w="57" w:type="dxa"/>
            </w:tcMar>
          </w:tcPr>
          <w:p w14:paraId="4FC91320" w14:textId="77777777" w:rsidR="00A80E60" w:rsidRDefault="00A80E60" w:rsidP="00272957">
            <w:pPr>
              <w:keepNext/>
              <w:spacing w:before="0" w:after="0"/>
              <w:rPr>
                <w:rFonts w:eastAsia="Calibri"/>
              </w:rPr>
            </w:pPr>
            <w:r w:rsidRPr="006E53F3">
              <w:rPr>
                <w:rFonts w:eastAsia="Calibri"/>
              </w:rPr>
              <w:t>Worst case: a parent applying (spraying) the product on two child</w:t>
            </w:r>
            <w:r>
              <w:rPr>
                <w:rFonts w:eastAsia="Calibri"/>
              </w:rPr>
              <w:t>ren and herself/himself</w:t>
            </w:r>
          </w:p>
          <w:p w14:paraId="6FEF99B9" w14:textId="77777777" w:rsidR="00A80E60" w:rsidRPr="006E53F3" w:rsidRDefault="00A80E60" w:rsidP="00272957">
            <w:pPr>
              <w:keepNext/>
              <w:spacing w:before="0" w:after="0"/>
              <w:rPr>
                <w:rFonts w:eastAsia="Calibri"/>
              </w:rPr>
            </w:pPr>
          </w:p>
          <w:p w14:paraId="55E94C03" w14:textId="77777777" w:rsidR="00A80E60" w:rsidRDefault="00A80E60" w:rsidP="00272957">
            <w:pPr>
              <w:keepNext/>
              <w:spacing w:before="0" w:after="0"/>
              <w:rPr>
                <w:rFonts w:eastAsia="Calibri"/>
              </w:rPr>
            </w:pPr>
            <w:r w:rsidRPr="006E53F3">
              <w:rPr>
                <w:rFonts w:eastAsia="Calibri"/>
                <w:b/>
              </w:rPr>
              <w:t>Model used</w:t>
            </w:r>
            <w:r>
              <w:rPr>
                <w:rFonts w:eastAsia="Calibri"/>
                <w:b/>
              </w:rPr>
              <w:t xml:space="preserve">: </w:t>
            </w:r>
            <w:r>
              <w:rPr>
                <w:rFonts w:eastAsia="Calibri"/>
              </w:rPr>
              <w:t xml:space="preserve">it’s the same model than the one used to do the scenario 2. </w:t>
            </w:r>
          </w:p>
          <w:p w14:paraId="7215E807" w14:textId="77777777" w:rsidR="00A80E60" w:rsidRDefault="00A80E60" w:rsidP="00272957">
            <w:pPr>
              <w:pStyle w:val="Standaard-Tabellen"/>
              <w:keepNext/>
              <w:rPr>
                <w:rFonts w:eastAsia="Calibri"/>
              </w:rPr>
            </w:pPr>
          </w:p>
          <w:p w14:paraId="466A5C16" w14:textId="3A87077F" w:rsidR="00A80E60" w:rsidRPr="006E53F3" w:rsidRDefault="00A80E60" w:rsidP="00272957">
            <w:pPr>
              <w:pStyle w:val="Standaard-Tabellen"/>
              <w:keepNext/>
              <w:rPr>
                <w:rFonts w:eastAsia="Calibri"/>
              </w:rPr>
            </w:pPr>
            <w:r>
              <w:rPr>
                <w:rFonts w:eastAsia="Calibri"/>
              </w:rPr>
              <w:t>Remark: the secondary dermal exposure was not assessed. It is covered by the primary dermal use exposure of the adult. T</w:t>
            </w:r>
            <w:r w:rsidRPr="00243DBA">
              <w:rPr>
                <w:rFonts w:eastAsia="Calibri"/>
              </w:rPr>
              <w:t xml:space="preserve">he product would probably be rubbing on the child </w:t>
            </w:r>
            <w:r>
              <w:rPr>
                <w:rFonts w:eastAsia="Calibri"/>
              </w:rPr>
              <w:t>scalp</w:t>
            </w:r>
            <w:r w:rsidRPr="00243DBA">
              <w:rPr>
                <w:rFonts w:eastAsia="Calibri"/>
              </w:rPr>
              <w:t xml:space="preserve"> and the layer</w:t>
            </w:r>
            <w:r>
              <w:rPr>
                <w:rFonts w:eastAsia="Calibri"/>
              </w:rPr>
              <w:t xml:space="preserve"> on hands</w:t>
            </w:r>
            <w:r w:rsidRPr="00243DBA">
              <w:rPr>
                <w:rFonts w:eastAsia="Calibri"/>
              </w:rPr>
              <w:t xml:space="preserve"> will not exceed the amount the adult will put on himself. So, BE has decided to follow the CAR which supposes that the dermal secondary exposure will be covered by the primary dermal exposure</w:t>
            </w:r>
            <w:r>
              <w:rPr>
                <w:rFonts w:eastAsia="Calibri"/>
              </w:rPr>
              <w:t xml:space="preserve">. Only inhalation exposure is relevant in this case. </w:t>
            </w:r>
          </w:p>
        </w:tc>
      </w:tr>
      <w:tr w:rsidR="007E3A44" w:rsidRPr="00484F6D" w14:paraId="283351CF" w14:textId="77777777" w:rsidTr="00A80E60">
        <w:trPr>
          <w:tblHeader/>
        </w:trPr>
        <w:tc>
          <w:tcPr>
            <w:tcW w:w="747" w:type="pct"/>
            <w:shd w:val="clear" w:color="auto" w:fill="BFBFBF" w:themeFill="background1" w:themeFillShade="BF"/>
            <w:tcMar>
              <w:top w:w="57" w:type="dxa"/>
              <w:bottom w:w="57" w:type="dxa"/>
            </w:tcMar>
          </w:tcPr>
          <w:p w14:paraId="4827735D" w14:textId="77777777" w:rsidR="007E3A44" w:rsidRPr="00484F6D" w:rsidRDefault="007E3A44" w:rsidP="00272957">
            <w:pPr>
              <w:pStyle w:val="Standaard-Tabellen"/>
              <w:keepNext/>
              <w:rPr>
                <w:rFonts w:eastAsia="Calibri"/>
                <w:b/>
              </w:rPr>
            </w:pPr>
          </w:p>
        </w:tc>
        <w:tc>
          <w:tcPr>
            <w:tcW w:w="2307" w:type="pct"/>
            <w:shd w:val="clear" w:color="auto" w:fill="BFBFBF" w:themeFill="background1" w:themeFillShade="BF"/>
            <w:tcMar>
              <w:top w:w="57" w:type="dxa"/>
              <w:bottom w:w="57" w:type="dxa"/>
            </w:tcMar>
          </w:tcPr>
          <w:p w14:paraId="2C818623" w14:textId="77777777" w:rsidR="007E3A44" w:rsidRPr="00484F6D" w:rsidRDefault="007E3A44" w:rsidP="00272957">
            <w:pPr>
              <w:pStyle w:val="Standaard-Tabellen"/>
              <w:keepNext/>
              <w:rPr>
                <w:rFonts w:eastAsia="Calibri"/>
                <w:b/>
              </w:rPr>
            </w:pPr>
            <w:r w:rsidRPr="00484F6D">
              <w:rPr>
                <w:rFonts w:eastAsia="Calibri"/>
                <w:b/>
              </w:rPr>
              <w:t>Parameters</w:t>
            </w:r>
          </w:p>
        </w:tc>
        <w:tc>
          <w:tcPr>
            <w:tcW w:w="1946" w:type="pct"/>
            <w:shd w:val="clear" w:color="auto" w:fill="BFBFBF" w:themeFill="background1" w:themeFillShade="BF"/>
            <w:tcMar>
              <w:top w:w="57" w:type="dxa"/>
              <w:bottom w:w="57" w:type="dxa"/>
            </w:tcMar>
          </w:tcPr>
          <w:p w14:paraId="0003ADE8" w14:textId="77777777" w:rsidR="007E3A44" w:rsidRPr="00484F6D" w:rsidRDefault="007E3A44" w:rsidP="00272957">
            <w:pPr>
              <w:pStyle w:val="Standaard-Tabellen"/>
              <w:keepNext/>
              <w:rPr>
                <w:rFonts w:eastAsia="Calibri"/>
                <w:b/>
              </w:rPr>
            </w:pPr>
            <w:r w:rsidRPr="00484F6D">
              <w:rPr>
                <w:rFonts w:eastAsia="Calibri"/>
                <w:b/>
              </w:rPr>
              <w:t>Value</w:t>
            </w:r>
          </w:p>
        </w:tc>
      </w:tr>
      <w:tr w:rsidR="007E3A44" w:rsidRPr="00FD2055" w14:paraId="1780F324" w14:textId="77777777" w:rsidTr="00A80E60">
        <w:trPr>
          <w:tblHeader/>
        </w:trPr>
        <w:tc>
          <w:tcPr>
            <w:tcW w:w="747" w:type="pct"/>
            <w:vMerge w:val="restart"/>
            <w:tcMar>
              <w:top w:w="57" w:type="dxa"/>
              <w:bottom w:w="57" w:type="dxa"/>
            </w:tcMar>
          </w:tcPr>
          <w:p w14:paraId="53D63257" w14:textId="77777777" w:rsidR="007E3A44" w:rsidRPr="00FD2055" w:rsidRDefault="007E3A44" w:rsidP="00272957">
            <w:pPr>
              <w:pStyle w:val="Standaard-Tabellen"/>
              <w:keepNext/>
              <w:rPr>
                <w:rFonts w:eastAsia="Calibri"/>
              </w:rPr>
            </w:pPr>
            <w:r w:rsidRPr="006701C8">
              <w:rPr>
                <w:rFonts w:eastAsia="Calibri"/>
              </w:rPr>
              <w:t>Tier 1- Adult</w:t>
            </w:r>
          </w:p>
        </w:tc>
        <w:tc>
          <w:tcPr>
            <w:tcW w:w="2307" w:type="pct"/>
            <w:shd w:val="clear" w:color="auto" w:fill="auto"/>
            <w:tcMar>
              <w:top w:w="57" w:type="dxa"/>
              <w:bottom w:w="57" w:type="dxa"/>
            </w:tcMar>
          </w:tcPr>
          <w:p w14:paraId="5B56077D" w14:textId="77777777" w:rsidR="007E3A44" w:rsidRPr="00B5240E" w:rsidRDefault="007E3A44" w:rsidP="00272957">
            <w:pPr>
              <w:pStyle w:val="Standaard-Tabellen"/>
              <w:keepNext/>
              <w:rPr>
                <w:rFonts w:eastAsia="Calibri"/>
              </w:rPr>
            </w:pPr>
            <w:r>
              <w:rPr>
                <w:rFonts w:eastAsia="Calibri"/>
              </w:rPr>
              <w:t>Inhalation absorption</w:t>
            </w:r>
            <w:r>
              <w:rPr>
                <w:rFonts w:eastAsia="Calibri"/>
                <w:vertAlign w:val="superscript"/>
              </w:rPr>
              <w:t>1</w:t>
            </w:r>
          </w:p>
        </w:tc>
        <w:tc>
          <w:tcPr>
            <w:tcW w:w="1946" w:type="pct"/>
            <w:shd w:val="clear" w:color="auto" w:fill="auto"/>
            <w:tcMar>
              <w:top w:w="57" w:type="dxa"/>
              <w:bottom w:w="57" w:type="dxa"/>
            </w:tcMar>
          </w:tcPr>
          <w:p w14:paraId="0E6A1A55" w14:textId="77777777" w:rsidR="007E3A44" w:rsidRPr="00B5240E" w:rsidRDefault="007E3A44" w:rsidP="00272957">
            <w:pPr>
              <w:pStyle w:val="Standaard-Tabellen"/>
              <w:keepNext/>
              <w:rPr>
                <w:rFonts w:eastAsia="Calibri"/>
              </w:rPr>
            </w:pPr>
            <w:r>
              <w:rPr>
                <w:rFonts w:eastAsia="Calibri"/>
              </w:rPr>
              <w:t>100%</w:t>
            </w:r>
          </w:p>
        </w:tc>
      </w:tr>
      <w:tr w:rsidR="007E3A44" w:rsidRPr="00FD2055" w14:paraId="793C2AA5" w14:textId="77777777" w:rsidTr="00A80E60">
        <w:trPr>
          <w:tblHeader/>
        </w:trPr>
        <w:tc>
          <w:tcPr>
            <w:tcW w:w="747" w:type="pct"/>
            <w:vMerge/>
            <w:tcMar>
              <w:top w:w="57" w:type="dxa"/>
              <w:bottom w:w="57" w:type="dxa"/>
            </w:tcMar>
          </w:tcPr>
          <w:p w14:paraId="48FC71C3" w14:textId="77777777" w:rsidR="007E3A44" w:rsidRPr="00FD2055" w:rsidRDefault="007E3A44" w:rsidP="00272957">
            <w:pPr>
              <w:pStyle w:val="Standaard-Tabellen"/>
              <w:keepNext/>
              <w:rPr>
                <w:rFonts w:eastAsia="Calibri"/>
              </w:rPr>
            </w:pPr>
          </w:p>
        </w:tc>
        <w:tc>
          <w:tcPr>
            <w:tcW w:w="2307" w:type="pct"/>
            <w:shd w:val="clear" w:color="auto" w:fill="auto"/>
            <w:tcMar>
              <w:top w:w="57" w:type="dxa"/>
              <w:bottom w:w="57" w:type="dxa"/>
            </w:tcMar>
          </w:tcPr>
          <w:p w14:paraId="17A51CD6" w14:textId="77777777" w:rsidR="007E3A44" w:rsidRPr="00B5240E" w:rsidRDefault="007E3A44" w:rsidP="00272957">
            <w:pPr>
              <w:pStyle w:val="Standaard-Tabellen"/>
              <w:keepNext/>
              <w:rPr>
                <w:rFonts w:eastAsia="Calibri"/>
              </w:rPr>
            </w:pPr>
            <w:r>
              <w:rPr>
                <w:rFonts w:eastAsia="Calibri"/>
              </w:rPr>
              <w:t>Oral absorption</w:t>
            </w:r>
            <w:r>
              <w:rPr>
                <w:rFonts w:eastAsia="Calibri"/>
                <w:vertAlign w:val="superscript"/>
              </w:rPr>
              <w:t>1</w:t>
            </w:r>
          </w:p>
        </w:tc>
        <w:tc>
          <w:tcPr>
            <w:tcW w:w="1946" w:type="pct"/>
            <w:shd w:val="clear" w:color="auto" w:fill="auto"/>
            <w:tcMar>
              <w:top w:w="57" w:type="dxa"/>
              <w:bottom w:w="57" w:type="dxa"/>
            </w:tcMar>
          </w:tcPr>
          <w:p w14:paraId="344FECCC" w14:textId="77777777" w:rsidR="007E3A44" w:rsidRPr="00B5240E" w:rsidRDefault="007E3A44" w:rsidP="00272957">
            <w:pPr>
              <w:pStyle w:val="Standaard-Tabellen"/>
              <w:keepNext/>
              <w:rPr>
                <w:rFonts w:eastAsia="Calibri"/>
              </w:rPr>
            </w:pPr>
            <w:r>
              <w:rPr>
                <w:rFonts w:eastAsia="Calibri"/>
              </w:rPr>
              <w:t>100%</w:t>
            </w:r>
          </w:p>
        </w:tc>
      </w:tr>
      <w:tr w:rsidR="007E3A44" w:rsidRPr="00FD2055" w14:paraId="598ECE4C" w14:textId="77777777" w:rsidTr="00A80E60">
        <w:trPr>
          <w:tblHeader/>
        </w:trPr>
        <w:tc>
          <w:tcPr>
            <w:tcW w:w="747" w:type="pct"/>
            <w:vMerge/>
            <w:tcMar>
              <w:top w:w="57" w:type="dxa"/>
              <w:bottom w:w="57" w:type="dxa"/>
            </w:tcMar>
          </w:tcPr>
          <w:p w14:paraId="143CE24C" w14:textId="77777777" w:rsidR="007E3A44" w:rsidRPr="00FD2055" w:rsidRDefault="007E3A44" w:rsidP="00272957">
            <w:pPr>
              <w:pStyle w:val="Standaard-Tabellen"/>
              <w:keepNext/>
              <w:rPr>
                <w:rFonts w:eastAsia="Calibri"/>
              </w:rPr>
            </w:pPr>
          </w:p>
        </w:tc>
        <w:tc>
          <w:tcPr>
            <w:tcW w:w="2307" w:type="pct"/>
            <w:shd w:val="clear" w:color="auto" w:fill="auto"/>
            <w:tcMar>
              <w:top w:w="57" w:type="dxa"/>
              <w:bottom w:w="57" w:type="dxa"/>
            </w:tcMar>
          </w:tcPr>
          <w:p w14:paraId="7EC235E1" w14:textId="77777777" w:rsidR="007E3A44" w:rsidRPr="00B5240E" w:rsidRDefault="007E3A44" w:rsidP="00272957">
            <w:pPr>
              <w:pStyle w:val="Standaard-Tabellen"/>
              <w:keepNext/>
              <w:rPr>
                <w:rFonts w:eastAsia="Calibri"/>
              </w:rPr>
            </w:pPr>
            <w:r>
              <w:rPr>
                <w:rFonts w:eastAsia="Calibri"/>
              </w:rPr>
              <w:t>% of active substance in biocidal product</w:t>
            </w:r>
            <w:r>
              <w:rPr>
                <w:rFonts w:eastAsia="Calibri"/>
                <w:vertAlign w:val="superscript"/>
              </w:rPr>
              <w:t>1</w:t>
            </w:r>
            <w:r>
              <w:rPr>
                <w:rFonts w:eastAsia="Calibri"/>
              </w:rPr>
              <w:t xml:space="preserve"> </w:t>
            </w:r>
          </w:p>
        </w:tc>
        <w:tc>
          <w:tcPr>
            <w:tcW w:w="1946" w:type="pct"/>
            <w:shd w:val="clear" w:color="auto" w:fill="auto"/>
            <w:tcMar>
              <w:top w:w="57" w:type="dxa"/>
              <w:bottom w:w="57" w:type="dxa"/>
            </w:tcMar>
          </w:tcPr>
          <w:p w14:paraId="7B99E262" w14:textId="77777777" w:rsidR="007E3A44" w:rsidRPr="00B5240E" w:rsidRDefault="007E3A44" w:rsidP="00272957">
            <w:pPr>
              <w:pStyle w:val="Standaard-Tabellen"/>
              <w:keepNext/>
              <w:rPr>
                <w:rFonts w:eastAsia="Calibri"/>
              </w:rPr>
            </w:pPr>
            <w:r>
              <w:rPr>
                <w:rFonts w:eastAsia="Calibri"/>
              </w:rPr>
              <w:t>20%</w:t>
            </w:r>
          </w:p>
        </w:tc>
      </w:tr>
      <w:tr w:rsidR="007E3A44" w:rsidRPr="00FD2055" w14:paraId="32D7BC39" w14:textId="77777777" w:rsidTr="00A80E60">
        <w:trPr>
          <w:tblHeader/>
        </w:trPr>
        <w:tc>
          <w:tcPr>
            <w:tcW w:w="747" w:type="pct"/>
            <w:vMerge/>
            <w:tcMar>
              <w:top w:w="57" w:type="dxa"/>
              <w:bottom w:w="57" w:type="dxa"/>
            </w:tcMar>
          </w:tcPr>
          <w:p w14:paraId="568D2DD2" w14:textId="77777777" w:rsidR="007E3A44" w:rsidRPr="00FD2055" w:rsidRDefault="007E3A44" w:rsidP="00272957">
            <w:pPr>
              <w:pStyle w:val="Standaard-Tabellen"/>
              <w:keepNext/>
              <w:rPr>
                <w:rFonts w:eastAsia="Calibri"/>
              </w:rPr>
            </w:pPr>
          </w:p>
        </w:tc>
        <w:tc>
          <w:tcPr>
            <w:tcW w:w="2307" w:type="pct"/>
            <w:shd w:val="clear" w:color="auto" w:fill="auto"/>
            <w:tcMar>
              <w:top w:w="57" w:type="dxa"/>
              <w:bottom w:w="57" w:type="dxa"/>
            </w:tcMar>
          </w:tcPr>
          <w:p w14:paraId="0123C6EE" w14:textId="77777777" w:rsidR="007E3A44" w:rsidRPr="00FD2055" w:rsidRDefault="007E3A44" w:rsidP="00272957">
            <w:pPr>
              <w:pStyle w:val="Standaard-Tabellen"/>
              <w:keepNext/>
              <w:rPr>
                <w:rFonts w:eastAsia="Calibri"/>
              </w:rPr>
            </w:pPr>
            <w:r w:rsidRPr="00B5240E">
              <w:rPr>
                <w:rFonts w:eastAsia="Calibri"/>
              </w:rPr>
              <w:t>Indicative value for inhalation</w:t>
            </w:r>
          </w:p>
        </w:tc>
        <w:tc>
          <w:tcPr>
            <w:tcW w:w="1946" w:type="pct"/>
            <w:shd w:val="clear" w:color="auto" w:fill="auto"/>
            <w:tcMar>
              <w:top w:w="57" w:type="dxa"/>
              <w:bottom w:w="57" w:type="dxa"/>
            </w:tcMar>
          </w:tcPr>
          <w:p w14:paraId="549352AE" w14:textId="77777777" w:rsidR="007E3A44" w:rsidRPr="00FD2055" w:rsidRDefault="007E3A44" w:rsidP="00272957">
            <w:pPr>
              <w:pStyle w:val="Standaard-Tabellen"/>
              <w:keepNext/>
              <w:rPr>
                <w:rFonts w:eastAsia="Calibri"/>
              </w:rPr>
            </w:pPr>
            <w:r w:rsidRPr="00B5240E">
              <w:rPr>
                <w:rFonts w:eastAsia="Calibri"/>
              </w:rPr>
              <w:t>10</w:t>
            </w:r>
            <w:r>
              <w:rPr>
                <w:rFonts w:eastAsia="Calibri"/>
              </w:rPr>
              <w:t>.</w:t>
            </w:r>
            <w:r w:rsidRPr="00B5240E">
              <w:rPr>
                <w:rFonts w:eastAsia="Calibri"/>
              </w:rPr>
              <w:t>5 mg/m</w:t>
            </w:r>
            <w:r w:rsidRPr="00B5240E">
              <w:rPr>
                <w:rFonts w:eastAsia="Calibri"/>
                <w:vertAlign w:val="superscript"/>
              </w:rPr>
              <w:t>3</w:t>
            </w:r>
          </w:p>
        </w:tc>
      </w:tr>
      <w:tr w:rsidR="007E3A44" w:rsidRPr="00FD2055" w14:paraId="4F2CF6CB" w14:textId="77777777" w:rsidTr="00A80E60">
        <w:trPr>
          <w:tblHeader/>
        </w:trPr>
        <w:tc>
          <w:tcPr>
            <w:tcW w:w="747" w:type="pct"/>
            <w:vMerge/>
            <w:tcMar>
              <w:top w:w="57" w:type="dxa"/>
              <w:bottom w:w="57" w:type="dxa"/>
            </w:tcMar>
          </w:tcPr>
          <w:p w14:paraId="195CA1F0" w14:textId="77777777" w:rsidR="007E3A44" w:rsidRPr="00FD2055" w:rsidRDefault="007E3A44" w:rsidP="00272957">
            <w:pPr>
              <w:pStyle w:val="Standaard-Tabellen"/>
              <w:keepNext/>
              <w:rPr>
                <w:rFonts w:eastAsia="Calibri"/>
              </w:rPr>
            </w:pPr>
          </w:p>
        </w:tc>
        <w:tc>
          <w:tcPr>
            <w:tcW w:w="2307" w:type="pct"/>
            <w:shd w:val="clear" w:color="auto" w:fill="auto"/>
            <w:tcMar>
              <w:top w:w="57" w:type="dxa"/>
              <w:bottom w:w="57" w:type="dxa"/>
            </w:tcMar>
          </w:tcPr>
          <w:p w14:paraId="11BD35C1" w14:textId="77777777" w:rsidR="007E3A44" w:rsidRPr="00FD2055" w:rsidRDefault="007E3A44" w:rsidP="00272957">
            <w:pPr>
              <w:pStyle w:val="Standaard-Tabellen"/>
              <w:keepNext/>
              <w:rPr>
                <w:rFonts w:eastAsia="Calibri"/>
              </w:rPr>
            </w:pPr>
            <w:r>
              <w:rPr>
                <w:rFonts w:eastAsia="Calibri"/>
              </w:rPr>
              <w:t>Body weight</w:t>
            </w:r>
            <w:r>
              <w:rPr>
                <w:rFonts w:eastAsia="Calibri"/>
                <w:vertAlign w:val="superscript"/>
              </w:rPr>
              <w:t>1</w:t>
            </w:r>
            <w:r>
              <w:rPr>
                <w:rFonts w:eastAsia="Calibri"/>
              </w:rPr>
              <w:t xml:space="preserve"> </w:t>
            </w:r>
          </w:p>
        </w:tc>
        <w:tc>
          <w:tcPr>
            <w:tcW w:w="1946" w:type="pct"/>
            <w:shd w:val="clear" w:color="auto" w:fill="auto"/>
            <w:tcMar>
              <w:top w:w="57" w:type="dxa"/>
              <w:bottom w:w="57" w:type="dxa"/>
            </w:tcMar>
          </w:tcPr>
          <w:p w14:paraId="22C3DE1E" w14:textId="77777777" w:rsidR="007E3A44" w:rsidRPr="00FD2055" w:rsidRDefault="007E3A44" w:rsidP="00272957">
            <w:pPr>
              <w:pStyle w:val="Standaard-Tabellen"/>
              <w:keepNext/>
              <w:rPr>
                <w:rFonts w:eastAsia="Calibri"/>
              </w:rPr>
            </w:pPr>
            <w:r>
              <w:rPr>
                <w:rFonts w:eastAsia="Calibri"/>
              </w:rPr>
              <w:t>60 kg</w:t>
            </w:r>
          </w:p>
        </w:tc>
      </w:tr>
      <w:tr w:rsidR="007E3A44" w:rsidRPr="00FD2055" w14:paraId="0E1524E3" w14:textId="77777777" w:rsidTr="00A80E60">
        <w:trPr>
          <w:tblHeader/>
        </w:trPr>
        <w:tc>
          <w:tcPr>
            <w:tcW w:w="747" w:type="pct"/>
            <w:vMerge/>
            <w:tcMar>
              <w:top w:w="57" w:type="dxa"/>
              <w:bottom w:w="57" w:type="dxa"/>
            </w:tcMar>
          </w:tcPr>
          <w:p w14:paraId="0B04B80B" w14:textId="77777777" w:rsidR="007E3A44" w:rsidRPr="00FD2055" w:rsidRDefault="007E3A44" w:rsidP="00272957">
            <w:pPr>
              <w:pStyle w:val="Standaard-Tabellen"/>
              <w:keepNext/>
              <w:rPr>
                <w:rFonts w:eastAsia="Calibri"/>
              </w:rPr>
            </w:pPr>
          </w:p>
        </w:tc>
        <w:tc>
          <w:tcPr>
            <w:tcW w:w="2307" w:type="pct"/>
            <w:shd w:val="clear" w:color="auto" w:fill="auto"/>
            <w:tcMar>
              <w:top w:w="57" w:type="dxa"/>
              <w:bottom w:w="57" w:type="dxa"/>
            </w:tcMar>
          </w:tcPr>
          <w:p w14:paraId="4F153FDC" w14:textId="77777777" w:rsidR="007E3A44" w:rsidRPr="00B5240E" w:rsidRDefault="007E3A44" w:rsidP="00272957">
            <w:pPr>
              <w:pStyle w:val="Standaard-Tabellen"/>
              <w:keepNext/>
              <w:rPr>
                <w:rFonts w:eastAsia="Calibri"/>
              </w:rPr>
            </w:pPr>
            <w:r w:rsidRPr="005A44E3">
              <w:rPr>
                <w:rFonts w:eastAsia="Calibri"/>
              </w:rPr>
              <w:t>Respiration rate [m</w:t>
            </w:r>
            <w:r w:rsidRPr="005A44E3">
              <w:rPr>
                <w:rFonts w:eastAsia="Calibri"/>
                <w:vertAlign w:val="superscript"/>
              </w:rPr>
              <w:t>3</w:t>
            </w:r>
            <w:r>
              <w:rPr>
                <w:rFonts w:eastAsia="Calibri"/>
              </w:rPr>
              <w:t>/air/hour]</w:t>
            </w:r>
            <w:r>
              <w:rPr>
                <w:rFonts w:eastAsia="Calibri"/>
                <w:vertAlign w:val="superscript"/>
              </w:rPr>
              <w:t>1</w:t>
            </w:r>
          </w:p>
        </w:tc>
        <w:tc>
          <w:tcPr>
            <w:tcW w:w="1946" w:type="pct"/>
            <w:shd w:val="clear" w:color="auto" w:fill="auto"/>
            <w:tcMar>
              <w:top w:w="57" w:type="dxa"/>
              <w:bottom w:w="57" w:type="dxa"/>
            </w:tcMar>
          </w:tcPr>
          <w:p w14:paraId="7D3FA7CB" w14:textId="77777777" w:rsidR="007E3A44" w:rsidRPr="00FD2055" w:rsidRDefault="007E3A44" w:rsidP="00272957">
            <w:pPr>
              <w:pStyle w:val="Standaard-Tabellen"/>
              <w:keepNext/>
              <w:rPr>
                <w:rFonts w:eastAsia="Calibri"/>
              </w:rPr>
            </w:pPr>
            <w:r>
              <w:rPr>
                <w:rFonts w:eastAsia="Calibri"/>
              </w:rPr>
              <w:t xml:space="preserve">1.25 </w:t>
            </w:r>
            <w:r w:rsidRPr="005A44E3">
              <w:rPr>
                <w:rFonts w:eastAsia="Calibri"/>
              </w:rPr>
              <w:t>m³/h</w:t>
            </w:r>
          </w:p>
        </w:tc>
      </w:tr>
      <w:tr w:rsidR="007E3A44" w:rsidRPr="00FD2055" w14:paraId="0FD09B00" w14:textId="77777777" w:rsidTr="00A80E60">
        <w:trPr>
          <w:tblHeader/>
        </w:trPr>
        <w:tc>
          <w:tcPr>
            <w:tcW w:w="747" w:type="pct"/>
            <w:vMerge/>
            <w:tcMar>
              <w:top w:w="57" w:type="dxa"/>
              <w:bottom w:w="57" w:type="dxa"/>
            </w:tcMar>
          </w:tcPr>
          <w:p w14:paraId="5C34E1F8" w14:textId="77777777" w:rsidR="007E3A44" w:rsidRPr="00FD2055" w:rsidRDefault="007E3A44" w:rsidP="00272957">
            <w:pPr>
              <w:pStyle w:val="Standaard-Tabellen"/>
              <w:keepNext/>
              <w:rPr>
                <w:rFonts w:eastAsia="Calibri"/>
              </w:rPr>
            </w:pPr>
          </w:p>
        </w:tc>
        <w:tc>
          <w:tcPr>
            <w:tcW w:w="2307" w:type="pct"/>
            <w:shd w:val="clear" w:color="auto" w:fill="auto"/>
            <w:tcMar>
              <w:top w:w="57" w:type="dxa"/>
              <w:bottom w:w="57" w:type="dxa"/>
            </w:tcMar>
          </w:tcPr>
          <w:p w14:paraId="73CDC833" w14:textId="77777777" w:rsidR="007E3A44" w:rsidRPr="00B5240E" w:rsidRDefault="007E3A44" w:rsidP="00272957">
            <w:pPr>
              <w:pStyle w:val="Standaard-Tabellen"/>
              <w:keepNext/>
              <w:rPr>
                <w:rFonts w:eastAsia="Calibri"/>
              </w:rPr>
            </w:pPr>
            <w:r w:rsidRPr="00B5240E">
              <w:rPr>
                <w:rFonts w:eastAsia="Calibri"/>
              </w:rPr>
              <w:t>Spray duration</w:t>
            </w:r>
            <w:r>
              <w:rPr>
                <w:rFonts w:eastAsia="Calibri"/>
                <w:vertAlign w:val="superscript"/>
              </w:rPr>
              <w:t>3</w:t>
            </w:r>
          </w:p>
        </w:tc>
        <w:tc>
          <w:tcPr>
            <w:tcW w:w="1946" w:type="pct"/>
            <w:shd w:val="clear" w:color="auto" w:fill="auto"/>
            <w:tcMar>
              <w:top w:w="57" w:type="dxa"/>
              <w:bottom w:w="57" w:type="dxa"/>
            </w:tcMar>
          </w:tcPr>
          <w:p w14:paraId="388635F4" w14:textId="77777777" w:rsidR="007E3A44" w:rsidRPr="00FD2055" w:rsidRDefault="007E3A44" w:rsidP="00272957">
            <w:pPr>
              <w:pStyle w:val="Standaard-Tabellen"/>
              <w:keepNext/>
              <w:rPr>
                <w:rFonts w:eastAsia="Calibri"/>
              </w:rPr>
            </w:pPr>
            <w:r w:rsidRPr="00C8507C">
              <w:rPr>
                <w:rFonts w:eastAsia="Calibri"/>
                <w:lang w:val="fr-BE"/>
              </w:rPr>
              <w:t xml:space="preserve">4 minutes </w:t>
            </w:r>
          </w:p>
        </w:tc>
      </w:tr>
      <w:tr w:rsidR="007E3A44" w:rsidRPr="00FD2055" w14:paraId="179C7527" w14:textId="77777777" w:rsidTr="00A80E60">
        <w:trPr>
          <w:tblHeader/>
        </w:trPr>
        <w:tc>
          <w:tcPr>
            <w:tcW w:w="747" w:type="pct"/>
            <w:tcMar>
              <w:top w:w="57" w:type="dxa"/>
              <w:bottom w:w="57" w:type="dxa"/>
            </w:tcMar>
          </w:tcPr>
          <w:p w14:paraId="50D6FBCE" w14:textId="77777777" w:rsidR="007E3A44" w:rsidRPr="00444E6B" w:rsidRDefault="007E3A44" w:rsidP="00272957">
            <w:pPr>
              <w:pStyle w:val="Standaard-Tabellen"/>
              <w:keepNext/>
              <w:rPr>
                <w:rFonts w:eastAsia="Calibri"/>
              </w:rPr>
            </w:pPr>
            <w:r w:rsidRPr="00444E6B">
              <w:rPr>
                <w:rFonts w:eastAsia="Calibri"/>
              </w:rPr>
              <w:t>Tier 1- Adult</w:t>
            </w:r>
          </w:p>
          <w:p w14:paraId="6286FF80" w14:textId="77777777" w:rsidR="007E3A44" w:rsidRPr="00FD2055" w:rsidRDefault="007E3A44" w:rsidP="00272957">
            <w:pPr>
              <w:pStyle w:val="Standaard-Tabellen"/>
              <w:keepNext/>
              <w:rPr>
                <w:rFonts w:eastAsia="Calibri"/>
              </w:rPr>
            </w:pPr>
          </w:p>
        </w:tc>
        <w:tc>
          <w:tcPr>
            <w:tcW w:w="2307" w:type="pct"/>
            <w:shd w:val="clear" w:color="auto" w:fill="auto"/>
            <w:tcMar>
              <w:top w:w="57" w:type="dxa"/>
              <w:bottom w:w="57" w:type="dxa"/>
            </w:tcMar>
          </w:tcPr>
          <w:p w14:paraId="7004C064" w14:textId="77777777" w:rsidR="007E3A44" w:rsidRPr="005A44E3" w:rsidRDefault="007E3A44" w:rsidP="00272957">
            <w:pPr>
              <w:pStyle w:val="Standaard-Tabellen"/>
              <w:keepNext/>
              <w:rPr>
                <w:rFonts w:eastAsia="Calibri"/>
              </w:rPr>
            </w:pPr>
            <w:r>
              <w:rPr>
                <w:rFonts w:eastAsia="Calibri"/>
              </w:rPr>
              <w:t>Number of application / day</w:t>
            </w:r>
            <w:r>
              <w:rPr>
                <w:rFonts w:eastAsia="Calibri"/>
                <w:vertAlign w:val="superscript"/>
              </w:rPr>
              <w:t>1</w:t>
            </w:r>
          </w:p>
        </w:tc>
        <w:tc>
          <w:tcPr>
            <w:tcW w:w="1946" w:type="pct"/>
            <w:shd w:val="clear" w:color="auto" w:fill="auto"/>
            <w:tcMar>
              <w:top w:w="57" w:type="dxa"/>
              <w:bottom w:w="57" w:type="dxa"/>
            </w:tcMar>
          </w:tcPr>
          <w:p w14:paraId="0155B5F1" w14:textId="77777777" w:rsidR="007E3A44" w:rsidRPr="00DA4963" w:rsidRDefault="007E3A44" w:rsidP="00272957">
            <w:pPr>
              <w:pStyle w:val="Standaard-Tabellen"/>
              <w:keepNext/>
              <w:rPr>
                <w:rFonts w:eastAsia="Calibri"/>
              </w:rPr>
            </w:pPr>
            <w:r>
              <w:rPr>
                <w:rFonts w:eastAsia="Calibri"/>
              </w:rPr>
              <w:t>9 (</w:t>
            </w:r>
            <w:r w:rsidRPr="00DA4963">
              <w:rPr>
                <w:rFonts w:eastAsia="Calibri"/>
              </w:rPr>
              <w:t>3 appl/d for Adult</w:t>
            </w:r>
            <w:r>
              <w:rPr>
                <w:rFonts w:eastAsia="Calibri"/>
              </w:rPr>
              <w:t xml:space="preserve"> himself and</w:t>
            </w:r>
          </w:p>
          <w:p w14:paraId="50318A88" w14:textId="77777777" w:rsidR="007E3A44" w:rsidRDefault="007E3A44" w:rsidP="00272957">
            <w:pPr>
              <w:pStyle w:val="Standaard-Tabellen"/>
              <w:keepNext/>
              <w:rPr>
                <w:rFonts w:eastAsia="Calibri"/>
              </w:rPr>
            </w:pPr>
            <w:r>
              <w:rPr>
                <w:rFonts w:eastAsia="Calibri"/>
              </w:rPr>
              <w:t xml:space="preserve">3 </w:t>
            </w:r>
            <w:r w:rsidRPr="00DA4963">
              <w:rPr>
                <w:rFonts w:eastAsia="Calibri"/>
              </w:rPr>
              <w:t xml:space="preserve">appl/d for each </w:t>
            </w:r>
            <w:r>
              <w:rPr>
                <w:rFonts w:eastAsia="Calibri"/>
              </w:rPr>
              <w:t xml:space="preserve">of the 2 </w:t>
            </w:r>
            <w:r w:rsidRPr="00DA4963">
              <w:rPr>
                <w:rFonts w:eastAsia="Calibri"/>
              </w:rPr>
              <w:t>child</w:t>
            </w:r>
            <w:r>
              <w:rPr>
                <w:rFonts w:eastAsia="Calibri"/>
              </w:rPr>
              <w:t>ren)</w:t>
            </w:r>
          </w:p>
        </w:tc>
      </w:tr>
    </w:tbl>
    <w:p w14:paraId="68470DC4" w14:textId="77777777" w:rsidR="007E3A44" w:rsidRDefault="007E3A44" w:rsidP="00272957">
      <w:pPr>
        <w:pStyle w:val="Voetnoot"/>
        <w:keepNext/>
        <w:rPr>
          <w:rFonts w:eastAsia="Calibri"/>
        </w:rPr>
      </w:pPr>
      <w:r w:rsidRPr="00332AD5">
        <w:rPr>
          <w:rStyle w:val="Appelnotedebasdep"/>
          <w:rFonts w:eastAsia="Calibri"/>
          <w:vertAlign w:val="superscript"/>
        </w:rPr>
        <w:t>1</w:t>
      </w:r>
      <w:r w:rsidRPr="00332AD5">
        <w:rPr>
          <w:rStyle w:val="Appelnotedebasdep"/>
          <w:rFonts w:eastAsia="Calibri"/>
        </w:rPr>
        <w:t xml:space="preserve"> </w:t>
      </w:r>
      <w:r w:rsidRPr="00606070">
        <w:rPr>
          <w:rStyle w:val="Appelnotedebasdep"/>
          <w:rFonts w:eastAsia="Calibri"/>
        </w:rPr>
        <w:t>General information, see justification above</w:t>
      </w:r>
    </w:p>
    <w:p w14:paraId="08E805AD" w14:textId="77777777" w:rsidR="007E3A44" w:rsidRDefault="007E3A44" w:rsidP="00272957">
      <w:pPr>
        <w:pStyle w:val="Voetnoot"/>
        <w:keepNext/>
        <w:rPr>
          <w:rFonts w:eastAsia="Calibri"/>
        </w:rPr>
      </w:pPr>
      <w:r w:rsidRPr="00FA0BAC">
        <w:rPr>
          <w:rFonts w:eastAsia="Calibri"/>
          <w:vertAlign w:val="superscript"/>
        </w:rPr>
        <w:t>2</w:t>
      </w:r>
      <w:r>
        <w:rPr>
          <w:rFonts w:eastAsia="Calibri"/>
        </w:rPr>
        <w:t xml:space="preserve"> </w:t>
      </w:r>
      <w:r w:rsidRPr="0037612A">
        <w:rPr>
          <w:rFonts w:eastAsia="Calibri"/>
        </w:rPr>
        <w:t>Model used: “Consumer spraying and dusting model 2 - Hand-held trigger spray</w:t>
      </w:r>
      <w:r>
        <w:rPr>
          <w:rFonts w:eastAsia="Calibri"/>
        </w:rPr>
        <w:t>”</w:t>
      </w:r>
      <w:r w:rsidRPr="0037612A">
        <w:t xml:space="preserve"> </w:t>
      </w:r>
      <w:r w:rsidRPr="0037612A">
        <w:rPr>
          <w:rFonts w:eastAsia="Calibri"/>
        </w:rPr>
        <w:t>Biocide Human Hea</w:t>
      </w:r>
      <w:r>
        <w:rPr>
          <w:rFonts w:eastAsia="Calibri"/>
        </w:rPr>
        <w:t>lth Exposure Methodology, p. 220</w:t>
      </w:r>
    </w:p>
    <w:p w14:paraId="482E7FC9" w14:textId="77777777" w:rsidR="007E3A44" w:rsidRDefault="007E3A44" w:rsidP="00272957">
      <w:pPr>
        <w:pStyle w:val="Voetnoot"/>
        <w:keepNext/>
        <w:rPr>
          <w:rFonts w:eastAsia="Calibri"/>
        </w:rPr>
      </w:pPr>
      <w:r>
        <w:rPr>
          <w:rFonts w:eastAsia="Calibri"/>
          <w:vertAlign w:val="superscript"/>
        </w:rPr>
        <w:t>3</w:t>
      </w:r>
      <w:r>
        <w:rPr>
          <w:rFonts w:eastAsia="Calibri"/>
        </w:rPr>
        <w:t xml:space="preserve"> CAR of IR3535</w:t>
      </w:r>
      <w:r w:rsidRPr="00A65E12">
        <w:rPr>
          <w:rFonts w:eastAsia="Calibri"/>
          <w:vertAlign w:val="superscript"/>
        </w:rPr>
        <w:t>®</w:t>
      </w:r>
      <w:r>
        <w:rPr>
          <w:rFonts w:eastAsia="Calibri"/>
        </w:rPr>
        <w:t xml:space="preserve"> (expert judgement) </w:t>
      </w:r>
    </w:p>
    <w:p w14:paraId="3AE915DD" w14:textId="77777777" w:rsidR="007E3A44" w:rsidRDefault="007E3A44" w:rsidP="00272957">
      <w:pPr>
        <w:keepNext/>
        <w:rPr>
          <w:rFonts w:eastAsia="Calibri"/>
        </w:rPr>
      </w:pPr>
    </w:p>
    <w:p w14:paraId="1AF8A2F1" w14:textId="77777777" w:rsidR="007E3A44" w:rsidRPr="00484F6D" w:rsidRDefault="007E3A44" w:rsidP="007E3A44">
      <w:pPr>
        <w:pStyle w:val="Titre7"/>
      </w:pPr>
      <w:r w:rsidRPr="00484F6D">
        <w:t>Calculations for scenario 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0"/>
        <w:gridCol w:w="1342"/>
        <w:gridCol w:w="2383"/>
        <w:gridCol w:w="1966"/>
        <w:gridCol w:w="2015"/>
      </w:tblGrid>
      <w:tr w:rsidR="007E3A44" w:rsidRPr="00C20709" w14:paraId="58F996AD" w14:textId="77777777" w:rsidTr="00F96662">
        <w:trPr>
          <w:cantSplit/>
          <w:trHeight w:val="412"/>
          <w:tblHeader/>
        </w:trPr>
        <w:tc>
          <w:tcPr>
            <w:tcW w:w="5000" w:type="pct"/>
            <w:gridSpan w:val="5"/>
            <w:shd w:val="clear" w:color="auto" w:fill="FFFFCC"/>
          </w:tcPr>
          <w:p w14:paraId="4F8FC15B" w14:textId="77777777" w:rsidR="007E3A44" w:rsidRPr="00C20709" w:rsidRDefault="007E3A44" w:rsidP="00272957">
            <w:pPr>
              <w:pStyle w:val="Standaard-Tabellen"/>
              <w:keepNext/>
              <w:jc w:val="center"/>
              <w:rPr>
                <w:rFonts w:eastAsia="Calibri"/>
                <w:b/>
              </w:rPr>
            </w:pPr>
            <w:r w:rsidRPr="00C20709">
              <w:rPr>
                <w:rFonts w:eastAsia="Calibri"/>
                <w:b/>
              </w:rPr>
              <w:t>Summary table: estimated exposure</w:t>
            </w:r>
            <w:r>
              <w:rPr>
                <w:rFonts w:eastAsia="Calibri"/>
                <w:b/>
              </w:rPr>
              <w:t xml:space="preserve"> for</w:t>
            </w:r>
            <w:r w:rsidRPr="00C20709">
              <w:rPr>
                <w:rFonts w:eastAsia="Calibri"/>
                <w:b/>
              </w:rPr>
              <w:t xml:space="preserve"> </w:t>
            </w:r>
            <w:r w:rsidRPr="0085669D">
              <w:rPr>
                <w:rFonts w:eastAsia="Calibri"/>
                <w:b/>
              </w:rPr>
              <w:t>treating two children and himself/herself</w:t>
            </w:r>
          </w:p>
        </w:tc>
      </w:tr>
      <w:tr w:rsidR="007E3A44" w:rsidRPr="00C20709" w14:paraId="3FD84979" w14:textId="77777777" w:rsidTr="00F96662">
        <w:trPr>
          <w:cantSplit/>
          <w:trHeight w:val="625"/>
          <w:tblHeader/>
        </w:trPr>
        <w:tc>
          <w:tcPr>
            <w:tcW w:w="900" w:type="pct"/>
            <w:shd w:val="clear" w:color="auto" w:fill="BFBFBF" w:themeFill="background1" w:themeFillShade="BF"/>
          </w:tcPr>
          <w:p w14:paraId="7A1643C9" w14:textId="77777777" w:rsidR="007E3A44" w:rsidRPr="00C20709" w:rsidRDefault="007E3A44" w:rsidP="00272957">
            <w:pPr>
              <w:pStyle w:val="Standaard-Tabellen"/>
              <w:keepNext/>
              <w:rPr>
                <w:rFonts w:eastAsia="Calibri"/>
                <w:b/>
              </w:rPr>
            </w:pPr>
            <w:r w:rsidRPr="00C20709">
              <w:rPr>
                <w:rFonts w:eastAsia="Calibri"/>
                <w:b/>
              </w:rPr>
              <w:t>Exposure scenario</w:t>
            </w:r>
          </w:p>
        </w:tc>
        <w:tc>
          <w:tcPr>
            <w:tcW w:w="714" w:type="pct"/>
            <w:shd w:val="clear" w:color="auto" w:fill="BFBFBF" w:themeFill="background1" w:themeFillShade="BF"/>
          </w:tcPr>
          <w:p w14:paraId="43336729" w14:textId="77777777" w:rsidR="007E3A44" w:rsidRPr="00C20709" w:rsidRDefault="007E3A44" w:rsidP="00272957">
            <w:pPr>
              <w:pStyle w:val="Standaard-Tabellen"/>
              <w:keepNext/>
              <w:rPr>
                <w:rFonts w:eastAsia="Calibri"/>
                <w:b/>
              </w:rPr>
            </w:pPr>
            <w:r w:rsidRPr="00C20709">
              <w:rPr>
                <w:rFonts w:eastAsia="Calibri"/>
                <w:b/>
              </w:rPr>
              <w:t>Tier/PPE</w:t>
            </w:r>
          </w:p>
        </w:tc>
        <w:tc>
          <w:tcPr>
            <w:tcW w:w="1268" w:type="pct"/>
            <w:shd w:val="clear" w:color="auto" w:fill="BFBFBF" w:themeFill="background1" w:themeFillShade="BF"/>
          </w:tcPr>
          <w:p w14:paraId="26097486" w14:textId="77777777" w:rsidR="007E3A44" w:rsidRPr="00C20709" w:rsidRDefault="007E3A44" w:rsidP="00272957">
            <w:pPr>
              <w:pStyle w:val="Standaard-Tabellen"/>
              <w:keepNext/>
              <w:rPr>
                <w:rFonts w:eastAsia="Calibri"/>
                <w:b/>
              </w:rPr>
            </w:pPr>
            <w:r w:rsidRPr="00C20709">
              <w:rPr>
                <w:rFonts w:eastAsia="Calibri"/>
                <w:b/>
              </w:rPr>
              <w:t>Estimated inhalation uptake</w:t>
            </w:r>
          </w:p>
        </w:tc>
        <w:tc>
          <w:tcPr>
            <w:tcW w:w="1046" w:type="pct"/>
            <w:shd w:val="clear" w:color="auto" w:fill="BFBFBF" w:themeFill="background1" w:themeFillShade="BF"/>
            <w:tcMar>
              <w:top w:w="57" w:type="dxa"/>
              <w:bottom w:w="57" w:type="dxa"/>
            </w:tcMar>
          </w:tcPr>
          <w:p w14:paraId="53C81058" w14:textId="77777777" w:rsidR="007E3A44" w:rsidRPr="00C20709" w:rsidRDefault="007E3A44" w:rsidP="00272957">
            <w:pPr>
              <w:pStyle w:val="Standaard-Tabellen"/>
              <w:keepNext/>
              <w:rPr>
                <w:rFonts w:eastAsia="Calibri"/>
                <w:b/>
              </w:rPr>
            </w:pPr>
            <w:r w:rsidRPr="00C20709">
              <w:rPr>
                <w:rFonts w:eastAsia="Calibri"/>
                <w:b/>
              </w:rPr>
              <w:t>Estimated oral uptake</w:t>
            </w:r>
          </w:p>
        </w:tc>
        <w:tc>
          <w:tcPr>
            <w:tcW w:w="1072" w:type="pct"/>
            <w:shd w:val="clear" w:color="auto" w:fill="BFBFBF" w:themeFill="background1" w:themeFillShade="BF"/>
          </w:tcPr>
          <w:p w14:paraId="3D27EDBD" w14:textId="77777777" w:rsidR="007E3A44" w:rsidRPr="00C20709" w:rsidRDefault="007E3A44" w:rsidP="00272957">
            <w:pPr>
              <w:pStyle w:val="Standaard-Tabellen"/>
              <w:keepNext/>
              <w:rPr>
                <w:rFonts w:eastAsia="Calibri"/>
                <w:b/>
              </w:rPr>
            </w:pPr>
            <w:r w:rsidRPr="00C20709">
              <w:rPr>
                <w:rFonts w:eastAsia="Calibri"/>
                <w:b/>
              </w:rPr>
              <w:t>Estimated total uptake</w:t>
            </w:r>
          </w:p>
        </w:tc>
      </w:tr>
      <w:tr w:rsidR="007E3A44" w:rsidRPr="00FD2055" w14:paraId="3735B0F0" w14:textId="77777777" w:rsidTr="00F96662">
        <w:trPr>
          <w:cantSplit/>
          <w:trHeight w:val="611"/>
          <w:tblHeader/>
        </w:trPr>
        <w:tc>
          <w:tcPr>
            <w:tcW w:w="900" w:type="pct"/>
            <w:shd w:val="clear" w:color="auto" w:fill="auto"/>
          </w:tcPr>
          <w:p w14:paraId="67876A51" w14:textId="77777777" w:rsidR="007E3A44" w:rsidRPr="00FD2055" w:rsidRDefault="007E3A44" w:rsidP="00272957">
            <w:pPr>
              <w:pStyle w:val="Standaard-Tabellen"/>
              <w:keepNext/>
              <w:rPr>
                <w:rFonts w:eastAsia="Calibri"/>
              </w:rPr>
            </w:pPr>
            <w:r w:rsidRPr="00FD2055">
              <w:rPr>
                <w:rFonts w:eastAsia="Calibri"/>
              </w:rPr>
              <w:t xml:space="preserve">Scenario </w:t>
            </w:r>
            <w:r>
              <w:rPr>
                <w:rFonts w:eastAsia="Calibri"/>
              </w:rPr>
              <w:t>4 – ADULT</w:t>
            </w:r>
          </w:p>
        </w:tc>
        <w:tc>
          <w:tcPr>
            <w:tcW w:w="714" w:type="pct"/>
          </w:tcPr>
          <w:p w14:paraId="51068A94" w14:textId="77777777" w:rsidR="007E3A44" w:rsidRPr="00FD2055" w:rsidRDefault="007E3A44" w:rsidP="00272957">
            <w:pPr>
              <w:pStyle w:val="Standaard-Tabellen"/>
              <w:keepNext/>
              <w:rPr>
                <w:rFonts w:eastAsia="Calibri"/>
              </w:rPr>
            </w:pPr>
            <w:r>
              <w:rPr>
                <w:rFonts w:eastAsia="Calibri"/>
              </w:rPr>
              <w:t xml:space="preserve">Tier 1 / no PPE </w:t>
            </w:r>
          </w:p>
        </w:tc>
        <w:tc>
          <w:tcPr>
            <w:tcW w:w="1268" w:type="pct"/>
          </w:tcPr>
          <w:p w14:paraId="02FF31DA" w14:textId="77777777" w:rsidR="007E3A44" w:rsidRPr="00FD2055" w:rsidRDefault="007E3A44" w:rsidP="00272957">
            <w:pPr>
              <w:pStyle w:val="Standaard-Tabellen"/>
              <w:keepNext/>
              <w:rPr>
                <w:rFonts w:eastAsia="Calibri"/>
              </w:rPr>
            </w:pPr>
            <w:r w:rsidRPr="000D67A4">
              <w:rPr>
                <w:rFonts w:eastAsia="Calibri"/>
                <w:lang w:eastAsia="en-US"/>
              </w:rPr>
              <w:t>0</w:t>
            </w:r>
            <w:r>
              <w:rPr>
                <w:rFonts w:eastAsia="Calibri"/>
                <w:lang w:eastAsia="en-US"/>
              </w:rPr>
              <w:t>.</w:t>
            </w:r>
            <w:r w:rsidRPr="000D67A4">
              <w:rPr>
                <w:rFonts w:eastAsia="Calibri"/>
                <w:lang w:eastAsia="en-US"/>
              </w:rPr>
              <w:t>00294 mg/kg bw</w:t>
            </w:r>
          </w:p>
        </w:tc>
        <w:tc>
          <w:tcPr>
            <w:tcW w:w="1046" w:type="pct"/>
            <w:shd w:val="clear" w:color="auto" w:fill="auto"/>
            <w:tcMar>
              <w:top w:w="57" w:type="dxa"/>
              <w:bottom w:w="57" w:type="dxa"/>
            </w:tcMar>
          </w:tcPr>
          <w:p w14:paraId="132822C2" w14:textId="77777777" w:rsidR="007E3A44" w:rsidRPr="00FD2055" w:rsidRDefault="007E3A44" w:rsidP="00272957">
            <w:pPr>
              <w:pStyle w:val="Standaard-Tabellen"/>
              <w:keepNext/>
              <w:rPr>
                <w:rFonts w:eastAsia="Calibri"/>
              </w:rPr>
            </w:pPr>
            <w:r w:rsidRPr="000D67A4">
              <w:rPr>
                <w:rFonts w:eastAsia="Calibri"/>
              </w:rPr>
              <w:t>0</w:t>
            </w:r>
            <w:r>
              <w:rPr>
                <w:rFonts w:eastAsia="Calibri"/>
              </w:rPr>
              <w:t>.</w:t>
            </w:r>
            <w:r w:rsidRPr="000D67A4">
              <w:rPr>
                <w:rFonts w:eastAsia="Calibri"/>
              </w:rPr>
              <w:t>0233 mg/kg bw</w:t>
            </w:r>
          </w:p>
        </w:tc>
        <w:tc>
          <w:tcPr>
            <w:tcW w:w="1072" w:type="pct"/>
          </w:tcPr>
          <w:p w14:paraId="05CA268D" w14:textId="77777777" w:rsidR="007E3A44" w:rsidRPr="00FD2055" w:rsidRDefault="007E3A44" w:rsidP="00272957">
            <w:pPr>
              <w:pStyle w:val="Standaard-Tabellen"/>
              <w:keepNext/>
              <w:rPr>
                <w:rFonts w:eastAsia="Calibri"/>
              </w:rPr>
            </w:pPr>
            <w:r w:rsidRPr="000D67A4">
              <w:rPr>
                <w:rFonts w:eastAsia="Calibri"/>
              </w:rPr>
              <w:t>0</w:t>
            </w:r>
            <w:r>
              <w:rPr>
                <w:rFonts w:eastAsia="Calibri"/>
              </w:rPr>
              <w:t>.</w:t>
            </w:r>
            <w:r w:rsidRPr="000D67A4">
              <w:rPr>
                <w:rFonts w:eastAsia="Calibri"/>
              </w:rPr>
              <w:t>0262 mg/kg bw</w:t>
            </w:r>
          </w:p>
        </w:tc>
      </w:tr>
    </w:tbl>
    <w:p w14:paraId="21D1A621" w14:textId="77777777" w:rsidR="007E3A44" w:rsidRDefault="007E3A44" w:rsidP="007E3A44">
      <w:pPr>
        <w:rPr>
          <w:rFonts w:eastAsia="Calibri"/>
          <w:lang w:eastAsia="en-US"/>
        </w:rPr>
      </w:pPr>
    </w:p>
    <w:p w14:paraId="02DF09A6" w14:textId="77777777" w:rsidR="007E3A44" w:rsidRDefault="007E3A44" w:rsidP="007E3A44">
      <w:pPr>
        <w:rPr>
          <w:rFonts w:eastAsia="Calibri"/>
          <w:lang w:eastAsia="en-US"/>
        </w:rPr>
      </w:pPr>
    </w:p>
    <w:p w14:paraId="18E6E60E" w14:textId="77777777" w:rsidR="008A2D32" w:rsidRPr="00FA1064" w:rsidRDefault="008A2D32" w:rsidP="00FA1064">
      <w:pPr>
        <w:pStyle w:val="Paragraphedeliste"/>
        <w:keepNext/>
        <w:numPr>
          <w:ilvl w:val="0"/>
          <w:numId w:val="68"/>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FA1064">
        <w:rPr>
          <w:rFonts w:eastAsia="Calibri"/>
          <w:b/>
          <w:lang w:eastAsia="en-US"/>
        </w:rPr>
        <w:t>MAJOR CHANGE FOR SPRAY REPULSIF IR200 – 2019 (FR CA)</w:t>
      </w:r>
    </w:p>
    <w:p w14:paraId="61A2E375" w14:textId="77777777" w:rsidR="002655EE" w:rsidRPr="007E29F8" w:rsidRDefault="002655EE" w:rsidP="00FA1064">
      <w:pPr>
        <w:pStyle w:val="Paragraphedeliste"/>
        <w:keepNext/>
        <w:widowControl w:val="0"/>
        <w:shd w:val="clear" w:color="auto" w:fill="FFFFFF" w:themeFill="background1"/>
        <w:kinsoku w:val="0"/>
        <w:overflowPunct w:val="0"/>
        <w:autoSpaceDE w:val="0"/>
        <w:autoSpaceDN w:val="0"/>
        <w:adjustRightInd w:val="0"/>
        <w:spacing w:before="292" w:after="0" w:line="290" w:lineRule="exact"/>
        <w:ind w:left="0" w:right="216"/>
        <w:jc w:val="both"/>
        <w:textAlignment w:val="baseline"/>
        <w:rPr>
          <w:rFonts w:cs="Arial"/>
          <w:spacing w:val="1"/>
          <w:lang w:eastAsia="fr-FR"/>
        </w:rPr>
      </w:pPr>
      <w:r w:rsidRPr="007E29F8">
        <w:rPr>
          <w:rFonts w:cs="Arial"/>
          <w:spacing w:val="1"/>
          <w:lang w:eastAsia="fr-FR"/>
        </w:rPr>
        <w:t>This scenario was not retained for major change application.</w:t>
      </w:r>
    </w:p>
    <w:p w14:paraId="4181C79F" w14:textId="0ADD3066" w:rsidR="007E3A44" w:rsidRDefault="007E3A44" w:rsidP="007E3A44">
      <w:pPr>
        <w:rPr>
          <w:rFonts w:eastAsia="Calibri"/>
          <w:lang w:eastAsia="en-US"/>
        </w:rPr>
      </w:pPr>
    </w:p>
    <w:p w14:paraId="629677EB" w14:textId="7913B8DF" w:rsidR="00222ACA" w:rsidRDefault="00222ACA" w:rsidP="007E3A44">
      <w:pPr>
        <w:rPr>
          <w:rFonts w:eastAsia="Calibri"/>
          <w:lang w:eastAsia="en-US"/>
        </w:rPr>
      </w:pPr>
    </w:p>
    <w:p w14:paraId="04A8373B" w14:textId="24445661" w:rsidR="00222ACA" w:rsidRDefault="00222ACA" w:rsidP="007E3A44">
      <w:pPr>
        <w:rPr>
          <w:rFonts w:eastAsia="Calibri"/>
          <w:lang w:eastAsia="en-US"/>
        </w:rPr>
      </w:pPr>
    </w:p>
    <w:p w14:paraId="6CB27F5B" w14:textId="1F05028B" w:rsidR="00222ACA" w:rsidRDefault="00222ACA" w:rsidP="007E3A44">
      <w:pPr>
        <w:rPr>
          <w:rFonts w:eastAsia="Calibri"/>
          <w:lang w:eastAsia="en-US"/>
        </w:rPr>
      </w:pPr>
    </w:p>
    <w:p w14:paraId="1E3F512F" w14:textId="1ABE714C" w:rsidR="00222ACA" w:rsidRDefault="00222ACA" w:rsidP="007E3A44">
      <w:pPr>
        <w:rPr>
          <w:rFonts w:eastAsia="Calibri"/>
          <w:lang w:eastAsia="en-US"/>
        </w:rPr>
      </w:pPr>
    </w:p>
    <w:p w14:paraId="170D31A6" w14:textId="7FCA2F3B" w:rsidR="00222ACA" w:rsidRDefault="00222ACA" w:rsidP="007E3A44">
      <w:pPr>
        <w:rPr>
          <w:rFonts w:eastAsia="Calibri"/>
          <w:lang w:eastAsia="en-US"/>
        </w:rPr>
      </w:pPr>
    </w:p>
    <w:p w14:paraId="581D3073" w14:textId="15EA9AE5" w:rsidR="00222ACA" w:rsidRDefault="00222ACA" w:rsidP="007E3A44">
      <w:pPr>
        <w:rPr>
          <w:rFonts w:eastAsia="Calibri"/>
          <w:lang w:eastAsia="en-US"/>
        </w:rPr>
      </w:pPr>
    </w:p>
    <w:p w14:paraId="592E9BBB" w14:textId="77777777" w:rsidR="00222ACA" w:rsidRPr="009461FB" w:rsidRDefault="00222ACA" w:rsidP="00222ACA">
      <w:pPr>
        <w:pStyle w:val="Paragraphedeliste"/>
        <w:numPr>
          <w:ilvl w:val="0"/>
          <w:numId w:val="68"/>
        </w:numPr>
        <w:rPr>
          <w:b/>
        </w:rPr>
      </w:pPr>
      <w:r w:rsidRPr="009461FB">
        <w:rPr>
          <w:b/>
        </w:rPr>
        <w:t>FIRST AUTHORISATION – 2017 (BE CA)</w:t>
      </w:r>
    </w:p>
    <w:p w14:paraId="2AD3FFF3" w14:textId="77777777" w:rsidR="007E3A44" w:rsidRPr="00532A83" w:rsidRDefault="007E3A44" w:rsidP="007E3A44">
      <w:pPr>
        <w:pStyle w:val="Titre6"/>
        <w:rPr>
          <w:lang w:val="en-US"/>
        </w:rPr>
      </w:pPr>
      <w:r w:rsidRPr="00532A83">
        <w:rPr>
          <w:lang w:val="en-US"/>
        </w:rPr>
        <w:t xml:space="preserve">Scenario </w:t>
      </w:r>
      <w:r>
        <w:rPr>
          <w:lang w:val="en-US"/>
        </w:rPr>
        <w:t xml:space="preserve">5: </w:t>
      </w:r>
      <w:r w:rsidRPr="007F63D0">
        <w:rPr>
          <w:lang w:val="en-US"/>
        </w:rPr>
        <w:t>Inhalation of volatilised residues after application (inhalative exposure)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72"/>
        <w:gridCol w:w="4461"/>
        <w:gridCol w:w="2163"/>
      </w:tblGrid>
      <w:tr w:rsidR="007E3A44" w:rsidRPr="00332AD5" w14:paraId="2C19715F" w14:textId="77777777" w:rsidTr="00F96662">
        <w:trPr>
          <w:tblHeader/>
        </w:trPr>
        <w:tc>
          <w:tcPr>
            <w:tcW w:w="5000" w:type="pct"/>
            <w:gridSpan w:val="3"/>
            <w:shd w:val="clear" w:color="auto" w:fill="FFFFCC"/>
            <w:tcMar>
              <w:top w:w="57" w:type="dxa"/>
              <w:bottom w:w="57" w:type="dxa"/>
            </w:tcMar>
          </w:tcPr>
          <w:p w14:paraId="220EC7F3" w14:textId="77777777" w:rsidR="007E3A44" w:rsidRPr="00332AD5" w:rsidRDefault="007E3A44" w:rsidP="00F96662">
            <w:pPr>
              <w:pStyle w:val="Standaard-Tabellen"/>
              <w:jc w:val="center"/>
              <w:rPr>
                <w:rFonts w:eastAsia="Calibri"/>
                <w:b/>
              </w:rPr>
            </w:pPr>
            <w:r w:rsidRPr="00332AD5">
              <w:rPr>
                <w:rFonts w:eastAsia="Calibri"/>
                <w:b/>
              </w:rPr>
              <w:t xml:space="preserve">Description of Scenario </w:t>
            </w:r>
            <w:r>
              <w:rPr>
                <w:rFonts w:eastAsia="Calibri"/>
                <w:b/>
              </w:rPr>
              <w:t>5</w:t>
            </w:r>
          </w:p>
        </w:tc>
      </w:tr>
      <w:tr w:rsidR="00A80E60" w:rsidRPr="00FD2055" w14:paraId="2EBEDAD6" w14:textId="77777777" w:rsidTr="00F96662">
        <w:trPr>
          <w:tblHeader/>
        </w:trPr>
        <w:tc>
          <w:tcPr>
            <w:tcW w:w="5000" w:type="pct"/>
            <w:gridSpan w:val="3"/>
            <w:shd w:val="clear" w:color="auto" w:fill="auto"/>
            <w:tcMar>
              <w:top w:w="57" w:type="dxa"/>
              <w:bottom w:w="57" w:type="dxa"/>
            </w:tcMar>
          </w:tcPr>
          <w:p w14:paraId="6506873D" w14:textId="77777777" w:rsidR="00A80E60" w:rsidRDefault="00A80E60" w:rsidP="00A80E60">
            <w:pPr>
              <w:pStyle w:val="Explanatorynotes"/>
              <w:rPr>
                <w:rFonts w:ascii="Verdana" w:eastAsia="Calibri" w:hAnsi="Verdana"/>
                <w:i w:val="0"/>
              </w:rPr>
            </w:pPr>
            <w:r w:rsidRPr="00CC147D">
              <w:rPr>
                <w:rFonts w:ascii="Verdana" w:eastAsia="Calibri" w:hAnsi="Verdana"/>
                <w:i w:val="0"/>
              </w:rPr>
              <w:t>This scenario is</w:t>
            </w:r>
            <w:r>
              <w:rPr>
                <w:rFonts w:ascii="Verdana" w:eastAsia="Calibri" w:hAnsi="Verdana"/>
                <w:i w:val="0"/>
              </w:rPr>
              <w:t xml:space="preserve"> not</w:t>
            </w:r>
            <w:r w:rsidRPr="00CC147D">
              <w:rPr>
                <w:rFonts w:ascii="Verdana" w:eastAsia="Calibri" w:hAnsi="Verdana"/>
                <w:i w:val="0"/>
              </w:rPr>
              <w:t xml:space="preserve"> based on the one available in the </w:t>
            </w:r>
            <w:r w:rsidRPr="00447DE4">
              <w:rPr>
                <w:rFonts w:ascii="Verdana" w:eastAsia="Calibri" w:hAnsi="Verdana"/>
                <w:i w:val="0"/>
              </w:rPr>
              <w:t>CAR of IR3535</w:t>
            </w:r>
            <w:r w:rsidRPr="00447DE4">
              <w:rPr>
                <w:rFonts w:ascii="Verdana" w:eastAsia="Calibri" w:hAnsi="Verdana"/>
                <w:i w:val="0"/>
                <w:vertAlign w:val="superscript"/>
              </w:rPr>
              <w:t>®</w:t>
            </w:r>
            <w:r>
              <w:rPr>
                <w:rFonts w:ascii="Verdana" w:eastAsia="Calibri" w:hAnsi="Verdana"/>
                <w:i w:val="0"/>
              </w:rPr>
              <w:t xml:space="preserve"> because it’s has been demonstrated that the SVC could exceed 1% in a number of cases.</w:t>
            </w:r>
            <w:r w:rsidRPr="00447DE4">
              <w:rPr>
                <w:rFonts w:ascii="Verdana" w:eastAsia="Calibri" w:hAnsi="Verdana"/>
                <w:i w:val="0"/>
              </w:rPr>
              <w:t xml:space="preserve"> </w:t>
            </w:r>
            <w:r>
              <w:rPr>
                <w:rFonts w:ascii="Verdana" w:eastAsia="Calibri" w:hAnsi="Verdana"/>
                <w:i w:val="0"/>
              </w:rPr>
              <w:t>Considering HEEG opinion 13 (</w:t>
            </w:r>
            <w:r w:rsidRPr="00D831C3">
              <w:rPr>
                <w:rFonts w:ascii="Verdana" w:eastAsia="Calibri" w:hAnsi="Verdana"/>
                <w:i w:val="0"/>
              </w:rPr>
              <w:t>Assessment of Inhalation Exposure of Volatilized Biocide Active Substance</w:t>
            </w:r>
            <w:r>
              <w:rPr>
                <w:rFonts w:ascii="Verdana" w:eastAsia="Calibri" w:hAnsi="Verdana"/>
                <w:i w:val="0"/>
              </w:rPr>
              <w:t xml:space="preserve">), the inhalation of volatilised residues after application has to be taken into account. </w:t>
            </w:r>
          </w:p>
          <w:p w14:paraId="467F26F8" w14:textId="77777777" w:rsidR="00A80E60" w:rsidRDefault="00A80E60" w:rsidP="00A80E60">
            <w:pPr>
              <w:pStyle w:val="Explanatorynotes"/>
              <w:rPr>
                <w:rFonts w:ascii="Verdana" w:eastAsia="Calibri" w:hAnsi="Verdana"/>
                <w:i w:val="0"/>
              </w:rPr>
            </w:pPr>
          </w:p>
          <w:p w14:paraId="671F16E9" w14:textId="00E2A6FA" w:rsidR="00A80E60" w:rsidRPr="00CC147D" w:rsidRDefault="00A80E60" w:rsidP="00A80E60">
            <w:pPr>
              <w:pStyle w:val="Explanatorynotes"/>
              <w:rPr>
                <w:rFonts w:ascii="Verdana" w:eastAsia="Calibri" w:hAnsi="Verdana"/>
                <w:i w:val="0"/>
              </w:rPr>
            </w:pPr>
            <w:r>
              <w:rPr>
                <w:rFonts w:ascii="Verdana" w:eastAsia="Calibri" w:hAnsi="Verdana"/>
                <w:i w:val="0"/>
              </w:rPr>
              <w:t>The scenario is based on ConsExpo : inhalation of vapour, instantaneous release as a worst case and based on the document</w:t>
            </w:r>
            <w:r w:rsidRPr="00CC147D">
              <w:rPr>
                <w:rFonts w:ascii="Verdana" w:eastAsia="Calibri" w:hAnsi="Verdana"/>
                <w:i w:val="0"/>
              </w:rPr>
              <w:t>: Biocide Human Health Exposure Methodology (</w:t>
            </w:r>
            <w:r>
              <w:rPr>
                <w:rFonts w:ascii="Verdana" w:eastAsia="Calibri" w:hAnsi="Verdana"/>
                <w:i w:val="0"/>
              </w:rPr>
              <w:t>Oct</w:t>
            </w:r>
            <w:r w:rsidRPr="00CC147D">
              <w:rPr>
                <w:rFonts w:ascii="Verdana" w:eastAsia="Calibri" w:hAnsi="Verdana"/>
                <w:i w:val="0"/>
              </w:rPr>
              <w:t xml:space="preserve"> 2015).</w:t>
            </w:r>
          </w:p>
        </w:tc>
      </w:tr>
      <w:tr w:rsidR="00A80E60" w:rsidRPr="00FD2055" w14:paraId="13BAF26B" w14:textId="77777777" w:rsidTr="00F96662">
        <w:trPr>
          <w:tblHeader/>
        </w:trPr>
        <w:tc>
          <w:tcPr>
            <w:tcW w:w="5000" w:type="pct"/>
            <w:gridSpan w:val="3"/>
            <w:shd w:val="clear" w:color="auto" w:fill="auto"/>
            <w:tcMar>
              <w:top w:w="57" w:type="dxa"/>
              <w:bottom w:w="57" w:type="dxa"/>
            </w:tcMar>
          </w:tcPr>
          <w:p w14:paraId="2C1EDE28" w14:textId="77777777" w:rsidR="00A80E60" w:rsidRDefault="00A80E60" w:rsidP="00A80E60">
            <w:pPr>
              <w:pStyle w:val="Explanatorynotes"/>
              <w:rPr>
                <w:rFonts w:ascii="Verdana" w:eastAsia="Calibri" w:hAnsi="Verdana"/>
                <w:i w:val="0"/>
              </w:rPr>
            </w:pPr>
            <w:r w:rsidRPr="009C3D59">
              <w:rPr>
                <w:rFonts w:ascii="Verdana" w:eastAsia="Calibri" w:hAnsi="Verdana"/>
                <w:i w:val="0"/>
              </w:rPr>
              <w:t>Inhalation of volatilized residues after application is releva</w:t>
            </w:r>
            <w:r>
              <w:rPr>
                <w:rFonts w:ascii="Verdana" w:eastAsia="Calibri" w:hAnsi="Verdana"/>
                <w:i w:val="0"/>
              </w:rPr>
              <w:t>nt considering the HEEG opinion on</w:t>
            </w:r>
            <w:r w:rsidRPr="00D831C3">
              <w:rPr>
                <w:rFonts w:ascii="Verdana" w:eastAsia="Calibri" w:hAnsi="Verdana"/>
                <w:i w:val="0"/>
              </w:rPr>
              <w:t xml:space="preserve"> Assessment of Inhalation Exposure of Volatilized Biocide Active Substance</w:t>
            </w:r>
            <w:r>
              <w:rPr>
                <w:rFonts w:ascii="Verdana" w:eastAsia="Calibri" w:hAnsi="Verdana"/>
                <w:i w:val="0"/>
              </w:rPr>
              <w:t xml:space="preserve">.  </w:t>
            </w:r>
          </w:p>
          <w:p w14:paraId="373D8078" w14:textId="77777777" w:rsidR="00A80E60" w:rsidRDefault="000D0DA7" w:rsidP="00A80E60">
            <w:pPr>
              <w:pStyle w:val="Explanatorynotes"/>
              <w:rPr>
                <w:rFonts w:ascii="Verdana" w:eastAsia="Calibri" w:hAnsi="Verdana"/>
                <w:i w:val="0"/>
              </w:rPr>
            </w:pPr>
            <m:oMathPara>
              <m:oMath>
                <m:f>
                  <m:fPr>
                    <m:ctrlPr>
                      <w:rPr>
                        <w:rFonts w:ascii="Cambria Math" w:eastAsia="Calibri" w:hAnsi="Cambria Math"/>
                        <w:sz w:val="22"/>
                        <w:szCs w:val="16"/>
                        <w:lang w:val="en-US" w:eastAsia="en-US"/>
                      </w:rPr>
                    </m:ctrlPr>
                  </m:fPr>
                  <m:num>
                    <m:r>
                      <w:rPr>
                        <w:rFonts w:ascii="Cambria Math" w:eastAsia="Calibri" w:hAnsi="Cambria Math"/>
                        <w:sz w:val="22"/>
                        <w:szCs w:val="16"/>
                        <w:lang w:val="en-US" w:eastAsia="en-US"/>
                      </w:rPr>
                      <m:t>0.328</m:t>
                    </m:r>
                    <m:r>
                      <w:rPr>
                        <w:rFonts w:ascii="Cambria Math" w:eastAsia="Calibri" w:hAnsi="Cambria Math" w:cs="Symbol"/>
                        <w:sz w:val="22"/>
                        <w:szCs w:val="16"/>
                        <w:lang w:val="en-US" w:eastAsia="en-US"/>
                      </w:rPr>
                      <m:t>× 215.29×</m:t>
                    </m:r>
                    <m:r>
                      <w:rPr>
                        <w:rFonts w:ascii="Cambria Math" w:hAnsi="Cambria Math"/>
                        <w:sz w:val="22"/>
                        <w:szCs w:val="16"/>
                        <w:lang w:val="en-US" w:eastAsia="en-US"/>
                      </w:rPr>
                      <m:t>0.15</m:t>
                    </m:r>
                  </m:num>
                  <m:den>
                    <m:r>
                      <w:rPr>
                        <w:rFonts w:ascii="Cambria Math" w:eastAsia="Calibri" w:hAnsi="Cambria Math"/>
                        <w:sz w:val="22"/>
                        <w:szCs w:val="16"/>
                        <w:lang w:val="en-US" w:eastAsia="en-US"/>
                      </w:rPr>
                      <m:t>5</m:t>
                    </m:r>
                  </m:den>
                </m:f>
                <m:r>
                  <w:rPr>
                    <w:rFonts w:ascii="Cambria Math" w:eastAsia="Calibri" w:hAnsi="Cambria Math" w:cs="Symbol"/>
                    <w:sz w:val="22"/>
                    <w:szCs w:val="16"/>
                    <w:lang w:val="en-US" w:eastAsia="en-US"/>
                  </w:rPr>
                  <m:t xml:space="preserve">=2.12 </m:t>
                </m:r>
              </m:oMath>
            </m:oMathPara>
          </w:p>
          <w:p w14:paraId="4D765090" w14:textId="77777777" w:rsidR="00A80E60" w:rsidRDefault="00A80E60" w:rsidP="00A80E60">
            <w:pPr>
              <w:pStyle w:val="Explanatorynotes"/>
              <w:rPr>
                <w:rFonts w:ascii="Verdana" w:eastAsia="Calibri" w:hAnsi="Verdana"/>
                <w:i w:val="0"/>
              </w:rPr>
            </w:pPr>
            <w:r>
              <w:rPr>
                <w:rFonts w:ascii="Verdana" w:eastAsia="Calibri" w:hAnsi="Verdana"/>
                <w:i w:val="0"/>
              </w:rPr>
              <w:t xml:space="preserve">The result of this equation is superior to 1 which means that the inhalation exposure couldn’t be considered as negligible. So this scenario was assessed using ConsExpo – exposure to vapour – instantaneous release. </w:t>
            </w:r>
          </w:p>
          <w:p w14:paraId="4EFD7D67" w14:textId="77777777" w:rsidR="00A80E60" w:rsidRDefault="00A80E60" w:rsidP="00A80E60">
            <w:pPr>
              <w:pStyle w:val="Explanatorynotes"/>
              <w:rPr>
                <w:rFonts w:ascii="Verdana" w:eastAsia="Calibri" w:hAnsi="Verdana"/>
                <w:i w:val="0"/>
              </w:rPr>
            </w:pPr>
          </w:p>
          <w:p w14:paraId="6DC0B121" w14:textId="77777777" w:rsidR="00A80E60" w:rsidRPr="00F84A66" w:rsidRDefault="00A80E60" w:rsidP="00A80E60">
            <w:pPr>
              <w:pStyle w:val="Explanatorynotes"/>
              <w:rPr>
                <w:rFonts w:ascii="Verdana" w:eastAsia="Calibri" w:hAnsi="Verdana"/>
                <w:b/>
                <w:i w:val="0"/>
                <w:u w:val="single"/>
              </w:rPr>
            </w:pPr>
            <w:r w:rsidRPr="00F84A66">
              <w:rPr>
                <w:rFonts w:ascii="Verdana" w:eastAsia="Calibri" w:hAnsi="Verdana"/>
                <w:b/>
                <w:i w:val="0"/>
                <w:u w:val="single"/>
              </w:rPr>
              <w:t>General input</w:t>
            </w:r>
            <w:r>
              <w:rPr>
                <w:rFonts w:ascii="Verdana" w:eastAsia="Calibri" w:hAnsi="Verdana"/>
                <w:b/>
                <w:i w:val="0"/>
                <w:u w:val="single"/>
              </w:rPr>
              <w:t>s</w:t>
            </w:r>
            <w:r w:rsidRPr="00F84A66">
              <w:rPr>
                <w:rFonts w:ascii="Verdana" w:eastAsia="Calibri" w:hAnsi="Verdana"/>
                <w:b/>
                <w:i w:val="0"/>
                <w:u w:val="single"/>
              </w:rPr>
              <w:t xml:space="preserve"> to the model : </w:t>
            </w:r>
          </w:p>
          <w:p w14:paraId="14584197" w14:textId="77777777" w:rsidR="00A80E60" w:rsidRDefault="00A80E60" w:rsidP="00A80E60">
            <w:pPr>
              <w:pStyle w:val="Explanatorynotes"/>
              <w:rPr>
                <w:rFonts w:ascii="Verdana" w:eastAsia="Calibri" w:hAnsi="Verdana"/>
                <w:i w:val="0"/>
              </w:rPr>
            </w:pPr>
            <w:r>
              <w:rPr>
                <w:rFonts w:ascii="Verdana" w:eastAsia="Calibri" w:hAnsi="Verdana"/>
                <w:i w:val="0"/>
              </w:rPr>
              <w:t>Exposure duration: 24 hours (all day)</w:t>
            </w:r>
          </w:p>
          <w:p w14:paraId="18D90869" w14:textId="77777777" w:rsidR="00A80E60" w:rsidRDefault="00A80E60" w:rsidP="00A80E60">
            <w:pPr>
              <w:pStyle w:val="Explanatorynotes"/>
              <w:rPr>
                <w:rFonts w:ascii="Verdana" w:eastAsia="Calibri" w:hAnsi="Verdana"/>
                <w:i w:val="0"/>
              </w:rPr>
            </w:pPr>
            <w:r>
              <w:rPr>
                <w:rFonts w:ascii="Verdana" w:eastAsia="Calibri" w:hAnsi="Verdana"/>
                <w:i w:val="0"/>
              </w:rPr>
              <w:t>Product amount: calculated dependant of the amount applied per day and per age categories</w:t>
            </w:r>
          </w:p>
          <w:p w14:paraId="592473B8" w14:textId="77777777" w:rsidR="00A80E60" w:rsidRDefault="00A80E60" w:rsidP="00A80E60">
            <w:pPr>
              <w:pStyle w:val="Explanatorynotes"/>
              <w:rPr>
                <w:rFonts w:ascii="Verdana" w:eastAsia="Calibri" w:hAnsi="Verdana"/>
                <w:i w:val="0"/>
              </w:rPr>
            </w:pPr>
            <w:r>
              <w:rPr>
                <w:rFonts w:ascii="Verdana" w:eastAsia="Calibri" w:hAnsi="Verdana"/>
                <w:i w:val="0"/>
              </w:rPr>
              <w:t>Weight fraction compound: 20% (biocidal product information)</w:t>
            </w:r>
          </w:p>
          <w:p w14:paraId="66782FEF" w14:textId="77777777" w:rsidR="00A80E60" w:rsidRDefault="00A80E60" w:rsidP="00A80E60">
            <w:pPr>
              <w:pStyle w:val="Explanatorynotes"/>
              <w:rPr>
                <w:rFonts w:ascii="Verdana" w:eastAsia="Calibri" w:hAnsi="Verdana"/>
                <w:i w:val="0"/>
              </w:rPr>
            </w:pPr>
            <w:r>
              <w:rPr>
                <w:rFonts w:ascii="Verdana" w:eastAsia="Calibri" w:hAnsi="Verdana"/>
                <w:i w:val="0"/>
              </w:rPr>
              <w:t>Room volume: 20m</w:t>
            </w:r>
            <w:r w:rsidRPr="00F84A66">
              <w:rPr>
                <w:rFonts w:ascii="Verdana" w:eastAsia="Calibri" w:hAnsi="Verdana"/>
                <w:i w:val="0"/>
                <w:vertAlign w:val="superscript"/>
              </w:rPr>
              <w:t>3</w:t>
            </w:r>
            <w:r>
              <w:rPr>
                <w:rFonts w:ascii="Verdana" w:eastAsia="Calibri" w:hAnsi="Verdana"/>
                <w:i w:val="0"/>
              </w:rPr>
              <w:t xml:space="preserve"> (default value of ConsExpo)</w:t>
            </w:r>
          </w:p>
          <w:p w14:paraId="2BD3D8B7" w14:textId="77777777" w:rsidR="00A80E60" w:rsidRDefault="00A80E60" w:rsidP="00A80E60">
            <w:pPr>
              <w:pStyle w:val="Explanatorynotes"/>
              <w:rPr>
                <w:rFonts w:ascii="Verdana" w:eastAsia="Calibri" w:hAnsi="Verdana"/>
                <w:i w:val="0"/>
              </w:rPr>
            </w:pPr>
            <w:r>
              <w:rPr>
                <w:rFonts w:ascii="Verdana" w:eastAsia="Calibri" w:hAnsi="Verdana"/>
                <w:i w:val="0"/>
              </w:rPr>
              <w:t>Ventilation rate: 0.6 /h (default value of ConsExpo)</w:t>
            </w:r>
          </w:p>
          <w:p w14:paraId="792DA5BD" w14:textId="77777777" w:rsidR="00A80E60" w:rsidRDefault="00A80E60" w:rsidP="00A80E60">
            <w:pPr>
              <w:pStyle w:val="Explanatorynotes"/>
              <w:rPr>
                <w:rFonts w:ascii="Verdana" w:eastAsia="Calibri" w:hAnsi="Verdana"/>
                <w:i w:val="0"/>
              </w:rPr>
            </w:pPr>
          </w:p>
          <w:p w14:paraId="673C4BE1" w14:textId="77777777" w:rsidR="00A80E60" w:rsidRPr="00F84A66" w:rsidRDefault="00A80E60" w:rsidP="00A80E60">
            <w:pPr>
              <w:pStyle w:val="Explanatorynotes"/>
              <w:rPr>
                <w:rFonts w:ascii="Verdana" w:eastAsia="Calibri" w:hAnsi="Verdana"/>
                <w:i w:val="0"/>
                <w:lang w:val="fr-BE"/>
              </w:rPr>
            </w:pPr>
            <w:r w:rsidRPr="00F84A66">
              <w:rPr>
                <w:rFonts w:ascii="Verdana" w:eastAsia="Calibri" w:hAnsi="Verdana"/>
                <w:i w:val="0"/>
                <w:lang w:val="fr-BE"/>
              </w:rPr>
              <w:t>Vapour pressure: 0.15 Pa (at 20 °C) = 1.5 x 10</w:t>
            </w:r>
            <w:r w:rsidRPr="00F84A66">
              <w:rPr>
                <w:rFonts w:ascii="Verdana" w:eastAsia="Calibri" w:hAnsi="Verdana"/>
                <w:i w:val="0"/>
                <w:vertAlign w:val="superscript"/>
                <w:lang w:val="fr-BE"/>
              </w:rPr>
              <w:t>-3</w:t>
            </w:r>
            <w:r w:rsidRPr="00F84A66">
              <w:rPr>
                <w:rFonts w:ascii="Verdana" w:eastAsia="Calibri" w:hAnsi="Verdana"/>
                <w:i w:val="0"/>
                <w:lang w:val="fr-BE"/>
              </w:rPr>
              <w:t xml:space="preserve"> mbar (active substance information)</w:t>
            </w:r>
          </w:p>
          <w:p w14:paraId="0F37D946" w14:textId="77777777" w:rsidR="00A80E60" w:rsidRDefault="00A80E60" w:rsidP="00A80E60">
            <w:pPr>
              <w:pStyle w:val="Explanatorynotes"/>
              <w:rPr>
                <w:rFonts w:ascii="Verdana" w:eastAsia="Calibri" w:hAnsi="Verdana"/>
                <w:i w:val="0"/>
              </w:rPr>
            </w:pPr>
            <w:r>
              <w:rPr>
                <w:rFonts w:ascii="Verdana" w:eastAsia="Calibri" w:hAnsi="Verdana"/>
                <w:i w:val="0"/>
              </w:rPr>
              <w:t xml:space="preserve">Molecular weight: </w:t>
            </w:r>
            <w:r w:rsidRPr="00734746">
              <w:rPr>
                <w:rFonts w:ascii="Verdana" w:eastAsia="Calibri" w:hAnsi="Verdana"/>
                <w:i w:val="0"/>
              </w:rPr>
              <w:t>215.29 g/mol</w:t>
            </w:r>
            <w:r>
              <w:rPr>
                <w:rFonts w:ascii="Verdana" w:eastAsia="Calibri" w:hAnsi="Verdana"/>
                <w:i w:val="0"/>
              </w:rPr>
              <w:t xml:space="preserve"> </w:t>
            </w:r>
            <w:r w:rsidRPr="00734746">
              <w:rPr>
                <w:rFonts w:ascii="Verdana" w:eastAsia="Calibri" w:hAnsi="Verdana"/>
                <w:i w:val="0"/>
              </w:rPr>
              <w:t>(</w:t>
            </w:r>
            <w:r>
              <w:rPr>
                <w:rFonts w:ascii="Verdana" w:eastAsia="Calibri" w:hAnsi="Verdana"/>
                <w:i w:val="0"/>
              </w:rPr>
              <w:t xml:space="preserve">active substance </w:t>
            </w:r>
            <w:r w:rsidRPr="00734746">
              <w:rPr>
                <w:rFonts w:ascii="Verdana" w:eastAsia="Calibri" w:hAnsi="Verdana"/>
                <w:i w:val="0"/>
              </w:rPr>
              <w:t>information)</w:t>
            </w:r>
          </w:p>
          <w:p w14:paraId="70FF7867" w14:textId="56D972B4" w:rsidR="00A80E60" w:rsidRPr="00272957" w:rsidRDefault="00A80E60" w:rsidP="00272957">
            <w:pPr>
              <w:pStyle w:val="Explanatorynotes"/>
              <w:rPr>
                <w:rFonts w:ascii="Verdana" w:eastAsia="Calibri" w:hAnsi="Verdana"/>
                <w:i w:val="0"/>
              </w:rPr>
            </w:pPr>
            <w:r>
              <w:rPr>
                <w:rFonts w:ascii="Verdana" w:eastAsia="Calibri" w:hAnsi="Verdana"/>
                <w:i w:val="0"/>
              </w:rPr>
              <w:t xml:space="preserve">Temperature : 25°c (ambient temperature) </w:t>
            </w:r>
          </w:p>
        </w:tc>
      </w:tr>
      <w:tr w:rsidR="00A80E60" w:rsidRPr="00484F6D" w14:paraId="6354574F" w14:textId="77777777" w:rsidTr="00B534E4">
        <w:trPr>
          <w:tblHeader/>
        </w:trPr>
        <w:tc>
          <w:tcPr>
            <w:tcW w:w="1475" w:type="pct"/>
            <w:shd w:val="clear" w:color="auto" w:fill="BFBFBF" w:themeFill="background1" w:themeFillShade="BF"/>
            <w:tcMar>
              <w:top w:w="57" w:type="dxa"/>
              <w:bottom w:w="57" w:type="dxa"/>
            </w:tcMar>
          </w:tcPr>
          <w:p w14:paraId="6C2E358D" w14:textId="77777777" w:rsidR="00A80E60" w:rsidRPr="00484F6D" w:rsidRDefault="00A80E60" w:rsidP="00B534E4">
            <w:pPr>
              <w:pStyle w:val="Standaard-Tabellen"/>
              <w:rPr>
                <w:rFonts w:eastAsia="Calibri"/>
                <w:b/>
              </w:rPr>
            </w:pPr>
          </w:p>
        </w:tc>
        <w:tc>
          <w:tcPr>
            <w:tcW w:w="2374" w:type="pct"/>
            <w:shd w:val="clear" w:color="auto" w:fill="BFBFBF" w:themeFill="background1" w:themeFillShade="BF"/>
            <w:tcMar>
              <w:top w:w="57" w:type="dxa"/>
              <w:bottom w:w="57" w:type="dxa"/>
            </w:tcMar>
          </w:tcPr>
          <w:p w14:paraId="43C945A7" w14:textId="77777777" w:rsidR="00A80E60" w:rsidRPr="00484F6D" w:rsidRDefault="00A80E60" w:rsidP="00B534E4">
            <w:pPr>
              <w:pStyle w:val="Standaard-Tabellen"/>
              <w:rPr>
                <w:rFonts w:eastAsia="Calibri"/>
                <w:b/>
              </w:rPr>
            </w:pPr>
            <w:r w:rsidRPr="00484F6D">
              <w:rPr>
                <w:rFonts w:eastAsia="Calibri"/>
                <w:b/>
              </w:rPr>
              <w:t>Parameters</w:t>
            </w:r>
          </w:p>
        </w:tc>
        <w:tc>
          <w:tcPr>
            <w:tcW w:w="1151" w:type="pct"/>
            <w:shd w:val="clear" w:color="auto" w:fill="BFBFBF" w:themeFill="background1" w:themeFillShade="BF"/>
            <w:tcMar>
              <w:top w:w="57" w:type="dxa"/>
              <w:bottom w:w="57" w:type="dxa"/>
            </w:tcMar>
          </w:tcPr>
          <w:p w14:paraId="1B81F302" w14:textId="77777777" w:rsidR="00A80E60" w:rsidRPr="00484F6D" w:rsidRDefault="00A80E60" w:rsidP="00B534E4">
            <w:pPr>
              <w:pStyle w:val="Standaard-Tabellen"/>
              <w:rPr>
                <w:rFonts w:eastAsia="Calibri"/>
                <w:b/>
              </w:rPr>
            </w:pPr>
            <w:r w:rsidRPr="00484F6D">
              <w:rPr>
                <w:rFonts w:eastAsia="Calibri"/>
                <w:b/>
              </w:rPr>
              <w:t>Value</w:t>
            </w:r>
          </w:p>
        </w:tc>
      </w:tr>
      <w:tr w:rsidR="00A80E60" w14:paraId="125D3C7D" w14:textId="77777777" w:rsidTr="00B534E4">
        <w:trPr>
          <w:tblHeader/>
        </w:trPr>
        <w:tc>
          <w:tcPr>
            <w:tcW w:w="1475" w:type="pct"/>
            <w:vMerge w:val="restart"/>
            <w:tcMar>
              <w:top w:w="57" w:type="dxa"/>
              <w:bottom w:w="57" w:type="dxa"/>
            </w:tcMar>
          </w:tcPr>
          <w:p w14:paraId="35A66BC2" w14:textId="77777777" w:rsidR="00A80E60" w:rsidRPr="00FD2055" w:rsidRDefault="00A80E60" w:rsidP="00B534E4">
            <w:pPr>
              <w:pStyle w:val="Standaard-Tabellen"/>
              <w:rPr>
                <w:rFonts w:eastAsia="Calibri"/>
              </w:rPr>
            </w:pPr>
            <w:r w:rsidRPr="00FD2055">
              <w:rPr>
                <w:rFonts w:eastAsia="Calibri"/>
              </w:rPr>
              <w:t>Tier 1</w:t>
            </w:r>
            <w:r>
              <w:rPr>
                <w:rFonts w:eastAsia="Calibri"/>
              </w:rPr>
              <w:t>- Adult</w:t>
            </w:r>
          </w:p>
        </w:tc>
        <w:tc>
          <w:tcPr>
            <w:tcW w:w="2374" w:type="pct"/>
            <w:shd w:val="clear" w:color="auto" w:fill="auto"/>
            <w:tcMar>
              <w:top w:w="57" w:type="dxa"/>
              <w:bottom w:w="57" w:type="dxa"/>
            </w:tcMar>
          </w:tcPr>
          <w:p w14:paraId="4C80C732" w14:textId="77777777" w:rsidR="00A80E60" w:rsidRPr="00F84A66" w:rsidRDefault="00A80E60" w:rsidP="00B534E4">
            <w:pPr>
              <w:pStyle w:val="Standaard-Tabellen"/>
              <w:rPr>
                <w:rFonts w:eastAsia="Calibri"/>
                <w:vertAlign w:val="superscript"/>
              </w:rPr>
            </w:pPr>
            <w:r>
              <w:rPr>
                <w:rFonts w:eastAsia="Calibri"/>
              </w:rPr>
              <w:t>Product amount</w:t>
            </w:r>
            <w:r>
              <w:rPr>
                <w:rFonts w:eastAsia="Calibri"/>
                <w:vertAlign w:val="superscript"/>
              </w:rPr>
              <w:t>1</w:t>
            </w:r>
          </w:p>
        </w:tc>
        <w:tc>
          <w:tcPr>
            <w:tcW w:w="1151" w:type="pct"/>
            <w:shd w:val="clear" w:color="auto" w:fill="auto"/>
            <w:tcMar>
              <w:top w:w="57" w:type="dxa"/>
              <w:bottom w:w="57" w:type="dxa"/>
            </w:tcMar>
          </w:tcPr>
          <w:p w14:paraId="03669B37" w14:textId="77777777" w:rsidR="00A80E60" w:rsidRDefault="00A80E60" w:rsidP="00B534E4">
            <w:pPr>
              <w:pStyle w:val="Standaard-Tabellen"/>
              <w:rPr>
                <w:rFonts w:eastAsia="Calibri"/>
              </w:rPr>
            </w:pPr>
            <w:r>
              <w:rPr>
                <w:rFonts w:eastAsia="Calibri"/>
              </w:rPr>
              <w:t>3 x 1,05 = 3.15g</w:t>
            </w:r>
          </w:p>
        </w:tc>
      </w:tr>
      <w:tr w:rsidR="00A80E60" w:rsidRPr="00FD2055" w14:paraId="05386AAA" w14:textId="77777777" w:rsidTr="00B534E4">
        <w:trPr>
          <w:tblHeader/>
        </w:trPr>
        <w:tc>
          <w:tcPr>
            <w:tcW w:w="1475" w:type="pct"/>
            <w:vMerge/>
            <w:tcMar>
              <w:top w:w="57" w:type="dxa"/>
              <w:bottom w:w="57" w:type="dxa"/>
            </w:tcMar>
          </w:tcPr>
          <w:p w14:paraId="1DE64108" w14:textId="77777777" w:rsidR="00A80E60" w:rsidRPr="00FD2055" w:rsidRDefault="00A80E60" w:rsidP="00B534E4">
            <w:pPr>
              <w:pStyle w:val="Standaard-Tabellen"/>
              <w:rPr>
                <w:rFonts w:eastAsia="Calibri"/>
              </w:rPr>
            </w:pPr>
          </w:p>
        </w:tc>
        <w:tc>
          <w:tcPr>
            <w:tcW w:w="2374" w:type="pct"/>
            <w:shd w:val="clear" w:color="auto" w:fill="auto"/>
            <w:tcMar>
              <w:top w:w="57" w:type="dxa"/>
              <w:bottom w:w="57" w:type="dxa"/>
            </w:tcMar>
          </w:tcPr>
          <w:p w14:paraId="25599D89" w14:textId="77777777" w:rsidR="00A80E60" w:rsidRPr="00FD2055" w:rsidRDefault="00A80E60" w:rsidP="00B534E4">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1151" w:type="pct"/>
            <w:shd w:val="clear" w:color="auto" w:fill="auto"/>
            <w:tcMar>
              <w:top w:w="57" w:type="dxa"/>
              <w:bottom w:w="57" w:type="dxa"/>
            </w:tcMar>
          </w:tcPr>
          <w:p w14:paraId="79FD4B23" w14:textId="77777777" w:rsidR="00A80E60" w:rsidRPr="00FD2055" w:rsidRDefault="00A80E60" w:rsidP="00B534E4">
            <w:pPr>
              <w:pStyle w:val="Standaard-Tabellen"/>
              <w:rPr>
                <w:rFonts w:eastAsia="Calibri"/>
              </w:rPr>
            </w:pPr>
            <w:r>
              <w:rPr>
                <w:rFonts w:eastAsia="Calibri"/>
              </w:rPr>
              <w:t>60 kg</w:t>
            </w:r>
          </w:p>
        </w:tc>
      </w:tr>
      <w:tr w:rsidR="00A80E60" w:rsidRPr="00FD2055" w14:paraId="381D1334" w14:textId="77777777" w:rsidTr="00B534E4">
        <w:trPr>
          <w:tblHeader/>
        </w:trPr>
        <w:tc>
          <w:tcPr>
            <w:tcW w:w="1475" w:type="pct"/>
            <w:vMerge/>
            <w:tcMar>
              <w:top w:w="57" w:type="dxa"/>
              <w:bottom w:w="57" w:type="dxa"/>
            </w:tcMar>
          </w:tcPr>
          <w:p w14:paraId="6060B36E" w14:textId="77777777" w:rsidR="00A80E60" w:rsidRPr="00FD2055" w:rsidRDefault="00A80E60" w:rsidP="00B534E4">
            <w:pPr>
              <w:pStyle w:val="Standaard-Tabellen"/>
              <w:rPr>
                <w:rFonts w:eastAsia="Calibri"/>
              </w:rPr>
            </w:pPr>
          </w:p>
        </w:tc>
        <w:tc>
          <w:tcPr>
            <w:tcW w:w="2374" w:type="pct"/>
            <w:shd w:val="clear" w:color="auto" w:fill="auto"/>
            <w:tcMar>
              <w:top w:w="57" w:type="dxa"/>
              <w:bottom w:w="57" w:type="dxa"/>
            </w:tcMar>
          </w:tcPr>
          <w:p w14:paraId="78D05B39" w14:textId="77777777" w:rsidR="00A80E60" w:rsidRPr="00FD2055" w:rsidRDefault="00A80E60" w:rsidP="00B534E4">
            <w:pPr>
              <w:pStyle w:val="Standaard-Tabellen"/>
              <w:rPr>
                <w:rFonts w:eastAsia="Calibri"/>
              </w:rPr>
            </w:pPr>
            <w:r w:rsidRPr="005A44E3">
              <w:rPr>
                <w:rFonts w:eastAsia="Calibri"/>
              </w:rPr>
              <w:t>Respiration rate [m</w:t>
            </w:r>
            <w:r w:rsidRPr="005A44E3">
              <w:rPr>
                <w:rFonts w:eastAsia="Calibri"/>
                <w:vertAlign w:val="superscript"/>
              </w:rPr>
              <w:t>3</w:t>
            </w:r>
            <w:r>
              <w:rPr>
                <w:rFonts w:eastAsia="Calibri"/>
              </w:rPr>
              <w:t>/air/hour]</w:t>
            </w:r>
            <w:r>
              <w:rPr>
                <w:rFonts w:eastAsia="Calibri"/>
                <w:vertAlign w:val="superscript"/>
              </w:rPr>
              <w:t xml:space="preserve"> 1</w:t>
            </w:r>
          </w:p>
        </w:tc>
        <w:tc>
          <w:tcPr>
            <w:tcW w:w="1151" w:type="pct"/>
            <w:shd w:val="clear" w:color="auto" w:fill="auto"/>
            <w:tcMar>
              <w:top w:w="57" w:type="dxa"/>
              <w:bottom w:w="57" w:type="dxa"/>
            </w:tcMar>
          </w:tcPr>
          <w:p w14:paraId="6C4898DC" w14:textId="77777777" w:rsidR="00A80E60" w:rsidRPr="00FD2055" w:rsidRDefault="00A80E60" w:rsidP="00B534E4">
            <w:pPr>
              <w:pStyle w:val="Standaard-Tabellen"/>
              <w:rPr>
                <w:rFonts w:eastAsia="Calibri"/>
              </w:rPr>
            </w:pPr>
            <w:r>
              <w:rPr>
                <w:rFonts w:eastAsia="Calibri"/>
              </w:rPr>
              <w:t xml:space="preserve">1.25 </w:t>
            </w:r>
            <w:r w:rsidRPr="005A44E3">
              <w:rPr>
                <w:rFonts w:eastAsia="Calibri"/>
              </w:rPr>
              <w:t>m³/h</w:t>
            </w:r>
          </w:p>
        </w:tc>
      </w:tr>
      <w:tr w:rsidR="00A80E60" w14:paraId="474D0C98" w14:textId="77777777" w:rsidTr="00B534E4">
        <w:trPr>
          <w:tblHeader/>
        </w:trPr>
        <w:tc>
          <w:tcPr>
            <w:tcW w:w="1475" w:type="pct"/>
            <w:vMerge w:val="restart"/>
            <w:tcMar>
              <w:top w:w="57" w:type="dxa"/>
              <w:bottom w:w="57" w:type="dxa"/>
            </w:tcMar>
          </w:tcPr>
          <w:p w14:paraId="4E767F4A" w14:textId="77777777" w:rsidR="00A80E60" w:rsidRPr="00FD2055" w:rsidRDefault="00A80E60" w:rsidP="00B534E4">
            <w:pPr>
              <w:pStyle w:val="Standaard-Tabellen"/>
              <w:rPr>
                <w:rFonts w:eastAsia="Calibri"/>
              </w:rPr>
            </w:pPr>
            <w:r w:rsidRPr="00785109">
              <w:rPr>
                <w:rFonts w:eastAsia="Calibri"/>
              </w:rPr>
              <w:t>Tier 1- Child</w:t>
            </w:r>
          </w:p>
        </w:tc>
        <w:tc>
          <w:tcPr>
            <w:tcW w:w="2374" w:type="pct"/>
            <w:shd w:val="clear" w:color="auto" w:fill="auto"/>
            <w:tcMar>
              <w:top w:w="57" w:type="dxa"/>
              <w:bottom w:w="57" w:type="dxa"/>
            </w:tcMar>
          </w:tcPr>
          <w:p w14:paraId="32FE2C13" w14:textId="77777777" w:rsidR="00A80E60" w:rsidRPr="00F84A66" w:rsidRDefault="00A80E60" w:rsidP="00B534E4">
            <w:pPr>
              <w:pStyle w:val="Standaard-Tabellen"/>
              <w:rPr>
                <w:rFonts w:eastAsia="Calibri"/>
                <w:vertAlign w:val="superscript"/>
              </w:rPr>
            </w:pPr>
            <w:r>
              <w:rPr>
                <w:rFonts w:eastAsia="Calibri"/>
              </w:rPr>
              <w:t>Product amount</w:t>
            </w:r>
            <w:r>
              <w:rPr>
                <w:rFonts w:eastAsia="Calibri"/>
                <w:vertAlign w:val="superscript"/>
              </w:rPr>
              <w:t>1</w:t>
            </w:r>
          </w:p>
        </w:tc>
        <w:tc>
          <w:tcPr>
            <w:tcW w:w="1151" w:type="pct"/>
            <w:shd w:val="clear" w:color="auto" w:fill="auto"/>
            <w:tcMar>
              <w:top w:w="57" w:type="dxa"/>
              <w:bottom w:w="57" w:type="dxa"/>
            </w:tcMar>
          </w:tcPr>
          <w:p w14:paraId="5BEDA7D9" w14:textId="77777777" w:rsidR="00A80E60" w:rsidRDefault="00A80E60" w:rsidP="00B534E4">
            <w:pPr>
              <w:pStyle w:val="Standaard-Tabellen"/>
              <w:rPr>
                <w:rFonts w:eastAsia="Calibri"/>
              </w:rPr>
            </w:pPr>
            <w:r>
              <w:rPr>
                <w:rFonts w:eastAsia="Calibri"/>
              </w:rPr>
              <w:t>3 x 0.5 = 1.5g</w:t>
            </w:r>
          </w:p>
        </w:tc>
      </w:tr>
      <w:tr w:rsidR="00A80E60" w:rsidRPr="00FD2055" w14:paraId="031E3784" w14:textId="77777777" w:rsidTr="00B534E4">
        <w:trPr>
          <w:tblHeader/>
        </w:trPr>
        <w:tc>
          <w:tcPr>
            <w:tcW w:w="1475" w:type="pct"/>
            <w:vMerge/>
            <w:tcMar>
              <w:top w:w="57" w:type="dxa"/>
              <w:bottom w:w="57" w:type="dxa"/>
            </w:tcMar>
          </w:tcPr>
          <w:p w14:paraId="71E8F81C" w14:textId="77777777" w:rsidR="00A80E60" w:rsidRPr="00FD2055" w:rsidRDefault="00A80E60" w:rsidP="00B534E4">
            <w:pPr>
              <w:pStyle w:val="Standaard-Tabellen"/>
              <w:rPr>
                <w:rFonts w:eastAsia="Calibri"/>
              </w:rPr>
            </w:pPr>
          </w:p>
        </w:tc>
        <w:tc>
          <w:tcPr>
            <w:tcW w:w="2374" w:type="pct"/>
            <w:shd w:val="clear" w:color="auto" w:fill="auto"/>
            <w:tcMar>
              <w:top w:w="57" w:type="dxa"/>
              <w:bottom w:w="57" w:type="dxa"/>
            </w:tcMar>
          </w:tcPr>
          <w:p w14:paraId="118342A9" w14:textId="77777777" w:rsidR="00A80E60" w:rsidRPr="00FD2055" w:rsidRDefault="00A80E60" w:rsidP="00B534E4">
            <w:pPr>
              <w:pStyle w:val="Standaard-Tabellen"/>
              <w:rPr>
                <w:rFonts w:eastAsia="Calibri"/>
              </w:rPr>
            </w:pPr>
            <w:r>
              <w:rPr>
                <w:rFonts w:eastAsia="Calibri"/>
              </w:rPr>
              <w:t>Body weight</w:t>
            </w:r>
            <w:r>
              <w:rPr>
                <w:rFonts w:eastAsia="Calibri"/>
                <w:vertAlign w:val="superscript"/>
              </w:rPr>
              <w:t>1</w:t>
            </w:r>
          </w:p>
        </w:tc>
        <w:tc>
          <w:tcPr>
            <w:tcW w:w="1151" w:type="pct"/>
            <w:shd w:val="clear" w:color="auto" w:fill="auto"/>
            <w:tcMar>
              <w:top w:w="57" w:type="dxa"/>
              <w:bottom w:w="57" w:type="dxa"/>
            </w:tcMar>
          </w:tcPr>
          <w:p w14:paraId="73A103DD" w14:textId="77777777" w:rsidR="00A80E60" w:rsidRPr="00FD2055" w:rsidRDefault="00A80E60" w:rsidP="00B534E4">
            <w:pPr>
              <w:pStyle w:val="Standaard-Tabellen"/>
              <w:rPr>
                <w:rFonts w:eastAsia="Calibri"/>
              </w:rPr>
            </w:pPr>
            <w:r>
              <w:rPr>
                <w:rFonts w:eastAsia="Calibri"/>
              </w:rPr>
              <w:t>23.9 kg</w:t>
            </w:r>
          </w:p>
        </w:tc>
      </w:tr>
      <w:tr w:rsidR="00A80E60" w:rsidRPr="00FD2055" w14:paraId="36A5146A" w14:textId="77777777" w:rsidTr="00B534E4">
        <w:trPr>
          <w:tblHeader/>
        </w:trPr>
        <w:tc>
          <w:tcPr>
            <w:tcW w:w="1475" w:type="pct"/>
            <w:vMerge/>
            <w:tcMar>
              <w:top w:w="57" w:type="dxa"/>
              <w:bottom w:w="57" w:type="dxa"/>
            </w:tcMar>
          </w:tcPr>
          <w:p w14:paraId="39446ABE" w14:textId="77777777" w:rsidR="00A80E60" w:rsidRPr="00FD2055" w:rsidRDefault="00A80E60" w:rsidP="00B534E4">
            <w:pPr>
              <w:pStyle w:val="Standaard-Tabellen"/>
              <w:rPr>
                <w:rFonts w:eastAsia="Calibri"/>
              </w:rPr>
            </w:pPr>
          </w:p>
        </w:tc>
        <w:tc>
          <w:tcPr>
            <w:tcW w:w="2374" w:type="pct"/>
            <w:shd w:val="clear" w:color="auto" w:fill="auto"/>
            <w:tcMar>
              <w:top w:w="57" w:type="dxa"/>
              <w:bottom w:w="57" w:type="dxa"/>
            </w:tcMar>
          </w:tcPr>
          <w:p w14:paraId="10BFBFD0" w14:textId="77777777" w:rsidR="00A80E60" w:rsidRPr="00FD2055" w:rsidRDefault="00A80E60" w:rsidP="00B534E4">
            <w:pPr>
              <w:pStyle w:val="Standaard-Tabellen"/>
              <w:rPr>
                <w:rFonts w:eastAsia="Calibri"/>
              </w:rPr>
            </w:pPr>
            <w:r w:rsidRPr="005A44E3">
              <w:rPr>
                <w:rFonts w:eastAsia="Calibri"/>
              </w:rPr>
              <w:t>Respiration rate [m</w:t>
            </w:r>
            <w:r w:rsidRPr="005A44E3">
              <w:rPr>
                <w:rFonts w:eastAsia="Calibri"/>
                <w:vertAlign w:val="superscript"/>
              </w:rPr>
              <w:t>3</w:t>
            </w:r>
            <w:r>
              <w:rPr>
                <w:rFonts w:eastAsia="Calibri"/>
              </w:rPr>
              <w:t>/air/hour]</w:t>
            </w:r>
            <w:r>
              <w:rPr>
                <w:rFonts w:eastAsia="Calibri"/>
                <w:vertAlign w:val="superscript"/>
              </w:rPr>
              <w:t xml:space="preserve"> 1</w:t>
            </w:r>
          </w:p>
        </w:tc>
        <w:tc>
          <w:tcPr>
            <w:tcW w:w="1151" w:type="pct"/>
            <w:shd w:val="clear" w:color="auto" w:fill="auto"/>
            <w:tcMar>
              <w:top w:w="57" w:type="dxa"/>
              <w:bottom w:w="57" w:type="dxa"/>
            </w:tcMar>
          </w:tcPr>
          <w:p w14:paraId="272E4F4D" w14:textId="77777777" w:rsidR="00A80E60" w:rsidRPr="00FD2055" w:rsidRDefault="00A80E60" w:rsidP="00B534E4">
            <w:pPr>
              <w:pStyle w:val="Standaard-Tabellen"/>
              <w:rPr>
                <w:rFonts w:eastAsia="Calibri"/>
              </w:rPr>
            </w:pPr>
            <w:r>
              <w:rPr>
                <w:rFonts w:eastAsia="Calibri"/>
              </w:rPr>
              <w:t>1.32</w:t>
            </w:r>
            <w:r w:rsidRPr="005A44E3">
              <w:rPr>
                <w:rFonts w:eastAsia="Calibri"/>
              </w:rPr>
              <w:t xml:space="preserve"> m³/h</w:t>
            </w:r>
          </w:p>
        </w:tc>
      </w:tr>
      <w:tr w:rsidR="00A80E60" w14:paraId="173192A7" w14:textId="77777777" w:rsidTr="00B534E4">
        <w:trPr>
          <w:tblHeader/>
        </w:trPr>
        <w:tc>
          <w:tcPr>
            <w:tcW w:w="1475" w:type="pct"/>
            <w:vMerge w:val="restart"/>
            <w:tcMar>
              <w:top w:w="57" w:type="dxa"/>
              <w:bottom w:w="57" w:type="dxa"/>
            </w:tcMar>
          </w:tcPr>
          <w:p w14:paraId="760CFF5F" w14:textId="77777777" w:rsidR="00A80E60" w:rsidRPr="00785109" w:rsidRDefault="00A80E60" w:rsidP="00B534E4">
            <w:pPr>
              <w:pStyle w:val="Standaard-Tabellen"/>
              <w:rPr>
                <w:rFonts w:eastAsia="Calibri"/>
              </w:rPr>
            </w:pPr>
            <w:r w:rsidRPr="00785109">
              <w:rPr>
                <w:rFonts w:eastAsia="Calibri"/>
              </w:rPr>
              <w:t>Tier 1- Toddler</w:t>
            </w:r>
          </w:p>
        </w:tc>
        <w:tc>
          <w:tcPr>
            <w:tcW w:w="2374" w:type="pct"/>
            <w:shd w:val="clear" w:color="auto" w:fill="auto"/>
            <w:tcMar>
              <w:top w:w="57" w:type="dxa"/>
              <w:bottom w:w="57" w:type="dxa"/>
            </w:tcMar>
          </w:tcPr>
          <w:p w14:paraId="6BADC9AF" w14:textId="77777777" w:rsidR="00A80E60" w:rsidRPr="00F84A66" w:rsidRDefault="00A80E60" w:rsidP="00B534E4">
            <w:pPr>
              <w:pStyle w:val="Standaard-Tabellen"/>
              <w:rPr>
                <w:rFonts w:eastAsia="Calibri"/>
                <w:vertAlign w:val="superscript"/>
              </w:rPr>
            </w:pPr>
            <w:r>
              <w:rPr>
                <w:rFonts w:eastAsia="Calibri"/>
              </w:rPr>
              <w:t>Product amount</w:t>
            </w:r>
            <w:r>
              <w:rPr>
                <w:rFonts w:eastAsia="Calibri"/>
                <w:vertAlign w:val="superscript"/>
              </w:rPr>
              <w:t>1</w:t>
            </w:r>
          </w:p>
        </w:tc>
        <w:tc>
          <w:tcPr>
            <w:tcW w:w="1151" w:type="pct"/>
            <w:shd w:val="clear" w:color="auto" w:fill="auto"/>
            <w:tcMar>
              <w:top w:w="57" w:type="dxa"/>
              <w:bottom w:w="57" w:type="dxa"/>
            </w:tcMar>
          </w:tcPr>
          <w:p w14:paraId="051F2741" w14:textId="77777777" w:rsidR="00A80E60" w:rsidRDefault="00A80E60" w:rsidP="00B534E4">
            <w:pPr>
              <w:pStyle w:val="Standaard-Tabellen"/>
              <w:rPr>
                <w:rFonts w:eastAsia="Calibri"/>
              </w:rPr>
            </w:pPr>
            <w:r>
              <w:rPr>
                <w:rFonts w:eastAsia="Calibri"/>
              </w:rPr>
              <w:t>3 x 0.5 = 1.5g</w:t>
            </w:r>
          </w:p>
        </w:tc>
      </w:tr>
      <w:tr w:rsidR="00A80E60" w:rsidRPr="00FD2055" w14:paraId="78D7FDFB" w14:textId="77777777" w:rsidTr="00B534E4">
        <w:trPr>
          <w:tblHeader/>
        </w:trPr>
        <w:tc>
          <w:tcPr>
            <w:tcW w:w="1475" w:type="pct"/>
            <w:vMerge/>
            <w:tcMar>
              <w:top w:w="57" w:type="dxa"/>
              <w:bottom w:w="57" w:type="dxa"/>
            </w:tcMar>
          </w:tcPr>
          <w:p w14:paraId="63D3C052" w14:textId="77777777" w:rsidR="00A80E60" w:rsidRPr="00FD2055" w:rsidRDefault="00A80E60" w:rsidP="00B534E4">
            <w:pPr>
              <w:pStyle w:val="Standaard-Tabellen"/>
              <w:rPr>
                <w:rFonts w:eastAsia="Calibri"/>
              </w:rPr>
            </w:pPr>
          </w:p>
        </w:tc>
        <w:tc>
          <w:tcPr>
            <w:tcW w:w="2374" w:type="pct"/>
            <w:shd w:val="clear" w:color="auto" w:fill="auto"/>
            <w:tcMar>
              <w:top w:w="57" w:type="dxa"/>
              <w:bottom w:w="57" w:type="dxa"/>
            </w:tcMar>
          </w:tcPr>
          <w:p w14:paraId="4D85F7B5" w14:textId="77777777" w:rsidR="00A80E60" w:rsidRPr="00FD2055" w:rsidRDefault="00A80E60" w:rsidP="00B534E4">
            <w:pPr>
              <w:pStyle w:val="Standaard-Tabellen"/>
              <w:rPr>
                <w:rFonts w:eastAsia="Calibri"/>
              </w:rPr>
            </w:pPr>
            <w:r>
              <w:rPr>
                <w:rFonts w:eastAsia="Calibri"/>
              </w:rPr>
              <w:t>Body weight</w:t>
            </w:r>
            <w:r>
              <w:rPr>
                <w:rFonts w:eastAsia="Calibri"/>
                <w:vertAlign w:val="superscript"/>
              </w:rPr>
              <w:t>1</w:t>
            </w:r>
          </w:p>
        </w:tc>
        <w:tc>
          <w:tcPr>
            <w:tcW w:w="1151" w:type="pct"/>
            <w:shd w:val="clear" w:color="auto" w:fill="auto"/>
            <w:tcMar>
              <w:top w:w="57" w:type="dxa"/>
              <w:bottom w:w="57" w:type="dxa"/>
            </w:tcMar>
          </w:tcPr>
          <w:p w14:paraId="277CC681" w14:textId="77777777" w:rsidR="00A80E60" w:rsidRPr="00FD2055" w:rsidRDefault="00A80E60" w:rsidP="00B534E4">
            <w:pPr>
              <w:pStyle w:val="Standaard-Tabellen"/>
              <w:rPr>
                <w:rFonts w:eastAsia="Calibri"/>
              </w:rPr>
            </w:pPr>
            <w:r>
              <w:rPr>
                <w:rFonts w:eastAsia="Calibri"/>
              </w:rPr>
              <w:t>10 kg</w:t>
            </w:r>
          </w:p>
        </w:tc>
      </w:tr>
      <w:tr w:rsidR="00A80E60" w:rsidRPr="00FD2055" w14:paraId="6F373C5C" w14:textId="77777777" w:rsidTr="00B534E4">
        <w:trPr>
          <w:tblHeader/>
        </w:trPr>
        <w:tc>
          <w:tcPr>
            <w:tcW w:w="1475" w:type="pct"/>
            <w:vMerge/>
            <w:tcMar>
              <w:top w:w="57" w:type="dxa"/>
              <w:bottom w:w="57" w:type="dxa"/>
            </w:tcMar>
          </w:tcPr>
          <w:p w14:paraId="11376C17" w14:textId="77777777" w:rsidR="00A80E60" w:rsidRPr="00FD2055" w:rsidRDefault="00A80E60" w:rsidP="00B534E4">
            <w:pPr>
              <w:pStyle w:val="Standaard-Tabellen"/>
              <w:rPr>
                <w:rFonts w:eastAsia="Calibri"/>
              </w:rPr>
            </w:pPr>
          </w:p>
        </w:tc>
        <w:tc>
          <w:tcPr>
            <w:tcW w:w="2374" w:type="pct"/>
            <w:shd w:val="clear" w:color="auto" w:fill="auto"/>
            <w:tcMar>
              <w:top w:w="57" w:type="dxa"/>
              <w:bottom w:w="57" w:type="dxa"/>
            </w:tcMar>
          </w:tcPr>
          <w:p w14:paraId="163A6308" w14:textId="77777777" w:rsidR="00A80E60" w:rsidRPr="00FD2055" w:rsidRDefault="00A80E60" w:rsidP="00B534E4">
            <w:pPr>
              <w:pStyle w:val="Standaard-Tabellen"/>
              <w:rPr>
                <w:rFonts w:eastAsia="Calibri"/>
              </w:rPr>
            </w:pPr>
            <w:r w:rsidRPr="005A44E3">
              <w:rPr>
                <w:rFonts w:eastAsia="Calibri"/>
              </w:rPr>
              <w:t>Respiration rate [m</w:t>
            </w:r>
            <w:r w:rsidRPr="005A44E3">
              <w:rPr>
                <w:rFonts w:eastAsia="Calibri"/>
                <w:vertAlign w:val="superscript"/>
              </w:rPr>
              <w:t>3</w:t>
            </w:r>
            <w:r>
              <w:rPr>
                <w:rFonts w:eastAsia="Calibri"/>
              </w:rPr>
              <w:t>/air/hour]</w:t>
            </w:r>
            <w:r>
              <w:rPr>
                <w:rFonts w:eastAsia="Calibri"/>
                <w:vertAlign w:val="superscript"/>
              </w:rPr>
              <w:t xml:space="preserve"> 1</w:t>
            </w:r>
          </w:p>
        </w:tc>
        <w:tc>
          <w:tcPr>
            <w:tcW w:w="1151" w:type="pct"/>
            <w:shd w:val="clear" w:color="auto" w:fill="auto"/>
            <w:tcMar>
              <w:top w:w="57" w:type="dxa"/>
              <w:bottom w:w="57" w:type="dxa"/>
            </w:tcMar>
          </w:tcPr>
          <w:p w14:paraId="58F5F7FB" w14:textId="77777777" w:rsidR="00A80E60" w:rsidRPr="00FD2055" w:rsidRDefault="00A80E60" w:rsidP="00B534E4">
            <w:pPr>
              <w:pStyle w:val="Standaard-Tabellen"/>
              <w:rPr>
                <w:rFonts w:eastAsia="Calibri"/>
              </w:rPr>
            </w:pPr>
            <w:r>
              <w:rPr>
                <w:rFonts w:eastAsia="Calibri"/>
              </w:rPr>
              <w:t>1.26</w:t>
            </w:r>
            <w:r w:rsidRPr="005A44E3">
              <w:rPr>
                <w:rFonts w:eastAsia="Calibri"/>
              </w:rPr>
              <w:t xml:space="preserve"> m³/h</w:t>
            </w:r>
          </w:p>
        </w:tc>
      </w:tr>
      <w:tr w:rsidR="00A80E60" w14:paraId="07F8A885" w14:textId="77777777" w:rsidTr="00B534E4">
        <w:trPr>
          <w:tblHeader/>
        </w:trPr>
        <w:tc>
          <w:tcPr>
            <w:tcW w:w="1475" w:type="pct"/>
            <w:vMerge w:val="restart"/>
            <w:tcMar>
              <w:top w:w="57" w:type="dxa"/>
              <w:bottom w:w="57" w:type="dxa"/>
            </w:tcMar>
          </w:tcPr>
          <w:p w14:paraId="35139001" w14:textId="77777777" w:rsidR="00A80E60" w:rsidRPr="00785109" w:rsidRDefault="00A80E60" w:rsidP="00B534E4">
            <w:pPr>
              <w:pStyle w:val="Standaard-Tabellen"/>
              <w:rPr>
                <w:rFonts w:eastAsia="Calibri"/>
              </w:rPr>
            </w:pPr>
            <w:r w:rsidRPr="00785109">
              <w:rPr>
                <w:rFonts w:eastAsia="Calibri"/>
              </w:rPr>
              <w:t>Tier 1- Infant</w:t>
            </w:r>
          </w:p>
        </w:tc>
        <w:tc>
          <w:tcPr>
            <w:tcW w:w="2374" w:type="pct"/>
            <w:shd w:val="clear" w:color="auto" w:fill="auto"/>
            <w:tcMar>
              <w:top w:w="57" w:type="dxa"/>
              <w:bottom w:w="57" w:type="dxa"/>
            </w:tcMar>
          </w:tcPr>
          <w:p w14:paraId="4A88567F" w14:textId="77777777" w:rsidR="00A80E60" w:rsidRPr="00F84A66" w:rsidRDefault="00A80E60" w:rsidP="00B534E4">
            <w:pPr>
              <w:pStyle w:val="Standaard-Tabellen"/>
              <w:rPr>
                <w:rFonts w:eastAsia="Calibri"/>
                <w:vertAlign w:val="superscript"/>
              </w:rPr>
            </w:pPr>
            <w:r>
              <w:rPr>
                <w:rFonts w:eastAsia="Calibri"/>
              </w:rPr>
              <w:t>Product amount</w:t>
            </w:r>
            <w:r>
              <w:rPr>
                <w:rFonts w:eastAsia="Calibri"/>
                <w:vertAlign w:val="superscript"/>
              </w:rPr>
              <w:t>1</w:t>
            </w:r>
          </w:p>
        </w:tc>
        <w:tc>
          <w:tcPr>
            <w:tcW w:w="1151" w:type="pct"/>
            <w:shd w:val="clear" w:color="auto" w:fill="auto"/>
            <w:tcMar>
              <w:top w:w="57" w:type="dxa"/>
              <w:bottom w:w="57" w:type="dxa"/>
            </w:tcMar>
          </w:tcPr>
          <w:p w14:paraId="6B6B21B2" w14:textId="77777777" w:rsidR="00A80E60" w:rsidRDefault="00A80E60" w:rsidP="00B534E4">
            <w:pPr>
              <w:pStyle w:val="Standaard-Tabellen"/>
              <w:rPr>
                <w:rFonts w:eastAsia="Calibri"/>
              </w:rPr>
            </w:pPr>
            <w:r>
              <w:rPr>
                <w:rFonts w:eastAsia="Calibri"/>
              </w:rPr>
              <w:t>3 x 0.5 = 1.5g</w:t>
            </w:r>
          </w:p>
        </w:tc>
      </w:tr>
      <w:tr w:rsidR="00A80E60" w:rsidRPr="00FD2055" w14:paraId="356C7A94" w14:textId="77777777" w:rsidTr="00B534E4">
        <w:trPr>
          <w:tblHeader/>
        </w:trPr>
        <w:tc>
          <w:tcPr>
            <w:tcW w:w="1475" w:type="pct"/>
            <w:vMerge/>
            <w:tcMar>
              <w:top w:w="57" w:type="dxa"/>
              <w:bottom w:w="57" w:type="dxa"/>
            </w:tcMar>
          </w:tcPr>
          <w:p w14:paraId="6965BDB9" w14:textId="77777777" w:rsidR="00A80E60" w:rsidRPr="00FD2055" w:rsidRDefault="00A80E60" w:rsidP="00B534E4">
            <w:pPr>
              <w:pStyle w:val="Standaard-Tabellen"/>
              <w:rPr>
                <w:rFonts w:eastAsia="Calibri"/>
              </w:rPr>
            </w:pPr>
          </w:p>
        </w:tc>
        <w:tc>
          <w:tcPr>
            <w:tcW w:w="2374" w:type="pct"/>
            <w:shd w:val="clear" w:color="auto" w:fill="auto"/>
            <w:tcMar>
              <w:top w:w="57" w:type="dxa"/>
              <w:bottom w:w="57" w:type="dxa"/>
            </w:tcMar>
          </w:tcPr>
          <w:p w14:paraId="7F2C4004" w14:textId="77777777" w:rsidR="00A80E60" w:rsidRPr="00FD2055" w:rsidRDefault="00A80E60" w:rsidP="00B534E4">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1151" w:type="pct"/>
            <w:shd w:val="clear" w:color="auto" w:fill="auto"/>
            <w:tcMar>
              <w:top w:w="57" w:type="dxa"/>
              <w:bottom w:w="57" w:type="dxa"/>
            </w:tcMar>
          </w:tcPr>
          <w:p w14:paraId="5FA0C32D" w14:textId="77777777" w:rsidR="00A80E60" w:rsidRPr="00FD2055" w:rsidRDefault="00A80E60" w:rsidP="00B534E4">
            <w:pPr>
              <w:pStyle w:val="Standaard-Tabellen"/>
              <w:rPr>
                <w:rFonts w:eastAsia="Calibri"/>
              </w:rPr>
            </w:pPr>
            <w:r>
              <w:rPr>
                <w:rFonts w:eastAsia="Calibri"/>
              </w:rPr>
              <w:t>8 kg</w:t>
            </w:r>
          </w:p>
        </w:tc>
      </w:tr>
      <w:tr w:rsidR="00A80E60" w:rsidRPr="00FD2055" w14:paraId="4C1744F9" w14:textId="77777777" w:rsidTr="00B534E4">
        <w:trPr>
          <w:tblHeader/>
        </w:trPr>
        <w:tc>
          <w:tcPr>
            <w:tcW w:w="1475" w:type="pct"/>
            <w:vMerge/>
            <w:tcMar>
              <w:top w:w="57" w:type="dxa"/>
              <w:bottom w:w="57" w:type="dxa"/>
            </w:tcMar>
          </w:tcPr>
          <w:p w14:paraId="1DA74274" w14:textId="77777777" w:rsidR="00A80E60" w:rsidRPr="00FD2055" w:rsidRDefault="00A80E60" w:rsidP="00B534E4">
            <w:pPr>
              <w:pStyle w:val="Standaard-Tabellen"/>
              <w:rPr>
                <w:rFonts w:eastAsia="Calibri"/>
              </w:rPr>
            </w:pPr>
          </w:p>
        </w:tc>
        <w:tc>
          <w:tcPr>
            <w:tcW w:w="2374" w:type="pct"/>
            <w:shd w:val="clear" w:color="auto" w:fill="auto"/>
            <w:tcMar>
              <w:top w:w="57" w:type="dxa"/>
              <w:bottom w:w="57" w:type="dxa"/>
            </w:tcMar>
          </w:tcPr>
          <w:p w14:paraId="34AD28F1" w14:textId="77777777" w:rsidR="00A80E60" w:rsidRPr="00FD2055" w:rsidRDefault="00A80E60" w:rsidP="00B534E4">
            <w:pPr>
              <w:pStyle w:val="Standaard-Tabellen"/>
              <w:rPr>
                <w:rFonts w:eastAsia="Calibri"/>
              </w:rPr>
            </w:pPr>
            <w:r w:rsidRPr="005A44E3">
              <w:rPr>
                <w:rFonts w:eastAsia="Calibri"/>
              </w:rPr>
              <w:t>Respiration rate [m</w:t>
            </w:r>
            <w:r w:rsidRPr="005A44E3">
              <w:rPr>
                <w:rFonts w:eastAsia="Calibri"/>
                <w:vertAlign w:val="superscript"/>
              </w:rPr>
              <w:t>3</w:t>
            </w:r>
            <w:r>
              <w:rPr>
                <w:rFonts w:eastAsia="Calibri"/>
              </w:rPr>
              <w:t>/air/hour]</w:t>
            </w:r>
            <w:r>
              <w:rPr>
                <w:rFonts w:eastAsia="Calibri"/>
                <w:vertAlign w:val="superscript"/>
              </w:rPr>
              <w:t xml:space="preserve"> 1</w:t>
            </w:r>
          </w:p>
        </w:tc>
        <w:tc>
          <w:tcPr>
            <w:tcW w:w="1151" w:type="pct"/>
            <w:shd w:val="clear" w:color="auto" w:fill="auto"/>
            <w:tcMar>
              <w:top w:w="57" w:type="dxa"/>
              <w:bottom w:w="57" w:type="dxa"/>
            </w:tcMar>
          </w:tcPr>
          <w:p w14:paraId="7208865B" w14:textId="77777777" w:rsidR="00A80E60" w:rsidRPr="00FD2055" w:rsidRDefault="00A80E60" w:rsidP="00B534E4">
            <w:pPr>
              <w:pStyle w:val="Standaard-Tabellen"/>
              <w:rPr>
                <w:rFonts w:eastAsia="Calibri"/>
              </w:rPr>
            </w:pPr>
            <w:r>
              <w:rPr>
                <w:rFonts w:eastAsia="Calibri"/>
              </w:rPr>
              <w:t>0.84</w:t>
            </w:r>
            <w:r w:rsidRPr="005A44E3">
              <w:rPr>
                <w:rFonts w:eastAsia="Calibri"/>
              </w:rPr>
              <w:t xml:space="preserve"> m³/h</w:t>
            </w:r>
          </w:p>
        </w:tc>
      </w:tr>
    </w:tbl>
    <w:p w14:paraId="5873260B" w14:textId="77777777" w:rsidR="007E3A44" w:rsidRPr="00FD2055" w:rsidRDefault="007E3A44" w:rsidP="007E3A44">
      <w:pPr>
        <w:pStyle w:val="Voetnoot"/>
        <w:rPr>
          <w:rFonts w:eastAsia="Calibri"/>
        </w:rPr>
      </w:pPr>
      <w:r w:rsidRPr="00332AD5">
        <w:rPr>
          <w:rStyle w:val="Appelnotedebasdep"/>
          <w:rFonts w:eastAsia="Calibri"/>
          <w:vertAlign w:val="superscript"/>
        </w:rPr>
        <w:t>1</w:t>
      </w:r>
      <w:r w:rsidRPr="00332AD5">
        <w:rPr>
          <w:rStyle w:val="Appelnotedebasdep"/>
          <w:rFonts w:eastAsia="Calibri"/>
        </w:rPr>
        <w:t xml:space="preserve"> </w:t>
      </w:r>
      <w:r w:rsidRPr="00606070">
        <w:rPr>
          <w:rStyle w:val="Appelnotedebasdep"/>
          <w:rFonts w:eastAsia="Calibri"/>
        </w:rPr>
        <w:t>General information, see justification above</w:t>
      </w:r>
    </w:p>
    <w:p w14:paraId="54875374" w14:textId="77777777" w:rsidR="007E3A44" w:rsidRPr="00FD2055" w:rsidRDefault="007E3A44" w:rsidP="007E3A44">
      <w:pPr>
        <w:rPr>
          <w:rFonts w:eastAsia="Calibri"/>
          <w:lang w:eastAsia="en-US"/>
        </w:rPr>
      </w:pPr>
    </w:p>
    <w:p w14:paraId="669972B6" w14:textId="77777777" w:rsidR="007E3A44" w:rsidRPr="00484F6D" w:rsidRDefault="007E3A44" w:rsidP="007E3A44">
      <w:pPr>
        <w:pStyle w:val="Titre7"/>
      </w:pPr>
      <w:r w:rsidRPr="00484F6D">
        <w:t>Calculations for scenario 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97"/>
        <w:gridCol w:w="1900"/>
        <w:gridCol w:w="4799"/>
      </w:tblGrid>
      <w:tr w:rsidR="007E3A44" w:rsidRPr="00C20709" w14:paraId="585E6FFC" w14:textId="77777777" w:rsidTr="00F96662">
        <w:trPr>
          <w:cantSplit/>
          <w:trHeight w:val="647"/>
          <w:tblHeader/>
        </w:trPr>
        <w:tc>
          <w:tcPr>
            <w:tcW w:w="5000" w:type="pct"/>
            <w:gridSpan w:val="3"/>
            <w:shd w:val="clear" w:color="auto" w:fill="FFFFCC"/>
          </w:tcPr>
          <w:p w14:paraId="27D2ADB3" w14:textId="77777777" w:rsidR="007E3A44" w:rsidRPr="00C20709" w:rsidRDefault="007E3A44" w:rsidP="00F96662">
            <w:pPr>
              <w:pStyle w:val="Standaard-Tabellen"/>
              <w:jc w:val="center"/>
              <w:rPr>
                <w:rFonts w:eastAsia="Calibri"/>
                <w:b/>
              </w:rPr>
            </w:pPr>
            <w:r w:rsidRPr="00C20709">
              <w:rPr>
                <w:rFonts w:eastAsia="Calibri"/>
                <w:b/>
              </w:rPr>
              <w:t xml:space="preserve">Summary table: estimated exposure </w:t>
            </w:r>
            <w:r>
              <w:rPr>
                <w:rFonts w:eastAsia="Calibri"/>
                <w:b/>
              </w:rPr>
              <w:t>for i</w:t>
            </w:r>
            <w:r w:rsidRPr="005E2956">
              <w:rPr>
                <w:rFonts w:eastAsia="Calibri"/>
                <w:b/>
              </w:rPr>
              <w:t>nhalation of volatilised residues after application (inhalative exposure)</w:t>
            </w:r>
          </w:p>
        </w:tc>
      </w:tr>
      <w:tr w:rsidR="007E3A44" w:rsidRPr="00C20709" w14:paraId="5D6C9AD9" w14:textId="77777777" w:rsidTr="00F96662">
        <w:trPr>
          <w:cantSplit/>
          <w:trHeight w:val="647"/>
          <w:tblHeader/>
        </w:trPr>
        <w:tc>
          <w:tcPr>
            <w:tcW w:w="1435" w:type="pct"/>
            <w:shd w:val="clear" w:color="auto" w:fill="BFBFBF" w:themeFill="background1" w:themeFillShade="BF"/>
          </w:tcPr>
          <w:p w14:paraId="39FB0D16" w14:textId="77777777" w:rsidR="007E3A44" w:rsidRPr="00C20709" w:rsidRDefault="007E3A44" w:rsidP="00F96662">
            <w:pPr>
              <w:pStyle w:val="Standaard-Tabellen"/>
              <w:rPr>
                <w:rFonts w:eastAsia="Calibri"/>
                <w:b/>
              </w:rPr>
            </w:pPr>
            <w:r w:rsidRPr="00C20709">
              <w:rPr>
                <w:rFonts w:eastAsia="Calibri"/>
                <w:b/>
              </w:rPr>
              <w:t>Exposure scenario</w:t>
            </w:r>
          </w:p>
        </w:tc>
        <w:tc>
          <w:tcPr>
            <w:tcW w:w="1011" w:type="pct"/>
            <w:shd w:val="clear" w:color="auto" w:fill="BFBFBF" w:themeFill="background1" w:themeFillShade="BF"/>
          </w:tcPr>
          <w:p w14:paraId="6F31C61A" w14:textId="77777777" w:rsidR="007E3A44" w:rsidRPr="00C20709" w:rsidRDefault="007E3A44" w:rsidP="00F96662">
            <w:pPr>
              <w:pStyle w:val="Standaard-Tabellen"/>
              <w:rPr>
                <w:rFonts w:eastAsia="Calibri"/>
                <w:b/>
              </w:rPr>
            </w:pPr>
            <w:r w:rsidRPr="00C20709">
              <w:rPr>
                <w:rFonts w:eastAsia="Calibri"/>
                <w:b/>
              </w:rPr>
              <w:t>Tier/PPE</w:t>
            </w:r>
          </w:p>
        </w:tc>
        <w:tc>
          <w:tcPr>
            <w:tcW w:w="2554" w:type="pct"/>
            <w:shd w:val="clear" w:color="auto" w:fill="BFBFBF" w:themeFill="background1" w:themeFillShade="BF"/>
          </w:tcPr>
          <w:p w14:paraId="6389CDBA" w14:textId="77777777" w:rsidR="007E3A44" w:rsidRDefault="007E3A44" w:rsidP="00F96662">
            <w:pPr>
              <w:pStyle w:val="Standaard-Tabellen"/>
              <w:rPr>
                <w:rFonts w:eastAsia="Calibri"/>
                <w:b/>
              </w:rPr>
            </w:pPr>
            <w:r w:rsidRPr="00C20709">
              <w:rPr>
                <w:rFonts w:eastAsia="Calibri"/>
                <w:b/>
              </w:rPr>
              <w:t>Estimated inhalation uptake</w:t>
            </w:r>
            <w:r>
              <w:rPr>
                <w:rFonts w:eastAsia="Calibri"/>
                <w:b/>
              </w:rPr>
              <w:t xml:space="preserve"> </w:t>
            </w:r>
          </w:p>
          <w:p w14:paraId="38A64332" w14:textId="77777777" w:rsidR="007E3A44" w:rsidRPr="00C20709" w:rsidRDefault="007E3A44" w:rsidP="00F96662">
            <w:pPr>
              <w:pStyle w:val="Standaard-Tabellen"/>
              <w:rPr>
                <w:rFonts w:eastAsia="Calibri"/>
                <w:b/>
              </w:rPr>
            </w:pPr>
            <w:r>
              <w:rPr>
                <w:rFonts w:eastAsia="Calibri"/>
                <w:b/>
              </w:rPr>
              <w:t xml:space="preserve">of volatilised </w:t>
            </w:r>
            <w:r w:rsidRPr="00B42BEF">
              <w:rPr>
                <w:rFonts w:eastAsia="Calibri"/>
                <w:b/>
              </w:rPr>
              <w:t>residues after application</w:t>
            </w:r>
          </w:p>
        </w:tc>
      </w:tr>
      <w:tr w:rsidR="00A80E60" w:rsidRPr="00FD2055" w14:paraId="22164742" w14:textId="77777777" w:rsidTr="00272957">
        <w:trPr>
          <w:cantSplit/>
          <w:trHeight w:val="65"/>
          <w:tblHeader/>
        </w:trPr>
        <w:tc>
          <w:tcPr>
            <w:tcW w:w="1435" w:type="pct"/>
            <w:shd w:val="clear" w:color="auto" w:fill="auto"/>
          </w:tcPr>
          <w:p w14:paraId="2A7D4DD3" w14:textId="77777777" w:rsidR="00A80E60" w:rsidRPr="00FD2055" w:rsidRDefault="00A80E60" w:rsidP="00A80E60">
            <w:pPr>
              <w:pStyle w:val="Standaard-Tabellen"/>
              <w:rPr>
                <w:rFonts w:eastAsia="Calibri"/>
              </w:rPr>
            </w:pPr>
            <w:r w:rsidRPr="00FD2055">
              <w:rPr>
                <w:rFonts w:eastAsia="Calibri"/>
              </w:rPr>
              <w:t xml:space="preserve">Scenario </w:t>
            </w:r>
            <w:r>
              <w:rPr>
                <w:rFonts w:eastAsia="Calibri"/>
              </w:rPr>
              <w:t>5 – ADULT</w:t>
            </w:r>
          </w:p>
        </w:tc>
        <w:tc>
          <w:tcPr>
            <w:tcW w:w="1011" w:type="pct"/>
          </w:tcPr>
          <w:p w14:paraId="241F6D13" w14:textId="77777777" w:rsidR="00A80E60" w:rsidRPr="00FD2055" w:rsidRDefault="00A80E60" w:rsidP="00A80E60">
            <w:pPr>
              <w:pStyle w:val="Standaard-Tabellen"/>
              <w:rPr>
                <w:rFonts w:eastAsia="Calibri"/>
              </w:rPr>
            </w:pPr>
            <w:r>
              <w:rPr>
                <w:rFonts w:eastAsia="Calibri"/>
              </w:rPr>
              <w:t xml:space="preserve">Tier 1 / no PPE </w:t>
            </w:r>
          </w:p>
        </w:tc>
        <w:tc>
          <w:tcPr>
            <w:tcW w:w="2554" w:type="pct"/>
          </w:tcPr>
          <w:p w14:paraId="64A82813" w14:textId="7CC366B8" w:rsidR="00A80E60" w:rsidRPr="00FD2055" w:rsidRDefault="00A80E60" w:rsidP="00A80E60">
            <w:pPr>
              <w:pStyle w:val="Standaard-Tabellen"/>
              <w:rPr>
                <w:rFonts w:eastAsia="Calibri"/>
              </w:rPr>
            </w:pPr>
            <w:r>
              <w:rPr>
                <w:rFonts w:eastAsia="Calibri"/>
              </w:rPr>
              <w:t>1.1</w:t>
            </w:r>
            <w:r w:rsidRPr="00B42BEF">
              <w:rPr>
                <w:rFonts w:eastAsia="Calibri"/>
              </w:rPr>
              <w:t xml:space="preserve"> mg/kg bw/day</w:t>
            </w:r>
          </w:p>
        </w:tc>
      </w:tr>
      <w:tr w:rsidR="00A80E60" w:rsidRPr="00FD2055" w14:paraId="3FC93483" w14:textId="77777777" w:rsidTr="00272957">
        <w:trPr>
          <w:cantSplit/>
          <w:trHeight w:val="65"/>
          <w:tblHeader/>
        </w:trPr>
        <w:tc>
          <w:tcPr>
            <w:tcW w:w="1435" w:type="pct"/>
            <w:shd w:val="clear" w:color="auto" w:fill="auto"/>
          </w:tcPr>
          <w:p w14:paraId="4BB86719" w14:textId="77777777" w:rsidR="00A80E60" w:rsidRPr="00FD2055" w:rsidRDefault="00A80E60" w:rsidP="00A80E60">
            <w:pPr>
              <w:pStyle w:val="Standaard-Tabellen"/>
              <w:rPr>
                <w:rFonts w:eastAsia="Calibri"/>
              </w:rPr>
            </w:pPr>
            <w:r w:rsidRPr="00FD2055">
              <w:rPr>
                <w:rFonts w:eastAsia="Calibri"/>
              </w:rPr>
              <w:t xml:space="preserve">Scenario </w:t>
            </w:r>
            <w:r>
              <w:rPr>
                <w:rFonts w:eastAsia="Calibri"/>
              </w:rPr>
              <w:t>5 – CHILD</w:t>
            </w:r>
          </w:p>
        </w:tc>
        <w:tc>
          <w:tcPr>
            <w:tcW w:w="1011" w:type="pct"/>
          </w:tcPr>
          <w:p w14:paraId="7C5805CA" w14:textId="77777777" w:rsidR="00A80E60" w:rsidRPr="00FD2055" w:rsidRDefault="00A80E60" w:rsidP="00A80E60">
            <w:pPr>
              <w:pStyle w:val="Standaard-Tabellen"/>
              <w:rPr>
                <w:rFonts w:eastAsia="Calibri"/>
              </w:rPr>
            </w:pPr>
            <w:r>
              <w:rPr>
                <w:rFonts w:eastAsia="Calibri"/>
              </w:rPr>
              <w:t xml:space="preserve">Tier 1 / </w:t>
            </w:r>
            <w:r w:rsidRPr="00B41694">
              <w:rPr>
                <w:rFonts w:eastAsia="Calibri"/>
              </w:rPr>
              <w:t>no PPE</w:t>
            </w:r>
          </w:p>
        </w:tc>
        <w:tc>
          <w:tcPr>
            <w:tcW w:w="2554" w:type="pct"/>
          </w:tcPr>
          <w:p w14:paraId="57E3232C" w14:textId="3B1B13BC" w:rsidR="00A80E60" w:rsidRPr="00FD2055" w:rsidRDefault="00A80E60" w:rsidP="00A80E60">
            <w:pPr>
              <w:pStyle w:val="Standaard-Tabellen"/>
              <w:rPr>
                <w:rFonts w:eastAsia="Calibri"/>
              </w:rPr>
            </w:pPr>
            <w:r>
              <w:rPr>
                <w:rFonts w:eastAsia="Calibri"/>
              </w:rPr>
              <w:t>1.4</w:t>
            </w:r>
            <w:r w:rsidRPr="00B42BEF">
              <w:rPr>
                <w:rFonts w:eastAsia="Calibri"/>
              </w:rPr>
              <w:t xml:space="preserve"> mg/kg bw/day</w:t>
            </w:r>
          </w:p>
        </w:tc>
      </w:tr>
      <w:tr w:rsidR="00A80E60" w:rsidRPr="00FD2055" w14:paraId="78DEC585" w14:textId="77777777" w:rsidTr="00272957">
        <w:trPr>
          <w:cantSplit/>
          <w:trHeight w:val="65"/>
          <w:tblHeader/>
        </w:trPr>
        <w:tc>
          <w:tcPr>
            <w:tcW w:w="1435" w:type="pct"/>
            <w:shd w:val="clear" w:color="auto" w:fill="auto"/>
          </w:tcPr>
          <w:p w14:paraId="24F06427" w14:textId="77777777" w:rsidR="00A80E60" w:rsidRPr="00FD2055" w:rsidRDefault="00A80E60" w:rsidP="00A80E60">
            <w:pPr>
              <w:pStyle w:val="Standaard-Tabellen"/>
              <w:rPr>
                <w:rFonts w:eastAsia="Calibri"/>
              </w:rPr>
            </w:pPr>
            <w:r>
              <w:rPr>
                <w:rFonts w:eastAsia="Calibri"/>
              </w:rPr>
              <w:t>Scenario 5</w:t>
            </w:r>
            <w:r w:rsidRPr="00B41694">
              <w:rPr>
                <w:rFonts w:eastAsia="Calibri"/>
              </w:rPr>
              <w:t xml:space="preserve"> </w:t>
            </w:r>
            <w:r>
              <w:rPr>
                <w:rFonts w:eastAsia="Calibri"/>
              </w:rPr>
              <w:t>–</w:t>
            </w:r>
            <w:r w:rsidRPr="00B41694">
              <w:rPr>
                <w:rFonts w:eastAsia="Calibri"/>
              </w:rPr>
              <w:t xml:space="preserve"> </w:t>
            </w:r>
            <w:r>
              <w:rPr>
                <w:rFonts w:eastAsia="Calibri"/>
              </w:rPr>
              <w:t>TODDLER</w:t>
            </w:r>
          </w:p>
        </w:tc>
        <w:tc>
          <w:tcPr>
            <w:tcW w:w="1011" w:type="pct"/>
          </w:tcPr>
          <w:p w14:paraId="353EE87C" w14:textId="77777777" w:rsidR="00A80E60" w:rsidRPr="00FD2055" w:rsidRDefault="00A80E60" w:rsidP="00A80E60">
            <w:pPr>
              <w:pStyle w:val="Standaard-Tabellen"/>
              <w:rPr>
                <w:rFonts w:eastAsia="Calibri"/>
              </w:rPr>
            </w:pPr>
            <w:r>
              <w:rPr>
                <w:rFonts w:eastAsia="Calibri"/>
              </w:rPr>
              <w:t xml:space="preserve">Tier 1 / </w:t>
            </w:r>
            <w:r w:rsidRPr="00B41694">
              <w:rPr>
                <w:rFonts w:eastAsia="Calibri"/>
              </w:rPr>
              <w:t>no PPE</w:t>
            </w:r>
          </w:p>
        </w:tc>
        <w:tc>
          <w:tcPr>
            <w:tcW w:w="2554" w:type="pct"/>
          </w:tcPr>
          <w:p w14:paraId="4969BF5A" w14:textId="6C7879A4" w:rsidR="00A80E60" w:rsidRPr="00FD2055" w:rsidRDefault="00A80E60" w:rsidP="00A80E60">
            <w:pPr>
              <w:pStyle w:val="Standaard-Tabellen"/>
              <w:rPr>
                <w:rFonts w:eastAsia="Calibri"/>
              </w:rPr>
            </w:pPr>
            <w:r>
              <w:rPr>
                <w:rFonts w:eastAsia="Calibri"/>
              </w:rPr>
              <w:t>3.1</w:t>
            </w:r>
            <w:r w:rsidRPr="00B42BEF">
              <w:rPr>
                <w:rFonts w:eastAsia="Calibri"/>
              </w:rPr>
              <w:t xml:space="preserve"> mg/kg bw/day</w:t>
            </w:r>
          </w:p>
        </w:tc>
      </w:tr>
      <w:tr w:rsidR="00A80E60" w:rsidRPr="00FD2055" w14:paraId="3983555E" w14:textId="77777777" w:rsidTr="00272957">
        <w:trPr>
          <w:cantSplit/>
          <w:trHeight w:val="65"/>
          <w:tblHeader/>
        </w:trPr>
        <w:tc>
          <w:tcPr>
            <w:tcW w:w="1435" w:type="pct"/>
            <w:shd w:val="clear" w:color="auto" w:fill="auto"/>
          </w:tcPr>
          <w:p w14:paraId="154C79C1" w14:textId="77777777" w:rsidR="00A80E60" w:rsidRPr="00FD2055" w:rsidRDefault="00A80E60" w:rsidP="00A80E60">
            <w:pPr>
              <w:pStyle w:val="Standaard-Tabellen"/>
              <w:rPr>
                <w:rFonts w:eastAsia="Calibri"/>
              </w:rPr>
            </w:pPr>
            <w:r>
              <w:rPr>
                <w:rFonts w:eastAsia="Calibri"/>
              </w:rPr>
              <w:t>Scenario 5 – INFANT</w:t>
            </w:r>
          </w:p>
        </w:tc>
        <w:tc>
          <w:tcPr>
            <w:tcW w:w="1011" w:type="pct"/>
          </w:tcPr>
          <w:p w14:paraId="31E78D19" w14:textId="77777777" w:rsidR="00A80E60" w:rsidRPr="00FD2055" w:rsidRDefault="00A80E60" w:rsidP="00A80E60">
            <w:pPr>
              <w:pStyle w:val="Standaard-Tabellen"/>
              <w:rPr>
                <w:rFonts w:eastAsia="Calibri"/>
              </w:rPr>
            </w:pPr>
            <w:r>
              <w:rPr>
                <w:rFonts w:eastAsia="Calibri"/>
              </w:rPr>
              <w:t xml:space="preserve">Tier 1 / </w:t>
            </w:r>
            <w:r w:rsidRPr="00B41694">
              <w:rPr>
                <w:rFonts w:eastAsia="Calibri"/>
              </w:rPr>
              <w:t>no PPE</w:t>
            </w:r>
          </w:p>
        </w:tc>
        <w:tc>
          <w:tcPr>
            <w:tcW w:w="2554" w:type="pct"/>
          </w:tcPr>
          <w:p w14:paraId="1B1CC376" w14:textId="18A46735" w:rsidR="00A80E60" w:rsidRPr="00FD2055" w:rsidRDefault="00A80E60" w:rsidP="00A80E60">
            <w:pPr>
              <w:pStyle w:val="Standaard-Tabellen"/>
              <w:rPr>
                <w:rFonts w:eastAsia="Calibri"/>
              </w:rPr>
            </w:pPr>
            <w:r>
              <w:rPr>
                <w:rFonts w:eastAsia="Calibri"/>
              </w:rPr>
              <w:t>2.6</w:t>
            </w:r>
            <w:r w:rsidRPr="00B42BEF">
              <w:rPr>
                <w:rFonts w:eastAsia="Calibri"/>
              </w:rPr>
              <w:t xml:space="preserve"> mg/kg bw/day</w:t>
            </w:r>
          </w:p>
        </w:tc>
      </w:tr>
    </w:tbl>
    <w:p w14:paraId="7E6EC645" w14:textId="77777777" w:rsidR="007E3A44" w:rsidRPr="00FD2055" w:rsidRDefault="007E3A44" w:rsidP="007E3A44">
      <w:pPr>
        <w:rPr>
          <w:rFonts w:eastAsia="Calibri"/>
          <w:lang w:eastAsia="en-US"/>
        </w:rPr>
      </w:pPr>
    </w:p>
    <w:p w14:paraId="081F9E6E" w14:textId="77777777" w:rsidR="008A2D32" w:rsidRPr="00FA1064" w:rsidRDefault="008A2D32" w:rsidP="00FA1064">
      <w:pPr>
        <w:pStyle w:val="Paragraphedeliste"/>
        <w:keepNext/>
        <w:numPr>
          <w:ilvl w:val="0"/>
          <w:numId w:val="68"/>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FA1064">
        <w:rPr>
          <w:rFonts w:eastAsia="Calibri"/>
          <w:b/>
          <w:lang w:eastAsia="en-US"/>
        </w:rPr>
        <w:t>MAJOR CHANGE FOR SPRAY REPULSIF IR200 – 2019 (FR CA)</w:t>
      </w:r>
    </w:p>
    <w:p w14:paraId="7E37CC96"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
          <w:spacing w:val="1"/>
          <w:u w:val="single"/>
          <w:lang w:eastAsia="fr-FR"/>
        </w:rPr>
      </w:pPr>
    </w:p>
    <w:p w14:paraId="3DB09B74"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i/>
          <w:spacing w:val="1"/>
          <w:u w:val="single"/>
          <w:lang w:eastAsia="fr-FR"/>
        </w:rPr>
      </w:pPr>
      <w:r w:rsidRPr="007E29F8">
        <w:rPr>
          <w:rFonts w:cs="Arial"/>
          <w:i/>
          <w:spacing w:val="1"/>
          <w:u w:val="single"/>
          <w:lang w:eastAsia="fr-FR"/>
        </w:rPr>
        <w:t xml:space="preserve">Scenario [5] - </w:t>
      </w:r>
      <w:r w:rsidRPr="007E29F8">
        <w:rPr>
          <w:rFonts w:cs="Arial"/>
          <w:bCs/>
          <w:i/>
          <w:spacing w:val="1"/>
          <w:u w:val="single"/>
          <w:lang w:eastAsia="fr-FR"/>
        </w:rPr>
        <w:t xml:space="preserve">Post-application phase </w:t>
      </w:r>
      <w:r w:rsidRPr="007E29F8">
        <w:rPr>
          <w:rFonts w:cs="Arial"/>
          <w:b/>
          <w:i/>
          <w:spacing w:val="1"/>
          <w:u w:val="single"/>
          <w:lang w:eastAsia="fr-FR"/>
        </w:rPr>
        <w:t xml:space="preserve">– </w:t>
      </w:r>
      <w:r w:rsidRPr="007E29F8">
        <w:rPr>
          <w:rFonts w:cs="Arial"/>
          <w:i/>
          <w:spacing w:val="1"/>
          <w:u w:val="single"/>
          <w:lang w:eastAsia="fr-FR"/>
        </w:rPr>
        <w:t>inhalation of volatilised residues after application</w:t>
      </w:r>
    </w:p>
    <w:p w14:paraId="3B48843D"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i/>
          <w:spacing w:val="1"/>
          <w:u w:val="single"/>
          <w:lang w:eastAsia="fr-FR"/>
        </w:rPr>
      </w:pPr>
    </w:p>
    <w:tbl>
      <w:tblPr>
        <w:tblW w:w="5356"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7"/>
        <w:gridCol w:w="4292"/>
        <w:gridCol w:w="1592"/>
        <w:gridCol w:w="3404"/>
      </w:tblGrid>
      <w:tr w:rsidR="002655EE" w:rsidRPr="007E29F8" w14:paraId="43E8C0CA" w14:textId="77777777" w:rsidTr="002655EE">
        <w:trPr>
          <w:tblHeader/>
        </w:trPr>
        <w:tc>
          <w:tcPr>
            <w:tcW w:w="5000" w:type="pct"/>
            <w:gridSpan w:val="4"/>
            <w:shd w:val="clear" w:color="auto" w:fill="FFFFCC"/>
            <w:tcMar>
              <w:top w:w="57" w:type="dxa"/>
              <w:bottom w:w="57" w:type="dxa"/>
            </w:tcMar>
          </w:tcPr>
          <w:p w14:paraId="6805DC7E" w14:textId="77777777" w:rsidR="002655EE" w:rsidRPr="007E29F8" w:rsidRDefault="002655EE" w:rsidP="002655EE">
            <w:pPr>
              <w:pStyle w:val="Standaard-Tabellen"/>
              <w:keepNext/>
              <w:rPr>
                <w:rFonts w:eastAsia="Calibri"/>
                <w:b/>
                <w:sz w:val="20"/>
              </w:rPr>
            </w:pPr>
            <w:r w:rsidRPr="007E29F8">
              <w:rPr>
                <w:rFonts w:eastAsia="Calibri"/>
                <w:b/>
                <w:sz w:val="20"/>
              </w:rPr>
              <w:t>Description of Scenario 5</w:t>
            </w:r>
          </w:p>
        </w:tc>
      </w:tr>
      <w:tr w:rsidR="002655EE" w:rsidRPr="007E29F8" w14:paraId="433B6DCC" w14:textId="77777777" w:rsidTr="00FA1064">
        <w:trPr>
          <w:trHeight w:val="237"/>
          <w:tblHeader/>
        </w:trPr>
        <w:tc>
          <w:tcPr>
            <w:tcW w:w="5000" w:type="pct"/>
            <w:gridSpan w:val="4"/>
            <w:shd w:val="clear" w:color="auto" w:fill="FFFFFF" w:themeFill="background1"/>
            <w:tcMar>
              <w:top w:w="57" w:type="dxa"/>
              <w:bottom w:w="57" w:type="dxa"/>
            </w:tcMar>
          </w:tcPr>
          <w:p w14:paraId="5338D841"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In the post-application phase, inhalation exposure of volatile residues is assessed for adults, children, toddlers and infants. According to the CAR of IR3535, it was assumed that the airborne concentration of IR3535® will not exceed 1 % of the saturated vapour concentration (SVC). Residential time is considered to be 24 hours.</w:t>
            </w:r>
          </w:p>
          <w:p w14:paraId="46CD0B68"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The assessment is done according to the HEEG opinion 13 “Assessment of inhalation exposure of volatilised biocides active substance”.</w:t>
            </w:r>
          </w:p>
        </w:tc>
      </w:tr>
      <w:tr w:rsidR="002655EE" w:rsidRPr="007E29F8" w14:paraId="334B423C" w14:textId="77777777" w:rsidTr="00FA1064">
        <w:trPr>
          <w:tblHeader/>
        </w:trPr>
        <w:tc>
          <w:tcPr>
            <w:tcW w:w="386" w:type="pct"/>
            <w:shd w:val="clear" w:color="auto" w:fill="FFFFFF" w:themeFill="background1"/>
            <w:tcMar>
              <w:top w:w="57" w:type="dxa"/>
              <w:bottom w:w="57" w:type="dxa"/>
            </w:tcMar>
          </w:tcPr>
          <w:p w14:paraId="59EFFCDB"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p>
        </w:tc>
        <w:tc>
          <w:tcPr>
            <w:tcW w:w="2132" w:type="pct"/>
            <w:shd w:val="clear" w:color="auto" w:fill="FFFFFF" w:themeFill="background1"/>
            <w:tcMar>
              <w:top w:w="57" w:type="dxa"/>
              <w:bottom w:w="57" w:type="dxa"/>
            </w:tcMar>
          </w:tcPr>
          <w:p w14:paraId="66C43DEA"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Parameters</w:t>
            </w:r>
          </w:p>
        </w:tc>
        <w:tc>
          <w:tcPr>
            <w:tcW w:w="791" w:type="pct"/>
            <w:shd w:val="clear" w:color="auto" w:fill="FFFFFF" w:themeFill="background1"/>
            <w:tcMar>
              <w:top w:w="57" w:type="dxa"/>
              <w:bottom w:w="57" w:type="dxa"/>
            </w:tcMar>
          </w:tcPr>
          <w:p w14:paraId="11882A7A"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r w:rsidRPr="00FA1064">
              <w:rPr>
                <w:lang w:eastAsia="en-US"/>
              </w:rPr>
              <w:t>Value</w:t>
            </w:r>
          </w:p>
        </w:tc>
        <w:tc>
          <w:tcPr>
            <w:tcW w:w="1691" w:type="pct"/>
            <w:shd w:val="clear" w:color="auto" w:fill="FFFFFF" w:themeFill="background1"/>
          </w:tcPr>
          <w:p w14:paraId="2FD25673"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References</w:t>
            </w:r>
          </w:p>
        </w:tc>
      </w:tr>
      <w:tr w:rsidR="002655EE" w:rsidRPr="007E29F8" w14:paraId="0237C3FD" w14:textId="77777777" w:rsidTr="00FA1064">
        <w:trPr>
          <w:tblHeader/>
        </w:trPr>
        <w:tc>
          <w:tcPr>
            <w:tcW w:w="386" w:type="pct"/>
            <w:vMerge w:val="restart"/>
            <w:shd w:val="clear" w:color="auto" w:fill="FFFFFF" w:themeFill="background1"/>
            <w:tcMar>
              <w:top w:w="57" w:type="dxa"/>
              <w:bottom w:w="57" w:type="dxa"/>
            </w:tcMar>
          </w:tcPr>
          <w:p w14:paraId="6938C412"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Tier 1</w:t>
            </w:r>
          </w:p>
        </w:tc>
        <w:tc>
          <w:tcPr>
            <w:tcW w:w="2132" w:type="pct"/>
            <w:shd w:val="clear" w:color="auto" w:fill="FFFFFF" w:themeFill="background1"/>
            <w:tcMar>
              <w:top w:w="57" w:type="dxa"/>
              <w:bottom w:w="57" w:type="dxa"/>
            </w:tcMar>
          </w:tcPr>
          <w:p w14:paraId="41C6E34B"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Inhalation absorption</w:t>
            </w:r>
          </w:p>
        </w:tc>
        <w:tc>
          <w:tcPr>
            <w:tcW w:w="791" w:type="pct"/>
            <w:shd w:val="clear" w:color="auto" w:fill="FFFFFF" w:themeFill="background1"/>
            <w:tcMar>
              <w:top w:w="57" w:type="dxa"/>
              <w:bottom w:w="57" w:type="dxa"/>
            </w:tcMar>
          </w:tcPr>
          <w:p w14:paraId="060A9EA6"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r w:rsidRPr="00FA1064">
              <w:rPr>
                <w:lang w:eastAsia="en-US"/>
              </w:rPr>
              <w:t>100%</w:t>
            </w:r>
          </w:p>
        </w:tc>
        <w:tc>
          <w:tcPr>
            <w:tcW w:w="1691" w:type="pct"/>
            <w:shd w:val="clear" w:color="auto" w:fill="FFFFFF" w:themeFill="background1"/>
            <w:vAlign w:val="center"/>
          </w:tcPr>
          <w:p w14:paraId="6074F715"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Default</w:t>
            </w:r>
          </w:p>
        </w:tc>
      </w:tr>
      <w:tr w:rsidR="002655EE" w:rsidRPr="007E29F8" w14:paraId="369FE3A7" w14:textId="77777777" w:rsidTr="00FA1064">
        <w:trPr>
          <w:trHeight w:val="20"/>
          <w:tblHeader/>
        </w:trPr>
        <w:tc>
          <w:tcPr>
            <w:tcW w:w="386" w:type="pct"/>
            <w:vMerge/>
            <w:shd w:val="clear" w:color="auto" w:fill="FFFFFF" w:themeFill="background1"/>
            <w:tcMar>
              <w:top w:w="57" w:type="dxa"/>
              <w:bottom w:w="57" w:type="dxa"/>
            </w:tcMar>
          </w:tcPr>
          <w:p w14:paraId="30666ED8"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tcPr>
          <w:p w14:paraId="64B71535"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 xml:space="preserve">% of active substance in biocidal product </w:t>
            </w:r>
          </w:p>
        </w:tc>
        <w:tc>
          <w:tcPr>
            <w:tcW w:w="791" w:type="pct"/>
            <w:shd w:val="clear" w:color="auto" w:fill="FFFFFF" w:themeFill="background1"/>
            <w:tcMar>
              <w:top w:w="57" w:type="dxa"/>
              <w:bottom w:w="57" w:type="dxa"/>
            </w:tcMar>
          </w:tcPr>
          <w:p w14:paraId="5EB580B2"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r w:rsidRPr="00FA1064">
              <w:rPr>
                <w:lang w:eastAsia="en-US"/>
              </w:rPr>
              <w:t>20%</w:t>
            </w:r>
          </w:p>
        </w:tc>
        <w:tc>
          <w:tcPr>
            <w:tcW w:w="1691" w:type="pct"/>
            <w:shd w:val="clear" w:color="auto" w:fill="FFFFFF" w:themeFill="background1"/>
            <w:vAlign w:val="center"/>
          </w:tcPr>
          <w:p w14:paraId="741722D3"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Applicant’s data</w:t>
            </w:r>
          </w:p>
        </w:tc>
      </w:tr>
      <w:tr w:rsidR="002655EE" w:rsidRPr="007E29F8" w14:paraId="2104353B" w14:textId="77777777" w:rsidTr="00FA1064">
        <w:trPr>
          <w:trHeight w:val="20"/>
          <w:tblHeader/>
        </w:trPr>
        <w:tc>
          <w:tcPr>
            <w:tcW w:w="386" w:type="pct"/>
            <w:vMerge/>
            <w:shd w:val="clear" w:color="auto" w:fill="FFFFFF" w:themeFill="background1"/>
            <w:tcMar>
              <w:top w:w="57" w:type="dxa"/>
              <w:bottom w:w="57" w:type="dxa"/>
            </w:tcMar>
          </w:tcPr>
          <w:p w14:paraId="2EED3FD5"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tcPr>
          <w:p w14:paraId="5EB690C4"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7E29F8">
              <w:rPr>
                <w:lang w:eastAsia="en-US"/>
              </w:rPr>
              <w:t>Vapour pressure IR3535 (Pa)</w:t>
            </w:r>
          </w:p>
        </w:tc>
        <w:tc>
          <w:tcPr>
            <w:tcW w:w="791" w:type="pct"/>
            <w:shd w:val="clear" w:color="auto" w:fill="FFFFFF" w:themeFill="background1"/>
            <w:tcMar>
              <w:top w:w="57" w:type="dxa"/>
              <w:bottom w:w="57" w:type="dxa"/>
            </w:tcMar>
          </w:tcPr>
          <w:p w14:paraId="1CDC867F"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p>
        </w:tc>
        <w:tc>
          <w:tcPr>
            <w:tcW w:w="1691" w:type="pct"/>
            <w:shd w:val="clear" w:color="auto" w:fill="FFFFFF" w:themeFill="background1"/>
            <w:vAlign w:val="center"/>
          </w:tcPr>
          <w:p w14:paraId="53208110"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CAR IR3535</w:t>
            </w:r>
          </w:p>
        </w:tc>
      </w:tr>
      <w:tr w:rsidR="002655EE" w:rsidRPr="007E29F8" w14:paraId="16BCD8ED" w14:textId="77777777" w:rsidTr="00FA1064">
        <w:trPr>
          <w:tblHeader/>
        </w:trPr>
        <w:tc>
          <w:tcPr>
            <w:tcW w:w="386" w:type="pct"/>
            <w:vMerge/>
            <w:shd w:val="clear" w:color="auto" w:fill="FFFFFF" w:themeFill="background1"/>
            <w:tcMar>
              <w:top w:w="57" w:type="dxa"/>
              <w:bottom w:w="57" w:type="dxa"/>
            </w:tcMar>
          </w:tcPr>
          <w:p w14:paraId="397AD9EC"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tcPr>
          <w:p w14:paraId="39070322"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7E29F8">
              <w:rPr>
                <w:lang w:eastAsia="en-US"/>
              </w:rPr>
              <w:t>Molecular weight IR3535 (g/mol)</w:t>
            </w:r>
          </w:p>
        </w:tc>
        <w:tc>
          <w:tcPr>
            <w:tcW w:w="791" w:type="pct"/>
            <w:shd w:val="clear" w:color="auto" w:fill="FFFFFF" w:themeFill="background1"/>
            <w:tcMar>
              <w:top w:w="57" w:type="dxa"/>
              <w:bottom w:w="57" w:type="dxa"/>
            </w:tcMar>
          </w:tcPr>
          <w:p w14:paraId="5D10055E"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p>
        </w:tc>
        <w:tc>
          <w:tcPr>
            <w:tcW w:w="1691" w:type="pct"/>
            <w:shd w:val="clear" w:color="auto" w:fill="FFFFFF" w:themeFill="background1"/>
            <w:vAlign w:val="center"/>
          </w:tcPr>
          <w:p w14:paraId="4AAAD511"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CAR IR3535</w:t>
            </w:r>
          </w:p>
        </w:tc>
      </w:tr>
      <w:tr w:rsidR="002655EE" w:rsidRPr="007E29F8" w14:paraId="6C779A58" w14:textId="77777777" w:rsidTr="00FA1064">
        <w:trPr>
          <w:tblHeader/>
        </w:trPr>
        <w:tc>
          <w:tcPr>
            <w:tcW w:w="386" w:type="pct"/>
            <w:vMerge/>
            <w:shd w:val="clear" w:color="auto" w:fill="FFFFFF" w:themeFill="background1"/>
            <w:tcMar>
              <w:top w:w="57" w:type="dxa"/>
              <w:bottom w:w="57" w:type="dxa"/>
            </w:tcMar>
          </w:tcPr>
          <w:p w14:paraId="65DAB737"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tcPr>
          <w:p w14:paraId="12B39EE3" w14:textId="77777777" w:rsidR="002655EE" w:rsidRPr="007E29F8"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7E29F8">
              <w:rPr>
                <w:lang w:eastAsia="en-US"/>
              </w:rPr>
              <w:t>Saturated vapour concentration (SVC) (mg/m3)</w:t>
            </w:r>
          </w:p>
        </w:tc>
        <w:tc>
          <w:tcPr>
            <w:tcW w:w="791" w:type="pct"/>
            <w:shd w:val="clear" w:color="auto" w:fill="FFFFFF" w:themeFill="background1"/>
            <w:tcMar>
              <w:top w:w="57" w:type="dxa"/>
              <w:bottom w:w="57" w:type="dxa"/>
            </w:tcMar>
          </w:tcPr>
          <w:p w14:paraId="0FE31F25"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r w:rsidRPr="007E29F8">
              <w:rPr>
                <w:lang w:eastAsia="en-US"/>
              </w:rPr>
              <w:t>3.45*10</w:t>
            </w:r>
            <w:r w:rsidRPr="00FA1064">
              <w:rPr>
                <w:lang w:eastAsia="en-US"/>
              </w:rPr>
              <w:t>-3</w:t>
            </w:r>
          </w:p>
        </w:tc>
        <w:tc>
          <w:tcPr>
            <w:tcW w:w="1691" w:type="pct"/>
            <w:shd w:val="clear" w:color="auto" w:fill="FFFFFF" w:themeFill="background1"/>
            <w:vAlign w:val="center"/>
          </w:tcPr>
          <w:p w14:paraId="172E7628"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7E29F8">
              <w:rPr>
                <w:lang w:eastAsia="en-US"/>
              </w:rPr>
              <w:t>HEEG opinion 13, 2011</w:t>
            </w:r>
          </w:p>
        </w:tc>
      </w:tr>
      <w:tr w:rsidR="002655EE" w:rsidRPr="007E29F8" w14:paraId="0CD5C741" w14:textId="77777777" w:rsidTr="00FA1064">
        <w:trPr>
          <w:tblHeader/>
        </w:trPr>
        <w:tc>
          <w:tcPr>
            <w:tcW w:w="386" w:type="pct"/>
            <w:vMerge/>
            <w:shd w:val="clear" w:color="auto" w:fill="FFFFFF" w:themeFill="background1"/>
            <w:tcMar>
              <w:top w:w="57" w:type="dxa"/>
              <w:bottom w:w="57" w:type="dxa"/>
            </w:tcMar>
          </w:tcPr>
          <w:p w14:paraId="43691C8D"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923" w:type="pct"/>
            <w:gridSpan w:val="2"/>
            <w:shd w:val="clear" w:color="auto" w:fill="FFFFFF" w:themeFill="background1"/>
            <w:tcMar>
              <w:top w:w="57" w:type="dxa"/>
              <w:bottom w:w="57" w:type="dxa"/>
            </w:tcMar>
          </w:tcPr>
          <w:p w14:paraId="32792D5B"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Inhalation rate (m3/24h)</w:t>
            </w:r>
          </w:p>
        </w:tc>
        <w:tc>
          <w:tcPr>
            <w:tcW w:w="1691" w:type="pct"/>
            <w:vMerge w:val="restart"/>
            <w:shd w:val="clear" w:color="auto" w:fill="FFFFFF" w:themeFill="background1"/>
            <w:vAlign w:val="center"/>
          </w:tcPr>
          <w:p w14:paraId="6DCDD79E"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7E29F8">
              <w:rPr>
                <w:lang w:eastAsia="en-US"/>
              </w:rPr>
              <w:t>Recommendation no. 14, 2017</w:t>
            </w:r>
          </w:p>
        </w:tc>
      </w:tr>
      <w:tr w:rsidR="002655EE" w:rsidRPr="007E29F8" w14:paraId="22DBCDCD" w14:textId="77777777" w:rsidTr="00FA1064">
        <w:trPr>
          <w:trHeight w:val="20"/>
          <w:tblHeader/>
        </w:trPr>
        <w:tc>
          <w:tcPr>
            <w:tcW w:w="386" w:type="pct"/>
            <w:vMerge/>
            <w:shd w:val="clear" w:color="auto" w:fill="FFFFFF" w:themeFill="background1"/>
            <w:tcMar>
              <w:top w:w="57" w:type="dxa"/>
              <w:bottom w:w="57" w:type="dxa"/>
            </w:tcMar>
          </w:tcPr>
          <w:p w14:paraId="0049D006"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vAlign w:val="center"/>
          </w:tcPr>
          <w:p w14:paraId="2ABE2DA1"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Adult</w:t>
            </w:r>
          </w:p>
        </w:tc>
        <w:tc>
          <w:tcPr>
            <w:tcW w:w="791" w:type="pct"/>
            <w:shd w:val="clear" w:color="auto" w:fill="FFFFFF" w:themeFill="background1"/>
            <w:tcMar>
              <w:top w:w="57" w:type="dxa"/>
              <w:bottom w:w="57" w:type="dxa"/>
            </w:tcMar>
          </w:tcPr>
          <w:p w14:paraId="5CE93CD9"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r w:rsidRPr="00FA1064">
              <w:rPr>
                <w:lang w:eastAsia="en-US"/>
              </w:rPr>
              <w:t>16</w:t>
            </w:r>
          </w:p>
        </w:tc>
        <w:tc>
          <w:tcPr>
            <w:tcW w:w="1691" w:type="pct"/>
            <w:vMerge/>
            <w:shd w:val="clear" w:color="auto" w:fill="FFFFFF" w:themeFill="background1"/>
            <w:vAlign w:val="center"/>
          </w:tcPr>
          <w:p w14:paraId="7AD0445E" w14:textId="77777777" w:rsidR="002655EE" w:rsidRPr="007E29F8"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p>
        </w:tc>
      </w:tr>
      <w:tr w:rsidR="002655EE" w:rsidRPr="007E29F8" w14:paraId="779D3F63" w14:textId="77777777" w:rsidTr="00FA1064">
        <w:trPr>
          <w:tblHeader/>
        </w:trPr>
        <w:tc>
          <w:tcPr>
            <w:tcW w:w="386" w:type="pct"/>
            <w:vMerge/>
            <w:shd w:val="clear" w:color="auto" w:fill="FFFFFF" w:themeFill="background1"/>
            <w:tcMar>
              <w:top w:w="57" w:type="dxa"/>
              <w:bottom w:w="57" w:type="dxa"/>
            </w:tcMar>
          </w:tcPr>
          <w:p w14:paraId="6572EA7E"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vAlign w:val="center"/>
          </w:tcPr>
          <w:p w14:paraId="049AC662"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Child (6 to &lt;12 years old)</w:t>
            </w:r>
          </w:p>
        </w:tc>
        <w:tc>
          <w:tcPr>
            <w:tcW w:w="791" w:type="pct"/>
            <w:shd w:val="clear" w:color="auto" w:fill="FFFFFF" w:themeFill="background1"/>
            <w:tcMar>
              <w:top w:w="57" w:type="dxa"/>
              <w:bottom w:w="57" w:type="dxa"/>
            </w:tcMar>
          </w:tcPr>
          <w:p w14:paraId="40B95293"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r w:rsidRPr="00FA1064">
              <w:rPr>
                <w:lang w:eastAsia="en-US"/>
              </w:rPr>
              <w:t>12</w:t>
            </w:r>
          </w:p>
        </w:tc>
        <w:tc>
          <w:tcPr>
            <w:tcW w:w="1691" w:type="pct"/>
            <w:vMerge/>
            <w:shd w:val="clear" w:color="auto" w:fill="FFFFFF" w:themeFill="background1"/>
            <w:vAlign w:val="center"/>
          </w:tcPr>
          <w:p w14:paraId="20A1BB5A" w14:textId="77777777" w:rsidR="002655EE" w:rsidRPr="007E29F8"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p>
        </w:tc>
      </w:tr>
      <w:tr w:rsidR="002655EE" w:rsidRPr="007E29F8" w14:paraId="74628281" w14:textId="77777777" w:rsidTr="00FA1064">
        <w:trPr>
          <w:tblHeader/>
        </w:trPr>
        <w:tc>
          <w:tcPr>
            <w:tcW w:w="386" w:type="pct"/>
            <w:vMerge/>
            <w:shd w:val="clear" w:color="auto" w:fill="FFFFFF" w:themeFill="background1"/>
            <w:tcMar>
              <w:top w:w="57" w:type="dxa"/>
              <w:bottom w:w="57" w:type="dxa"/>
            </w:tcMar>
          </w:tcPr>
          <w:p w14:paraId="6695B50B"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vAlign w:val="center"/>
          </w:tcPr>
          <w:p w14:paraId="184F5F69"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Child (2 to &lt;6 years old)</w:t>
            </w:r>
          </w:p>
        </w:tc>
        <w:tc>
          <w:tcPr>
            <w:tcW w:w="791" w:type="pct"/>
            <w:shd w:val="clear" w:color="auto" w:fill="FFFFFF" w:themeFill="background1"/>
            <w:tcMar>
              <w:top w:w="57" w:type="dxa"/>
              <w:bottom w:w="57" w:type="dxa"/>
            </w:tcMar>
          </w:tcPr>
          <w:p w14:paraId="380BEEA6"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r w:rsidRPr="00FA1064">
              <w:rPr>
                <w:lang w:eastAsia="en-US"/>
              </w:rPr>
              <w:t>10.1</w:t>
            </w:r>
          </w:p>
        </w:tc>
        <w:tc>
          <w:tcPr>
            <w:tcW w:w="1691" w:type="pct"/>
            <w:vMerge/>
            <w:shd w:val="clear" w:color="auto" w:fill="FFFFFF" w:themeFill="background1"/>
            <w:vAlign w:val="center"/>
          </w:tcPr>
          <w:p w14:paraId="3CCF364A" w14:textId="77777777" w:rsidR="002655EE" w:rsidRPr="007E29F8"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p>
        </w:tc>
      </w:tr>
      <w:tr w:rsidR="002655EE" w:rsidRPr="007E29F8" w14:paraId="65CA2106" w14:textId="77777777" w:rsidTr="00FA1064">
        <w:trPr>
          <w:tblHeader/>
        </w:trPr>
        <w:tc>
          <w:tcPr>
            <w:tcW w:w="386" w:type="pct"/>
            <w:vMerge/>
            <w:shd w:val="clear" w:color="auto" w:fill="FFFFFF" w:themeFill="background1"/>
            <w:tcMar>
              <w:top w:w="57" w:type="dxa"/>
              <w:bottom w:w="57" w:type="dxa"/>
            </w:tcMar>
          </w:tcPr>
          <w:p w14:paraId="023595F7"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vAlign w:val="center"/>
          </w:tcPr>
          <w:p w14:paraId="5CC6C506"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Toddler (1 to &lt;2 years old)</w:t>
            </w:r>
          </w:p>
        </w:tc>
        <w:tc>
          <w:tcPr>
            <w:tcW w:w="791" w:type="pct"/>
            <w:shd w:val="clear" w:color="auto" w:fill="FFFFFF" w:themeFill="background1"/>
            <w:tcMar>
              <w:top w:w="57" w:type="dxa"/>
              <w:bottom w:w="57" w:type="dxa"/>
            </w:tcMar>
          </w:tcPr>
          <w:p w14:paraId="50815C09"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r w:rsidRPr="00FA1064">
              <w:rPr>
                <w:lang w:eastAsia="en-US"/>
              </w:rPr>
              <w:t>8</w:t>
            </w:r>
          </w:p>
        </w:tc>
        <w:tc>
          <w:tcPr>
            <w:tcW w:w="1691" w:type="pct"/>
            <w:vMerge/>
            <w:shd w:val="clear" w:color="auto" w:fill="FFFFFF" w:themeFill="background1"/>
            <w:vAlign w:val="center"/>
          </w:tcPr>
          <w:p w14:paraId="0DB4A27C" w14:textId="77777777" w:rsidR="002655EE" w:rsidRPr="007E29F8"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p>
        </w:tc>
      </w:tr>
      <w:tr w:rsidR="002655EE" w:rsidRPr="007E29F8" w14:paraId="5FEF18EE" w14:textId="77777777" w:rsidTr="00FA1064">
        <w:trPr>
          <w:tblHeader/>
        </w:trPr>
        <w:tc>
          <w:tcPr>
            <w:tcW w:w="386" w:type="pct"/>
            <w:vMerge/>
            <w:shd w:val="clear" w:color="auto" w:fill="FFFFFF" w:themeFill="background1"/>
            <w:tcMar>
              <w:top w:w="57" w:type="dxa"/>
              <w:bottom w:w="57" w:type="dxa"/>
            </w:tcMar>
          </w:tcPr>
          <w:p w14:paraId="1661C2F1"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vAlign w:val="center"/>
          </w:tcPr>
          <w:p w14:paraId="3F805046"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Infant (&lt;1 year old)</w:t>
            </w:r>
          </w:p>
        </w:tc>
        <w:tc>
          <w:tcPr>
            <w:tcW w:w="791" w:type="pct"/>
            <w:shd w:val="clear" w:color="auto" w:fill="FFFFFF" w:themeFill="background1"/>
            <w:tcMar>
              <w:top w:w="57" w:type="dxa"/>
              <w:bottom w:w="57" w:type="dxa"/>
            </w:tcMar>
          </w:tcPr>
          <w:p w14:paraId="3894542A"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lang w:eastAsia="en-US"/>
              </w:rPr>
            </w:pPr>
            <w:r w:rsidRPr="00FA1064">
              <w:rPr>
                <w:lang w:eastAsia="en-US"/>
              </w:rPr>
              <w:t>5.4</w:t>
            </w:r>
          </w:p>
        </w:tc>
        <w:tc>
          <w:tcPr>
            <w:tcW w:w="1691" w:type="pct"/>
            <w:vMerge/>
            <w:shd w:val="clear" w:color="auto" w:fill="FFFFFF" w:themeFill="background1"/>
            <w:vAlign w:val="center"/>
          </w:tcPr>
          <w:p w14:paraId="2D6D94B8" w14:textId="77777777" w:rsidR="002655EE" w:rsidRPr="007E29F8"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p>
        </w:tc>
      </w:tr>
      <w:tr w:rsidR="002655EE" w:rsidRPr="007E29F8" w14:paraId="4F66C6AC" w14:textId="77777777" w:rsidTr="00FA1064">
        <w:trPr>
          <w:tblHeader/>
        </w:trPr>
        <w:tc>
          <w:tcPr>
            <w:tcW w:w="386" w:type="pct"/>
            <w:vMerge/>
            <w:shd w:val="clear" w:color="auto" w:fill="FFFFFF" w:themeFill="background1"/>
            <w:tcMar>
              <w:top w:w="57" w:type="dxa"/>
              <w:bottom w:w="57" w:type="dxa"/>
            </w:tcMar>
          </w:tcPr>
          <w:p w14:paraId="729C443D"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923" w:type="pct"/>
            <w:gridSpan w:val="2"/>
            <w:shd w:val="clear" w:color="auto" w:fill="FFFFFF" w:themeFill="background1"/>
            <w:tcMar>
              <w:top w:w="57" w:type="dxa"/>
              <w:bottom w:w="57" w:type="dxa"/>
            </w:tcMar>
          </w:tcPr>
          <w:p w14:paraId="6FF2D9EF"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FA1064">
              <w:rPr>
                <w:lang w:eastAsia="en-US"/>
              </w:rPr>
              <w:t>Body weight (kg)</w:t>
            </w:r>
          </w:p>
        </w:tc>
        <w:tc>
          <w:tcPr>
            <w:tcW w:w="1691" w:type="pct"/>
            <w:vMerge w:val="restart"/>
            <w:shd w:val="clear" w:color="auto" w:fill="FFFFFF" w:themeFill="background1"/>
            <w:vAlign w:val="center"/>
          </w:tcPr>
          <w:p w14:paraId="529F96BE"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lang w:eastAsia="en-US"/>
              </w:rPr>
            </w:pPr>
            <w:r w:rsidRPr="007E29F8">
              <w:rPr>
                <w:lang w:eastAsia="en-US"/>
              </w:rPr>
              <w:t>Recommendation no. 14, 2017</w:t>
            </w:r>
          </w:p>
        </w:tc>
      </w:tr>
      <w:tr w:rsidR="002655EE" w:rsidRPr="007E29F8" w14:paraId="7DD01266" w14:textId="77777777" w:rsidTr="00FA1064">
        <w:trPr>
          <w:tblHeader/>
        </w:trPr>
        <w:tc>
          <w:tcPr>
            <w:tcW w:w="386" w:type="pct"/>
            <w:vMerge/>
            <w:shd w:val="clear" w:color="auto" w:fill="FFFFFF" w:themeFill="background1"/>
            <w:tcMar>
              <w:top w:w="57" w:type="dxa"/>
              <w:bottom w:w="57" w:type="dxa"/>
            </w:tcMar>
          </w:tcPr>
          <w:p w14:paraId="34E0918C"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vAlign w:val="center"/>
          </w:tcPr>
          <w:p w14:paraId="263C7244"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Adult</w:t>
            </w:r>
          </w:p>
        </w:tc>
        <w:tc>
          <w:tcPr>
            <w:tcW w:w="791" w:type="pct"/>
            <w:shd w:val="clear" w:color="auto" w:fill="FFFFFF" w:themeFill="background1"/>
            <w:tcMar>
              <w:top w:w="57" w:type="dxa"/>
              <w:bottom w:w="57" w:type="dxa"/>
            </w:tcMar>
          </w:tcPr>
          <w:p w14:paraId="77F85C56"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60</w:t>
            </w:r>
          </w:p>
        </w:tc>
        <w:tc>
          <w:tcPr>
            <w:tcW w:w="1691" w:type="pct"/>
            <w:vMerge/>
            <w:shd w:val="clear" w:color="auto" w:fill="FFFFFF" w:themeFill="background1"/>
            <w:vAlign w:val="center"/>
          </w:tcPr>
          <w:p w14:paraId="0DFB53F2" w14:textId="77777777" w:rsidR="002655EE" w:rsidRPr="007E29F8"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firstLine="14"/>
              <w:textAlignment w:val="baseline"/>
              <w:rPr>
                <w:lang w:eastAsia="en-US"/>
              </w:rPr>
            </w:pPr>
          </w:p>
        </w:tc>
      </w:tr>
      <w:tr w:rsidR="002655EE" w:rsidRPr="007E29F8" w14:paraId="000616B4" w14:textId="77777777" w:rsidTr="00FA1064">
        <w:trPr>
          <w:tblHeader/>
        </w:trPr>
        <w:tc>
          <w:tcPr>
            <w:tcW w:w="386" w:type="pct"/>
            <w:vMerge/>
            <w:shd w:val="clear" w:color="auto" w:fill="FFFFFF" w:themeFill="background1"/>
            <w:tcMar>
              <w:top w:w="57" w:type="dxa"/>
              <w:bottom w:w="57" w:type="dxa"/>
            </w:tcMar>
          </w:tcPr>
          <w:p w14:paraId="325EC8B1" w14:textId="77777777" w:rsidR="002655EE" w:rsidRPr="00FA1064"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jc w:val="both"/>
              <w:textAlignment w:val="baseline"/>
              <w:rPr>
                <w:lang w:eastAsia="en-US"/>
              </w:rPr>
            </w:pPr>
          </w:p>
        </w:tc>
        <w:tc>
          <w:tcPr>
            <w:tcW w:w="2132" w:type="pct"/>
            <w:shd w:val="clear" w:color="auto" w:fill="FFFFFF" w:themeFill="background1"/>
            <w:tcMar>
              <w:top w:w="57" w:type="dxa"/>
              <w:bottom w:w="57" w:type="dxa"/>
            </w:tcMar>
            <w:vAlign w:val="center"/>
          </w:tcPr>
          <w:p w14:paraId="79460F08"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Child (6 to &lt;12 years old)</w:t>
            </w:r>
          </w:p>
        </w:tc>
        <w:tc>
          <w:tcPr>
            <w:tcW w:w="791" w:type="pct"/>
            <w:shd w:val="clear" w:color="auto" w:fill="FFFFFF" w:themeFill="background1"/>
            <w:tcMar>
              <w:top w:w="57" w:type="dxa"/>
              <w:bottom w:w="57" w:type="dxa"/>
            </w:tcMar>
          </w:tcPr>
          <w:p w14:paraId="0FBB92DB"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23.9</w:t>
            </w:r>
          </w:p>
        </w:tc>
        <w:tc>
          <w:tcPr>
            <w:tcW w:w="1691" w:type="pct"/>
            <w:vMerge/>
            <w:shd w:val="clear" w:color="auto" w:fill="FFFFFF" w:themeFill="background1"/>
            <w:vAlign w:val="center"/>
          </w:tcPr>
          <w:p w14:paraId="29FD933B" w14:textId="77777777" w:rsidR="002655EE" w:rsidRPr="007E29F8" w:rsidRDefault="002655EE" w:rsidP="00FA1064">
            <w:pPr>
              <w:keepNext/>
              <w:shd w:val="clear" w:color="auto" w:fill="D9D9D9" w:themeFill="background1" w:themeFillShade="D9"/>
              <w:kinsoku w:val="0"/>
              <w:overflowPunct w:val="0"/>
              <w:autoSpaceDE w:val="0"/>
              <w:autoSpaceDN w:val="0"/>
              <w:adjustRightInd w:val="0"/>
              <w:spacing w:before="0" w:after="0" w:line="290" w:lineRule="exact"/>
              <w:ind w:right="215" w:firstLine="14"/>
              <w:textAlignment w:val="baseline"/>
              <w:rPr>
                <w:lang w:eastAsia="en-US"/>
              </w:rPr>
            </w:pPr>
          </w:p>
        </w:tc>
      </w:tr>
      <w:tr w:rsidR="002655EE" w:rsidRPr="007E29F8" w14:paraId="33A48361" w14:textId="77777777" w:rsidTr="00FA1064">
        <w:trPr>
          <w:tblHeader/>
        </w:trPr>
        <w:tc>
          <w:tcPr>
            <w:tcW w:w="386" w:type="pct"/>
            <w:vMerge/>
            <w:shd w:val="clear" w:color="auto" w:fill="FFFFFF" w:themeFill="background1"/>
            <w:tcMar>
              <w:top w:w="57" w:type="dxa"/>
              <w:bottom w:w="57" w:type="dxa"/>
            </w:tcMar>
          </w:tcPr>
          <w:p w14:paraId="04A1A9D2" w14:textId="77777777" w:rsidR="002655EE" w:rsidRPr="007E29F8" w:rsidRDefault="002655EE" w:rsidP="002655E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lang w:eastAsia="fr-FR"/>
              </w:rPr>
            </w:pPr>
          </w:p>
        </w:tc>
        <w:tc>
          <w:tcPr>
            <w:tcW w:w="2132" w:type="pct"/>
            <w:shd w:val="clear" w:color="auto" w:fill="FFFFFF" w:themeFill="background1"/>
            <w:tcMar>
              <w:top w:w="57" w:type="dxa"/>
              <w:bottom w:w="57" w:type="dxa"/>
            </w:tcMar>
            <w:vAlign w:val="center"/>
          </w:tcPr>
          <w:p w14:paraId="48FC9A22"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Child (2 to &lt;6 years old)</w:t>
            </w:r>
          </w:p>
        </w:tc>
        <w:tc>
          <w:tcPr>
            <w:tcW w:w="791" w:type="pct"/>
            <w:shd w:val="clear" w:color="auto" w:fill="FFFFFF" w:themeFill="background1"/>
            <w:tcMar>
              <w:top w:w="57" w:type="dxa"/>
              <w:bottom w:w="57" w:type="dxa"/>
            </w:tcMar>
          </w:tcPr>
          <w:p w14:paraId="1DB1DE5E"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15.6</w:t>
            </w:r>
          </w:p>
        </w:tc>
        <w:tc>
          <w:tcPr>
            <w:tcW w:w="1691" w:type="pct"/>
            <w:vMerge/>
            <w:shd w:val="clear" w:color="auto" w:fill="FFFFFF" w:themeFill="background1"/>
            <w:vAlign w:val="center"/>
          </w:tcPr>
          <w:p w14:paraId="4BAC7F82" w14:textId="77777777" w:rsidR="002655EE" w:rsidRPr="007E29F8" w:rsidRDefault="002655EE" w:rsidP="002655E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pPr>
          </w:p>
        </w:tc>
      </w:tr>
      <w:tr w:rsidR="002655EE" w:rsidRPr="007E29F8" w14:paraId="15AB0F9E" w14:textId="77777777" w:rsidTr="00FA1064">
        <w:trPr>
          <w:trHeight w:val="20"/>
          <w:tblHeader/>
        </w:trPr>
        <w:tc>
          <w:tcPr>
            <w:tcW w:w="386" w:type="pct"/>
            <w:vMerge/>
            <w:shd w:val="clear" w:color="auto" w:fill="FFFFFF" w:themeFill="background1"/>
            <w:tcMar>
              <w:top w:w="57" w:type="dxa"/>
              <w:bottom w:w="57" w:type="dxa"/>
            </w:tcMar>
          </w:tcPr>
          <w:p w14:paraId="49510252" w14:textId="77777777" w:rsidR="002655EE" w:rsidRPr="007E29F8" w:rsidRDefault="002655EE" w:rsidP="002655E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lang w:eastAsia="fr-FR"/>
              </w:rPr>
            </w:pPr>
          </w:p>
        </w:tc>
        <w:tc>
          <w:tcPr>
            <w:tcW w:w="2132" w:type="pct"/>
            <w:shd w:val="clear" w:color="auto" w:fill="FFFFFF" w:themeFill="background1"/>
            <w:tcMar>
              <w:top w:w="57" w:type="dxa"/>
              <w:bottom w:w="57" w:type="dxa"/>
            </w:tcMar>
            <w:vAlign w:val="center"/>
          </w:tcPr>
          <w:p w14:paraId="43D2D4B6"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Toddler (1 to &lt;2 years old)</w:t>
            </w:r>
          </w:p>
        </w:tc>
        <w:tc>
          <w:tcPr>
            <w:tcW w:w="791" w:type="pct"/>
            <w:shd w:val="clear" w:color="auto" w:fill="FFFFFF" w:themeFill="background1"/>
            <w:tcMar>
              <w:top w:w="57" w:type="dxa"/>
              <w:bottom w:w="57" w:type="dxa"/>
            </w:tcMar>
          </w:tcPr>
          <w:p w14:paraId="0A372A8E"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10</w:t>
            </w:r>
          </w:p>
        </w:tc>
        <w:tc>
          <w:tcPr>
            <w:tcW w:w="1691" w:type="pct"/>
            <w:vMerge/>
            <w:shd w:val="clear" w:color="auto" w:fill="FFFFFF" w:themeFill="background1"/>
            <w:vAlign w:val="center"/>
          </w:tcPr>
          <w:p w14:paraId="0168344D" w14:textId="77777777" w:rsidR="002655EE" w:rsidRPr="007E29F8" w:rsidRDefault="002655EE" w:rsidP="002655E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pPr>
          </w:p>
        </w:tc>
      </w:tr>
      <w:tr w:rsidR="002655EE" w:rsidRPr="007E29F8" w14:paraId="2AD778CF" w14:textId="77777777" w:rsidTr="00FA1064">
        <w:trPr>
          <w:tblHeader/>
        </w:trPr>
        <w:tc>
          <w:tcPr>
            <w:tcW w:w="386" w:type="pct"/>
            <w:vMerge/>
            <w:shd w:val="clear" w:color="auto" w:fill="FFFFFF" w:themeFill="background1"/>
            <w:tcMar>
              <w:top w:w="57" w:type="dxa"/>
              <w:bottom w:w="57" w:type="dxa"/>
            </w:tcMar>
          </w:tcPr>
          <w:p w14:paraId="5E82E93A" w14:textId="77777777" w:rsidR="002655EE" w:rsidRPr="007E29F8" w:rsidRDefault="002655EE" w:rsidP="002655E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lang w:eastAsia="fr-FR"/>
              </w:rPr>
            </w:pPr>
          </w:p>
        </w:tc>
        <w:tc>
          <w:tcPr>
            <w:tcW w:w="2132" w:type="pct"/>
            <w:shd w:val="clear" w:color="auto" w:fill="FFFFFF" w:themeFill="background1"/>
            <w:tcMar>
              <w:top w:w="57" w:type="dxa"/>
              <w:bottom w:w="57" w:type="dxa"/>
            </w:tcMar>
            <w:vAlign w:val="center"/>
          </w:tcPr>
          <w:p w14:paraId="5F3A50B0"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Infant (&lt;1 year old)</w:t>
            </w:r>
          </w:p>
        </w:tc>
        <w:tc>
          <w:tcPr>
            <w:tcW w:w="791" w:type="pct"/>
            <w:shd w:val="clear" w:color="auto" w:fill="FFFFFF" w:themeFill="background1"/>
            <w:tcMar>
              <w:top w:w="57" w:type="dxa"/>
              <w:bottom w:w="57" w:type="dxa"/>
            </w:tcMar>
          </w:tcPr>
          <w:p w14:paraId="5B3666C6" w14:textId="77777777" w:rsidR="002655EE" w:rsidRPr="00FA1064" w:rsidRDefault="002655EE" w:rsidP="00FA1064">
            <w:pPr>
              <w:keepNext/>
              <w:shd w:val="clear" w:color="auto" w:fill="FFFFFF" w:themeFill="background1"/>
              <w:kinsoku w:val="0"/>
              <w:overflowPunct w:val="0"/>
              <w:autoSpaceDE w:val="0"/>
              <w:autoSpaceDN w:val="0"/>
              <w:adjustRightInd w:val="0"/>
              <w:spacing w:before="0" w:after="0" w:line="290" w:lineRule="exact"/>
              <w:ind w:right="215"/>
              <w:textAlignment w:val="baseline"/>
              <w:rPr>
                <w:lang w:eastAsia="en-US"/>
              </w:rPr>
            </w:pPr>
            <w:r w:rsidRPr="00FA1064">
              <w:rPr>
                <w:lang w:eastAsia="en-US"/>
              </w:rPr>
              <w:t>8</w:t>
            </w:r>
          </w:p>
        </w:tc>
        <w:tc>
          <w:tcPr>
            <w:tcW w:w="1691" w:type="pct"/>
            <w:vMerge/>
            <w:shd w:val="clear" w:color="auto" w:fill="FFFFFF" w:themeFill="background1"/>
            <w:vAlign w:val="center"/>
          </w:tcPr>
          <w:p w14:paraId="511196EA" w14:textId="77777777" w:rsidR="002655EE" w:rsidRPr="007E29F8" w:rsidRDefault="002655EE" w:rsidP="002655E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pPr>
          </w:p>
        </w:tc>
      </w:tr>
    </w:tbl>
    <w:p w14:paraId="274262F6" w14:textId="77777777" w:rsidR="002655EE" w:rsidRPr="007E29F8" w:rsidRDefault="002655EE" w:rsidP="008A2D32">
      <w:pPr>
        <w:widowControl w:val="0"/>
        <w:kinsoku w:val="0"/>
        <w:overflowPunct w:val="0"/>
        <w:autoSpaceDE w:val="0"/>
        <w:autoSpaceDN w:val="0"/>
        <w:adjustRightInd w:val="0"/>
        <w:spacing w:before="0" w:after="0" w:line="290" w:lineRule="exact"/>
        <w:ind w:right="215"/>
        <w:jc w:val="both"/>
        <w:textAlignment w:val="baseline"/>
        <w:rPr>
          <w:rFonts w:cs="Arial"/>
          <w:i/>
          <w:spacing w:val="1"/>
          <w:u w:val="single"/>
          <w:lang w:eastAsia="fr-FR"/>
        </w:rPr>
      </w:pPr>
    </w:p>
    <w:p w14:paraId="4BA58B07" w14:textId="07CAAA7B" w:rsidR="002655EE" w:rsidRDefault="002655E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r w:rsidRPr="007E29F8">
        <w:rPr>
          <w:rFonts w:cs="Arial"/>
          <w:spacing w:val="1"/>
          <w:u w:val="single"/>
          <w:lang w:eastAsia="fr-FR"/>
        </w:rPr>
        <w:t>Calculations for Scenario [5]</w:t>
      </w:r>
      <w:r w:rsidRPr="007E29F8">
        <w:rPr>
          <w:rFonts w:cs="Arial"/>
          <w:spacing w:val="1"/>
          <w:lang w:eastAsia="fr-FR"/>
        </w:rPr>
        <w:t xml:space="preserve"> </w:t>
      </w:r>
    </w:p>
    <w:p w14:paraId="04FADE05" w14:textId="77777777" w:rsidR="004F653E" w:rsidRPr="007E29F8" w:rsidRDefault="004F653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7E29F8" w14:paraId="515B0CF8" w14:textId="77777777" w:rsidTr="002655EE">
        <w:trPr>
          <w:cantSplit/>
          <w:trHeight w:val="140"/>
          <w:tblHeader/>
        </w:trPr>
        <w:tc>
          <w:tcPr>
            <w:tcW w:w="5000" w:type="pct"/>
            <w:gridSpan w:val="3"/>
            <w:shd w:val="clear" w:color="auto" w:fill="FFFFCC"/>
          </w:tcPr>
          <w:p w14:paraId="28D36875" w14:textId="77777777" w:rsidR="002655EE" w:rsidRPr="007E29F8" w:rsidRDefault="002655EE" w:rsidP="00FA1064">
            <w:pPr>
              <w:pStyle w:val="Standaard-Tabellen"/>
              <w:shd w:val="clear" w:color="auto" w:fill="FFFFFF" w:themeFill="background1"/>
              <w:rPr>
                <w:rFonts w:eastAsia="Calibri"/>
                <w:b/>
                <w:sz w:val="20"/>
              </w:rPr>
            </w:pPr>
            <w:r w:rsidRPr="007E29F8">
              <w:rPr>
                <w:rFonts w:eastAsia="Calibri"/>
                <w:b/>
                <w:sz w:val="20"/>
              </w:rPr>
              <w:t>Summary table: estimated exposure for Dermal Primary exposure</w:t>
            </w:r>
          </w:p>
        </w:tc>
      </w:tr>
      <w:tr w:rsidR="002655EE" w:rsidRPr="00FA1064" w14:paraId="4A817FE5" w14:textId="77777777" w:rsidTr="002655EE">
        <w:trPr>
          <w:cantSplit/>
          <w:trHeight w:val="314"/>
          <w:tblHeader/>
        </w:trPr>
        <w:tc>
          <w:tcPr>
            <w:tcW w:w="1842" w:type="pct"/>
            <w:shd w:val="clear" w:color="auto" w:fill="BFBFBF" w:themeFill="background1" w:themeFillShade="BF"/>
          </w:tcPr>
          <w:p w14:paraId="2D0D7656"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360" w:right="216"/>
              <w:jc w:val="both"/>
              <w:textAlignment w:val="baseline"/>
              <w:rPr>
                <w:rFonts w:cs="Arial"/>
                <w:b/>
                <w:bCs/>
                <w:spacing w:val="1"/>
                <w:lang w:eastAsia="fr-FR"/>
              </w:rPr>
            </w:pPr>
            <w:r w:rsidRPr="00FA1064">
              <w:rPr>
                <w:rFonts w:cs="Arial"/>
                <w:b/>
                <w:bCs/>
                <w:spacing w:val="1"/>
                <w:lang w:eastAsia="fr-FR"/>
              </w:rPr>
              <w:t>Exposure scenario</w:t>
            </w:r>
          </w:p>
        </w:tc>
        <w:tc>
          <w:tcPr>
            <w:tcW w:w="1398" w:type="pct"/>
            <w:shd w:val="clear" w:color="auto" w:fill="BFBFBF" w:themeFill="background1" w:themeFillShade="BF"/>
          </w:tcPr>
          <w:p w14:paraId="78819ED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360" w:right="216"/>
              <w:jc w:val="both"/>
              <w:textAlignment w:val="baseline"/>
              <w:rPr>
                <w:rFonts w:cs="Arial"/>
                <w:b/>
                <w:bCs/>
                <w:spacing w:val="1"/>
                <w:lang w:eastAsia="fr-FR"/>
              </w:rPr>
            </w:pPr>
            <w:r w:rsidRPr="00FA1064">
              <w:rPr>
                <w:rFonts w:cs="Arial"/>
                <w:b/>
                <w:bCs/>
                <w:spacing w:val="1"/>
                <w:lang w:eastAsia="fr-FR"/>
              </w:rPr>
              <w:t>Tier/PPE</w:t>
            </w:r>
          </w:p>
        </w:tc>
        <w:tc>
          <w:tcPr>
            <w:tcW w:w="1760" w:type="pct"/>
            <w:shd w:val="clear" w:color="auto" w:fill="BFBFBF" w:themeFill="background1" w:themeFillShade="BF"/>
          </w:tcPr>
          <w:p w14:paraId="1FB6FFD6"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both"/>
              <w:textAlignment w:val="baseline"/>
              <w:rPr>
                <w:rFonts w:cs="Arial"/>
                <w:b/>
                <w:bCs/>
                <w:spacing w:val="1"/>
                <w:lang w:eastAsia="fr-FR"/>
              </w:rPr>
            </w:pPr>
            <w:r w:rsidRPr="00FA1064">
              <w:rPr>
                <w:rFonts w:cs="Arial"/>
                <w:b/>
                <w:bCs/>
                <w:spacing w:val="1"/>
                <w:lang w:eastAsia="fr-FR"/>
              </w:rPr>
              <w:t>Estimated inhalation uptake (mg/kg bw/d)</w:t>
            </w:r>
          </w:p>
        </w:tc>
      </w:tr>
      <w:tr w:rsidR="002655EE" w:rsidRPr="00FA1064" w14:paraId="1672C506" w14:textId="77777777" w:rsidTr="00FA1064">
        <w:trPr>
          <w:cantSplit/>
          <w:trHeight w:val="282"/>
          <w:tblHeader/>
        </w:trPr>
        <w:tc>
          <w:tcPr>
            <w:tcW w:w="1842" w:type="pct"/>
            <w:shd w:val="clear" w:color="auto" w:fill="FFFFFF" w:themeFill="background1"/>
            <w:vAlign w:val="center"/>
          </w:tcPr>
          <w:p w14:paraId="65145526"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FA1064">
              <w:rPr>
                <w:rFonts w:cs="Arial"/>
                <w:color w:val="000000"/>
                <w:lang w:eastAsia="fr-FR"/>
              </w:rPr>
              <w:t>Adult</w:t>
            </w:r>
          </w:p>
        </w:tc>
        <w:tc>
          <w:tcPr>
            <w:tcW w:w="1398" w:type="pct"/>
            <w:shd w:val="clear" w:color="auto" w:fill="FFFFFF" w:themeFill="background1"/>
            <w:vAlign w:val="center"/>
          </w:tcPr>
          <w:p w14:paraId="58136E4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Tier 1</w:t>
            </w:r>
          </w:p>
        </w:tc>
        <w:tc>
          <w:tcPr>
            <w:tcW w:w="1760" w:type="pct"/>
            <w:shd w:val="clear" w:color="auto" w:fill="D9D9D9" w:themeFill="background1" w:themeFillShade="D9"/>
            <w:vAlign w:val="bottom"/>
          </w:tcPr>
          <w:p w14:paraId="7C7B04C4" w14:textId="77777777" w:rsidR="002655EE" w:rsidRPr="00FA1064" w:rsidRDefault="002655EE" w:rsidP="00FA1064">
            <w:pPr>
              <w:shd w:val="clear" w:color="auto" w:fill="FFFFFF" w:themeFill="background1"/>
              <w:spacing w:before="0" w:after="0"/>
              <w:jc w:val="center"/>
              <w:rPr>
                <w:rFonts w:ascii="Calibri" w:hAnsi="Calibri" w:cs="Calibri"/>
                <w:color w:val="000000"/>
                <w:sz w:val="22"/>
                <w:szCs w:val="22"/>
                <w:lang w:eastAsia="fr-FR"/>
              </w:rPr>
            </w:pPr>
            <w:r w:rsidRPr="00FA1064">
              <w:rPr>
                <w:rFonts w:ascii="Calibri" w:hAnsi="Calibri" w:cs="Calibri"/>
                <w:color w:val="000000"/>
                <w:sz w:val="22"/>
                <w:szCs w:val="22"/>
              </w:rPr>
              <w:t>3.53E-02</w:t>
            </w:r>
          </w:p>
        </w:tc>
      </w:tr>
      <w:tr w:rsidR="002655EE" w:rsidRPr="00FA1064" w14:paraId="12CC87F6" w14:textId="77777777" w:rsidTr="00FA1064">
        <w:trPr>
          <w:cantSplit/>
          <w:trHeight w:val="209"/>
          <w:tblHeader/>
        </w:trPr>
        <w:tc>
          <w:tcPr>
            <w:tcW w:w="1842" w:type="pct"/>
            <w:shd w:val="clear" w:color="auto" w:fill="FFFFFF" w:themeFill="background1"/>
            <w:vAlign w:val="center"/>
          </w:tcPr>
          <w:p w14:paraId="4BFD275C"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FA1064">
              <w:rPr>
                <w:rFonts w:cs="Arial"/>
                <w:color w:val="000000"/>
                <w:lang w:eastAsia="fr-FR"/>
              </w:rPr>
              <w:t>Child (6 to &lt;12 years old)</w:t>
            </w:r>
          </w:p>
        </w:tc>
        <w:tc>
          <w:tcPr>
            <w:tcW w:w="1398" w:type="pct"/>
            <w:shd w:val="clear" w:color="auto" w:fill="FFFFFF" w:themeFill="background1"/>
          </w:tcPr>
          <w:p w14:paraId="49DBC66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Tier 1</w:t>
            </w:r>
          </w:p>
        </w:tc>
        <w:tc>
          <w:tcPr>
            <w:tcW w:w="1760" w:type="pct"/>
            <w:shd w:val="clear" w:color="auto" w:fill="FFFFFF" w:themeFill="background1"/>
          </w:tcPr>
          <w:p w14:paraId="0F56DF98"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FA1064">
              <w:rPr>
                <w:rFonts w:ascii="Calibri" w:hAnsi="Calibri" w:cs="Calibri"/>
                <w:color w:val="000000"/>
                <w:sz w:val="22"/>
                <w:szCs w:val="22"/>
              </w:rPr>
              <w:t>6.66E-02</w:t>
            </w:r>
          </w:p>
        </w:tc>
      </w:tr>
      <w:tr w:rsidR="002655EE" w:rsidRPr="00FA1064" w14:paraId="0B2CCC93" w14:textId="77777777" w:rsidTr="00FA1064">
        <w:trPr>
          <w:cantSplit/>
          <w:trHeight w:val="286"/>
          <w:tblHeader/>
        </w:trPr>
        <w:tc>
          <w:tcPr>
            <w:tcW w:w="1842" w:type="pct"/>
            <w:shd w:val="clear" w:color="auto" w:fill="FFFFFF" w:themeFill="background1"/>
            <w:vAlign w:val="center"/>
          </w:tcPr>
          <w:p w14:paraId="4B88B59E"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FA1064">
              <w:rPr>
                <w:rFonts w:cs="Arial"/>
                <w:color w:val="000000"/>
                <w:lang w:eastAsia="fr-FR"/>
              </w:rPr>
              <w:t>Child (2 to &lt;6 years old)</w:t>
            </w:r>
          </w:p>
        </w:tc>
        <w:tc>
          <w:tcPr>
            <w:tcW w:w="1398" w:type="pct"/>
            <w:shd w:val="clear" w:color="auto" w:fill="FFFFFF" w:themeFill="background1"/>
          </w:tcPr>
          <w:p w14:paraId="56AC52A7"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Tier 1</w:t>
            </w:r>
          </w:p>
        </w:tc>
        <w:tc>
          <w:tcPr>
            <w:tcW w:w="1760" w:type="pct"/>
            <w:shd w:val="clear" w:color="auto" w:fill="FFFFFF" w:themeFill="background1"/>
          </w:tcPr>
          <w:p w14:paraId="2BEBABDB"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FA1064">
              <w:rPr>
                <w:rFonts w:ascii="Calibri" w:hAnsi="Calibri" w:cs="Calibri"/>
                <w:color w:val="000000"/>
                <w:sz w:val="22"/>
                <w:szCs w:val="22"/>
              </w:rPr>
              <w:t>8.58E-02</w:t>
            </w:r>
          </w:p>
        </w:tc>
      </w:tr>
      <w:tr w:rsidR="002655EE" w:rsidRPr="00FA1064" w14:paraId="154CFBAD" w14:textId="77777777" w:rsidTr="00FA1064">
        <w:trPr>
          <w:cantSplit/>
          <w:trHeight w:val="282"/>
          <w:tblHeader/>
        </w:trPr>
        <w:tc>
          <w:tcPr>
            <w:tcW w:w="1842" w:type="pct"/>
            <w:shd w:val="clear" w:color="auto" w:fill="FFFFFF" w:themeFill="background1"/>
            <w:vAlign w:val="center"/>
          </w:tcPr>
          <w:p w14:paraId="50B0D8F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FA1064">
              <w:rPr>
                <w:rFonts w:cs="Arial"/>
                <w:color w:val="000000"/>
                <w:lang w:eastAsia="fr-FR"/>
              </w:rPr>
              <w:t>Toddler (1 to &lt;2 years old)</w:t>
            </w:r>
          </w:p>
        </w:tc>
        <w:tc>
          <w:tcPr>
            <w:tcW w:w="1398" w:type="pct"/>
            <w:shd w:val="clear" w:color="auto" w:fill="FFFFFF" w:themeFill="background1"/>
          </w:tcPr>
          <w:p w14:paraId="2B80C3C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Tier 1</w:t>
            </w:r>
          </w:p>
        </w:tc>
        <w:tc>
          <w:tcPr>
            <w:tcW w:w="1760" w:type="pct"/>
            <w:shd w:val="clear" w:color="auto" w:fill="FFFFFF" w:themeFill="background1"/>
          </w:tcPr>
          <w:p w14:paraId="05E3F57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FA1064">
              <w:rPr>
                <w:rFonts w:ascii="Calibri" w:hAnsi="Calibri" w:cs="Calibri"/>
                <w:color w:val="000000"/>
                <w:sz w:val="22"/>
                <w:szCs w:val="22"/>
              </w:rPr>
              <w:t>1.06E-01</w:t>
            </w:r>
          </w:p>
        </w:tc>
      </w:tr>
      <w:tr w:rsidR="002655EE" w:rsidRPr="00FA1064" w14:paraId="39F826B6" w14:textId="77777777" w:rsidTr="00FA1064">
        <w:trPr>
          <w:cantSplit/>
          <w:trHeight w:val="282"/>
          <w:tblHeader/>
        </w:trPr>
        <w:tc>
          <w:tcPr>
            <w:tcW w:w="1842" w:type="pct"/>
            <w:tcBorders>
              <w:bottom w:val="double" w:sz="4" w:space="0" w:color="auto"/>
            </w:tcBorders>
            <w:shd w:val="clear" w:color="auto" w:fill="FFFFFF" w:themeFill="background1"/>
            <w:vAlign w:val="center"/>
          </w:tcPr>
          <w:p w14:paraId="455FD1B9"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FA1064">
              <w:rPr>
                <w:rFonts w:cs="Arial"/>
                <w:color w:val="000000"/>
                <w:lang w:eastAsia="fr-FR"/>
              </w:rPr>
              <w:t>Infant (&lt;1 year old)</w:t>
            </w:r>
          </w:p>
        </w:tc>
        <w:tc>
          <w:tcPr>
            <w:tcW w:w="1398" w:type="pct"/>
            <w:tcBorders>
              <w:bottom w:val="double" w:sz="4" w:space="0" w:color="auto"/>
            </w:tcBorders>
            <w:shd w:val="clear" w:color="auto" w:fill="FFFFFF" w:themeFill="background1"/>
          </w:tcPr>
          <w:p w14:paraId="07FD70B1"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Tier 1</w:t>
            </w:r>
          </w:p>
        </w:tc>
        <w:tc>
          <w:tcPr>
            <w:tcW w:w="1760" w:type="pct"/>
            <w:tcBorders>
              <w:bottom w:val="double" w:sz="4" w:space="0" w:color="auto"/>
            </w:tcBorders>
            <w:shd w:val="clear" w:color="auto" w:fill="FFFFFF" w:themeFill="background1"/>
          </w:tcPr>
          <w:p w14:paraId="20D8D88C" w14:textId="08534269"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FA1064">
              <w:rPr>
                <w:rFonts w:ascii="Calibri" w:hAnsi="Calibri" w:cs="Calibri"/>
                <w:color w:val="000000"/>
                <w:sz w:val="22"/>
                <w:szCs w:val="22"/>
              </w:rPr>
              <w:t>8.95</w:t>
            </w:r>
            <w:r w:rsidR="00937BBF" w:rsidRPr="00FA1064">
              <w:rPr>
                <w:rFonts w:ascii="Calibri" w:hAnsi="Calibri" w:cs="Calibri"/>
                <w:color w:val="000000"/>
                <w:sz w:val="22"/>
                <w:szCs w:val="22"/>
              </w:rPr>
              <w:t>E</w:t>
            </w:r>
            <w:r w:rsidRPr="00FA1064">
              <w:rPr>
                <w:rFonts w:ascii="Calibri" w:hAnsi="Calibri" w:cs="Calibri"/>
                <w:color w:val="000000"/>
                <w:sz w:val="22"/>
                <w:szCs w:val="22"/>
              </w:rPr>
              <w:t>-02</w:t>
            </w:r>
          </w:p>
        </w:tc>
      </w:tr>
    </w:tbl>
    <w:p w14:paraId="7FF1E244" w14:textId="77777777" w:rsidR="002655EE" w:rsidRPr="007E29F8" w:rsidRDefault="002655EE" w:rsidP="00FA1064">
      <w:pPr>
        <w:pStyle w:val="Paragraphedeliste"/>
        <w:widowControl w:val="0"/>
        <w:numPr>
          <w:ilvl w:val="0"/>
          <w:numId w:val="36"/>
        </w:numPr>
        <w:shd w:val="clear" w:color="auto" w:fill="FFFFFF" w:themeFill="background1"/>
        <w:kinsoku w:val="0"/>
        <w:overflowPunct w:val="0"/>
        <w:autoSpaceDE w:val="0"/>
        <w:autoSpaceDN w:val="0"/>
        <w:adjustRightInd w:val="0"/>
        <w:spacing w:before="292" w:after="0" w:line="290" w:lineRule="exact"/>
        <w:ind w:right="216"/>
        <w:jc w:val="both"/>
        <w:textAlignment w:val="baseline"/>
        <w:rPr>
          <w:rFonts w:cs="Arial"/>
          <w:b/>
          <w:spacing w:val="1"/>
          <w:u w:val="single"/>
          <w:lang w:eastAsia="fr-FR"/>
        </w:rPr>
      </w:pPr>
      <w:r w:rsidRPr="007E29F8">
        <w:rPr>
          <w:rFonts w:cs="Arial"/>
          <w:b/>
          <w:spacing w:val="1"/>
          <w:u w:val="single"/>
          <w:lang w:eastAsia="fr-FR"/>
        </w:rPr>
        <w:br w:type="page"/>
      </w:r>
    </w:p>
    <w:p w14:paraId="15802CC2" w14:textId="77777777" w:rsidR="008A2D32" w:rsidRPr="00FA1064" w:rsidRDefault="008A2D32" w:rsidP="00FA1064">
      <w:pPr>
        <w:pStyle w:val="Paragraphedeliste"/>
        <w:keepNext/>
        <w:numPr>
          <w:ilvl w:val="0"/>
          <w:numId w:val="36"/>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FA1064">
        <w:rPr>
          <w:rFonts w:eastAsia="Calibri"/>
          <w:b/>
          <w:lang w:eastAsia="en-US"/>
        </w:rPr>
        <w:t>MAJOR CHANGE FOR SPRAY REPULSIF IR200 – 2019 (FR CA)</w:t>
      </w:r>
    </w:p>
    <w:p w14:paraId="0758BC73"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
          <w:spacing w:val="1"/>
          <w:u w:val="single"/>
          <w:lang w:eastAsia="fr-FR"/>
        </w:rPr>
      </w:pPr>
    </w:p>
    <w:p w14:paraId="72422991"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spacing w:val="1"/>
          <w:u w:val="single"/>
          <w:lang w:eastAsia="fr-FR"/>
        </w:rPr>
      </w:pPr>
      <w:r w:rsidRPr="007E29F8">
        <w:rPr>
          <w:rFonts w:cs="Arial"/>
          <w:spacing w:val="1"/>
          <w:u w:val="single"/>
          <w:lang w:eastAsia="fr-FR"/>
        </w:rPr>
        <w:t>Treated linen and treated clothes have been considered for the major change.</w:t>
      </w:r>
    </w:p>
    <w:p w14:paraId="40B7941D" w14:textId="77777777" w:rsidR="004F653E" w:rsidRDefault="004F653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i/>
          <w:spacing w:val="1"/>
          <w:u w:val="single"/>
          <w:lang w:eastAsia="fr-FR"/>
        </w:rPr>
      </w:pPr>
    </w:p>
    <w:p w14:paraId="2801FBD6" w14:textId="13911AA3"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i/>
          <w:spacing w:val="1"/>
          <w:u w:val="single"/>
          <w:lang w:eastAsia="fr-FR"/>
        </w:rPr>
      </w:pPr>
      <w:r w:rsidRPr="007E29F8">
        <w:rPr>
          <w:rFonts w:cs="Arial"/>
          <w:i/>
          <w:spacing w:val="1"/>
          <w:u w:val="single"/>
          <w:lang w:eastAsia="fr-FR"/>
        </w:rPr>
        <w:t xml:space="preserve">Scenario [6]: Secondary exposure – application to the </w:t>
      </w:r>
      <w:r w:rsidRPr="007E29F8">
        <w:rPr>
          <w:rFonts w:cs="Arial"/>
          <w:b/>
          <w:i/>
          <w:spacing w:val="1"/>
          <w:u w:val="single"/>
          <w:lang w:eastAsia="fr-FR"/>
        </w:rPr>
        <w:t>treated clothes</w:t>
      </w:r>
      <w:r w:rsidRPr="007E29F8">
        <w:rPr>
          <w:rFonts w:cs="Arial"/>
          <w:i/>
          <w:spacing w:val="1"/>
          <w:u w:val="single"/>
          <w:lang w:eastAsia="fr-FR"/>
        </w:rPr>
        <w:t>: dermal exposure assessment for adults, children, toddlers and infants</w:t>
      </w:r>
    </w:p>
    <w:tbl>
      <w:tblPr>
        <w:tblW w:w="528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35"/>
        <w:gridCol w:w="4370"/>
        <w:gridCol w:w="1437"/>
        <w:gridCol w:w="3280"/>
      </w:tblGrid>
      <w:tr w:rsidR="002655EE" w:rsidRPr="007E29F8" w14:paraId="45F7E88E" w14:textId="77777777" w:rsidTr="001B7765">
        <w:trPr>
          <w:trHeight w:val="139"/>
          <w:tblHeader/>
        </w:trPr>
        <w:tc>
          <w:tcPr>
            <w:tcW w:w="5000" w:type="pct"/>
            <w:gridSpan w:val="4"/>
            <w:shd w:val="clear" w:color="auto" w:fill="auto"/>
            <w:tcMar>
              <w:top w:w="57" w:type="dxa"/>
              <w:bottom w:w="57" w:type="dxa"/>
            </w:tcMar>
          </w:tcPr>
          <w:p w14:paraId="6F26FE55" w14:textId="77777777" w:rsidR="002655EE" w:rsidRPr="007E29F8" w:rsidRDefault="002655EE" w:rsidP="004F653E">
            <w:pPr>
              <w:pStyle w:val="Standaard-Tabellen"/>
              <w:widowControl w:val="0"/>
              <w:rPr>
                <w:rFonts w:eastAsia="Calibri"/>
                <w:b/>
                <w:sz w:val="20"/>
              </w:rPr>
            </w:pPr>
            <w:r w:rsidRPr="007E29F8">
              <w:rPr>
                <w:rFonts w:eastAsia="Calibri"/>
                <w:b/>
                <w:sz w:val="20"/>
              </w:rPr>
              <w:t>Description of Scenario 6</w:t>
            </w:r>
          </w:p>
        </w:tc>
      </w:tr>
      <w:tr w:rsidR="002655EE" w:rsidRPr="007E29F8" w14:paraId="1FAFDF4B" w14:textId="77777777" w:rsidTr="001B7765">
        <w:trPr>
          <w:trHeight w:val="1435"/>
          <w:tblHeader/>
        </w:trPr>
        <w:tc>
          <w:tcPr>
            <w:tcW w:w="5000" w:type="pct"/>
            <w:gridSpan w:val="4"/>
            <w:shd w:val="clear" w:color="auto" w:fill="auto"/>
            <w:tcMar>
              <w:top w:w="57" w:type="dxa"/>
              <w:bottom w:w="57" w:type="dxa"/>
            </w:tcMar>
          </w:tcPr>
          <w:p w14:paraId="52A17C28"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1B7765">
              <w:rPr>
                <w:rFonts w:cs="Arial"/>
                <w:spacing w:val="1"/>
                <w:lang w:eastAsia="fr-FR"/>
              </w:rPr>
              <w:t xml:space="preserve">The ready to </w:t>
            </w:r>
            <w:r w:rsidRPr="00762A41">
              <w:rPr>
                <w:rFonts w:cs="Arial"/>
                <w:bCs/>
                <w:spacing w:val="1"/>
                <w:lang w:eastAsia="fr-FR"/>
              </w:rPr>
              <w:t xml:space="preserve">use product is a pump spray which is sprayed directly onto the textile. </w:t>
            </w:r>
          </w:p>
          <w:p w14:paraId="1824EBF1"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 xml:space="preserve">Adults, children, toddlers and infants could be exposed when wearing treated clothes. </w:t>
            </w:r>
          </w:p>
          <w:p w14:paraId="5B7C351F"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p w14:paraId="470EC56C"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For mosquitos and ticks, in order to determine the exposure, as a worst case situation, it is considered that the person wears long clothes and that the treated surface is the total body surface area and removing surface of the head, hands and neck (treated socks are considered as a worst-case assumption).</w:t>
            </w:r>
          </w:p>
          <w:p w14:paraId="1CB88DF0"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p w14:paraId="6F29F186"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The assumption was made according to the following uses:</w:t>
            </w:r>
          </w:p>
          <w:p w14:paraId="37238A81"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intended use #5 (ticks, 8.5 g/m² of fabric) (scenario 6a),</w:t>
            </w:r>
          </w:p>
          <w:p w14:paraId="69855532"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intended use #3 (mosquitos, 6 g/m² of fabric) (scenario 6b).</w:t>
            </w:r>
          </w:p>
          <w:p w14:paraId="3B22534E"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p w14:paraId="2EE29FA5" w14:textId="77777777" w:rsidR="002655EE" w:rsidRPr="001B7765"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1B7765">
              <w:rPr>
                <w:rFonts w:cs="Arial"/>
                <w:spacing w:val="1"/>
                <w:lang w:eastAsia="fr-FR"/>
              </w:rPr>
              <w:t xml:space="preserve">Moreover, if the application on clothes is combined to the application on skin, the harmonised surfaces for covered areas proposed in the </w:t>
            </w:r>
            <w:r w:rsidRPr="001B7765">
              <w:rPr>
                <w:rFonts w:cs="Arial"/>
                <w:bCs/>
                <w:spacing w:val="1"/>
                <w:lang w:eastAsia="fr-FR"/>
              </w:rPr>
              <w:t xml:space="preserve">Recommendation no. 11, 2018 (short-sleeved shirt (i.e. T-shirt) and shorts) are used. </w:t>
            </w:r>
          </w:p>
          <w:p w14:paraId="47133B48" w14:textId="77777777" w:rsidR="002655EE" w:rsidRPr="001B7765"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p w14:paraId="47D617CA" w14:textId="77777777" w:rsidR="002655EE" w:rsidRPr="001B7765"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The assumption was made according to the following uses:</w:t>
            </w:r>
          </w:p>
          <w:p w14:paraId="7B5B8A07"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intended use #5 (ticks, 8.5 g/m² of fabric) (scenario 6c),</w:t>
            </w:r>
          </w:p>
          <w:p w14:paraId="01CB3318"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intended use #3 (mosquitos, 6 g/m² of fabric) (scenario 6d).</w:t>
            </w:r>
          </w:p>
          <w:p w14:paraId="6B73DFA1" w14:textId="77777777" w:rsidR="002655EE" w:rsidRPr="001B7765"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p w14:paraId="5757215E"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For head lice, it is considered that cloths in contact with the top of the body is treated. Therefore, the treated surface corresponds to arms (upper and lower), 12/head to take in consideration the hood and trunk.</w:t>
            </w:r>
          </w:p>
          <w:p w14:paraId="44A80A0F" w14:textId="77777777" w:rsidR="002655EE" w:rsidRPr="001B7765"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The assumption was made according to the following uses:</w:t>
            </w:r>
          </w:p>
          <w:p w14:paraId="7D96C566"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intended use #2 (10 g/m² of fabric) (scenario 6e),</w:t>
            </w:r>
          </w:p>
          <w:p w14:paraId="1C1FE619"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p w14:paraId="0ECB134B"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spacing w:val="1"/>
                <w:lang w:eastAsia="fr-FR"/>
              </w:rPr>
            </w:pPr>
            <w:r w:rsidRPr="00762A41">
              <w:rPr>
                <w:rFonts w:cs="Arial"/>
                <w:bCs/>
                <w:spacing w:val="1"/>
                <w:lang w:eastAsia="fr-FR"/>
              </w:rPr>
              <w:t>According to Recommendation no.8</w:t>
            </w:r>
            <w:r w:rsidRPr="00762A41">
              <w:rPr>
                <w:bCs/>
              </w:rPr>
              <w:footnoteReference w:id="12"/>
            </w:r>
            <w:r w:rsidRPr="00762A41">
              <w:rPr>
                <w:rFonts w:cs="Arial"/>
                <w:bCs/>
                <w:spacing w:val="1"/>
                <w:lang w:eastAsia="fr-FR"/>
              </w:rPr>
              <w:t>, “a protection factor of 50% can be assumed for one layer of clothing against dry contami</w:t>
            </w:r>
            <w:r w:rsidRPr="001B7765">
              <w:t>nation or light liquid contamination’.</w:t>
            </w:r>
          </w:p>
        </w:tc>
      </w:tr>
      <w:tr w:rsidR="002655EE" w:rsidRPr="007E29F8" w14:paraId="7EA8ECD2" w14:textId="77777777" w:rsidTr="001B7765">
        <w:trPr>
          <w:trHeight w:val="139"/>
          <w:tblHeader/>
        </w:trPr>
        <w:tc>
          <w:tcPr>
            <w:tcW w:w="421" w:type="pct"/>
            <w:shd w:val="clear" w:color="auto" w:fill="auto"/>
            <w:tcMar>
              <w:top w:w="57" w:type="dxa"/>
              <w:bottom w:w="57" w:type="dxa"/>
            </w:tcMar>
          </w:tcPr>
          <w:p w14:paraId="3915F8D1"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p>
        </w:tc>
        <w:tc>
          <w:tcPr>
            <w:tcW w:w="2202" w:type="pct"/>
            <w:shd w:val="clear" w:color="auto" w:fill="auto"/>
            <w:tcMar>
              <w:top w:w="57" w:type="dxa"/>
              <w:bottom w:w="57" w:type="dxa"/>
            </w:tcMar>
          </w:tcPr>
          <w:p w14:paraId="1AF74916" w14:textId="77777777" w:rsidR="002655EE" w:rsidRPr="00FA1064" w:rsidRDefault="002655EE" w:rsidP="004F653E">
            <w:pPr>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r w:rsidRPr="00FA1064">
              <w:rPr>
                <w:rFonts w:cs="Arial"/>
                <w:b/>
                <w:bCs/>
                <w:spacing w:val="1"/>
                <w:lang w:eastAsia="fr-FR"/>
              </w:rPr>
              <w:t>Parameters</w:t>
            </w:r>
          </w:p>
        </w:tc>
        <w:tc>
          <w:tcPr>
            <w:tcW w:w="724" w:type="pct"/>
            <w:shd w:val="clear" w:color="auto" w:fill="auto"/>
            <w:tcMar>
              <w:top w:w="57" w:type="dxa"/>
              <w:bottom w:w="57" w:type="dxa"/>
            </w:tcMar>
          </w:tcPr>
          <w:p w14:paraId="1BBB9EB2"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
                <w:bCs/>
                <w:spacing w:val="1"/>
                <w:lang w:eastAsia="fr-FR"/>
              </w:rPr>
            </w:pPr>
            <w:r w:rsidRPr="007E29F8">
              <w:rPr>
                <w:rFonts w:cs="Arial"/>
                <w:b/>
                <w:bCs/>
                <w:spacing w:val="1"/>
                <w:lang w:eastAsia="fr-FR"/>
              </w:rPr>
              <w:t>Value</w:t>
            </w:r>
          </w:p>
        </w:tc>
        <w:tc>
          <w:tcPr>
            <w:tcW w:w="1653" w:type="pct"/>
            <w:shd w:val="clear" w:color="auto" w:fill="auto"/>
          </w:tcPr>
          <w:p w14:paraId="07C3D401"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
                <w:bCs/>
                <w:spacing w:val="1"/>
                <w:lang w:eastAsia="fr-FR"/>
              </w:rPr>
            </w:pPr>
            <w:r w:rsidRPr="007E29F8">
              <w:rPr>
                <w:rFonts w:cs="Arial"/>
                <w:b/>
                <w:bCs/>
                <w:spacing w:val="1"/>
                <w:lang w:eastAsia="fr-FR"/>
              </w:rPr>
              <w:t>References</w:t>
            </w:r>
          </w:p>
        </w:tc>
      </w:tr>
      <w:tr w:rsidR="002655EE" w:rsidRPr="007E29F8" w14:paraId="38E7B884" w14:textId="77777777" w:rsidTr="001B7765">
        <w:trPr>
          <w:trHeight w:val="177"/>
          <w:tblHeader/>
        </w:trPr>
        <w:tc>
          <w:tcPr>
            <w:tcW w:w="421" w:type="pct"/>
            <w:vMerge w:val="restart"/>
            <w:shd w:val="clear" w:color="auto" w:fill="auto"/>
            <w:tcMar>
              <w:top w:w="57" w:type="dxa"/>
              <w:bottom w:w="57" w:type="dxa"/>
            </w:tcMar>
          </w:tcPr>
          <w:p w14:paraId="319238EA"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E29F8">
              <w:rPr>
                <w:rFonts w:cs="Arial"/>
                <w:bCs/>
                <w:spacing w:val="1"/>
                <w:lang w:eastAsia="fr-FR"/>
              </w:rPr>
              <w:t>Tier 1</w:t>
            </w:r>
          </w:p>
          <w:p w14:paraId="519E2FF7"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p w14:paraId="3CA2F118"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tc>
        <w:tc>
          <w:tcPr>
            <w:tcW w:w="2202" w:type="pct"/>
            <w:shd w:val="clear" w:color="auto" w:fill="auto"/>
            <w:tcMar>
              <w:top w:w="57" w:type="dxa"/>
              <w:bottom w:w="57" w:type="dxa"/>
            </w:tcMar>
          </w:tcPr>
          <w:p w14:paraId="520801CE" w14:textId="77777777" w:rsidR="002655EE" w:rsidRPr="00FA1064"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Application rate (g product/m² fabric)</w:t>
            </w:r>
          </w:p>
        </w:tc>
        <w:tc>
          <w:tcPr>
            <w:tcW w:w="724" w:type="pct"/>
            <w:shd w:val="clear" w:color="auto" w:fill="auto"/>
            <w:tcMar>
              <w:top w:w="57" w:type="dxa"/>
              <w:bottom w:w="57" w:type="dxa"/>
            </w:tcMar>
          </w:tcPr>
          <w:p w14:paraId="183A1EBE"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8.5</w:t>
            </w:r>
          </w:p>
          <w:p w14:paraId="08BA2FE0"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and 6</w:t>
            </w:r>
          </w:p>
        </w:tc>
        <w:tc>
          <w:tcPr>
            <w:tcW w:w="1653" w:type="pct"/>
            <w:shd w:val="clear" w:color="auto" w:fill="auto"/>
            <w:vAlign w:val="center"/>
          </w:tcPr>
          <w:p w14:paraId="69CB5779"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jc w:val="both"/>
              <w:textAlignment w:val="baseline"/>
              <w:rPr>
                <w:rFonts w:cs="Arial"/>
                <w:bCs/>
                <w:spacing w:val="1"/>
                <w:lang w:eastAsia="fr-FR"/>
              </w:rPr>
            </w:pPr>
            <w:r w:rsidRPr="007E29F8">
              <w:rPr>
                <w:rFonts w:cs="Arial"/>
                <w:bCs/>
                <w:spacing w:val="1"/>
                <w:lang w:eastAsia="fr-FR"/>
              </w:rPr>
              <w:t>Applicant’s data</w:t>
            </w:r>
          </w:p>
        </w:tc>
      </w:tr>
      <w:tr w:rsidR="002655EE" w:rsidRPr="007E29F8" w14:paraId="2CE9FBC4" w14:textId="77777777" w:rsidTr="001B7765">
        <w:trPr>
          <w:trHeight w:val="208"/>
          <w:tblHeader/>
        </w:trPr>
        <w:tc>
          <w:tcPr>
            <w:tcW w:w="421" w:type="pct"/>
            <w:vMerge/>
            <w:shd w:val="clear" w:color="auto" w:fill="auto"/>
            <w:tcMar>
              <w:top w:w="57" w:type="dxa"/>
              <w:bottom w:w="57" w:type="dxa"/>
            </w:tcMar>
          </w:tcPr>
          <w:p w14:paraId="2C9E6796"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tc>
        <w:tc>
          <w:tcPr>
            <w:tcW w:w="2202" w:type="pct"/>
            <w:shd w:val="clear" w:color="auto" w:fill="auto"/>
            <w:tcMar>
              <w:top w:w="57" w:type="dxa"/>
              <w:bottom w:w="57" w:type="dxa"/>
            </w:tcMar>
          </w:tcPr>
          <w:p w14:paraId="53F8B1D8" w14:textId="77777777" w:rsidR="002655EE" w:rsidRPr="00FA1064"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FA1064">
              <w:rPr>
                <w:rFonts w:cs="Arial"/>
                <w:bCs/>
                <w:spacing w:val="1"/>
                <w:lang w:eastAsia="fr-FR"/>
              </w:rPr>
              <w:t xml:space="preserve">% of active substance in biocidal product </w:t>
            </w:r>
          </w:p>
        </w:tc>
        <w:tc>
          <w:tcPr>
            <w:tcW w:w="724" w:type="pct"/>
            <w:shd w:val="clear" w:color="auto" w:fill="auto"/>
            <w:tcMar>
              <w:top w:w="57" w:type="dxa"/>
              <w:bottom w:w="57" w:type="dxa"/>
            </w:tcMar>
          </w:tcPr>
          <w:p w14:paraId="06CB88D5"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rFonts w:cs="Arial"/>
                <w:bCs/>
                <w:spacing w:val="1"/>
                <w:lang w:eastAsia="fr-FR"/>
              </w:rPr>
            </w:pPr>
            <w:r w:rsidRPr="007E29F8">
              <w:rPr>
                <w:rFonts w:cs="Arial"/>
                <w:bCs/>
                <w:spacing w:val="1"/>
                <w:lang w:eastAsia="fr-FR"/>
              </w:rPr>
              <w:t>20%</w:t>
            </w:r>
          </w:p>
        </w:tc>
        <w:tc>
          <w:tcPr>
            <w:tcW w:w="1653" w:type="pct"/>
            <w:shd w:val="clear" w:color="auto" w:fill="auto"/>
            <w:vAlign w:val="center"/>
          </w:tcPr>
          <w:p w14:paraId="494D134B"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E29F8">
              <w:rPr>
                <w:rFonts w:cs="Arial"/>
                <w:bCs/>
                <w:spacing w:val="1"/>
                <w:lang w:eastAsia="fr-FR"/>
              </w:rPr>
              <w:t>Applicant’s data</w:t>
            </w:r>
          </w:p>
        </w:tc>
      </w:tr>
      <w:tr w:rsidR="002655EE" w:rsidRPr="007E29F8" w14:paraId="4D264AED" w14:textId="77777777" w:rsidTr="001B7765">
        <w:trPr>
          <w:trHeight w:val="208"/>
          <w:tblHeader/>
        </w:trPr>
        <w:tc>
          <w:tcPr>
            <w:tcW w:w="421" w:type="pct"/>
            <w:vMerge/>
            <w:shd w:val="clear" w:color="auto" w:fill="auto"/>
            <w:tcMar>
              <w:top w:w="57" w:type="dxa"/>
              <w:bottom w:w="57" w:type="dxa"/>
            </w:tcMar>
          </w:tcPr>
          <w:p w14:paraId="276C47AD"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tc>
        <w:tc>
          <w:tcPr>
            <w:tcW w:w="2202" w:type="pct"/>
            <w:shd w:val="clear" w:color="auto" w:fill="auto"/>
            <w:tcMar>
              <w:top w:w="57" w:type="dxa"/>
              <w:bottom w:w="57" w:type="dxa"/>
            </w:tcMar>
          </w:tcPr>
          <w:p w14:paraId="0006778A" w14:textId="77777777" w:rsidR="002655EE" w:rsidRPr="00FA1064"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FA1064">
              <w:rPr>
                <w:rFonts w:cs="Arial"/>
                <w:bCs/>
                <w:spacing w:val="1"/>
                <w:lang w:eastAsia="fr-FR"/>
              </w:rPr>
              <w:t>Reduction in exposure (long sleeve shirt and long pants)</w:t>
            </w:r>
          </w:p>
        </w:tc>
        <w:tc>
          <w:tcPr>
            <w:tcW w:w="724" w:type="pct"/>
            <w:shd w:val="clear" w:color="auto" w:fill="auto"/>
            <w:tcMar>
              <w:top w:w="57" w:type="dxa"/>
              <w:bottom w:w="57" w:type="dxa"/>
            </w:tcMar>
          </w:tcPr>
          <w:p w14:paraId="1324ABBF"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rFonts w:cs="Arial"/>
                <w:bCs/>
                <w:spacing w:val="1"/>
                <w:lang w:eastAsia="fr-FR"/>
              </w:rPr>
            </w:pPr>
            <w:r w:rsidRPr="007E29F8">
              <w:rPr>
                <w:rFonts w:cs="Arial"/>
                <w:bCs/>
                <w:spacing w:val="1"/>
                <w:lang w:eastAsia="fr-FR"/>
              </w:rPr>
              <w:t>50%</w:t>
            </w:r>
          </w:p>
        </w:tc>
        <w:tc>
          <w:tcPr>
            <w:tcW w:w="1653" w:type="pct"/>
            <w:shd w:val="clear" w:color="auto" w:fill="auto"/>
            <w:vAlign w:val="center"/>
          </w:tcPr>
          <w:p w14:paraId="00DD843A"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E29F8">
              <w:rPr>
                <w:rFonts w:cs="Arial"/>
                <w:bCs/>
                <w:spacing w:val="1"/>
                <w:lang w:eastAsia="fr-FR"/>
              </w:rPr>
              <w:t>Recommendation no. 8, 2015</w:t>
            </w:r>
          </w:p>
        </w:tc>
      </w:tr>
      <w:tr w:rsidR="002655EE" w:rsidRPr="007E29F8" w14:paraId="6285E98B" w14:textId="77777777" w:rsidTr="001B7765">
        <w:trPr>
          <w:trHeight w:val="185"/>
          <w:tblHeader/>
        </w:trPr>
        <w:tc>
          <w:tcPr>
            <w:tcW w:w="421" w:type="pct"/>
            <w:vMerge/>
            <w:shd w:val="clear" w:color="auto" w:fill="auto"/>
            <w:tcMar>
              <w:top w:w="57" w:type="dxa"/>
              <w:bottom w:w="57" w:type="dxa"/>
            </w:tcMar>
          </w:tcPr>
          <w:p w14:paraId="51155409"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tc>
        <w:tc>
          <w:tcPr>
            <w:tcW w:w="2202" w:type="pct"/>
            <w:shd w:val="clear" w:color="auto" w:fill="auto"/>
            <w:tcMar>
              <w:top w:w="57" w:type="dxa"/>
              <w:bottom w:w="57" w:type="dxa"/>
            </w:tcMar>
          </w:tcPr>
          <w:p w14:paraId="3A45CCB0" w14:textId="77777777" w:rsidR="002655EE" w:rsidRPr="00FA1064"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r w:rsidRPr="00762A41">
              <w:rPr>
                <w:rFonts w:cs="Arial"/>
                <w:bCs/>
                <w:spacing w:val="1"/>
                <w:lang w:eastAsia="fr-FR"/>
              </w:rPr>
              <w:t>Dermal absorption (%)</w:t>
            </w:r>
          </w:p>
        </w:tc>
        <w:tc>
          <w:tcPr>
            <w:tcW w:w="724" w:type="pct"/>
            <w:shd w:val="clear" w:color="auto" w:fill="auto"/>
            <w:tcMar>
              <w:top w:w="57" w:type="dxa"/>
              <w:bottom w:w="57" w:type="dxa"/>
            </w:tcMar>
          </w:tcPr>
          <w:p w14:paraId="22CA599A"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rFonts w:cs="Arial"/>
                <w:bCs/>
                <w:spacing w:val="1"/>
                <w:lang w:eastAsia="fr-FR"/>
              </w:rPr>
            </w:pPr>
            <w:r w:rsidRPr="007E29F8">
              <w:rPr>
                <w:rFonts w:cs="Arial"/>
                <w:bCs/>
                <w:spacing w:val="1"/>
                <w:lang w:eastAsia="fr-FR"/>
              </w:rPr>
              <w:t>14%</w:t>
            </w:r>
          </w:p>
        </w:tc>
        <w:tc>
          <w:tcPr>
            <w:tcW w:w="1653" w:type="pct"/>
            <w:shd w:val="clear" w:color="auto" w:fill="auto"/>
            <w:vAlign w:val="center"/>
          </w:tcPr>
          <w:p w14:paraId="47DC1E5E"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E29F8">
              <w:rPr>
                <w:rFonts w:cs="Arial"/>
                <w:bCs/>
                <w:spacing w:val="1"/>
                <w:lang w:eastAsia="fr-FR"/>
              </w:rPr>
              <w:t>CAR IR3535</w:t>
            </w:r>
          </w:p>
        </w:tc>
      </w:tr>
      <w:tr w:rsidR="002655EE" w:rsidRPr="007E29F8" w14:paraId="20CC608F" w14:textId="77777777" w:rsidTr="001B7765">
        <w:trPr>
          <w:trHeight w:val="185"/>
          <w:tblHeader/>
        </w:trPr>
        <w:tc>
          <w:tcPr>
            <w:tcW w:w="421" w:type="pct"/>
            <w:vMerge/>
            <w:shd w:val="clear" w:color="auto" w:fill="auto"/>
            <w:tcMar>
              <w:top w:w="57" w:type="dxa"/>
              <w:bottom w:w="57" w:type="dxa"/>
            </w:tcMar>
          </w:tcPr>
          <w:p w14:paraId="465D5AD4"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both"/>
              <w:textAlignment w:val="baseline"/>
              <w:rPr>
                <w:rFonts w:cs="Arial"/>
                <w:bCs/>
                <w:spacing w:val="1"/>
                <w:lang w:eastAsia="fr-FR"/>
              </w:rPr>
            </w:pPr>
          </w:p>
        </w:tc>
        <w:tc>
          <w:tcPr>
            <w:tcW w:w="2926" w:type="pct"/>
            <w:gridSpan w:val="2"/>
            <w:shd w:val="clear" w:color="auto" w:fill="auto"/>
            <w:tcMar>
              <w:top w:w="57" w:type="dxa"/>
              <w:bottom w:w="57" w:type="dxa"/>
            </w:tcMar>
          </w:tcPr>
          <w:p w14:paraId="06724EFC"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jc w:val="center"/>
              <w:textAlignment w:val="baseline"/>
              <w:rPr>
                <w:rFonts w:cs="Arial"/>
                <w:b/>
                <w:bCs/>
                <w:spacing w:val="1"/>
                <w:lang w:eastAsia="fr-FR"/>
              </w:rPr>
            </w:pPr>
            <w:r w:rsidRPr="00762A41">
              <w:rPr>
                <w:rFonts w:cs="Arial"/>
                <w:b/>
                <w:bCs/>
                <w:spacing w:val="1"/>
                <w:lang w:eastAsia="fr-FR"/>
              </w:rPr>
              <w:t>Body weight (kg)</w:t>
            </w:r>
          </w:p>
        </w:tc>
        <w:tc>
          <w:tcPr>
            <w:tcW w:w="1653" w:type="pct"/>
            <w:vMerge w:val="restart"/>
            <w:shd w:val="clear" w:color="auto" w:fill="auto"/>
            <w:vAlign w:val="center"/>
          </w:tcPr>
          <w:p w14:paraId="6A4CD676"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Recommendation no. 14, 2017</w:t>
            </w:r>
          </w:p>
        </w:tc>
      </w:tr>
      <w:tr w:rsidR="002655EE" w:rsidRPr="007E29F8" w14:paraId="543C814B" w14:textId="77777777" w:rsidTr="001B7765">
        <w:trPr>
          <w:trHeight w:val="20"/>
          <w:tblHeader/>
        </w:trPr>
        <w:tc>
          <w:tcPr>
            <w:tcW w:w="421" w:type="pct"/>
            <w:vMerge/>
            <w:shd w:val="clear" w:color="auto" w:fill="auto"/>
            <w:tcMar>
              <w:top w:w="57" w:type="dxa"/>
              <w:bottom w:w="57" w:type="dxa"/>
            </w:tcMar>
          </w:tcPr>
          <w:p w14:paraId="5BA112CF"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4D5B6644"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Adult</w:t>
            </w:r>
          </w:p>
        </w:tc>
        <w:tc>
          <w:tcPr>
            <w:tcW w:w="724" w:type="pct"/>
            <w:shd w:val="clear" w:color="auto" w:fill="auto"/>
            <w:tcMar>
              <w:top w:w="57" w:type="dxa"/>
              <w:bottom w:w="57" w:type="dxa"/>
            </w:tcMar>
          </w:tcPr>
          <w:p w14:paraId="466F1B17"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60</w:t>
            </w:r>
          </w:p>
        </w:tc>
        <w:tc>
          <w:tcPr>
            <w:tcW w:w="1653" w:type="pct"/>
            <w:vMerge/>
            <w:shd w:val="clear" w:color="auto" w:fill="auto"/>
            <w:vAlign w:val="center"/>
          </w:tcPr>
          <w:p w14:paraId="2F6F19C6"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6A350D31" w14:textId="77777777" w:rsidTr="001B7765">
        <w:trPr>
          <w:trHeight w:val="185"/>
          <w:tblHeader/>
        </w:trPr>
        <w:tc>
          <w:tcPr>
            <w:tcW w:w="421" w:type="pct"/>
            <w:vMerge/>
            <w:shd w:val="clear" w:color="auto" w:fill="auto"/>
            <w:tcMar>
              <w:top w:w="57" w:type="dxa"/>
              <w:bottom w:w="57" w:type="dxa"/>
            </w:tcMar>
          </w:tcPr>
          <w:p w14:paraId="3038F536"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1423DFBA"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Child (6 to &lt;12 years old)</w:t>
            </w:r>
          </w:p>
        </w:tc>
        <w:tc>
          <w:tcPr>
            <w:tcW w:w="724" w:type="pct"/>
            <w:shd w:val="clear" w:color="auto" w:fill="auto"/>
            <w:tcMar>
              <w:top w:w="57" w:type="dxa"/>
              <w:bottom w:w="57" w:type="dxa"/>
            </w:tcMar>
          </w:tcPr>
          <w:p w14:paraId="3F4AA482"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23.9</w:t>
            </w:r>
          </w:p>
        </w:tc>
        <w:tc>
          <w:tcPr>
            <w:tcW w:w="1653" w:type="pct"/>
            <w:vMerge/>
            <w:shd w:val="clear" w:color="auto" w:fill="auto"/>
            <w:vAlign w:val="center"/>
          </w:tcPr>
          <w:p w14:paraId="2D95E313"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182D8E8D" w14:textId="77777777" w:rsidTr="001B7765">
        <w:trPr>
          <w:trHeight w:val="185"/>
          <w:tblHeader/>
        </w:trPr>
        <w:tc>
          <w:tcPr>
            <w:tcW w:w="421" w:type="pct"/>
            <w:vMerge/>
            <w:shd w:val="clear" w:color="auto" w:fill="auto"/>
            <w:tcMar>
              <w:top w:w="57" w:type="dxa"/>
              <w:bottom w:w="57" w:type="dxa"/>
            </w:tcMar>
          </w:tcPr>
          <w:p w14:paraId="104800F9"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355A00B6"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Child (2 to &lt;6 years old)</w:t>
            </w:r>
          </w:p>
        </w:tc>
        <w:tc>
          <w:tcPr>
            <w:tcW w:w="724" w:type="pct"/>
            <w:shd w:val="clear" w:color="auto" w:fill="auto"/>
            <w:tcMar>
              <w:top w:w="57" w:type="dxa"/>
              <w:bottom w:w="57" w:type="dxa"/>
            </w:tcMar>
          </w:tcPr>
          <w:p w14:paraId="58DA1F0E"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15.6</w:t>
            </w:r>
          </w:p>
        </w:tc>
        <w:tc>
          <w:tcPr>
            <w:tcW w:w="1653" w:type="pct"/>
            <w:vMerge/>
            <w:shd w:val="clear" w:color="auto" w:fill="auto"/>
            <w:vAlign w:val="center"/>
          </w:tcPr>
          <w:p w14:paraId="42E64D3A"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26754C6E" w14:textId="77777777" w:rsidTr="001B7765">
        <w:trPr>
          <w:trHeight w:val="185"/>
          <w:tblHeader/>
        </w:trPr>
        <w:tc>
          <w:tcPr>
            <w:tcW w:w="421" w:type="pct"/>
            <w:vMerge/>
            <w:shd w:val="clear" w:color="auto" w:fill="auto"/>
            <w:tcMar>
              <w:top w:w="57" w:type="dxa"/>
              <w:bottom w:w="57" w:type="dxa"/>
            </w:tcMar>
          </w:tcPr>
          <w:p w14:paraId="26C280F4"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0ED9E04B"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Toddler (1 to &lt;2 years old)</w:t>
            </w:r>
          </w:p>
        </w:tc>
        <w:tc>
          <w:tcPr>
            <w:tcW w:w="724" w:type="pct"/>
            <w:shd w:val="clear" w:color="auto" w:fill="auto"/>
            <w:tcMar>
              <w:top w:w="57" w:type="dxa"/>
              <w:bottom w:w="57" w:type="dxa"/>
            </w:tcMar>
          </w:tcPr>
          <w:p w14:paraId="577E53F1"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10</w:t>
            </w:r>
          </w:p>
        </w:tc>
        <w:tc>
          <w:tcPr>
            <w:tcW w:w="1653" w:type="pct"/>
            <w:vMerge/>
            <w:shd w:val="clear" w:color="auto" w:fill="auto"/>
            <w:vAlign w:val="center"/>
          </w:tcPr>
          <w:p w14:paraId="24673552"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77E4C30E" w14:textId="77777777" w:rsidTr="001B7765">
        <w:trPr>
          <w:trHeight w:val="185"/>
          <w:tblHeader/>
        </w:trPr>
        <w:tc>
          <w:tcPr>
            <w:tcW w:w="421" w:type="pct"/>
            <w:vMerge/>
            <w:shd w:val="clear" w:color="auto" w:fill="auto"/>
            <w:tcMar>
              <w:top w:w="57" w:type="dxa"/>
              <w:bottom w:w="57" w:type="dxa"/>
            </w:tcMar>
          </w:tcPr>
          <w:p w14:paraId="7D01CFEE"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4992D199"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Infant (&lt;1 year old)</w:t>
            </w:r>
          </w:p>
        </w:tc>
        <w:tc>
          <w:tcPr>
            <w:tcW w:w="724" w:type="pct"/>
            <w:shd w:val="clear" w:color="auto" w:fill="auto"/>
            <w:tcMar>
              <w:top w:w="57" w:type="dxa"/>
              <w:bottom w:w="57" w:type="dxa"/>
            </w:tcMar>
          </w:tcPr>
          <w:p w14:paraId="207FC967"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8</w:t>
            </w:r>
          </w:p>
        </w:tc>
        <w:tc>
          <w:tcPr>
            <w:tcW w:w="1653" w:type="pct"/>
            <w:vMerge/>
            <w:shd w:val="clear" w:color="auto" w:fill="auto"/>
            <w:vAlign w:val="center"/>
          </w:tcPr>
          <w:p w14:paraId="615E40B1"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083C70D0" w14:textId="77777777" w:rsidTr="001B7765">
        <w:trPr>
          <w:trHeight w:val="169"/>
          <w:tblHeader/>
        </w:trPr>
        <w:tc>
          <w:tcPr>
            <w:tcW w:w="421" w:type="pct"/>
            <w:vMerge/>
            <w:shd w:val="clear" w:color="auto" w:fill="auto"/>
            <w:tcMar>
              <w:top w:w="57" w:type="dxa"/>
              <w:bottom w:w="57" w:type="dxa"/>
            </w:tcMar>
          </w:tcPr>
          <w:p w14:paraId="1E1BDA7D"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926" w:type="pct"/>
            <w:gridSpan w:val="2"/>
            <w:shd w:val="clear" w:color="auto" w:fill="auto"/>
            <w:tcMar>
              <w:top w:w="57" w:type="dxa"/>
              <w:bottom w:w="57" w:type="dxa"/>
            </w:tcMar>
          </w:tcPr>
          <w:p w14:paraId="2D999E31"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r w:rsidRPr="007E29F8">
              <w:rPr>
                <w:rFonts w:cs="Arial"/>
                <w:b/>
                <w:bCs/>
                <w:spacing w:val="1"/>
                <w:lang w:eastAsia="fr-FR"/>
              </w:rPr>
              <w:t>Treated textile surface (cm²)</w:t>
            </w:r>
            <w:r w:rsidRPr="007E29F8">
              <w:rPr>
                <w:rFonts w:cs="Arial"/>
                <w:bCs/>
                <w:spacing w:val="1"/>
                <w:lang w:eastAsia="fr-FR"/>
              </w:rPr>
              <w:t xml:space="preserve"> </w:t>
            </w:r>
          </w:p>
          <w:p w14:paraId="79567ACA"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
                <w:bCs/>
                <w:spacing w:val="1"/>
                <w:lang w:eastAsia="fr-FR"/>
              </w:rPr>
            </w:pPr>
            <w:r w:rsidRPr="007E29F8">
              <w:rPr>
                <w:rFonts w:cs="Arial"/>
                <w:b/>
                <w:bCs/>
                <w:spacing w:val="1"/>
                <w:lang w:eastAsia="fr-FR"/>
              </w:rPr>
              <w:t>LONG TROUSERS + LONG SHIRT = total BS  - (head + hands + neck) (cm²)</w:t>
            </w:r>
          </w:p>
        </w:tc>
        <w:tc>
          <w:tcPr>
            <w:tcW w:w="1653" w:type="pct"/>
            <w:vMerge w:val="restart"/>
            <w:shd w:val="clear" w:color="auto" w:fill="auto"/>
            <w:vAlign w:val="center"/>
          </w:tcPr>
          <w:p w14:paraId="05B1920B"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pPr>
            <w:r w:rsidRPr="007E29F8">
              <w:t>Recommendation no. 14, 2017</w:t>
            </w:r>
          </w:p>
        </w:tc>
      </w:tr>
      <w:tr w:rsidR="002655EE" w:rsidRPr="007E29F8" w14:paraId="02A96D60" w14:textId="77777777" w:rsidTr="001B7765">
        <w:trPr>
          <w:trHeight w:val="208"/>
          <w:tblHeader/>
        </w:trPr>
        <w:tc>
          <w:tcPr>
            <w:tcW w:w="421" w:type="pct"/>
            <w:vMerge/>
            <w:shd w:val="clear" w:color="auto" w:fill="auto"/>
            <w:tcMar>
              <w:top w:w="57" w:type="dxa"/>
              <w:bottom w:w="57" w:type="dxa"/>
            </w:tcMar>
          </w:tcPr>
          <w:p w14:paraId="11C0939D"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23EB9C6B"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Adult</w:t>
            </w:r>
          </w:p>
        </w:tc>
        <w:tc>
          <w:tcPr>
            <w:tcW w:w="724" w:type="pct"/>
            <w:shd w:val="clear" w:color="auto" w:fill="auto"/>
            <w:tcMar>
              <w:top w:w="57" w:type="dxa"/>
              <w:bottom w:w="57" w:type="dxa"/>
            </w:tcMar>
            <w:vAlign w:val="center"/>
          </w:tcPr>
          <w:p w14:paraId="20DC790F"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9130</w:t>
            </w:r>
          </w:p>
        </w:tc>
        <w:tc>
          <w:tcPr>
            <w:tcW w:w="1653" w:type="pct"/>
            <w:vMerge/>
            <w:shd w:val="clear" w:color="auto" w:fill="auto"/>
            <w:vAlign w:val="center"/>
          </w:tcPr>
          <w:p w14:paraId="451CF32A"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1ED0D1FF" w14:textId="77777777" w:rsidTr="001B7765">
        <w:trPr>
          <w:trHeight w:val="215"/>
          <w:tblHeader/>
        </w:trPr>
        <w:tc>
          <w:tcPr>
            <w:tcW w:w="421" w:type="pct"/>
            <w:vMerge/>
            <w:shd w:val="clear" w:color="auto" w:fill="auto"/>
            <w:tcMar>
              <w:top w:w="57" w:type="dxa"/>
              <w:bottom w:w="57" w:type="dxa"/>
            </w:tcMar>
          </w:tcPr>
          <w:p w14:paraId="38D5AA8E"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77FCE9A5"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Child (6 to &lt;12 years old)</w:t>
            </w:r>
          </w:p>
        </w:tc>
        <w:tc>
          <w:tcPr>
            <w:tcW w:w="724" w:type="pct"/>
            <w:shd w:val="clear" w:color="auto" w:fill="auto"/>
            <w:tcMar>
              <w:top w:w="57" w:type="dxa"/>
              <w:bottom w:w="57" w:type="dxa"/>
            </w:tcMar>
            <w:vAlign w:val="center"/>
          </w:tcPr>
          <w:p w14:paraId="3C9C4A8A"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5060</w:t>
            </w:r>
          </w:p>
        </w:tc>
        <w:tc>
          <w:tcPr>
            <w:tcW w:w="1653" w:type="pct"/>
            <w:vMerge/>
            <w:shd w:val="clear" w:color="auto" w:fill="auto"/>
            <w:vAlign w:val="center"/>
          </w:tcPr>
          <w:p w14:paraId="52E463AD"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71C9A496" w14:textId="77777777" w:rsidTr="001B7765">
        <w:trPr>
          <w:trHeight w:val="208"/>
          <w:tblHeader/>
        </w:trPr>
        <w:tc>
          <w:tcPr>
            <w:tcW w:w="421" w:type="pct"/>
            <w:vMerge/>
            <w:shd w:val="clear" w:color="auto" w:fill="auto"/>
            <w:tcMar>
              <w:top w:w="57" w:type="dxa"/>
              <w:bottom w:w="57" w:type="dxa"/>
            </w:tcMar>
          </w:tcPr>
          <w:p w14:paraId="4C14D790"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569E846E"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Child (2 to &lt;6 years old)</w:t>
            </w:r>
          </w:p>
        </w:tc>
        <w:tc>
          <w:tcPr>
            <w:tcW w:w="724" w:type="pct"/>
            <w:shd w:val="clear" w:color="auto" w:fill="auto"/>
            <w:tcMar>
              <w:top w:w="57" w:type="dxa"/>
              <w:bottom w:w="57" w:type="dxa"/>
            </w:tcMar>
            <w:vAlign w:val="center"/>
          </w:tcPr>
          <w:p w14:paraId="1A4B56FD"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3740</w:t>
            </w:r>
          </w:p>
        </w:tc>
        <w:tc>
          <w:tcPr>
            <w:tcW w:w="1653" w:type="pct"/>
            <w:vMerge/>
            <w:shd w:val="clear" w:color="auto" w:fill="auto"/>
            <w:vAlign w:val="center"/>
          </w:tcPr>
          <w:p w14:paraId="5754F862"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142A60C4" w14:textId="77777777" w:rsidTr="001B7765">
        <w:trPr>
          <w:trHeight w:val="215"/>
          <w:tblHeader/>
        </w:trPr>
        <w:tc>
          <w:tcPr>
            <w:tcW w:w="421" w:type="pct"/>
            <w:vMerge/>
            <w:shd w:val="clear" w:color="auto" w:fill="auto"/>
            <w:tcMar>
              <w:top w:w="57" w:type="dxa"/>
              <w:bottom w:w="57" w:type="dxa"/>
            </w:tcMar>
          </w:tcPr>
          <w:p w14:paraId="5FBBF84A"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49311B01"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Toddler (1 to &lt;2 years old)</w:t>
            </w:r>
          </w:p>
        </w:tc>
        <w:tc>
          <w:tcPr>
            <w:tcW w:w="724" w:type="pct"/>
            <w:shd w:val="clear" w:color="auto" w:fill="auto"/>
            <w:tcMar>
              <w:top w:w="57" w:type="dxa"/>
              <w:bottom w:w="57" w:type="dxa"/>
            </w:tcMar>
            <w:vAlign w:val="center"/>
          </w:tcPr>
          <w:p w14:paraId="7BE5D352"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2640</w:t>
            </w:r>
          </w:p>
        </w:tc>
        <w:tc>
          <w:tcPr>
            <w:tcW w:w="1653" w:type="pct"/>
            <w:vMerge/>
            <w:shd w:val="clear" w:color="auto" w:fill="auto"/>
            <w:vAlign w:val="center"/>
          </w:tcPr>
          <w:p w14:paraId="3AE8E873"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4585622A" w14:textId="77777777" w:rsidTr="001B7765">
        <w:trPr>
          <w:trHeight w:val="177"/>
          <w:tblHeader/>
        </w:trPr>
        <w:tc>
          <w:tcPr>
            <w:tcW w:w="421" w:type="pct"/>
            <w:vMerge/>
            <w:shd w:val="clear" w:color="auto" w:fill="auto"/>
            <w:tcMar>
              <w:top w:w="57" w:type="dxa"/>
              <w:bottom w:w="57" w:type="dxa"/>
            </w:tcMar>
          </w:tcPr>
          <w:p w14:paraId="38CF02A4"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78A51355"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Infant (&lt;1 year old)</w:t>
            </w:r>
          </w:p>
        </w:tc>
        <w:tc>
          <w:tcPr>
            <w:tcW w:w="724" w:type="pct"/>
            <w:shd w:val="clear" w:color="auto" w:fill="auto"/>
            <w:tcMar>
              <w:top w:w="57" w:type="dxa"/>
              <w:bottom w:w="57" w:type="dxa"/>
            </w:tcMar>
            <w:vAlign w:val="center"/>
          </w:tcPr>
          <w:p w14:paraId="6FE3A833"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2255</w:t>
            </w:r>
          </w:p>
        </w:tc>
        <w:tc>
          <w:tcPr>
            <w:tcW w:w="1653" w:type="pct"/>
            <w:vMerge/>
            <w:shd w:val="clear" w:color="auto" w:fill="auto"/>
            <w:vAlign w:val="center"/>
          </w:tcPr>
          <w:p w14:paraId="0BB8A457"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0DAD081E" w14:textId="77777777" w:rsidTr="001B7765">
        <w:trPr>
          <w:trHeight w:val="177"/>
          <w:tblHeader/>
        </w:trPr>
        <w:tc>
          <w:tcPr>
            <w:tcW w:w="421" w:type="pct"/>
            <w:vMerge w:val="restart"/>
            <w:shd w:val="clear" w:color="auto" w:fill="auto"/>
            <w:tcMar>
              <w:top w:w="57" w:type="dxa"/>
              <w:bottom w:w="57" w:type="dxa"/>
            </w:tcMar>
          </w:tcPr>
          <w:p w14:paraId="2913C6D1"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926" w:type="pct"/>
            <w:gridSpan w:val="2"/>
            <w:shd w:val="clear" w:color="auto" w:fill="auto"/>
            <w:tcMar>
              <w:top w:w="57" w:type="dxa"/>
              <w:bottom w:w="57" w:type="dxa"/>
            </w:tcMar>
            <w:vAlign w:val="center"/>
          </w:tcPr>
          <w:p w14:paraId="76BF066E"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r w:rsidRPr="007E29F8">
              <w:rPr>
                <w:rFonts w:cs="Arial"/>
                <w:b/>
                <w:bCs/>
                <w:spacing w:val="1"/>
                <w:lang w:eastAsia="fr-FR"/>
              </w:rPr>
              <w:t>Treated textile surface (cm²)</w:t>
            </w:r>
            <w:r w:rsidRPr="007E29F8">
              <w:rPr>
                <w:rFonts w:cs="Arial"/>
                <w:bCs/>
                <w:spacing w:val="1"/>
                <w:lang w:eastAsia="fr-FR"/>
              </w:rPr>
              <w:t xml:space="preserve"> </w:t>
            </w:r>
          </w:p>
          <w:p w14:paraId="1966A73E"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24" w:right="216"/>
              <w:textAlignment w:val="baseline"/>
              <w:rPr>
                <w:rFonts w:cs="Arial"/>
                <w:color w:val="000000"/>
                <w:szCs w:val="18"/>
                <w:lang w:eastAsia="fr-FR"/>
              </w:rPr>
            </w:pPr>
            <w:r>
              <w:rPr>
                <w:rFonts w:cs="Arial"/>
                <w:b/>
                <w:bCs/>
                <w:spacing w:val="1"/>
                <w:lang w:eastAsia="fr-FR"/>
              </w:rPr>
              <w:t xml:space="preserve">T shirt </w:t>
            </w:r>
            <w:r w:rsidRPr="007E29F8">
              <w:rPr>
                <w:rFonts w:cs="Arial"/>
                <w:b/>
                <w:bCs/>
                <w:spacing w:val="1"/>
                <w:lang w:eastAsia="fr-FR"/>
              </w:rPr>
              <w:t xml:space="preserve"> + </w:t>
            </w:r>
            <w:r>
              <w:rPr>
                <w:rFonts w:cs="Arial"/>
                <w:b/>
                <w:bCs/>
                <w:spacing w:val="1"/>
                <w:lang w:eastAsia="fr-FR"/>
              </w:rPr>
              <w:t>short</w:t>
            </w:r>
            <w:r w:rsidRPr="007E29F8">
              <w:rPr>
                <w:rFonts w:cs="Arial"/>
                <w:b/>
                <w:bCs/>
                <w:spacing w:val="1"/>
                <w:lang w:eastAsia="fr-FR"/>
              </w:rPr>
              <w:t xml:space="preserve"> = total BS  - (</w:t>
            </w:r>
            <w:r>
              <w:rPr>
                <w:rFonts w:cs="Arial"/>
                <w:b/>
                <w:bCs/>
                <w:spacing w:val="1"/>
                <w:lang w:eastAsia="fr-FR"/>
              </w:rPr>
              <w:t>uncovered surface proposed in recommendation 11 of Adhoc</w:t>
            </w:r>
            <w:r w:rsidRPr="007E29F8">
              <w:rPr>
                <w:rFonts w:cs="Arial"/>
                <w:b/>
                <w:bCs/>
                <w:spacing w:val="1"/>
                <w:lang w:eastAsia="fr-FR"/>
              </w:rPr>
              <w:t>) (cm²)</w:t>
            </w:r>
          </w:p>
        </w:tc>
        <w:tc>
          <w:tcPr>
            <w:tcW w:w="1653" w:type="pct"/>
            <w:vMerge w:val="restart"/>
            <w:shd w:val="clear" w:color="auto" w:fill="auto"/>
            <w:vAlign w:val="center"/>
          </w:tcPr>
          <w:p w14:paraId="122AC3FA" w14:textId="77777777" w:rsidR="002655EE" w:rsidRPr="007E29F8"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E29F8">
              <w:t>Recommendation no. 14, 2017</w:t>
            </w:r>
          </w:p>
        </w:tc>
      </w:tr>
      <w:tr w:rsidR="002655EE" w:rsidRPr="007E29F8" w14:paraId="7D7EA0B8" w14:textId="77777777" w:rsidTr="001B7765">
        <w:trPr>
          <w:trHeight w:val="177"/>
          <w:tblHeader/>
        </w:trPr>
        <w:tc>
          <w:tcPr>
            <w:tcW w:w="421" w:type="pct"/>
            <w:vMerge/>
            <w:shd w:val="clear" w:color="auto" w:fill="auto"/>
            <w:tcMar>
              <w:top w:w="57" w:type="dxa"/>
              <w:bottom w:w="57" w:type="dxa"/>
            </w:tcMar>
          </w:tcPr>
          <w:p w14:paraId="421D2683"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735B5198"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Adult</w:t>
            </w:r>
          </w:p>
        </w:tc>
        <w:tc>
          <w:tcPr>
            <w:tcW w:w="724" w:type="pct"/>
            <w:shd w:val="clear" w:color="auto" w:fill="auto"/>
            <w:tcMar>
              <w:top w:w="57" w:type="dxa"/>
              <w:bottom w:w="57" w:type="dxa"/>
            </w:tcMar>
            <w:vAlign w:val="center"/>
          </w:tcPr>
          <w:p w14:paraId="1156248A"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7072</w:t>
            </w:r>
          </w:p>
        </w:tc>
        <w:tc>
          <w:tcPr>
            <w:tcW w:w="1653" w:type="pct"/>
            <w:vMerge/>
            <w:shd w:val="clear" w:color="auto" w:fill="auto"/>
            <w:vAlign w:val="center"/>
          </w:tcPr>
          <w:p w14:paraId="30C48066"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25DC14D1" w14:textId="77777777" w:rsidTr="001B7765">
        <w:trPr>
          <w:trHeight w:val="177"/>
          <w:tblHeader/>
        </w:trPr>
        <w:tc>
          <w:tcPr>
            <w:tcW w:w="421" w:type="pct"/>
            <w:vMerge/>
            <w:shd w:val="clear" w:color="auto" w:fill="auto"/>
            <w:tcMar>
              <w:top w:w="57" w:type="dxa"/>
              <w:bottom w:w="57" w:type="dxa"/>
            </w:tcMar>
          </w:tcPr>
          <w:p w14:paraId="7DE8A09C"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606684EB"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Child (6 to &lt;12 years old)</w:t>
            </w:r>
          </w:p>
        </w:tc>
        <w:tc>
          <w:tcPr>
            <w:tcW w:w="724" w:type="pct"/>
            <w:shd w:val="clear" w:color="auto" w:fill="auto"/>
            <w:tcMar>
              <w:top w:w="57" w:type="dxa"/>
              <w:bottom w:w="57" w:type="dxa"/>
            </w:tcMar>
            <w:vAlign w:val="center"/>
          </w:tcPr>
          <w:p w14:paraId="58061C23"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4104</w:t>
            </w:r>
          </w:p>
        </w:tc>
        <w:tc>
          <w:tcPr>
            <w:tcW w:w="1653" w:type="pct"/>
            <w:vMerge/>
            <w:shd w:val="clear" w:color="auto" w:fill="auto"/>
            <w:vAlign w:val="center"/>
          </w:tcPr>
          <w:p w14:paraId="7D7252B6"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6E67CEAC" w14:textId="77777777" w:rsidTr="001B7765">
        <w:trPr>
          <w:trHeight w:val="177"/>
          <w:tblHeader/>
        </w:trPr>
        <w:tc>
          <w:tcPr>
            <w:tcW w:w="421" w:type="pct"/>
            <w:vMerge/>
            <w:shd w:val="clear" w:color="auto" w:fill="auto"/>
            <w:tcMar>
              <w:top w:w="57" w:type="dxa"/>
              <w:bottom w:w="57" w:type="dxa"/>
            </w:tcMar>
          </w:tcPr>
          <w:p w14:paraId="071763C8"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275B9892"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Child (2 to &lt;6 years old)</w:t>
            </w:r>
          </w:p>
        </w:tc>
        <w:tc>
          <w:tcPr>
            <w:tcW w:w="724" w:type="pct"/>
            <w:shd w:val="clear" w:color="auto" w:fill="auto"/>
            <w:tcMar>
              <w:top w:w="57" w:type="dxa"/>
              <w:bottom w:w="57" w:type="dxa"/>
            </w:tcMar>
            <w:vAlign w:val="center"/>
          </w:tcPr>
          <w:p w14:paraId="7FF8D341"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3021</w:t>
            </w:r>
          </w:p>
        </w:tc>
        <w:tc>
          <w:tcPr>
            <w:tcW w:w="1653" w:type="pct"/>
            <w:vMerge/>
            <w:shd w:val="clear" w:color="auto" w:fill="auto"/>
            <w:vAlign w:val="center"/>
          </w:tcPr>
          <w:p w14:paraId="07CD69FD"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70911BB7" w14:textId="77777777" w:rsidTr="001B7765">
        <w:trPr>
          <w:trHeight w:val="177"/>
          <w:tblHeader/>
        </w:trPr>
        <w:tc>
          <w:tcPr>
            <w:tcW w:w="421" w:type="pct"/>
            <w:vMerge/>
            <w:shd w:val="clear" w:color="auto" w:fill="auto"/>
            <w:tcMar>
              <w:top w:w="57" w:type="dxa"/>
              <w:bottom w:w="57" w:type="dxa"/>
            </w:tcMar>
          </w:tcPr>
          <w:p w14:paraId="1F708C6E"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3BC819D3"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Toddler (1 to &lt;2 years old)</w:t>
            </w:r>
          </w:p>
        </w:tc>
        <w:tc>
          <w:tcPr>
            <w:tcW w:w="724" w:type="pct"/>
            <w:shd w:val="clear" w:color="auto" w:fill="auto"/>
            <w:tcMar>
              <w:top w:w="57" w:type="dxa"/>
              <w:bottom w:w="57" w:type="dxa"/>
            </w:tcMar>
            <w:vAlign w:val="center"/>
          </w:tcPr>
          <w:p w14:paraId="06938088"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2124</w:t>
            </w:r>
          </w:p>
        </w:tc>
        <w:tc>
          <w:tcPr>
            <w:tcW w:w="1653" w:type="pct"/>
            <w:vMerge/>
            <w:shd w:val="clear" w:color="auto" w:fill="auto"/>
            <w:vAlign w:val="center"/>
          </w:tcPr>
          <w:p w14:paraId="63B6A2D1"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23691F40" w14:textId="77777777" w:rsidTr="001B7765">
        <w:trPr>
          <w:trHeight w:val="177"/>
          <w:tblHeader/>
        </w:trPr>
        <w:tc>
          <w:tcPr>
            <w:tcW w:w="421" w:type="pct"/>
            <w:vMerge/>
            <w:shd w:val="clear" w:color="auto" w:fill="auto"/>
            <w:tcMar>
              <w:top w:w="57" w:type="dxa"/>
              <w:bottom w:w="57" w:type="dxa"/>
            </w:tcMar>
          </w:tcPr>
          <w:p w14:paraId="09E13BFC"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20C6F9CE"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Infant (&lt;1 year old)</w:t>
            </w:r>
          </w:p>
        </w:tc>
        <w:tc>
          <w:tcPr>
            <w:tcW w:w="724" w:type="pct"/>
            <w:shd w:val="clear" w:color="auto" w:fill="auto"/>
            <w:tcMar>
              <w:top w:w="57" w:type="dxa"/>
              <w:bottom w:w="57" w:type="dxa"/>
            </w:tcMar>
            <w:vAlign w:val="center"/>
          </w:tcPr>
          <w:p w14:paraId="0C6A23B7" w14:textId="77777777" w:rsidR="002655EE" w:rsidRPr="00762A41" w:rsidRDefault="002655EE" w:rsidP="00762A41">
            <w:pPr>
              <w:keepNext/>
              <w:shd w:val="clear" w:color="auto" w:fill="FFFFFF" w:themeFill="background1"/>
              <w:kinsoku w:val="0"/>
              <w:overflowPunct w:val="0"/>
              <w:autoSpaceDE w:val="0"/>
              <w:autoSpaceDN w:val="0"/>
              <w:adjustRightInd w:val="0"/>
              <w:spacing w:before="0" w:after="0" w:line="290" w:lineRule="exact"/>
              <w:ind w:right="215" w:firstLine="14"/>
              <w:textAlignment w:val="baseline"/>
              <w:rPr>
                <w:rFonts w:cs="Arial"/>
                <w:bCs/>
                <w:spacing w:val="1"/>
                <w:lang w:eastAsia="fr-FR"/>
              </w:rPr>
            </w:pPr>
            <w:r w:rsidRPr="00762A41">
              <w:rPr>
                <w:rFonts w:cs="Arial"/>
                <w:bCs/>
                <w:spacing w:val="1"/>
                <w:lang w:eastAsia="fr-FR"/>
              </w:rPr>
              <w:t>1814</w:t>
            </w:r>
          </w:p>
        </w:tc>
        <w:tc>
          <w:tcPr>
            <w:tcW w:w="1653" w:type="pct"/>
            <w:vMerge/>
            <w:shd w:val="clear" w:color="auto" w:fill="auto"/>
            <w:vAlign w:val="center"/>
          </w:tcPr>
          <w:p w14:paraId="5EE8C8B8" w14:textId="77777777" w:rsidR="002655EE" w:rsidRPr="007E29F8" w:rsidRDefault="002655EE" w:rsidP="004F653E">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2F1978D3" w14:textId="77777777" w:rsidTr="001B7765">
        <w:trPr>
          <w:trHeight w:val="177"/>
          <w:tblHeader/>
        </w:trPr>
        <w:tc>
          <w:tcPr>
            <w:tcW w:w="421" w:type="pct"/>
            <w:vMerge w:val="restart"/>
            <w:shd w:val="clear" w:color="auto" w:fill="auto"/>
            <w:tcMar>
              <w:top w:w="57" w:type="dxa"/>
              <w:bottom w:w="57" w:type="dxa"/>
            </w:tcMar>
          </w:tcPr>
          <w:p w14:paraId="12E09D04"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926" w:type="pct"/>
            <w:gridSpan w:val="2"/>
            <w:shd w:val="clear" w:color="auto" w:fill="auto"/>
            <w:tcMar>
              <w:top w:w="57" w:type="dxa"/>
              <w:bottom w:w="57" w:type="dxa"/>
            </w:tcMar>
            <w:vAlign w:val="center"/>
          </w:tcPr>
          <w:p w14:paraId="4DF44FDC"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14" w:right="-72" w:firstLine="14"/>
              <w:textAlignment w:val="baseline"/>
              <w:rPr>
                <w:rFonts w:cs="Arial"/>
                <w:bCs/>
                <w:spacing w:val="1"/>
                <w:lang w:eastAsia="fr-FR"/>
              </w:rPr>
            </w:pPr>
            <w:r w:rsidRPr="007E29F8">
              <w:rPr>
                <w:rFonts w:cs="Arial"/>
                <w:b/>
                <w:bCs/>
                <w:spacing w:val="1"/>
                <w:lang w:eastAsia="fr-FR"/>
              </w:rPr>
              <w:t>Treated textile surface (cm²)</w:t>
            </w:r>
            <w:r w:rsidRPr="007E29F8">
              <w:rPr>
                <w:rFonts w:cs="Arial"/>
                <w:bCs/>
                <w:spacing w:val="1"/>
                <w:lang w:eastAsia="fr-FR"/>
              </w:rPr>
              <w:t xml:space="preserve"> </w:t>
            </w:r>
          </w:p>
          <w:p w14:paraId="30A8879C" w14:textId="62DB4656" w:rsidR="002655EE" w:rsidRDefault="002655EE" w:rsidP="00FA1064">
            <w:pPr>
              <w:widowControl w:val="0"/>
              <w:shd w:val="clear" w:color="auto" w:fill="FFFFFF" w:themeFill="background1"/>
              <w:kinsoku w:val="0"/>
              <w:overflowPunct w:val="0"/>
              <w:autoSpaceDE w:val="0"/>
              <w:autoSpaceDN w:val="0"/>
              <w:adjustRightInd w:val="0"/>
              <w:spacing w:before="0" w:after="0"/>
              <w:ind w:left="124" w:right="216"/>
              <w:textAlignment w:val="baseline"/>
              <w:rPr>
                <w:rFonts w:cs="Arial"/>
                <w:color w:val="000000"/>
                <w:szCs w:val="18"/>
                <w:lang w:eastAsia="fr-FR"/>
              </w:rPr>
            </w:pPr>
            <w:r>
              <w:rPr>
                <w:rFonts w:cs="Arial"/>
                <w:spacing w:val="1"/>
                <w:lang w:eastAsia="fr-FR"/>
              </w:rPr>
              <w:t xml:space="preserve">arms (upper and lower), </w:t>
            </w:r>
            <w:r w:rsidR="007C4A9D">
              <w:rPr>
                <w:rFonts w:cs="Arial"/>
                <w:spacing w:val="1"/>
                <w:lang w:eastAsia="fr-FR"/>
              </w:rPr>
              <w:t xml:space="preserve">½ </w:t>
            </w:r>
            <w:r>
              <w:rPr>
                <w:rFonts w:cs="Arial"/>
                <w:spacing w:val="1"/>
                <w:lang w:eastAsia="fr-FR"/>
              </w:rPr>
              <w:t>head to take in consideration the hood and trunk</w:t>
            </w:r>
          </w:p>
        </w:tc>
        <w:tc>
          <w:tcPr>
            <w:tcW w:w="1653" w:type="pct"/>
            <w:vMerge w:val="restart"/>
            <w:shd w:val="clear" w:color="auto" w:fill="auto"/>
            <w:vAlign w:val="center"/>
          </w:tcPr>
          <w:p w14:paraId="4C673999"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14" w:right="-72" w:firstLine="14"/>
              <w:textAlignment w:val="baseline"/>
              <w:rPr>
                <w:rFonts w:cs="Arial"/>
                <w:bCs/>
                <w:spacing w:val="1"/>
                <w:lang w:eastAsia="fr-FR"/>
              </w:rPr>
            </w:pPr>
            <w:r w:rsidRPr="007E29F8">
              <w:t>Recommendation no. 14, 2017</w:t>
            </w:r>
          </w:p>
        </w:tc>
      </w:tr>
      <w:tr w:rsidR="002655EE" w:rsidRPr="007E29F8" w14:paraId="07D55360" w14:textId="77777777" w:rsidTr="001B7765">
        <w:trPr>
          <w:trHeight w:val="177"/>
          <w:tblHeader/>
        </w:trPr>
        <w:tc>
          <w:tcPr>
            <w:tcW w:w="421" w:type="pct"/>
            <w:vMerge/>
            <w:shd w:val="clear" w:color="auto" w:fill="auto"/>
            <w:tcMar>
              <w:top w:w="57" w:type="dxa"/>
              <w:bottom w:w="57" w:type="dxa"/>
            </w:tcMar>
          </w:tcPr>
          <w:p w14:paraId="7F3D131C"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65131EEB"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7E29F8">
              <w:rPr>
                <w:rFonts w:cs="Arial"/>
                <w:color w:val="000000"/>
                <w:szCs w:val="18"/>
                <w:lang w:eastAsia="fr-FR"/>
              </w:rPr>
              <w:t>Adult</w:t>
            </w:r>
          </w:p>
        </w:tc>
        <w:tc>
          <w:tcPr>
            <w:tcW w:w="72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96000E" w14:textId="77777777" w:rsidR="002655EE" w:rsidRPr="003404DE" w:rsidRDefault="002655EE" w:rsidP="00FA1064">
            <w:pPr>
              <w:widowControl w:val="0"/>
              <w:shd w:val="clear" w:color="auto" w:fill="FFFFFF" w:themeFill="background1"/>
              <w:kinsoku w:val="0"/>
              <w:overflowPunct w:val="0"/>
              <w:autoSpaceDE w:val="0"/>
              <w:autoSpaceDN w:val="0"/>
              <w:adjustRightInd w:val="0"/>
              <w:spacing w:before="0" w:after="0"/>
              <w:ind w:left="124" w:right="216"/>
              <w:jc w:val="center"/>
              <w:textAlignment w:val="baseline"/>
              <w:rPr>
                <w:rFonts w:cs="Arial"/>
                <w:color w:val="000000"/>
                <w:szCs w:val="18"/>
                <w:lang w:eastAsia="fr-FR"/>
              </w:rPr>
            </w:pPr>
            <w:r w:rsidRPr="0090387F">
              <w:rPr>
                <w:rFonts w:cs="Calibri"/>
                <w:bCs/>
                <w:color w:val="000000"/>
              </w:rPr>
              <w:t>8765</w:t>
            </w:r>
          </w:p>
        </w:tc>
        <w:tc>
          <w:tcPr>
            <w:tcW w:w="1653" w:type="pct"/>
            <w:vMerge/>
            <w:shd w:val="clear" w:color="auto" w:fill="auto"/>
            <w:vAlign w:val="center"/>
          </w:tcPr>
          <w:p w14:paraId="7A8CD506"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6B61AB21" w14:textId="77777777" w:rsidTr="001B7765">
        <w:trPr>
          <w:trHeight w:val="177"/>
          <w:tblHeader/>
        </w:trPr>
        <w:tc>
          <w:tcPr>
            <w:tcW w:w="421" w:type="pct"/>
            <w:vMerge/>
            <w:shd w:val="clear" w:color="auto" w:fill="auto"/>
            <w:tcMar>
              <w:top w:w="57" w:type="dxa"/>
              <w:bottom w:w="57" w:type="dxa"/>
            </w:tcMar>
          </w:tcPr>
          <w:p w14:paraId="1DEC37A9"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0A200133"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7E29F8">
              <w:rPr>
                <w:rFonts w:cs="Arial"/>
                <w:color w:val="000000"/>
                <w:szCs w:val="18"/>
                <w:lang w:eastAsia="fr-FR"/>
              </w:rPr>
              <w:t>Child (6 to &lt;12 years old)</w:t>
            </w:r>
          </w:p>
        </w:tc>
        <w:tc>
          <w:tcPr>
            <w:tcW w:w="724" w:type="pct"/>
            <w:tcBorders>
              <w:top w:val="nil"/>
              <w:left w:val="single" w:sz="4" w:space="0" w:color="auto"/>
              <w:bottom w:val="single" w:sz="4" w:space="0" w:color="auto"/>
              <w:right w:val="single" w:sz="4" w:space="0" w:color="auto"/>
            </w:tcBorders>
            <w:shd w:val="clear" w:color="auto" w:fill="auto"/>
            <w:tcMar>
              <w:top w:w="57" w:type="dxa"/>
              <w:bottom w:w="57" w:type="dxa"/>
            </w:tcMar>
            <w:vAlign w:val="bottom"/>
          </w:tcPr>
          <w:p w14:paraId="08DABADA" w14:textId="77777777" w:rsidR="002655EE" w:rsidRPr="003404DE" w:rsidRDefault="002655EE" w:rsidP="00FA1064">
            <w:pPr>
              <w:widowControl w:val="0"/>
              <w:shd w:val="clear" w:color="auto" w:fill="FFFFFF" w:themeFill="background1"/>
              <w:kinsoku w:val="0"/>
              <w:overflowPunct w:val="0"/>
              <w:autoSpaceDE w:val="0"/>
              <w:autoSpaceDN w:val="0"/>
              <w:adjustRightInd w:val="0"/>
              <w:spacing w:before="0" w:after="0"/>
              <w:ind w:left="124" w:right="216"/>
              <w:jc w:val="center"/>
              <w:textAlignment w:val="baseline"/>
              <w:rPr>
                <w:rFonts w:cs="Arial"/>
                <w:color w:val="000000"/>
                <w:szCs w:val="18"/>
                <w:lang w:eastAsia="fr-FR"/>
              </w:rPr>
            </w:pPr>
            <w:r w:rsidRPr="0090387F">
              <w:rPr>
                <w:rFonts w:cs="Calibri"/>
                <w:bCs/>
                <w:color w:val="000000"/>
              </w:rPr>
              <w:t>5160</w:t>
            </w:r>
          </w:p>
        </w:tc>
        <w:tc>
          <w:tcPr>
            <w:tcW w:w="1653" w:type="pct"/>
            <w:vMerge/>
            <w:shd w:val="clear" w:color="auto" w:fill="auto"/>
            <w:vAlign w:val="center"/>
          </w:tcPr>
          <w:p w14:paraId="4A3EEEF3"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209BA5E6" w14:textId="77777777" w:rsidTr="001B7765">
        <w:trPr>
          <w:trHeight w:val="177"/>
          <w:tblHeader/>
        </w:trPr>
        <w:tc>
          <w:tcPr>
            <w:tcW w:w="421" w:type="pct"/>
            <w:vMerge/>
            <w:shd w:val="clear" w:color="auto" w:fill="auto"/>
            <w:tcMar>
              <w:top w:w="57" w:type="dxa"/>
              <w:bottom w:w="57" w:type="dxa"/>
            </w:tcMar>
          </w:tcPr>
          <w:p w14:paraId="1CEEFC70"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17571A73"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7E29F8">
              <w:rPr>
                <w:rFonts w:cs="Arial"/>
                <w:color w:val="000000"/>
                <w:szCs w:val="18"/>
                <w:lang w:eastAsia="fr-FR"/>
              </w:rPr>
              <w:t>Child (2 to &lt;6 years old)</w:t>
            </w:r>
          </w:p>
        </w:tc>
        <w:tc>
          <w:tcPr>
            <w:tcW w:w="724" w:type="pct"/>
            <w:tcBorders>
              <w:top w:val="nil"/>
              <w:left w:val="single" w:sz="4" w:space="0" w:color="auto"/>
              <w:bottom w:val="single" w:sz="4" w:space="0" w:color="auto"/>
              <w:right w:val="single" w:sz="4" w:space="0" w:color="auto"/>
            </w:tcBorders>
            <w:shd w:val="clear" w:color="auto" w:fill="auto"/>
            <w:tcMar>
              <w:top w:w="57" w:type="dxa"/>
              <w:bottom w:w="57" w:type="dxa"/>
            </w:tcMar>
            <w:vAlign w:val="bottom"/>
          </w:tcPr>
          <w:p w14:paraId="039E6561" w14:textId="77777777" w:rsidR="002655EE" w:rsidRPr="003404DE" w:rsidRDefault="002655EE" w:rsidP="00FA1064">
            <w:pPr>
              <w:widowControl w:val="0"/>
              <w:shd w:val="clear" w:color="auto" w:fill="FFFFFF" w:themeFill="background1"/>
              <w:kinsoku w:val="0"/>
              <w:overflowPunct w:val="0"/>
              <w:autoSpaceDE w:val="0"/>
              <w:autoSpaceDN w:val="0"/>
              <w:adjustRightInd w:val="0"/>
              <w:spacing w:before="0" w:after="0"/>
              <w:ind w:left="124" w:right="216"/>
              <w:jc w:val="center"/>
              <w:textAlignment w:val="baseline"/>
              <w:rPr>
                <w:rFonts w:cs="Arial"/>
                <w:color w:val="000000"/>
                <w:szCs w:val="18"/>
                <w:lang w:eastAsia="fr-FR"/>
              </w:rPr>
            </w:pPr>
            <w:r w:rsidRPr="0090387F">
              <w:rPr>
                <w:rFonts w:cs="Calibri"/>
                <w:bCs/>
                <w:color w:val="000000"/>
              </w:rPr>
              <w:t>3981</w:t>
            </w:r>
          </w:p>
        </w:tc>
        <w:tc>
          <w:tcPr>
            <w:tcW w:w="1653" w:type="pct"/>
            <w:vMerge/>
            <w:shd w:val="clear" w:color="auto" w:fill="auto"/>
            <w:vAlign w:val="center"/>
          </w:tcPr>
          <w:p w14:paraId="6EA3E52B"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2FCF5D83" w14:textId="77777777" w:rsidTr="001B7765">
        <w:trPr>
          <w:trHeight w:val="177"/>
          <w:tblHeader/>
        </w:trPr>
        <w:tc>
          <w:tcPr>
            <w:tcW w:w="421" w:type="pct"/>
            <w:vMerge/>
            <w:shd w:val="clear" w:color="auto" w:fill="auto"/>
            <w:tcMar>
              <w:top w:w="57" w:type="dxa"/>
              <w:bottom w:w="57" w:type="dxa"/>
            </w:tcMar>
          </w:tcPr>
          <w:p w14:paraId="0E382506"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1AF12110"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7E29F8">
              <w:rPr>
                <w:rFonts w:cs="Arial"/>
                <w:color w:val="000000"/>
                <w:szCs w:val="18"/>
                <w:lang w:eastAsia="fr-FR"/>
              </w:rPr>
              <w:t>Toddler (1 to &lt;2 years old)</w:t>
            </w:r>
          </w:p>
        </w:tc>
        <w:tc>
          <w:tcPr>
            <w:tcW w:w="724" w:type="pct"/>
            <w:tcBorders>
              <w:top w:val="nil"/>
              <w:left w:val="single" w:sz="4" w:space="0" w:color="auto"/>
              <w:bottom w:val="single" w:sz="4" w:space="0" w:color="auto"/>
              <w:right w:val="single" w:sz="4" w:space="0" w:color="auto"/>
            </w:tcBorders>
            <w:shd w:val="clear" w:color="auto" w:fill="auto"/>
            <w:tcMar>
              <w:top w:w="57" w:type="dxa"/>
              <w:bottom w:w="57" w:type="dxa"/>
            </w:tcMar>
            <w:vAlign w:val="bottom"/>
          </w:tcPr>
          <w:p w14:paraId="2F8E1A09" w14:textId="77777777" w:rsidR="002655EE" w:rsidRPr="003404DE" w:rsidRDefault="002655EE" w:rsidP="00FA1064">
            <w:pPr>
              <w:widowControl w:val="0"/>
              <w:shd w:val="clear" w:color="auto" w:fill="FFFFFF" w:themeFill="background1"/>
              <w:kinsoku w:val="0"/>
              <w:overflowPunct w:val="0"/>
              <w:autoSpaceDE w:val="0"/>
              <w:autoSpaceDN w:val="0"/>
              <w:adjustRightInd w:val="0"/>
              <w:spacing w:before="0" w:after="0"/>
              <w:ind w:left="124" w:right="216"/>
              <w:jc w:val="center"/>
              <w:textAlignment w:val="baseline"/>
              <w:rPr>
                <w:rFonts w:cs="Arial"/>
                <w:color w:val="000000"/>
                <w:szCs w:val="18"/>
                <w:lang w:eastAsia="fr-FR"/>
              </w:rPr>
            </w:pPr>
            <w:r w:rsidRPr="0090387F">
              <w:rPr>
                <w:rFonts w:cs="Calibri"/>
                <w:bCs/>
                <w:color w:val="000000"/>
              </w:rPr>
              <w:t>2861</w:t>
            </w:r>
          </w:p>
        </w:tc>
        <w:tc>
          <w:tcPr>
            <w:tcW w:w="1653" w:type="pct"/>
            <w:vMerge/>
            <w:shd w:val="clear" w:color="auto" w:fill="auto"/>
            <w:vAlign w:val="center"/>
          </w:tcPr>
          <w:p w14:paraId="7989A016"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14" w:right="-72" w:firstLine="14"/>
              <w:textAlignment w:val="baseline"/>
              <w:rPr>
                <w:rFonts w:cs="Arial"/>
                <w:bCs/>
                <w:spacing w:val="1"/>
                <w:lang w:eastAsia="fr-FR"/>
              </w:rPr>
            </w:pPr>
          </w:p>
        </w:tc>
      </w:tr>
      <w:tr w:rsidR="002655EE" w:rsidRPr="007E29F8" w14:paraId="48297500" w14:textId="77777777" w:rsidTr="001B7765">
        <w:trPr>
          <w:trHeight w:val="177"/>
          <w:tblHeader/>
        </w:trPr>
        <w:tc>
          <w:tcPr>
            <w:tcW w:w="421" w:type="pct"/>
            <w:vMerge/>
            <w:shd w:val="clear" w:color="auto" w:fill="auto"/>
            <w:tcMar>
              <w:top w:w="57" w:type="dxa"/>
              <w:bottom w:w="57" w:type="dxa"/>
            </w:tcMar>
          </w:tcPr>
          <w:p w14:paraId="41432542"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5"/>
              <w:jc w:val="both"/>
              <w:textAlignment w:val="baseline"/>
              <w:rPr>
                <w:rFonts w:cs="Arial"/>
                <w:bCs/>
                <w:spacing w:val="1"/>
                <w:u w:val="single"/>
                <w:lang w:eastAsia="fr-FR"/>
              </w:rPr>
            </w:pPr>
          </w:p>
        </w:tc>
        <w:tc>
          <w:tcPr>
            <w:tcW w:w="2202" w:type="pct"/>
            <w:shd w:val="clear" w:color="auto" w:fill="auto"/>
            <w:tcMar>
              <w:top w:w="57" w:type="dxa"/>
              <w:bottom w:w="57" w:type="dxa"/>
            </w:tcMar>
            <w:vAlign w:val="center"/>
          </w:tcPr>
          <w:p w14:paraId="47F9376F"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79" w:right="25"/>
              <w:jc w:val="both"/>
              <w:textAlignment w:val="baseline"/>
              <w:rPr>
                <w:rFonts w:cs="Arial"/>
                <w:color w:val="000000"/>
                <w:szCs w:val="18"/>
                <w:lang w:eastAsia="fr-FR"/>
              </w:rPr>
            </w:pPr>
            <w:r w:rsidRPr="007E29F8">
              <w:rPr>
                <w:rFonts w:cs="Arial"/>
                <w:color w:val="000000"/>
                <w:szCs w:val="18"/>
                <w:lang w:eastAsia="fr-FR"/>
              </w:rPr>
              <w:t>Infant (&lt;1 year old)</w:t>
            </w:r>
          </w:p>
        </w:tc>
        <w:tc>
          <w:tcPr>
            <w:tcW w:w="724" w:type="pct"/>
            <w:tcBorders>
              <w:top w:val="nil"/>
              <w:left w:val="single" w:sz="4" w:space="0" w:color="auto"/>
              <w:bottom w:val="single" w:sz="4" w:space="0" w:color="auto"/>
              <w:right w:val="single" w:sz="4" w:space="0" w:color="auto"/>
            </w:tcBorders>
            <w:shd w:val="clear" w:color="auto" w:fill="auto"/>
            <w:tcMar>
              <w:top w:w="57" w:type="dxa"/>
              <w:bottom w:w="57" w:type="dxa"/>
            </w:tcMar>
            <w:vAlign w:val="bottom"/>
          </w:tcPr>
          <w:p w14:paraId="3ED06ABA" w14:textId="77777777" w:rsidR="002655EE" w:rsidRPr="003404DE" w:rsidRDefault="002655EE" w:rsidP="00FA1064">
            <w:pPr>
              <w:widowControl w:val="0"/>
              <w:shd w:val="clear" w:color="auto" w:fill="FFFFFF" w:themeFill="background1"/>
              <w:kinsoku w:val="0"/>
              <w:overflowPunct w:val="0"/>
              <w:autoSpaceDE w:val="0"/>
              <w:autoSpaceDN w:val="0"/>
              <w:adjustRightInd w:val="0"/>
              <w:spacing w:before="0" w:after="0"/>
              <w:ind w:left="124" w:right="216"/>
              <w:jc w:val="center"/>
              <w:textAlignment w:val="baseline"/>
              <w:rPr>
                <w:rFonts w:cs="Arial"/>
                <w:color w:val="000000"/>
                <w:szCs w:val="18"/>
                <w:lang w:eastAsia="fr-FR"/>
              </w:rPr>
            </w:pPr>
            <w:r w:rsidRPr="0090387F">
              <w:rPr>
                <w:rFonts w:cs="Calibri"/>
                <w:bCs/>
                <w:color w:val="000000"/>
              </w:rPr>
              <w:t>2444</w:t>
            </w:r>
          </w:p>
        </w:tc>
        <w:tc>
          <w:tcPr>
            <w:tcW w:w="1653" w:type="pct"/>
            <w:vMerge/>
            <w:shd w:val="clear" w:color="auto" w:fill="auto"/>
            <w:vAlign w:val="center"/>
          </w:tcPr>
          <w:p w14:paraId="5C9B2D65"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left="-14" w:right="-72" w:firstLine="14"/>
              <w:textAlignment w:val="baseline"/>
              <w:rPr>
                <w:rFonts w:cs="Arial"/>
                <w:bCs/>
                <w:spacing w:val="1"/>
                <w:lang w:eastAsia="fr-FR"/>
              </w:rPr>
            </w:pPr>
          </w:p>
        </w:tc>
      </w:tr>
    </w:tbl>
    <w:p w14:paraId="797A5DC2"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b/>
          <w:i/>
          <w:spacing w:val="1"/>
          <w:u w:val="single"/>
          <w:lang w:eastAsia="fr-FR"/>
        </w:rPr>
      </w:pPr>
    </w:p>
    <w:p w14:paraId="666BD6BB" w14:textId="77777777"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spacing w:val="1"/>
          <w:u w:val="single"/>
          <w:lang w:eastAsia="fr-FR"/>
        </w:rPr>
      </w:pPr>
    </w:p>
    <w:p w14:paraId="40611194" w14:textId="4AC1E877" w:rsidR="002655EE" w:rsidRDefault="002655E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r w:rsidRPr="007E29F8">
        <w:rPr>
          <w:rFonts w:cs="Arial"/>
          <w:spacing w:val="1"/>
          <w:u w:val="single"/>
          <w:lang w:eastAsia="fr-FR"/>
        </w:rPr>
        <w:t>Calculations for Scenario [6a]</w:t>
      </w:r>
      <w:r w:rsidRPr="007E29F8">
        <w:rPr>
          <w:rFonts w:cs="Arial"/>
          <w:spacing w:val="1"/>
          <w:lang w:eastAsia="fr-FR"/>
        </w:rPr>
        <w:t xml:space="preserve"> - ticks, </w:t>
      </w:r>
      <w:r w:rsidRPr="007E29F8">
        <w:rPr>
          <w:rFonts w:cs="Arial"/>
          <w:bCs/>
        </w:rPr>
        <w:t>8.5 g/m² of fabric</w:t>
      </w:r>
    </w:p>
    <w:p w14:paraId="0C000C21" w14:textId="77777777" w:rsidR="004F653E" w:rsidRPr="007E29F8" w:rsidRDefault="004F653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7E29F8" w14:paraId="0E5A739B" w14:textId="77777777" w:rsidTr="002655EE">
        <w:trPr>
          <w:cantSplit/>
          <w:trHeight w:val="140"/>
          <w:tblHeader/>
        </w:trPr>
        <w:tc>
          <w:tcPr>
            <w:tcW w:w="5000" w:type="pct"/>
            <w:gridSpan w:val="3"/>
            <w:shd w:val="clear" w:color="auto" w:fill="FFFFCC"/>
          </w:tcPr>
          <w:p w14:paraId="66EC3281" w14:textId="77777777" w:rsidR="002655EE" w:rsidRPr="007E29F8" w:rsidRDefault="002655EE" w:rsidP="00FA1064">
            <w:pPr>
              <w:pStyle w:val="Standaard-Tabellen"/>
              <w:shd w:val="clear" w:color="auto" w:fill="FFFFFF" w:themeFill="background1"/>
              <w:rPr>
                <w:rFonts w:eastAsia="Calibri"/>
                <w:b/>
                <w:sz w:val="20"/>
              </w:rPr>
            </w:pPr>
            <w:r w:rsidRPr="007E29F8">
              <w:rPr>
                <w:rFonts w:eastAsia="Calibri"/>
                <w:b/>
                <w:sz w:val="20"/>
              </w:rPr>
              <w:t>Summary table: estimated exposure for Dermal Primary exposure</w:t>
            </w:r>
          </w:p>
        </w:tc>
      </w:tr>
      <w:tr w:rsidR="002655EE" w:rsidRPr="007E29F8" w14:paraId="4DD52B1F" w14:textId="77777777" w:rsidTr="00FA1064">
        <w:trPr>
          <w:cantSplit/>
          <w:trHeight w:val="140"/>
          <w:tblHeader/>
        </w:trPr>
        <w:tc>
          <w:tcPr>
            <w:tcW w:w="1842" w:type="pct"/>
            <w:shd w:val="clear" w:color="auto" w:fill="BFBFBF" w:themeFill="background1" w:themeFillShade="BF"/>
          </w:tcPr>
          <w:p w14:paraId="3F11B4A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Exposure scenario</w:t>
            </w:r>
          </w:p>
        </w:tc>
        <w:tc>
          <w:tcPr>
            <w:tcW w:w="1398" w:type="pct"/>
            <w:shd w:val="clear" w:color="auto" w:fill="BFBFBF" w:themeFill="background1" w:themeFillShade="BF"/>
          </w:tcPr>
          <w:p w14:paraId="254B94F4"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Tier/PPE</w:t>
            </w:r>
          </w:p>
        </w:tc>
        <w:tc>
          <w:tcPr>
            <w:tcW w:w="1760" w:type="pct"/>
            <w:shd w:val="clear" w:color="auto" w:fill="FFFFFF" w:themeFill="background1"/>
          </w:tcPr>
          <w:p w14:paraId="5F9E0FE8"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both"/>
              <w:textAlignment w:val="baseline"/>
              <w:rPr>
                <w:rFonts w:cs="Arial"/>
                <w:b/>
                <w:bCs/>
                <w:spacing w:val="1"/>
                <w:lang w:eastAsia="fr-FR"/>
              </w:rPr>
            </w:pPr>
            <w:r w:rsidRPr="007E29F8">
              <w:rPr>
                <w:rFonts w:cs="Arial"/>
                <w:b/>
                <w:bCs/>
                <w:spacing w:val="1"/>
                <w:lang w:eastAsia="fr-FR"/>
              </w:rPr>
              <w:t>Estimated dermal uptake (mg/kg bw/d)</w:t>
            </w:r>
          </w:p>
        </w:tc>
      </w:tr>
      <w:tr w:rsidR="002655EE" w:rsidRPr="007E29F8" w14:paraId="7C8EAF0B" w14:textId="77777777" w:rsidTr="00FA1064">
        <w:trPr>
          <w:cantSplit/>
          <w:trHeight w:val="282"/>
          <w:tblHeader/>
        </w:trPr>
        <w:tc>
          <w:tcPr>
            <w:tcW w:w="1842" w:type="pct"/>
            <w:shd w:val="clear" w:color="auto" w:fill="FFFFFF" w:themeFill="background1"/>
            <w:vAlign w:val="center"/>
          </w:tcPr>
          <w:p w14:paraId="05E41710"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7E29F8">
              <w:rPr>
                <w:rFonts w:cs="Arial"/>
                <w:color w:val="000000"/>
                <w:lang w:eastAsia="fr-FR"/>
              </w:rPr>
              <w:t>Adult</w:t>
            </w:r>
          </w:p>
        </w:tc>
        <w:tc>
          <w:tcPr>
            <w:tcW w:w="1398" w:type="pct"/>
            <w:shd w:val="clear" w:color="auto" w:fill="FFFFFF" w:themeFill="background1"/>
            <w:vAlign w:val="center"/>
          </w:tcPr>
          <w:p w14:paraId="1A556947"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bottom"/>
          </w:tcPr>
          <w:p w14:paraId="59B47F90"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7E29F8">
              <w:rPr>
                <w:rFonts w:cs="Calibri"/>
                <w:color w:val="000000"/>
              </w:rPr>
              <w:t xml:space="preserve">2.86   </w:t>
            </w:r>
          </w:p>
        </w:tc>
      </w:tr>
      <w:tr w:rsidR="002655EE" w:rsidRPr="007E29F8" w14:paraId="507596A8" w14:textId="77777777" w:rsidTr="00FA1064">
        <w:trPr>
          <w:cantSplit/>
          <w:trHeight w:val="209"/>
          <w:tblHeader/>
        </w:trPr>
        <w:tc>
          <w:tcPr>
            <w:tcW w:w="1842" w:type="pct"/>
            <w:shd w:val="clear" w:color="auto" w:fill="FFFFFF" w:themeFill="background1"/>
            <w:vAlign w:val="center"/>
          </w:tcPr>
          <w:p w14:paraId="08DE433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7E29F8">
              <w:rPr>
                <w:rFonts w:cs="Arial"/>
                <w:color w:val="000000"/>
                <w:lang w:eastAsia="fr-FR"/>
              </w:rPr>
              <w:t>Child (6 to &lt;12 years old)</w:t>
            </w:r>
          </w:p>
        </w:tc>
        <w:tc>
          <w:tcPr>
            <w:tcW w:w="1398" w:type="pct"/>
            <w:shd w:val="clear" w:color="auto" w:fill="FFFFFF" w:themeFill="background1"/>
          </w:tcPr>
          <w:p w14:paraId="51C659F2"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bottom"/>
          </w:tcPr>
          <w:p w14:paraId="41756A2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7E29F8">
              <w:rPr>
                <w:rFonts w:cs="Calibri"/>
                <w:color w:val="000000"/>
              </w:rPr>
              <w:t xml:space="preserve">3.98   </w:t>
            </w:r>
          </w:p>
        </w:tc>
      </w:tr>
      <w:tr w:rsidR="002655EE" w:rsidRPr="007E29F8" w14:paraId="319ADF71" w14:textId="77777777" w:rsidTr="00FA1064">
        <w:trPr>
          <w:cantSplit/>
          <w:trHeight w:val="286"/>
          <w:tblHeader/>
        </w:trPr>
        <w:tc>
          <w:tcPr>
            <w:tcW w:w="1842" w:type="pct"/>
            <w:shd w:val="clear" w:color="auto" w:fill="FFFFFF" w:themeFill="background1"/>
            <w:vAlign w:val="center"/>
          </w:tcPr>
          <w:p w14:paraId="4A2191FC"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7E29F8">
              <w:rPr>
                <w:rFonts w:cs="Arial"/>
                <w:color w:val="000000"/>
                <w:lang w:eastAsia="fr-FR"/>
              </w:rPr>
              <w:t>Child (2 to &lt;6 years old)</w:t>
            </w:r>
          </w:p>
        </w:tc>
        <w:tc>
          <w:tcPr>
            <w:tcW w:w="1398" w:type="pct"/>
            <w:shd w:val="clear" w:color="auto" w:fill="FFFFFF" w:themeFill="background1"/>
          </w:tcPr>
          <w:p w14:paraId="04EA3A0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bottom"/>
          </w:tcPr>
          <w:p w14:paraId="28C1E5D5"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7E29F8">
              <w:rPr>
                <w:rFonts w:cs="Calibri"/>
                <w:color w:val="000000"/>
              </w:rPr>
              <w:t xml:space="preserve">4.35   </w:t>
            </w:r>
          </w:p>
        </w:tc>
      </w:tr>
      <w:tr w:rsidR="002655EE" w:rsidRPr="007E29F8" w14:paraId="3CE81A3E" w14:textId="77777777" w:rsidTr="00FA1064">
        <w:trPr>
          <w:cantSplit/>
          <w:trHeight w:val="282"/>
          <w:tblHeader/>
        </w:trPr>
        <w:tc>
          <w:tcPr>
            <w:tcW w:w="1842" w:type="pct"/>
            <w:shd w:val="clear" w:color="auto" w:fill="FFFFFF" w:themeFill="background1"/>
            <w:vAlign w:val="center"/>
          </w:tcPr>
          <w:p w14:paraId="1D7ABB55"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7E29F8">
              <w:rPr>
                <w:rFonts w:cs="Arial"/>
                <w:color w:val="000000"/>
                <w:lang w:eastAsia="fr-FR"/>
              </w:rPr>
              <w:t>Toddler (1 to &lt;2 years old)</w:t>
            </w:r>
          </w:p>
        </w:tc>
        <w:tc>
          <w:tcPr>
            <w:tcW w:w="1398" w:type="pct"/>
            <w:shd w:val="clear" w:color="auto" w:fill="FFFFFF" w:themeFill="background1"/>
          </w:tcPr>
          <w:p w14:paraId="08717816"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bottom"/>
          </w:tcPr>
          <w:p w14:paraId="04188D0F"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7E29F8">
              <w:rPr>
                <w:rFonts w:cs="Calibri"/>
                <w:color w:val="000000"/>
              </w:rPr>
              <w:t xml:space="preserve">4.74   </w:t>
            </w:r>
          </w:p>
        </w:tc>
      </w:tr>
      <w:tr w:rsidR="002655EE" w:rsidRPr="007E29F8" w14:paraId="5365FB1A" w14:textId="77777777" w:rsidTr="00FA1064">
        <w:trPr>
          <w:cantSplit/>
          <w:trHeight w:val="282"/>
          <w:tblHeader/>
        </w:trPr>
        <w:tc>
          <w:tcPr>
            <w:tcW w:w="1842" w:type="pct"/>
            <w:tcBorders>
              <w:bottom w:val="double" w:sz="4" w:space="0" w:color="auto"/>
            </w:tcBorders>
            <w:shd w:val="clear" w:color="auto" w:fill="FFFFFF" w:themeFill="background1"/>
            <w:vAlign w:val="center"/>
          </w:tcPr>
          <w:p w14:paraId="2F43934B"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7E29F8">
              <w:rPr>
                <w:rFonts w:cs="Arial"/>
                <w:color w:val="000000"/>
                <w:lang w:eastAsia="fr-FR"/>
              </w:rPr>
              <w:t>Infant (&lt;1 year old)</w:t>
            </w:r>
          </w:p>
        </w:tc>
        <w:tc>
          <w:tcPr>
            <w:tcW w:w="1398" w:type="pct"/>
            <w:tcBorders>
              <w:bottom w:val="double" w:sz="4" w:space="0" w:color="auto"/>
            </w:tcBorders>
            <w:shd w:val="clear" w:color="auto" w:fill="FFFFFF" w:themeFill="background1"/>
          </w:tcPr>
          <w:p w14:paraId="4E7664C2"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bottom w:val="double" w:sz="4" w:space="0" w:color="auto"/>
            </w:tcBorders>
            <w:shd w:val="clear" w:color="auto" w:fill="FFFFFF" w:themeFill="background1"/>
            <w:vAlign w:val="bottom"/>
          </w:tcPr>
          <w:p w14:paraId="2F044F61"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7E29F8">
              <w:rPr>
                <w:rFonts w:cs="Calibri"/>
                <w:color w:val="000000"/>
              </w:rPr>
              <w:t xml:space="preserve">5.06   </w:t>
            </w:r>
          </w:p>
        </w:tc>
      </w:tr>
    </w:tbl>
    <w:p w14:paraId="0A5EFD80"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p>
    <w:p w14:paraId="379680FF" w14:textId="2FF5C7BC" w:rsidR="002655EE" w:rsidRDefault="002655E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Cs/>
        </w:rPr>
      </w:pPr>
      <w:r w:rsidRPr="007E29F8">
        <w:rPr>
          <w:rFonts w:cs="Arial"/>
          <w:spacing w:val="1"/>
          <w:u w:val="single"/>
          <w:lang w:eastAsia="fr-FR"/>
        </w:rPr>
        <w:t>Calculations for Scenario [6b]</w:t>
      </w:r>
      <w:r w:rsidRPr="007E29F8">
        <w:rPr>
          <w:rFonts w:cs="Arial"/>
          <w:spacing w:val="1"/>
          <w:lang w:eastAsia="fr-FR"/>
        </w:rPr>
        <w:t xml:space="preserve"> - mosquitos, </w:t>
      </w:r>
      <w:r w:rsidRPr="007E29F8">
        <w:rPr>
          <w:rFonts w:cs="Arial"/>
          <w:bCs/>
        </w:rPr>
        <w:t>6 g/m² of fabric</w:t>
      </w:r>
    </w:p>
    <w:p w14:paraId="02FC4E5E" w14:textId="77777777" w:rsidR="004F653E" w:rsidRPr="004F653E" w:rsidRDefault="004F653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Cs/>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7E29F8" w14:paraId="50DEFF33" w14:textId="77777777" w:rsidTr="002655EE">
        <w:trPr>
          <w:cantSplit/>
          <w:trHeight w:val="140"/>
          <w:tblHeader/>
        </w:trPr>
        <w:tc>
          <w:tcPr>
            <w:tcW w:w="5000" w:type="pct"/>
            <w:gridSpan w:val="3"/>
            <w:shd w:val="clear" w:color="auto" w:fill="FFFFCC"/>
          </w:tcPr>
          <w:p w14:paraId="23DF8431" w14:textId="77777777" w:rsidR="002655EE" w:rsidRPr="007E29F8" w:rsidRDefault="002655EE" w:rsidP="00FA1064">
            <w:pPr>
              <w:pStyle w:val="Standaard-Tabellen"/>
              <w:shd w:val="clear" w:color="auto" w:fill="FFFFFF" w:themeFill="background1"/>
              <w:rPr>
                <w:rFonts w:eastAsia="Calibri"/>
                <w:b/>
                <w:sz w:val="20"/>
              </w:rPr>
            </w:pPr>
            <w:r w:rsidRPr="007E29F8">
              <w:rPr>
                <w:rFonts w:eastAsia="Calibri"/>
                <w:b/>
                <w:sz w:val="20"/>
              </w:rPr>
              <w:t>Summary table: estimated exposure for Dermal Primary exposure</w:t>
            </w:r>
          </w:p>
        </w:tc>
      </w:tr>
      <w:tr w:rsidR="002655EE" w:rsidRPr="007E29F8" w14:paraId="0CD7714C" w14:textId="77777777" w:rsidTr="002655EE">
        <w:trPr>
          <w:cantSplit/>
          <w:trHeight w:val="140"/>
          <w:tblHeader/>
        </w:trPr>
        <w:tc>
          <w:tcPr>
            <w:tcW w:w="1842" w:type="pct"/>
            <w:shd w:val="clear" w:color="auto" w:fill="BFBFBF" w:themeFill="background1" w:themeFillShade="BF"/>
          </w:tcPr>
          <w:p w14:paraId="15F13899"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Exposure scenario</w:t>
            </w:r>
          </w:p>
        </w:tc>
        <w:tc>
          <w:tcPr>
            <w:tcW w:w="1398" w:type="pct"/>
            <w:shd w:val="clear" w:color="auto" w:fill="BFBFBF" w:themeFill="background1" w:themeFillShade="BF"/>
          </w:tcPr>
          <w:p w14:paraId="6214FCBA"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Tier/PPE</w:t>
            </w:r>
          </w:p>
        </w:tc>
        <w:tc>
          <w:tcPr>
            <w:tcW w:w="1760" w:type="pct"/>
            <w:shd w:val="clear" w:color="auto" w:fill="BFBFBF" w:themeFill="background1" w:themeFillShade="BF"/>
          </w:tcPr>
          <w:p w14:paraId="5A305FC8"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both"/>
              <w:textAlignment w:val="baseline"/>
              <w:rPr>
                <w:rFonts w:cs="Arial"/>
                <w:b/>
                <w:bCs/>
                <w:spacing w:val="1"/>
                <w:lang w:eastAsia="fr-FR"/>
              </w:rPr>
            </w:pPr>
            <w:r w:rsidRPr="007E29F8">
              <w:rPr>
                <w:rFonts w:cs="Arial"/>
                <w:b/>
                <w:bCs/>
                <w:spacing w:val="1"/>
                <w:lang w:eastAsia="fr-FR"/>
              </w:rPr>
              <w:t>Estimated dermal uptake (mg/kg bw/d)</w:t>
            </w:r>
          </w:p>
        </w:tc>
      </w:tr>
      <w:tr w:rsidR="002655EE" w:rsidRPr="007E29F8" w14:paraId="31FF525B" w14:textId="77777777" w:rsidTr="00FA1064">
        <w:trPr>
          <w:cantSplit/>
          <w:trHeight w:val="282"/>
          <w:tblHeader/>
        </w:trPr>
        <w:tc>
          <w:tcPr>
            <w:tcW w:w="1842" w:type="pct"/>
            <w:shd w:val="clear" w:color="auto" w:fill="FFFFFF" w:themeFill="background1"/>
            <w:vAlign w:val="center"/>
          </w:tcPr>
          <w:p w14:paraId="40222AD4"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7E29F8">
              <w:rPr>
                <w:rFonts w:cs="Arial"/>
                <w:color w:val="000000"/>
                <w:lang w:eastAsia="fr-FR"/>
              </w:rPr>
              <w:t>Adult</w:t>
            </w:r>
          </w:p>
        </w:tc>
        <w:tc>
          <w:tcPr>
            <w:tcW w:w="1398" w:type="pct"/>
            <w:shd w:val="clear" w:color="auto" w:fill="FFFFFF" w:themeFill="background1"/>
            <w:vAlign w:val="center"/>
          </w:tcPr>
          <w:p w14:paraId="79D1E606"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bottom"/>
          </w:tcPr>
          <w:p w14:paraId="04725A50"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7E29F8">
              <w:rPr>
                <w:rFonts w:cs="Calibri"/>
                <w:color w:val="000000"/>
              </w:rPr>
              <w:t xml:space="preserve">2.02   </w:t>
            </w:r>
          </w:p>
        </w:tc>
      </w:tr>
      <w:tr w:rsidR="002655EE" w:rsidRPr="007E29F8" w14:paraId="21038FA9" w14:textId="77777777" w:rsidTr="00FA1064">
        <w:trPr>
          <w:cantSplit/>
          <w:trHeight w:val="209"/>
          <w:tblHeader/>
        </w:trPr>
        <w:tc>
          <w:tcPr>
            <w:tcW w:w="1842" w:type="pct"/>
            <w:shd w:val="clear" w:color="auto" w:fill="FFFFFF" w:themeFill="background1"/>
            <w:vAlign w:val="center"/>
          </w:tcPr>
          <w:p w14:paraId="2B0735B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7E29F8">
              <w:rPr>
                <w:rFonts w:cs="Arial"/>
                <w:color w:val="000000"/>
                <w:lang w:eastAsia="fr-FR"/>
              </w:rPr>
              <w:t>Child (6 to &lt;12 years old)</w:t>
            </w:r>
          </w:p>
        </w:tc>
        <w:tc>
          <w:tcPr>
            <w:tcW w:w="1398" w:type="pct"/>
            <w:shd w:val="clear" w:color="auto" w:fill="FFFFFF" w:themeFill="background1"/>
          </w:tcPr>
          <w:p w14:paraId="4EA574D7"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bottom"/>
          </w:tcPr>
          <w:p w14:paraId="3C804C80"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7E29F8">
              <w:rPr>
                <w:rFonts w:cs="Calibri"/>
                <w:color w:val="000000"/>
              </w:rPr>
              <w:t xml:space="preserve">2.81   </w:t>
            </w:r>
          </w:p>
        </w:tc>
      </w:tr>
      <w:tr w:rsidR="002655EE" w:rsidRPr="007E29F8" w14:paraId="446448E2" w14:textId="77777777" w:rsidTr="00FA1064">
        <w:trPr>
          <w:cantSplit/>
          <w:trHeight w:val="286"/>
          <w:tblHeader/>
        </w:trPr>
        <w:tc>
          <w:tcPr>
            <w:tcW w:w="1842" w:type="pct"/>
            <w:shd w:val="clear" w:color="auto" w:fill="FFFFFF" w:themeFill="background1"/>
            <w:vAlign w:val="center"/>
          </w:tcPr>
          <w:p w14:paraId="20AB12F9"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7E29F8">
              <w:rPr>
                <w:rFonts w:cs="Arial"/>
                <w:color w:val="000000"/>
                <w:lang w:eastAsia="fr-FR"/>
              </w:rPr>
              <w:t>Child (2 to &lt;6 years old)</w:t>
            </w:r>
          </w:p>
        </w:tc>
        <w:tc>
          <w:tcPr>
            <w:tcW w:w="1398" w:type="pct"/>
            <w:shd w:val="clear" w:color="auto" w:fill="FFFFFF" w:themeFill="background1"/>
          </w:tcPr>
          <w:p w14:paraId="5E03A65C"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bottom"/>
          </w:tcPr>
          <w:p w14:paraId="4D11F156"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7E29F8">
              <w:rPr>
                <w:rFonts w:cs="Calibri"/>
                <w:color w:val="000000"/>
              </w:rPr>
              <w:t xml:space="preserve">3.07   </w:t>
            </w:r>
          </w:p>
        </w:tc>
      </w:tr>
      <w:tr w:rsidR="002655EE" w:rsidRPr="007E29F8" w14:paraId="2B15C6F1" w14:textId="77777777" w:rsidTr="00FA1064">
        <w:trPr>
          <w:cantSplit/>
          <w:trHeight w:val="282"/>
          <w:tblHeader/>
        </w:trPr>
        <w:tc>
          <w:tcPr>
            <w:tcW w:w="1842" w:type="pct"/>
            <w:shd w:val="clear" w:color="auto" w:fill="FFFFFF" w:themeFill="background1"/>
            <w:vAlign w:val="center"/>
          </w:tcPr>
          <w:p w14:paraId="564CDB5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7E29F8">
              <w:rPr>
                <w:rFonts w:cs="Arial"/>
                <w:color w:val="000000"/>
                <w:lang w:eastAsia="fr-FR"/>
              </w:rPr>
              <w:t>Toddler (1 to &lt;2 years old)</w:t>
            </w:r>
          </w:p>
        </w:tc>
        <w:tc>
          <w:tcPr>
            <w:tcW w:w="1398" w:type="pct"/>
            <w:shd w:val="clear" w:color="auto" w:fill="FFFFFF" w:themeFill="background1"/>
          </w:tcPr>
          <w:p w14:paraId="5D889A1C"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bottom"/>
          </w:tcPr>
          <w:p w14:paraId="5C8D12C4"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7E29F8">
              <w:rPr>
                <w:rFonts w:cs="Calibri"/>
                <w:color w:val="000000"/>
              </w:rPr>
              <w:t xml:space="preserve">3.35   </w:t>
            </w:r>
          </w:p>
        </w:tc>
      </w:tr>
      <w:tr w:rsidR="002655EE" w:rsidRPr="007E29F8" w14:paraId="562096BC" w14:textId="77777777" w:rsidTr="00FA1064">
        <w:trPr>
          <w:cantSplit/>
          <w:trHeight w:val="282"/>
          <w:tblHeader/>
        </w:trPr>
        <w:tc>
          <w:tcPr>
            <w:tcW w:w="1842" w:type="pct"/>
            <w:tcBorders>
              <w:bottom w:val="double" w:sz="4" w:space="0" w:color="auto"/>
            </w:tcBorders>
            <w:shd w:val="clear" w:color="auto" w:fill="FFFFFF" w:themeFill="background1"/>
            <w:vAlign w:val="center"/>
          </w:tcPr>
          <w:p w14:paraId="7D7DC7F1"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7" w:right="216"/>
              <w:textAlignment w:val="baseline"/>
              <w:rPr>
                <w:rFonts w:cs="Arial"/>
                <w:bCs/>
                <w:spacing w:val="1"/>
                <w:u w:val="single"/>
                <w:lang w:eastAsia="fr-FR"/>
              </w:rPr>
            </w:pPr>
            <w:r w:rsidRPr="007E29F8">
              <w:rPr>
                <w:rFonts w:cs="Arial"/>
                <w:color w:val="000000"/>
                <w:lang w:eastAsia="fr-FR"/>
              </w:rPr>
              <w:t>Infant (&lt;1 year old)</w:t>
            </w:r>
          </w:p>
        </w:tc>
        <w:tc>
          <w:tcPr>
            <w:tcW w:w="1398" w:type="pct"/>
            <w:tcBorders>
              <w:bottom w:val="double" w:sz="4" w:space="0" w:color="auto"/>
            </w:tcBorders>
            <w:shd w:val="clear" w:color="auto" w:fill="FFFFFF" w:themeFill="background1"/>
          </w:tcPr>
          <w:p w14:paraId="5D6C51D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bottom w:val="double" w:sz="4" w:space="0" w:color="auto"/>
            </w:tcBorders>
            <w:shd w:val="clear" w:color="auto" w:fill="FFFFFF" w:themeFill="background1"/>
            <w:vAlign w:val="bottom"/>
          </w:tcPr>
          <w:p w14:paraId="1F8BED70"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68" w:right="117"/>
              <w:jc w:val="center"/>
              <w:textAlignment w:val="baseline"/>
              <w:rPr>
                <w:rFonts w:cs="Arial"/>
                <w:spacing w:val="1"/>
                <w:u w:val="single"/>
                <w:lang w:eastAsia="fr-FR"/>
              </w:rPr>
            </w:pPr>
            <w:r w:rsidRPr="007E29F8">
              <w:rPr>
                <w:rFonts w:cs="Calibri"/>
                <w:color w:val="000000"/>
              </w:rPr>
              <w:t xml:space="preserve">3.57   </w:t>
            </w:r>
          </w:p>
        </w:tc>
      </w:tr>
    </w:tbl>
    <w:p w14:paraId="3B439B37" w14:textId="77777777" w:rsidR="002655EE" w:rsidRDefault="002655EE" w:rsidP="008A2D32">
      <w:pPr>
        <w:widowControl w:val="0"/>
        <w:kinsoku w:val="0"/>
        <w:overflowPunct w:val="0"/>
        <w:autoSpaceDE w:val="0"/>
        <w:autoSpaceDN w:val="0"/>
        <w:adjustRightInd w:val="0"/>
        <w:spacing w:before="0" w:after="0" w:line="290" w:lineRule="exact"/>
        <w:ind w:right="216"/>
        <w:jc w:val="both"/>
        <w:textAlignment w:val="baseline"/>
        <w:rPr>
          <w:rFonts w:cs="Arial"/>
          <w:color w:val="000000"/>
          <w:sz w:val="18"/>
          <w:szCs w:val="18"/>
          <w:lang w:eastAsia="fr-FR"/>
        </w:rPr>
      </w:pPr>
    </w:p>
    <w:p w14:paraId="283989AE" w14:textId="27499ABF" w:rsidR="002655EE" w:rsidRDefault="002655E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r w:rsidRPr="007E29F8">
        <w:rPr>
          <w:rFonts w:cs="Arial"/>
          <w:spacing w:val="1"/>
          <w:u w:val="single"/>
          <w:lang w:eastAsia="fr-FR"/>
        </w:rPr>
        <w:t>Calculations for Scenario [6</w:t>
      </w:r>
      <w:r>
        <w:rPr>
          <w:rFonts w:cs="Arial"/>
          <w:spacing w:val="1"/>
          <w:u w:val="single"/>
          <w:lang w:eastAsia="fr-FR"/>
        </w:rPr>
        <w:t>c</w:t>
      </w:r>
      <w:r w:rsidRPr="007E29F8">
        <w:rPr>
          <w:rFonts w:cs="Arial"/>
          <w:spacing w:val="1"/>
          <w:u w:val="single"/>
          <w:lang w:eastAsia="fr-FR"/>
        </w:rPr>
        <w:t>]</w:t>
      </w:r>
      <w:r w:rsidRPr="007E29F8">
        <w:rPr>
          <w:rFonts w:cs="Arial"/>
          <w:spacing w:val="1"/>
          <w:lang w:eastAsia="fr-FR"/>
        </w:rPr>
        <w:t xml:space="preserve"> - ticks, </w:t>
      </w:r>
      <w:r w:rsidRPr="007E29F8">
        <w:rPr>
          <w:rFonts w:cs="Arial"/>
          <w:bCs/>
        </w:rPr>
        <w:t>8.5 g/m² of fabric</w:t>
      </w:r>
      <w:r>
        <w:rPr>
          <w:rFonts w:cs="Arial"/>
          <w:bCs/>
        </w:rPr>
        <w:t xml:space="preserve"> combined to skin application</w:t>
      </w:r>
    </w:p>
    <w:p w14:paraId="4DC26156" w14:textId="77777777" w:rsidR="004F653E" w:rsidRPr="007E29F8" w:rsidRDefault="004F653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7E29F8" w14:paraId="040061ED" w14:textId="77777777" w:rsidTr="002655EE">
        <w:trPr>
          <w:cantSplit/>
          <w:trHeight w:val="140"/>
          <w:tblHeader/>
        </w:trPr>
        <w:tc>
          <w:tcPr>
            <w:tcW w:w="5000" w:type="pct"/>
            <w:gridSpan w:val="3"/>
            <w:shd w:val="clear" w:color="auto" w:fill="FFFFCC"/>
          </w:tcPr>
          <w:p w14:paraId="4263A6BC" w14:textId="77777777" w:rsidR="002655EE" w:rsidRPr="007E29F8" w:rsidRDefault="002655EE" w:rsidP="002655EE">
            <w:pPr>
              <w:pStyle w:val="Standaard-Tabellen"/>
              <w:rPr>
                <w:rFonts w:eastAsia="Calibri"/>
                <w:b/>
                <w:sz w:val="20"/>
              </w:rPr>
            </w:pPr>
            <w:r w:rsidRPr="007E29F8">
              <w:rPr>
                <w:rFonts w:eastAsia="Calibri"/>
                <w:b/>
                <w:sz w:val="20"/>
              </w:rPr>
              <w:t>Summary table: estimated exposure for Dermal Primary exposure</w:t>
            </w:r>
          </w:p>
        </w:tc>
      </w:tr>
      <w:tr w:rsidR="002655EE" w:rsidRPr="007E29F8" w14:paraId="27EDE02B" w14:textId="77777777" w:rsidTr="00FA1064">
        <w:trPr>
          <w:cantSplit/>
          <w:trHeight w:val="140"/>
          <w:tblHeader/>
        </w:trPr>
        <w:tc>
          <w:tcPr>
            <w:tcW w:w="1842" w:type="pct"/>
            <w:tcBorders>
              <w:bottom w:val="single" w:sz="4" w:space="0" w:color="auto"/>
            </w:tcBorders>
            <w:shd w:val="clear" w:color="auto" w:fill="FFFFFF" w:themeFill="background1"/>
          </w:tcPr>
          <w:p w14:paraId="1DB97C98" w14:textId="77777777" w:rsidR="002655EE" w:rsidRPr="00FA1064" w:rsidRDefault="002655EE" w:rsidP="00FA1064">
            <w:pPr>
              <w:pStyle w:val="Standaard-Tabellen"/>
              <w:shd w:val="clear" w:color="auto" w:fill="FFFFFF" w:themeFill="background1"/>
              <w:rPr>
                <w:rFonts w:eastAsia="Calibri"/>
                <w:b/>
                <w:sz w:val="20"/>
              </w:rPr>
            </w:pPr>
            <w:r w:rsidRPr="00FA1064">
              <w:rPr>
                <w:rFonts w:eastAsia="Calibri"/>
                <w:b/>
                <w:sz w:val="20"/>
              </w:rPr>
              <w:t>Exposure scenario</w:t>
            </w:r>
          </w:p>
        </w:tc>
        <w:tc>
          <w:tcPr>
            <w:tcW w:w="1398" w:type="pct"/>
            <w:tcBorders>
              <w:bottom w:val="single" w:sz="4" w:space="0" w:color="auto"/>
            </w:tcBorders>
            <w:shd w:val="clear" w:color="auto" w:fill="FFFFFF" w:themeFill="background1"/>
          </w:tcPr>
          <w:p w14:paraId="6FED8F3C" w14:textId="77777777" w:rsidR="002655EE" w:rsidRPr="00FA1064" w:rsidRDefault="002655EE" w:rsidP="00FA1064">
            <w:pPr>
              <w:pStyle w:val="Standaard-Tabellen"/>
              <w:shd w:val="clear" w:color="auto" w:fill="FFFFFF" w:themeFill="background1"/>
              <w:rPr>
                <w:rFonts w:eastAsia="Calibri"/>
                <w:b/>
                <w:sz w:val="20"/>
              </w:rPr>
            </w:pPr>
            <w:r w:rsidRPr="00FA1064">
              <w:rPr>
                <w:rFonts w:eastAsia="Calibri"/>
                <w:b/>
                <w:sz w:val="20"/>
              </w:rPr>
              <w:t>Tier/PPE</w:t>
            </w:r>
          </w:p>
        </w:tc>
        <w:tc>
          <w:tcPr>
            <w:tcW w:w="1760" w:type="pct"/>
            <w:tcBorders>
              <w:bottom w:val="single" w:sz="4" w:space="0" w:color="auto"/>
            </w:tcBorders>
            <w:shd w:val="clear" w:color="auto" w:fill="FFFFFF" w:themeFill="background1"/>
          </w:tcPr>
          <w:p w14:paraId="079CDD99" w14:textId="77777777" w:rsidR="002655EE" w:rsidRPr="00FA1064" w:rsidRDefault="002655EE" w:rsidP="00FA1064">
            <w:pPr>
              <w:pStyle w:val="Standaard-Tabellen"/>
              <w:shd w:val="clear" w:color="auto" w:fill="FFFFFF" w:themeFill="background1"/>
              <w:rPr>
                <w:rFonts w:eastAsia="Calibri"/>
                <w:b/>
                <w:sz w:val="20"/>
              </w:rPr>
            </w:pPr>
            <w:r w:rsidRPr="00FA1064">
              <w:rPr>
                <w:rFonts w:eastAsia="Calibri"/>
                <w:b/>
                <w:sz w:val="20"/>
              </w:rPr>
              <w:t>Estimated dermal uptake (mg/kg bw/d)</w:t>
            </w:r>
          </w:p>
        </w:tc>
      </w:tr>
      <w:tr w:rsidR="002655EE" w:rsidRPr="00FA1064" w14:paraId="3930411C"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DA431"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Adult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0CC15"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B22B3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2.78</w:t>
            </w:r>
          </w:p>
        </w:tc>
      </w:tr>
      <w:tr w:rsidR="002655EE" w:rsidRPr="00FA1064" w14:paraId="30DE6587" w14:textId="77777777" w:rsidTr="00FA1064">
        <w:trPr>
          <w:cantSplit/>
          <w:trHeight w:val="209"/>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E932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(6 to &lt;12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A9F4F86"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BAAF28"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2.04</w:t>
            </w:r>
          </w:p>
        </w:tc>
      </w:tr>
      <w:tr w:rsidR="002655EE" w:rsidRPr="00FA1064" w14:paraId="017B917B" w14:textId="77777777" w:rsidTr="00FA1064">
        <w:trPr>
          <w:cantSplit/>
          <w:trHeight w:val="286"/>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9B74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(2 to &lt;6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4728B9F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741CA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2.30</w:t>
            </w:r>
          </w:p>
        </w:tc>
      </w:tr>
      <w:tr w:rsidR="002655EE" w:rsidRPr="00FA1064" w14:paraId="5904E4CB"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BD40"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Toddler (1 to &lt;2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24D133FA"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C3C262"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2.53</w:t>
            </w:r>
          </w:p>
        </w:tc>
      </w:tr>
      <w:tr w:rsidR="002655EE" w:rsidRPr="00FA1064" w14:paraId="79767F08"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2C9E"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Infant (&lt;1 year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61E8052"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2D71E0"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2.70</w:t>
            </w:r>
          </w:p>
        </w:tc>
      </w:tr>
    </w:tbl>
    <w:p w14:paraId="51F43BE2" w14:textId="77777777" w:rsidR="002655EE" w:rsidRPr="007E29F8" w:rsidRDefault="002655EE" w:rsidP="008A2D32">
      <w:pPr>
        <w:keepNext/>
        <w:widowControl w:val="0"/>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p>
    <w:p w14:paraId="18E0EF00" w14:textId="7A65E4D6" w:rsidR="002655EE" w:rsidRDefault="002655E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Cs/>
        </w:rPr>
      </w:pPr>
      <w:r w:rsidRPr="007E29F8">
        <w:rPr>
          <w:rFonts w:cs="Arial"/>
          <w:spacing w:val="1"/>
          <w:u w:val="single"/>
          <w:lang w:eastAsia="fr-FR"/>
        </w:rPr>
        <w:t>Calculations for Scenario [6</w:t>
      </w:r>
      <w:r>
        <w:rPr>
          <w:rFonts w:cs="Arial"/>
          <w:spacing w:val="1"/>
          <w:u w:val="single"/>
          <w:lang w:eastAsia="fr-FR"/>
        </w:rPr>
        <w:t>d</w:t>
      </w:r>
      <w:r w:rsidRPr="007E29F8">
        <w:rPr>
          <w:rFonts w:cs="Arial"/>
          <w:spacing w:val="1"/>
          <w:u w:val="single"/>
          <w:lang w:eastAsia="fr-FR"/>
        </w:rPr>
        <w:t>]</w:t>
      </w:r>
      <w:r w:rsidRPr="007E29F8">
        <w:rPr>
          <w:rFonts w:cs="Arial"/>
          <w:spacing w:val="1"/>
          <w:lang w:eastAsia="fr-FR"/>
        </w:rPr>
        <w:t xml:space="preserve"> - mosquitos, </w:t>
      </w:r>
      <w:r w:rsidR="004F653E">
        <w:rPr>
          <w:rFonts w:cs="Arial"/>
          <w:bCs/>
        </w:rPr>
        <w:t>6 g/m² of fabric</w:t>
      </w:r>
    </w:p>
    <w:p w14:paraId="3208DB88" w14:textId="77777777" w:rsidR="004F653E" w:rsidRPr="004F653E" w:rsidRDefault="004F653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Cs/>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7E29F8" w14:paraId="3C59BC9D" w14:textId="77777777" w:rsidTr="002655EE">
        <w:trPr>
          <w:cantSplit/>
          <w:trHeight w:val="140"/>
          <w:tblHeader/>
        </w:trPr>
        <w:tc>
          <w:tcPr>
            <w:tcW w:w="5000" w:type="pct"/>
            <w:gridSpan w:val="3"/>
            <w:shd w:val="clear" w:color="auto" w:fill="FFFFCC"/>
          </w:tcPr>
          <w:p w14:paraId="083D8D13" w14:textId="77777777" w:rsidR="002655EE" w:rsidRPr="007E29F8" w:rsidRDefault="002655EE" w:rsidP="002655EE">
            <w:pPr>
              <w:pStyle w:val="Standaard-Tabellen"/>
              <w:rPr>
                <w:rFonts w:eastAsia="Calibri"/>
                <w:b/>
                <w:sz w:val="20"/>
              </w:rPr>
            </w:pPr>
            <w:r w:rsidRPr="007E29F8">
              <w:rPr>
                <w:rFonts w:eastAsia="Calibri"/>
                <w:b/>
                <w:sz w:val="20"/>
              </w:rPr>
              <w:t>Summary table: estimated exposure for Dermal Primary exposure</w:t>
            </w:r>
          </w:p>
        </w:tc>
      </w:tr>
      <w:tr w:rsidR="002655EE" w:rsidRPr="007E29F8" w14:paraId="71260BB7" w14:textId="77777777" w:rsidTr="00FA1064">
        <w:trPr>
          <w:cantSplit/>
          <w:trHeight w:val="140"/>
          <w:tblHeader/>
        </w:trPr>
        <w:tc>
          <w:tcPr>
            <w:tcW w:w="1842" w:type="pct"/>
            <w:tcBorders>
              <w:bottom w:val="single" w:sz="4" w:space="0" w:color="auto"/>
            </w:tcBorders>
            <w:shd w:val="clear" w:color="auto" w:fill="FFFFFF" w:themeFill="background1"/>
          </w:tcPr>
          <w:p w14:paraId="59A59B0A" w14:textId="77777777" w:rsidR="002655EE" w:rsidRPr="00FA1064" w:rsidRDefault="002655EE" w:rsidP="00FA1064">
            <w:pPr>
              <w:pStyle w:val="Standaard-Tabellen"/>
              <w:shd w:val="clear" w:color="auto" w:fill="FFFFFF" w:themeFill="background1"/>
              <w:rPr>
                <w:rFonts w:eastAsia="Calibri"/>
                <w:b/>
                <w:sz w:val="20"/>
              </w:rPr>
            </w:pPr>
            <w:r w:rsidRPr="00FA1064">
              <w:rPr>
                <w:rFonts w:eastAsia="Calibri"/>
                <w:b/>
                <w:sz w:val="20"/>
              </w:rPr>
              <w:t>Exposure scenario</w:t>
            </w:r>
          </w:p>
        </w:tc>
        <w:tc>
          <w:tcPr>
            <w:tcW w:w="1398" w:type="pct"/>
            <w:tcBorders>
              <w:bottom w:val="single" w:sz="4" w:space="0" w:color="auto"/>
            </w:tcBorders>
            <w:shd w:val="clear" w:color="auto" w:fill="FFFFFF" w:themeFill="background1"/>
          </w:tcPr>
          <w:p w14:paraId="4139BDD4" w14:textId="77777777" w:rsidR="002655EE" w:rsidRPr="00FA1064" w:rsidRDefault="002655EE" w:rsidP="00FA1064">
            <w:pPr>
              <w:pStyle w:val="Standaard-Tabellen"/>
              <w:shd w:val="clear" w:color="auto" w:fill="FFFFFF" w:themeFill="background1"/>
              <w:rPr>
                <w:rFonts w:eastAsia="Calibri"/>
                <w:b/>
                <w:sz w:val="20"/>
              </w:rPr>
            </w:pPr>
            <w:r w:rsidRPr="00FA1064">
              <w:rPr>
                <w:rFonts w:eastAsia="Calibri"/>
                <w:b/>
                <w:sz w:val="20"/>
              </w:rPr>
              <w:t>Tier/PPE</w:t>
            </w:r>
          </w:p>
        </w:tc>
        <w:tc>
          <w:tcPr>
            <w:tcW w:w="1760" w:type="pct"/>
            <w:tcBorders>
              <w:bottom w:val="single" w:sz="4" w:space="0" w:color="auto"/>
            </w:tcBorders>
            <w:shd w:val="clear" w:color="auto" w:fill="FFFFFF" w:themeFill="background1"/>
          </w:tcPr>
          <w:p w14:paraId="5F3436C5" w14:textId="77777777" w:rsidR="002655EE" w:rsidRPr="00FA1064" w:rsidRDefault="002655EE" w:rsidP="00FA1064">
            <w:pPr>
              <w:pStyle w:val="Standaard-Tabellen"/>
              <w:shd w:val="clear" w:color="auto" w:fill="FFFFFF" w:themeFill="background1"/>
              <w:rPr>
                <w:rFonts w:eastAsia="Calibri"/>
                <w:b/>
                <w:sz w:val="20"/>
              </w:rPr>
            </w:pPr>
            <w:r w:rsidRPr="00FA1064">
              <w:rPr>
                <w:rFonts w:eastAsia="Calibri"/>
                <w:b/>
                <w:sz w:val="20"/>
              </w:rPr>
              <w:t>Estimated dermal uptake (mg/kg bw/d)</w:t>
            </w:r>
          </w:p>
        </w:tc>
      </w:tr>
      <w:tr w:rsidR="002655EE" w:rsidRPr="00FA1064" w14:paraId="4A9421F9"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57C0"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Adult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F4CB9"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8F253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1.96</w:t>
            </w:r>
          </w:p>
        </w:tc>
      </w:tr>
      <w:tr w:rsidR="002655EE" w:rsidRPr="00FA1064" w14:paraId="019766A7" w14:textId="77777777" w:rsidTr="00FA1064">
        <w:trPr>
          <w:cantSplit/>
          <w:trHeight w:val="209"/>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829B2"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(6 to &lt;12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8945C24"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9FC00B"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2.88</w:t>
            </w:r>
          </w:p>
        </w:tc>
      </w:tr>
      <w:tr w:rsidR="002655EE" w:rsidRPr="00FA1064" w14:paraId="2BB7DBE7" w14:textId="77777777" w:rsidTr="00FA1064">
        <w:trPr>
          <w:cantSplit/>
          <w:trHeight w:val="286"/>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9C380"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(2 to &lt;6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30DDCD22"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136934"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1.63</w:t>
            </w:r>
          </w:p>
        </w:tc>
      </w:tr>
      <w:tr w:rsidR="002655EE" w:rsidRPr="00FA1064" w14:paraId="6620183E"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BED3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Toddler (1 to &lt;2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847DE3F"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26087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1.78</w:t>
            </w:r>
          </w:p>
        </w:tc>
      </w:tr>
      <w:tr w:rsidR="002655EE" w:rsidRPr="00FA1064" w14:paraId="77A3527C"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F005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Infant (&lt;1 year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9CC6F62"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D9C691"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1.90</w:t>
            </w:r>
          </w:p>
        </w:tc>
      </w:tr>
    </w:tbl>
    <w:p w14:paraId="4FA04686" w14:textId="77777777" w:rsidR="002655EE" w:rsidRPr="007E29F8" w:rsidRDefault="002655EE" w:rsidP="008A2D32">
      <w:pPr>
        <w:widowControl w:val="0"/>
        <w:kinsoku w:val="0"/>
        <w:overflowPunct w:val="0"/>
        <w:autoSpaceDE w:val="0"/>
        <w:autoSpaceDN w:val="0"/>
        <w:adjustRightInd w:val="0"/>
        <w:spacing w:before="0" w:after="0" w:line="290" w:lineRule="exact"/>
        <w:ind w:right="216"/>
        <w:jc w:val="both"/>
        <w:textAlignment w:val="baseline"/>
        <w:rPr>
          <w:rFonts w:cs="Arial"/>
          <w:color w:val="000000"/>
          <w:sz w:val="18"/>
          <w:szCs w:val="18"/>
          <w:lang w:eastAsia="fr-FR"/>
        </w:rPr>
      </w:pPr>
    </w:p>
    <w:p w14:paraId="6E7F8E80" w14:textId="5E60A59C" w:rsidR="002655EE" w:rsidRDefault="002655E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Cs/>
        </w:rPr>
      </w:pPr>
      <w:r w:rsidRPr="007E29F8">
        <w:rPr>
          <w:rFonts w:cs="Arial"/>
          <w:spacing w:val="1"/>
          <w:u w:val="single"/>
          <w:lang w:eastAsia="fr-FR"/>
        </w:rPr>
        <w:t>Calculations for Scenario [6</w:t>
      </w:r>
      <w:r>
        <w:rPr>
          <w:rFonts w:cs="Arial"/>
          <w:spacing w:val="1"/>
          <w:u w:val="single"/>
          <w:lang w:eastAsia="fr-FR"/>
        </w:rPr>
        <w:t>e</w:t>
      </w:r>
      <w:r w:rsidRPr="007E29F8">
        <w:rPr>
          <w:rFonts w:cs="Arial"/>
          <w:spacing w:val="1"/>
          <w:u w:val="single"/>
          <w:lang w:eastAsia="fr-FR"/>
        </w:rPr>
        <w:t>]</w:t>
      </w:r>
      <w:r w:rsidRPr="007E29F8">
        <w:rPr>
          <w:rFonts w:cs="Arial"/>
          <w:spacing w:val="1"/>
          <w:lang w:eastAsia="fr-FR"/>
        </w:rPr>
        <w:t xml:space="preserve"> </w:t>
      </w:r>
      <w:r>
        <w:rPr>
          <w:rFonts w:cs="Arial"/>
          <w:spacing w:val="1"/>
          <w:lang w:eastAsia="fr-FR"/>
        </w:rPr>
        <w:t>–</w:t>
      </w:r>
      <w:r w:rsidRPr="007E29F8">
        <w:rPr>
          <w:rFonts w:cs="Arial"/>
          <w:spacing w:val="1"/>
          <w:lang w:eastAsia="fr-FR"/>
        </w:rPr>
        <w:t xml:space="preserve"> </w:t>
      </w:r>
      <w:r>
        <w:rPr>
          <w:rFonts w:cs="Arial"/>
          <w:spacing w:val="1"/>
          <w:lang w:eastAsia="fr-FR"/>
        </w:rPr>
        <w:t>Head lice</w:t>
      </w:r>
      <w:r w:rsidRPr="007E29F8">
        <w:rPr>
          <w:rFonts w:cs="Arial"/>
          <w:spacing w:val="1"/>
          <w:lang w:eastAsia="fr-FR"/>
        </w:rPr>
        <w:t>,</w:t>
      </w:r>
      <w:r>
        <w:rPr>
          <w:rFonts w:cs="Arial"/>
          <w:spacing w:val="1"/>
          <w:lang w:eastAsia="fr-FR"/>
        </w:rPr>
        <w:t xml:space="preserve"> 10</w:t>
      </w:r>
      <w:r w:rsidR="004F653E">
        <w:rPr>
          <w:rFonts w:cs="Arial"/>
          <w:bCs/>
        </w:rPr>
        <w:t xml:space="preserve"> g/m² of fabric</w:t>
      </w:r>
    </w:p>
    <w:p w14:paraId="3CBE4091" w14:textId="77777777" w:rsidR="004F653E" w:rsidRPr="004F653E" w:rsidRDefault="004F653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Cs/>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3395"/>
        <w:gridCol w:w="2577"/>
        <w:gridCol w:w="3244"/>
      </w:tblGrid>
      <w:tr w:rsidR="002655EE" w:rsidRPr="007E29F8" w14:paraId="19C36082" w14:textId="77777777" w:rsidTr="00FA1064">
        <w:trPr>
          <w:cantSplit/>
          <w:trHeight w:val="140"/>
          <w:tblHeader/>
        </w:trPr>
        <w:tc>
          <w:tcPr>
            <w:tcW w:w="5000" w:type="pct"/>
            <w:gridSpan w:val="3"/>
            <w:shd w:val="clear" w:color="auto" w:fill="FFFFFF" w:themeFill="background1"/>
          </w:tcPr>
          <w:p w14:paraId="2E8AB15F" w14:textId="77777777" w:rsidR="002655EE" w:rsidRPr="007E29F8" w:rsidRDefault="002655EE" w:rsidP="00FA1064">
            <w:pPr>
              <w:pStyle w:val="Standaard-Tabellen"/>
              <w:shd w:val="clear" w:color="auto" w:fill="FFFFFF" w:themeFill="background1"/>
              <w:rPr>
                <w:rFonts w:eastAsia="Calibri"/>
                <w:b/>
                <w:sz w:val="20"/>
              </w:rPr>
            </w:pPr>
            <w:r w:rsidRPr="007E29F8">
              <w:rPr>
                <w:rFonts w:eastAsia="Calibri"/>
                <w:b/>
                <w:sz w:val="20"/>
              </w:rPr>
              <w:t>Summary table: estimated exposure for Dermal Primary exposure</w:t>
            </w:r>
          </w:p>
        </w:tc>
      </w:tr>
      <w:tr w:rsidR="002655EE" w:rsidRPr="007E29F8" w14:paraId="52348906" w14:textId="77777777" w:rsidTr="00FA1064">
        <w:trPr>
          <w:cantSplit/>
          <w:trHeight w:val="140"/>
          <w:tblHeader/>
        </w:trPr>
        <w:tc>
          <w:tcPr>
            <w:tcW w:w="1842" w:type="pct"/>
            <w:tcBorders>
              <w:bottom w:val="single" w:sz="4" w:space="0" w:color="auto"/>
            </w:tcBorders>
            <w:shd w:val="clear" w:color="auto" w:fill="FFFFFF" w:themeFill="background1"/>
          </w:tcPr>
          <w:p w14:paraId="775A0A47" w14:textId="77777777" w:rsidR="002655EE" w:rsidRPr="00FA1064" w:rsidRDefault="002655EE" w:rsidP="00FA1064">
            <w:pPr>
              <w:pStyle w:val="Standaard-Tabellen"/>
              <w:shd w:val="clear" w:color="auto" w:fill="FFFFFF" w:themeFill="background1"/>
              <w:rPr>
                <w:rFonts w:eastAsia="Calibri"/>
                <w:b/>
                <w:sz w:val="20"/>
              </w:rPr>
            </w:pPr>
            <w:r w:rsidRPr="00FA1064">
              <w:rPr>
                <w:rFonts w:eastAsia="Calibri"/>
                <w:b/>
                <w:sz w:val="20"/>
              </w:rPr>
              <w:t>Exposure scenario</w:t>
            </w:r>
          </w:p>
        </w:tc>
        <w:tc>
          <w:tcPr>
            <w:tcW w:w="1398" w:type="pct"/>
            <w:tcBorders>
              <w:bottom w:val="single" w:sz="4" w:space="0" w:color="auto"/>
            </w:tcBorders>
            <w:shd w:val="clear" w:color="auto" w:fill="FFFFFF" w:themeFill="background1"/>
          </w:tcPr>
          <w:p w14:paraId="544948B1" w14:textId="77777777" w:rsidR="002655EE" w:rsidRPr="00FA1064" w:rsidRDefault="002655EE" w:rsidP="00FA1064">
            <w:pPr>
              <w:pStyle w:val="Standaard-Tabellen"/>
              <w:shd w:val="clear" w:color="auto" w:fill="FFFFFF" w:themeFill="background1"/>
              <w:rPr>
                <w:rFonts w:eastAsia="Calibri"/>
                <w:b/>
                <w:sz w:val="20"/>
              </w:rPr>
            </w:pPr>
            <w:r w:rsidRPr="00FA1064">
              <w:rPr>
                <w:rFonts w:eastAsia="Calibri"/>
                <w:b/>
                <w:sz w:val="20"/>
              </w:rPr>
              <w:t>Tier/PPE</w:t>
            </w:r>
          </w:p>
        </w:tc>
        <w:tc>
          <w:tcPr>
            <w:tcW w:w="1760" w:type="pct"/>
            <w:tcBorders>
              <w:bottom w:val="single" w:sz="4" w:space="0" w:color="auto"/>
            </w:tcBorders>
            <w:shd w:val="clear" w:color="auto" w:fill="FFFFFF" w:themeFill="background1"/>
          </w:tcPr>
          <w:p w14:paraId="1A7694BB" w14:textId="77777777" w:rsidR="002655EE" w:rsidRPr="00FA1064" w:rsidRDefault="002655EE" w:rsidP="00FA1064">
            <w:pPr>
              <w:pStyle w:val="Standaard-Tabellen"/>
              <w:shd w:val="clear" w:color="auto" w:fill="FFFFFF" w:themeFill="background1"/>
              <w:rPr>
                <w:rFonts w:eastAsia="Calibri"/>
                <w:b/>
                <w:sz w:val="20"/>
              </w:rPr>
            </w:pPr>
            <w:r w:rsidRPr="00FA1064">
              <w:rPr>
                <w:rFonts w:eastAsia="Calibri"/>
                <w:b/>
                <w:sz w:val="20"/>
              </w:rPr>
              <w:t>Estimated dermal uptake (mg/kg bw/d)</w:t>
            </w:r>
          </w:p>
        </w:tc>
      </w:tr>
      <w:tr w:rsidR="002655EE" w:rsidRPr="00FA1064" w14:paraId="18A6569E"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982C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Adult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A65F"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ED461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2.0</w:t>
            </w:r>
          </w:p>
        </w:tc>
      </w:tr>
      <w:tr w:rsidR="002655EE" w:rsidRPr="00FA1064" w14:paraId="7B9E5E1F" w14:textId="77777777" w:rsidTr="00FA1064">
        <w:trPr>
          <w:cantSplit/>
          <w:trHeight w:val="209"/>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5ADB6"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(6 to &lt;12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31F5EF71"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EF911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3.0</w:t>
            </w:r>
          </w:p>
        </w:tc>
      </w:tr>
      <w:tr w:rsidR="002655EE" w:rsidRPr="00FA1064" w14:paraId="59637E72" w14:textId="77777777" w:rsidTr="00FA1064">
        <w:trPr>
          <w:cantSplit/>
          <w:trHeight w:val="286"/>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DB6A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(2 to &lt;6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28A449E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B50A9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3.6</w:t>
            </w:r>
          </w:p>
        </w:tc>
      </w:tr>
      <w:tr w:rsidR="002655EE" w:rsidRPr="00FA1064" w14:paraId="52EA8EB3"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6BB79"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Toddler (1 to &lt;2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C82E58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AD2ED6"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4.0</w:t>
            </w:r>
          </w:p>
        </w:tc>
      </w:tr>
      <w:tr w:rsidR="002655EE" w:rsidRPr="00FA1064" w14:paraId="27B12B5B"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1436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Infant (&lt;1 year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13332F6B"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AED86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4.3</w:t>
            </w:r>
          </w:p>
        </w:tc>
      </w:tr>
    </w:tbl>
    <w:p w14:paraId="52D91B86" w14:textId="77777777" w:rsidR="002655EE" w:rsidRPr="007E29F8" w:rsidRDefault="002655EE" w:rsidP="008A2D32">
      <w:pPr>
        <w:widowControl w:val="0"/>
        <w:kinsoku w:val="0"/>
        <w:overflowPunct w:val="0"/>
        <w:autoSpaceDE w:val="0"/>
        <w:autoSpaceDN w:val="0"/>
        <w:adjustRightInd w:val="0"/>
        <w:spacing w:before="0" w:after="0" w:line="290" w:lineRule="exact"/>
        <w:ind w:right="216"/>
        <w:jc w:val="both"/>
        <w:textAlignment w:val="baseline"/>
        <w:rPr>
          <w:rFonts w:cs="Arial"/>
          <w:color w:val="000000"/>
          <w:sz w:val="18"/>
          <w:szCs w:val="18"/>
          <w:lang w:eastAsia="fr-FR"/>
        </w:rPr>
      </w:pPr>
    </w:p>
    <w:p w14:paraId="6E01B8DF" w14:textId="77777777" w:rsidR="002655EE" w:rsidRPr="007E29F8" w:rsidRDefault="002655EE" w:rsidP="008A2D32">
      <w:pPr>
        <w:widowControl w:val="0"/>
        <w:kinsoku w:val="0"/>
        <w:overflowPunct w:val="0"/>
        <w:autoSpaceDE w:val="0"/>
        <w:autoSpaceDN w:val="0"/>
        <w:adjustRightInd w:val="0"/>
        <w:spacing w:before="0" w:after="0" w:line="290" w:lineRule="exact"/>
        <w:ind w:right="216"/>
        <w:jc w:val="both"/>
        <w:textAlignment w:val="baseline"/>
        <w:rPr>
          <w:rFonts w:cs="Arial"/>
          <w:color w:val="000000"/>
          <w:sz w:val="18"/>
          <w:szCs w:val="18"/>
          <w:lang w:eastAsia="fr-FR"/>
        </w:rPr>
      </w:pPr>
    </w:p>
    <w:p w14:paraId="484AE614" w14:textId="7838E7F9" w:rsidR="002655EE" w:rsidRPr="004F653E" w:rsidRDefault="002655EE" w:rsidP="00FA1064">
      <w:pPr>
        <w:widowControl w:val="0"/>
        <w:shd w:val="clear" w:color="auto" w:fill="FFFFFF" w:themeFill="background1"/>
        <w:kinsoku w:val="0"/>
        <w:overflowPunct w:val="0"/>
        <w:autoSpaceDE w:val="0"/>
        <w:autoSpaceDN w:val="0"/>
        <w:adjustRightInd w:val="0"/>
        <w:spacing w:before="0" w:after="0"/>
        <w:ind w:right="215"/>
        <w:jc w:val="both"/>
        <w:textAlignment w:val="baseline"/>
        <w:rPr>
          <w:rFonts w:cs="Arial"/>
          <w:i/>
          <w:spacing w:val="1"/>
          <w:u w:val="single"/>
          <w:lang w:eastAsia="fr-FR"/>
        </w:rPr>
      </w:pPr>
      <w:r w:rsidRPr="007E29F8">
        <w:rPr>
          <w:rFonts w:cs="Arial"/>
          <w:i/>
          <w:spacing w:val="1"/>
          <w:u w:val="single"/>
          <w:lang w:eastAsia="fr-FR"/>
        </w:rPr>
        <w:t xml:space="preserve">Scenario [7]: Secondary exposure – application to the </w:t>
      </w:r>
      <w:r w:rsidRPr="007E29F8">
        <w:rPr>
          <w:rFonts w:cs="Arial"/>
          <w:b/>
          <w:i/>
          <w:spacing w:val="1"/>
          <w:u w:val="single"/>
          <w:lang w:eastAsia="fr-FR"/>
        </w:rPr>
        <w:t>treated linen</w:t>
      </w:r>
      <w:r w:rsidRPr="007E29F8">
        <w:rPr>
          <w:rFonts w:cs="Arial"/>
          <w:i/>
          <w:spacing w:val="1"/>
          <w:u w:val="single"/>
          <w:lang w:eastAsia="fr-FR"/>
        </w:rPr>
        <w:t>: dermal exposure assessment for adults,</w:t>
      </w:r>
      <w:r w:rsidR="004F653E">
        <w:rPr>
          <w:rFonts w:cs="Arial"/>
          <w:i/>
          <w:spacing w:val="1"/>
          <w:u w:val="single"/>
          <w:lang w:eastAsia="fr-FR"/>
        </w:rPr>
        <w:t xml:space="preserve"> children, toddlers and infants</w:t>
      </w: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1"/>
        <w:gridCol w:w="4193"/>
        <w:gridCol w:w="1785"/>
        <w:gridCol w:w="2717"/>
      </w:tblGrid>
      <w:tr w:rsidR="002655EE" w:rsidRPr="007E29F8" w14:paraId="732C6266" w14:textId="77777777" w:rsidTr="00FA1064">
        <w:trPr>
          <w:tblHeader/>
        </w:trPr>
        <w:tc>
          <w:tcPr>
            <w:tcW w:w="5000" w:type="pct"/>
            <w:gridSpan w:val="4"/>
            <w:shd w:val="clear" w:color="auto" w:fill="FFFFFF" w:themeFill="background1"/>
            <w:tcMar>
              <w:top w:w="57" w:type="dxa"/>
              <w:bottom w:w="57" w:type="dxa"/>
            </w:tcMar>
          </w:tcPr>
          <w:p w14:paraId="7C696A9F" w14:textId="77777777" w:rsidR="002655EE" w:rsidRPr="007E29F8" w:rsidRDefault="002655EE" w:rsidP="004F653E">
            <w:pPr>
              <w:pStyle w:val="Standaard-Tabellen"/>
              <w:widowControl w:val="0"/>
              <w:rPr>
                <w:rFonts w:eastAsia="Calibri"/>
                <w:b/>
                <w:sz w:val="20"/>
              </w:rPr>
            </w:pPr>
            <w:r w:rsidRPr="007E29F8">
              <w:rPr>
                <w:rFonts w:eastAsia="Calibri"/>
                <w:b/>
                <w:sz w:val="20"/>
              </w:rPr>
              <w:t>Description of Scenario 7</w:t>
            </w:r>
          </w:p>
        </w:tc>
      </w:tr>
      <w:tr w:rsidR="002655EE" w:rsidRPr="007E29F8" w14:paraId="0A7FE6C1" w14:textId="77777777" w:rsidTr="00FA1064">
        <w:trPr>
          <w:tblHeader/>
        </w:trPr>
        <w:tc>
          <w:tcPr>
            <w:tcW w:w="5000" w:type="pct"/>
            <w:gridSpan w:val="4"/>
            <w:shd w:val="clear" w:color="auto" w:fill="FFFFFF" w:themeFill="background1"/>
            <w:tcMar>
              <w:top w:w="57" w:type="dxa"/>
              <w:bottom w:w="57" w:type="dxa"/>
            </w:tcMar>
          </w:tcPr>
          <w:p w14:paraId="08C7E103" w14:textId="181C5195"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line="276" w:lineRule="auto"/>
              <w:jc w:val="both"/>
              <w:textAlignment w:val="baseline"/>
              <w:rPr>
                <w:rFonts w:cs="Arial"/>
                <w:spacing w:val="1"/>
                <w:lang w:eastAsia="fr-FR"/>
              </w:rPr>
            </w:pPr>
            <w:r w:rsidRPr="007E29F8">
              <w:rPr>
                <w:rFonts w:cs="Arial"/>
                <w:spacing w:val="1"/>
                <w:lang w:eastAsia="fr-FR"/>
              </w:rPr>
              <w:t xml:space="preserve">Adults, children, toddlers and infants </w:t>
            </w:r>
            <w:r w:rsidR="008B32FB">
              <w:rPr>
                <w:rFonts w:cs="Arial"/>
                <w:spacing w:val="1"/>
                <w:lang w:eastAsia="fr-FR"/>
              </w:rPr>
              <w:t>will be</w:t>
            </w:r>
            <w:r w:rsidR="0009761B">
              <w:rPr>
                <w:rFonts w:cs="Arial"/>
                <w:spacing w:val="1"/>
                <w:lang w:eastAsia="fr-FR"/>
              </w:rPr>
              <w:t xml:space="preserve"> </w:t>
            </w:r>
            <w:r w:rsidRPr="007E29F8">
              <w:rPr>
                <w:rFonts w:cs="Arial"/>
                <w:spacing w:val="1"/>
                <w:lang w:eastAsia="fr-FR"/>
              </w:rPr>
              <w:t xml:space="preserve">exposed during sleeping in a treated bed. </w:t>
            </w:r>
          </w:p>
          <w:p w14:paraId="770FF09A" w14:textId="77777777" w:rsidR="002655EE" w:rsidRDefault="002655EE" w:rsidP="00FA1064">
            <w:pPr>
              <w:keepNext/>
              <w:widowControl w:val="0"/>
              <w:shd w:val="clear" w:color="auto" w:fill="FFFFFF" w:themeFill="background1"/>
              <w:kinsoku w:val="0"/>
              <w:overflowPunct w:val="0"/>
              <w:autoSpaceDE w:val="0"/>
              <w:autoSpaceDN w:val="0"/>
              <w:adjustRightInd w:val="0"/>
              <w:spacing w:before="0" w:after="0" w:line="276" w:lineRule="auto"/>
              <w:jc w:val="both"/>
              <w:textAlignment w:val="baseline"/>
              <w:rPr>
                <w:rFonts w:cs="Arial"/>
                <w:spacing w:val="1"/>
                <w:lang w:eastAsia="fr-FR"/>
              </w:rPr>
            </w:pPr>
            <w:r w:rsidRPr="007E29F8">
              <w:rPr>
                <w:rFonts w:cs="Arial"/>
                <w:spacing w:val="1"/>
                <w:lang w:eastAsia="fr-FR"/>
              </w:rPr>
              <w:t xml:space="preserve">According to the intended uses by the applicant, the intended use #2 (anti-lice, </w:t>
            </w:r>
            <w:r w:rsidRPr="007E29F8">
              <w:rPr>
                <w:rFonts w:cs="Arial"/>
                <w:bCs/>
              </w:rPr>
              <w:t>10 g/m² of fabric</w:t>
            </w:r>
            <w:r w:rsidRPr="007E29F8">
              <w:rPr>
                <w:rFonts w:cs="Arial"/>
                <w:spacing w:val="1"/>
                <w:lang w:eastAsia="fr-FR"/>
              </w:rPr>
              <w:t xml:space="preserve">) and #7 (anti-dust mites, </w:t>
            </w:r>
            <w:r w:rsidRPr="007E29F8">
              <w:rPr>
                <w:rFonts w:cs="Arial"/>
                <w:bCs/>
              </w:rPr>
              <w:t>8.5 g/m² of fabric</w:t>
            </w:r>
            <w:r w:rsidRPr="007E29F8">
              <w:rPr>
                <w:rFonts w:cs="Arial"/>
                <w:spacing w:val="1"/>
                <w:lang w:eastAsia="fr-FR"/>
              </w:rPr>
              <w:t xml:space="preserve">), the biocidal product is applied to bed linen (fitted sheets, sheets, pillowcases). The aim of this treatment is to prevent or removed the presence of the targets. </w:t>
            </w:r>
          </w:p>
          <w:p w14:paraId="398E2CD8" w14:textId="77777777" w:rsidR="002655EE" w:rsidRDefault="002655EE" w:rsidP="00FA1064">
            <w:pPr>
              <w:keepNext/>
              <w:widowControl w:val="0"/>
              <w:shd w:val="clear" w:color="auto" w:fill="FFFFFF" w:themeFill="background1"/>
              <w:kinsoku w:val="0"/>
              <w:overflowPunct w:val="0"/>
              <w:autoSpaceDE w:val="0"/>
              <w:autoSpaceDN w:val="0"/>
              <w:adjustRightInd w:val="0"/>
              <w:spacing w:before="0" w:after="0" w:line="276" w:lineRule="auto"/>
              <w:jc w:val="both"/>
              <w:textAlignment w:val="baseline"/>
              <w:rPr>
                <w:rFonts w:cs="Arial"/>
                <w:spacing w:val="1"/>
                <w:lang w:eastAsia="fr-FR"/>
              </w:rPr>
            </w:pPr>
          </w:p>
          <w:p w14:paraId="1E5B3FB3" w14:textId="77777777" w:rsidR="002655EE" w:rsidRDefault="002655EE" w:rsidP="00FA1064">
            <w:pPr>
              <w:keepNext/>
              <w:widowControl w:val="0"/>
              <w:shd w:val="clear" w:color="auto" w:fill="FFFFFF" w:themeFill="background1"/>
              <w:kinsoku w:val="0"/>
              <w:overflowPunct w:val="0"/>
              <w:autoSpaceDE w:val="0"/>
              <w:autoSpaceDN w:val="0"/>
              <w:adjustRightInd w:val="0"/>
              <w:spacing w:before="0" w:after="0" w:line="276" w:lineRule="auto"/>
              <w:jc w:val="both"/>
              <w:textAlignment w:val="baseline"/>
              <w:rPr>
                <w:rFonts w:cs="Arial"/>
                <w:spacing w:val="1"/>
                <w:lang w:eastAsia="fr-FR"/>
              </w:rPr>
            </w:pPr>
            <w:r>
              <w:rPr>
                <w:rFonts w:cs="Arial"/>
                <w:spacing w:val="1"/>
                <w:lang w:eastAsia="fr-FR"/>
              </w:rPr>
              <w:t>For anti-lice, t</w:t>
            </w:r>
            <w:r w:rsidRPr="007E29F8">
              <w:rPr>
                <w:rFonts w:cs="Arial"/>
                <w:spacing w:val="1"/>
                <w:lang w:eastAsia="fr-FR"/>
              </w:rPr>
              <w:t>he dose of 10 g/m² is used</w:t>
            </w:r>
            <w:r>
              <w:rPr>
                <w:rFonts w:cs="Arial"/>
                <w:spacing w:val="1"/>
                <w:lang w:eastAsia="fr-FR"/>
              </w:rPr>
              <w:t xml:space="preserve"> and it is considered that the top of body is exposed: head, trunk, arm and hands. (scenario 7a) </w:t>
            </w:r>
          </w:p>
          <w:p w14:paraId="0CCED149" w14:textId="6808E44D" w:rsidR="002655EE" w:rsidRDefault="002655EE" w:rsidP="00FA1064">
            <w:pPr>
              <w:keepNext/>
              <w:widowControl w:val="0"/>
              <w:shd w:val="clear" w:color="auto" w:fill="FFFFFF" w:themeFill="background1"/>
              <w:kinsoku w:val="0"/>
              <w:overflowPunct w:val="0"/>
              <w:autoSpaceDE w:val="0"/>
              <w:autoSpaceDN w:val="0"/>
              <w:adjustRightInd w:val="0"/>
              <w:spacing w:before="0" w:after="0" w:line="276" w:lineRule="auto"/>
              <w:jc w:val="both"/>
              <w:textAlignment w:val="baseline"/>
              <w:rPr>
                <w:rFonts w:cs="Arial"/>
                <w:spacing w:val="1"/>
                <w:lang w:eastAsia="fr-FR"/>
              </w:rPr>
            </w:pPr>
          </w:p>
          <w:p w14:paraId="753F97F6"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line="276" w:lineRule="auto"/>
              <w:jc w:val="both"/>
              <w:textAlignment w:val="baseline"/>
              <w:rPr>
                <w:rFonts w:cs="Arial"/>
                <w:spacing w:val="1"/>
                <w:lang w:eastAsia="fr-FR"/>
              </w:rPr>
            </w:pPr>
            <w:r>
              <w:rPr>
                <w:rFonts w:cs="Arial"/>
                <w:spacing w:val="1"/>
                <w:lang w:eastAsia="fr-FR"/>
              </w:rPr>
              <w:t>For anti-dust mites, t</w:t>
            </w:r>
            <w:r w:rsidRPr="007E29F8">
              <w:rPr>
                <w:rFonts w:cs="Arial"/>
                <w:spacing w:val="1"/>
                <w:lang w:eastAsia="fr-FR"/>
              </w:rPr>
              <w:t>he dose of 10 g/m² is used as a worst-case for application to the treated linen, considering the whole body surface in contact with treated bed sheet.</w:t>
            </w:r>
          </w:p>
          <w:p w14:paraId="23B5AC49" w14:textId="77777777" w:rsidR="002655EE" w:rsidRDefault="002655EE" w:rsidP="00FA1064">
            <w:pPr>
              <w:keepNext/>
              <w:widowControl w:val="0"/>
              <w:shd w:val="clear" w:color="auto" w:fill="FFFFFF" w:themeFill="background1"/>
              <w:kinsoku w:val="0"/>
              <w:overflowPunct w:val="0"/>
              <w:autoSpaceDE w:val="0"/>
              <w:autoSpaceDN w:val="0"/>
              <w:adjustRightInd w:val="0"/>
              <w:spacing w:before="0" w:after="0" w:line="276" w:lineRule="auto"/>
              <w:jc w:val="both"/>
              <w:textAlignment w:val="baseline"/>
              <w:rPr>
                <w:rFonts w:cs="Arial"/>
                <w:spacing w:val="1"/>
                <w:lang w:eastAsia="fr-FR"/>
              </w:rPr>
            </w:pPr>
            <w:r w:rsidRPr="007E29F8">
              <w:rPr>
                <w:rFonts w:cs="Arial"/>
                <w:spacing w:val="1"/>
                <w:lang w:eastAsia="fr-FR"/>
              </w:rPr>
              <w:t xml:space="preserve">In order to determine the exposure, as a worst case it is considered that general public sleep naked and all the surface body can be exposed. </w:t>
            </w:r>
            <w:r>
              <w:rPr>
                <w:rFonts w:cs="Arial"/>
                <w:spacing w:val="1"/>
                <w:lang w:eastAsia="fr-FR"/>
              </w:rPr>
              <w:t>(scenario 7b)</w:t>
            </w:r>
          </w:p>
          <w:p w14:paraId="0B9F2000" w14:textId="77777777" w:rsidR="002655EE" w:rsidRDefault="002655EE" w:rsidP="00FA1064">
            <w:pPr>
              <w:keepNext/>
              <w:widowControl w:val="0"/>
              <w:shd w:val="clear" w:color="auto" w:fill="FFFFFF" w:themeFill="background1"/>
              <w:kinsoku w:val="0"/>
              <w:overflowPunct w:val="0"/>
              <w:autoSpaceDE w:val="0"/>
              <w:autoSpaceDN w:val="0"/>
              <w:adjustRightInd w:val="0"/>
              <w:spacing w:before="0" w:after="0" w:line="276" w:lineRule="auto"/>
              <w:jc w:val="both"/>
              <w:textAlignment w:val="baseline"/>
              <w:rPr>
                <w:rFonts w:cs="Arial"/>
                <w:spacing w:val="1"/>
                <w:lang w:eastAsia="fr-FR"/>
              </w:rPr>
            </w:pPr>
          </w:p>
          <w:p w14:paraId="4AA4EF17" w14:textId="6AB5250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line="276" w:lineRule="auto"/>
              <w:jc w:val="both"/>
              <w:textAlignment w:val="baseline"/>
              <w:rPr>
                <w:rFonts w:cs="Arial"/>
                <w:spacing w:val="1"/>
                <w:lang w:eastAsia="fr-FR"/>
              </w:rPr>
            </w:pPr>
            <w:r w:rsidRPr="007E29F8">
              <w:rPr>
                <w:rFonts w:cs="Arial"/>
                <w:spacing w:val="1"/>
                <w:lang w:eastAsia="fr-FR"/>
              </w:rPr>
              <w:t>The surface</w:t>
            </w:r>
            <w:r>
              <w:rPr>
                <w:rFonts w:cs="Arial"/>
                <w:spacing w:val="1"/>
                <w:lang w:eastAsia="fr-FR"/>
              </w:rPr>
              <w:t>s</w:t>
            </w:r>
            <w:r w:rsidRPr="007E29F8">
              <w:rPr>
                <w:rFonts w:cs="Arial"/>
                <w:spacing w:val="1"/>
                <w:lang w:eastAsia="fr-FR"/>
              </w:rPr>
              <w:t xml:space="preserve"> body used </w:t>
            </w:r>
            <w:r>
              <w:rPr>
                <w:rFonts w:cs="Arial"/>
                <w:spacing w:val="1"/>
                <w:lang w:eastAsia="fr-FR"/>
              </w:rPr>
              <w:t xml:space="preserve">are </w:t>
            </w:r>
            <w:r w:rsidRPr="007E29F8">
              <w:rPr>
                <w:rFonts w:cs="Arial"/>
                <w:spacing w:val="1"/>
                <w:lang w:eastAsia="fr-FR"/>
              </w:rPr>
              <w:t xml:space="preserve">determined according to the </w:t>
            </w:r>
            <w:r>
              <w:rPr>
                <w:rFonts w:cs="Arial"/>
                <w:spacing w:val="1"/>
                <w:lang w:eastAsia="fr-FR"/>
              </w:rPr>
              <w:t>Ad hoc recommendation 14</w:t>
            </w:r>
            <w:r w:rsidRPr="007E29F8">
              <w:rPr>
                <w:rFonts w:cs="Arial"/>
                <w:spacing w:val="1"/>
                <w:lang w:eastAsia="fr-FR"/>
              </w:rPr>
              <w:t>.</w:t>
            </w:r>
          </w:p>
          <w:p w14:paraId="347513A8"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line="276" w:lineRule="auto"/>
              <w:jc w:val="both"/>
              <w:textAlignment w:val="baseline"/>
              <w:rPr>
                <w:rFonts w:cs="Arial"/>
                <w:spacing w:val="1"/>
                <w:lang w:eastAsia="fr-FR"/>
              </w:rPr>
            </w:pPr>
            <w:r w:rsidRPr="00FA1064">
              <w:rPr>
                <w:rFonts w:cs="Arial"/>
                <w:spacing w:val="1"/>
                <w:shd w:val="clear" w:color="auto" w:fill="FFFFFF" w:themeFill="background1"/>
                <w:lang w:eastAsia="fr-FR"/>
              </w:rPr>
              <w:t>From this surface a fraction of active substance is dislodgeable. For dried surface, the value of 30 % proposed in BHHEM for cotton dried surface is used.</w:t>
            </w:r>
          </w:p>
        </w:tc>
      </w:tr>
      <w:tr w:rsidR="002655EE" w:rsidRPr="00FA1064" w14:paraId="771CFC36" w14:textId="77777777" w:rsidTr="00FA1064">
        <w:trPr>
          <w:tblHeader/>
        </w:trPr>
        <w:tc>
          <w:tcPr>
            <w:tcW w:w="360" w:type="pct"/>
            <w:shd w:val="clear" w:color="auto" w:fill="FFFFFF" w:themeFill="background1"/>
            <w:tcMar>
              <w:top w:w="57" w:type="dxa"/>
              <w:bottom w:w="57" w:type="dxa"/>
            </w:tcMar>
          </w:tcPr>
          <w:p w14:paraId="67C441F8"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tcPr>
          <w:p w14:paraId="6F23A859"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Parameters</w:t>
            </w:r>
          </w:p>
        </w:tc>
        <w:tc>
          <w:tcPr>
            <w:tcW w:w="954" w:type="pct"/>
            <w:shd w:val="clear" w:color="auto" w:fill="FFFFFF" w:themeFill="background1"/>
            <w:tcMar>
              <w:top w:w="57" w:type="dxa"/>
              <w:bottom w:w="57" w:type="dxa"/>
            </w:tcMar>
          </w:tcPr>
          <w:p w14:paraId="45FE55B1"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Value</w:t>
            </w:r>
          </w:p>
        </w:tc>
        <w:tc>
          <w:tcPr>
            <w:tcW w:w="1450" w:type="pct"/>
            <w:shd w:val="clear" w:color="auto" w:fill="FFFFFF" w:themeFill="background1"/>
          </w:tcPr>
          <w:p w14:paraId="492A4EC7"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References</w:t>
            </w:r>
          </w:p>
        </w:tc>
      </w:tr>
      <w:tr w:rsidR="002655EE" w:rsidRPr="00FA1064" w14:paraId="31A750D1" w14:textId="77777777" w:rsidTr="00FA1064">
        <w:trPr>
          <w:tblHeader/>
        </w:trPr>
        <w:tc>
          <w:tcPr>
            <w:tcW w:w="360" w:type="pct"/>
            <w:vMerge w:val="restart"/>
            <w:shd w:val="clear" w:color="auto" w:fill="FFFFFF" w:themeFill="background1"/>
            <w:tcMar>
              <w:top w:w="57" w:type="dxa"/>
              <w:bottom w:w="57" w:type="dxa"/>
            </w:tcMar>
          </w:tcPr>
          <w:p w14:paraId="2E048E3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2236" w:type="pct"/>
            <w:shd w:val="clear" w:color="auto" w:fill="FFFFFF" w:themeFill="background1"/>
            <w:tcMar>
              <w:top w:w="57" w:type="dxa"/>
              <w:bottom w:w="57" w:type="dxa"/>
            </w:tcMar>
          </w:tcPr>
          <w:p w14:paraId="7FD1A647"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Application rate (g product/m² fabric)</w:t>
            </w:r>
          </w:p>
        </w:tc>
        <w:tc>
          <w:tcPr>
            <w:tcW w:w="954" w:type="pct"/>
            <w:shd w:val="clear" w:color="auto" w:fill="FFFFFF" w:themeFill="background1"/>
            <w:tcMar>
              <w:top w:w="57" w:type="dxa"/>
              <w:bottom w:w="57" w:type="dxa"/>
            </w:tcMar>
            <w:vAlign w:val="center"/>
          </w:tcPr>
          <w:p w14:paraId="28E4F61E"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10</w:t>
            </w:r>
          </w:p>
        </w:tc>
        <w:tc>
          <w:tcPr>
            <w:tcW w:w="1450" w:type="pct"/>
            <w:shd w:val="clear" w:color="auto" w:fill="FFFFFF" w:themeFill="background1"/>
            <w:vAlign w:val="center"/>
          </w:tcPr>
          <w:p w14:paraId="72C2AE58"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Applicant’s data</w:t>
            </w:r>
          </w:p>
        </w:tc>
      </w:tr>
      <w:tr w:rsidR="002655EE" w:rsidRPr="00FA1064" w14:paraId="323BE1ED" w14:textId="77777777" w:rsidTr="00FA1064">
        <w:trPr>
          <w:tblHeader/>
        </w:trPr>
        <w:tc>
          <w:tcPr>
            <w:tcW w:w="360" w:type="pct"/>
            <w:vMerge/>
            <w:shd w:val="clear" w:color="auto" w:fill="FFFFFF" w:themeFill="background1"/>
            <w:tcMar>
              <w:top w:w="57" w:type="dxa"/>
              <w:bottom w:w="57" w:type="dxa"/>
            </w:tcMar>
          </w:tcPr>
          <w:p w14:paraId="7AD43CA9"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tcPr>
          <w:p w14:paraId="3B281E5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 xml:space="preserve">% of active substance in biocidal product </w:t>
            </w:r>
          </w:p>
        </w:tc>
        <w:tc>
          <w:tcPr>
            <w:tcW w:w="954" w:type="pct"/>
            <w:shd w:val="clear" w:color="auto" w:fill="FFFFFF" w:themeFill="background1"/>
            <w:tcMar>
              <w:top w:w="57" w:type="dxa"/>
              <w:bottom w:w="57" w:type="dxa"/>
            </w:tcMar>
            <w:vAlign w:val="center"/>
          </w:tcPr>
          <w:p w14:paraId="0D20249B"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20%</w:t>
            </w:r>
          </w:p>
        </w:tc>
        <w:tc>
          <w:tcPr>
            <w:tcW w:w="1450" w:type="pct"/>
            <w:shd w:val="clear" w:color="auto" w:fill="FFFFFF" w:themeFill="background1"/>
            <w:vAlign w:val="center"/>
          </w:tcPr>
          <w:p w14:paraId="2529089B"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Applicant’s data</w:t>
            </w:r>
          </w:p>
        </w:tc>
      </w:tr>
      <w:tr w:rsidR="002655EE" w:rsidRPr="00FA1064" w14:paraId="7814D2ED" w14:textId="77777777" w:rsidTr="00FA1064">
        <w:trPr>
          <w:tblHeader/>
        </w:trPr>
        <w:tc>
          <w:tcPr>
            <w:tcW w:w="360" w:type="pct"/>
            <w:vMerge/>
            <w:shd w:val="clear" w:color="auto" w:fill="FFFFFF" w:themeFill="background1"/>
            <w:tcMar>
              <w:top w:w="57" w:type="dxa"/>
              <w:bottom w:w="57" w:type="dxa"/>
            </w:tcMar>
          </w:tcPr>
          <w:p w14:paraId="3E56FCBE"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tcPr>
          <w:p w14:paraId="2A2ACEFB"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Dose required of IR3535 (mg/m²)</w:t>
            </w:r>
          </w:p>
        </w:tc>
        <w:tc>
          <w:tcPr>
            <w:tcW w:w="954" w:type="pct"/>
            <w:shd w:val="clear" w:color="auto" w:fill="FFFFFF" w:themeFill="background1"/>
            <w:tcMar>
              <w:top w:w="57" w:type="dxa"/>
              <w:bottom w:w="57" w:type="dxa"/>
            </w:tcMar>
            <w:vAlign w:val="center"/>
          </w:tcPr>
          <w:p w14:paraId="47533160"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2.0E+03</w:t>
            </w:r>
          </w:p>
        </w:tc>
        <w:tc>
          <w:tcPr>
            <w:tcW w:w="1450" w:type="pct"/>
            <w:shd w:val="clear" w:color="auto" w:fill="FFFFFF" w:themeFill="background1"/>
            <w:vAlign w:val="center"/>
          </w:tcPr>
          <w:p w14:paraId="5D9A0092"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333E687A" w14:textId="77777777" w:rsidTr="00FA1064">
        <w:trPr>
          <w:tblHeader/>
        </w:trPr>
        <w:tc>
          <w:tcPr>
            <w:tcW w:w="360" w:type="pct"/>
            <w:vMerge/>
            <w:shd w:val="clear" w:color="auto" w:fill="FFFFFF" w:themeFill="background1"/>
            <w:tcMar>
              <w:top w:w="57" w:type="dxa"/>
              <w:bottom w:w="57" w:type="dxa"/>
            </w:tcMar>
          </w:tcPr>
          <w:p w14:paraId="51ECD1E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tcPr>
          <w:p w14:paraId="053D2B84"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Dislodgeable fraction from sheets to skin</w:t>
            </w:r>
          </w:p>
        </w:tc>
        <w:tc>
          <w:tcPr>
            <w:tcW w:w="954" w:type="pct"/>
            <w:shd w:val="clear" w:color="auto" w:fill="FFFFFF" w:themeFill="background1"/>
            <w:tcMar>
              <w:top w:w="57" w:type="dxa"/>
              <w:bottom w:w="57" w:type="dxa"/>
            </w:tcMar>
            <w:vAlign w:val="center"/>
          </w:tcPr>
          <w:p w14:paraId="16BB1AF5"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30%</w:t>
            </w:r>
          </w:p>
        </w:tc>
        <w:tc>
          <w:tcPr>
            <w:tcW w:w="1450" w:type="pct"/>
            <w:shd w:val="clear" w:color="auto" w:fill="FFFFFF" w:themeFill="background1"/>
            <w:vAlign w:val="center"/>
          </w:tcPr>
          <w:p w14:paraId="2305DEBB"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30% for dried surface (TNsG)</w:t>
            </w:r>
          </w:p>
        </w:tc>
      </w:tr>
      <w:tr w:rsidR="002655EE" w:rsidRPr="00FA1064" w14:paraId="336EB88B" w14:textId="77777777" w:rsidTr="00FA1064">
        <w:trPr>
          <w:tblHeader/>
        </w:trPr>
        <w:tc>
          <w:tcPr>
            <w:tcW w:w="360" w:type="pct"/>
            <w:vMerge/>
            <w:shd w:val="clear" w:color="auto" w:fill="FFFFFF" w:themeFill="background1"/>
            <w:tcMar>
              <w:top w:w="57" w:type="dxa"/>
              <w:bottom w:w="57" w:type="dxa"/>
            </w:tcMar>
          </w:tcPr>
          <w:p w14:paraId="7C3AE12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tcPr>
          <w:p w14:paraId="79DD0815"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Dermal absorption (%)</w:t>
            </w:r>
          </w:p>
        </w:tc>
        <w:tc>
          <w:tcPr>
            <w:tcW w:w="954" w:type="pct"/>
            <w:shd w:val="clear" w:color="auto" w:fill="FFFFFF" w:themeFill="background1"/>
            <w:tcMar>
              <w:top w:w="57" w:type="dxa"/>
              <w:bottom w:w="57" w:type="dxa"/>
            </w:tcMar>
            <w:vAlign w:val="center"/>
          </w:tcPr>
          <w:p w14:paraId="2F8C0956"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14%</w:t>
            </w:r>
          </w:p>
        </w:tc>
        <w:tc>
          <w:tcPr>
            <w:tcW w:w="1450" w:type="pct"/>
            <w:shd w:val="clear" w:color="auto" w:fill="FFFFFF" w:themeFill="background1"/>
            <w:vAlign w:val="center"/>
          </w:tcPr>
          <w:p w14:paraId="2A4EFDE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CAR IR3535</w:t>
            </w:r>
          </w:p>
        </w:tc>
      </w:tr>
      <w:tr w:rsidR="002655EE" w:rsidRPr="00FA1064" w14:paraId="76EFABAF" w14:textId="77777777" w:rsidTr="00FA1064">
        <w:trPr>
          <w:tblHeader/>
        </w:trPr>
        <w:tc>
          <w:tcPr>
            <w:tcW w:w="360" w:type="pct"/>
            <w:vMerge/>
            <w:shd w:val="clear" w:color="auto" w:fill="FFFFFF" w:themeFill="background1"/>
            <w:tcMar>
              <w:top w:w="57" w:type="dxa"/>
              <w:bottom w:w="57" w:type="dxa"/>
            </w:tcMar>
          </w:tcPr>
          <w:p w14:paraId="39AA867C"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3190" w:type="pct"/>
            <w:gridSpan w:val="2"/>
            <w:shd w:val="clear" w:color="auto" w:fill="FFFFFF" w:themeFill="background1"/>
            <w:tcMar>
              <w:top w:w="57" w:type="dxa"/>
              <w:bottom w:w="57" w:type="dxa"/>
            </w:tcMar>
          </w:tcPr>
          <w:p w14:paraId="5DF622A7"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Total body area in contact with bed for anti head lice treatment (cm²)</w:t>
            </w:r>
          </w:p>
        </w:tc>
        <w:tc>
          <w:tcPr>
            <w:tcW w:w="1450" w:type="pct"/>
            <w:shd w:val="clear" w:color="auto" w:fill="FFFFFF" w:themeFill="background1"/>
            <w:vAlign w:val="center"/>
          </w:tcPr>
          <w:p w14:paraId="469C582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658DEC4F" w14:textId="77777777" w:rsidTr="00FA1064">
        <w:trPr>
          <w:tblHeader/>
        </w:trPr>
        <w:tc>
          <w:tcPr>
            <w:tcW w:w="360" w:type="pct"/>
            <w:vMerge/>
            <w:shd w:val="clear" w:color="auto" w:fill="FFFFFF" w:themeFill="background1"/>
            <w:tcMar>
              <w:top w:w="57" w:type="dxa"/>
              <w:bottom w:w="57" w:type="dxa"/>
            </w:tcMar>
          </w:tcPr>
          <w:p w14:paraId="639A43A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3022008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Adult</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bottom"/>
          </w:tcPr>
          <w:p w14:paraId="237A66D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10140</w:t>
            </w:r>
          </w:p>
        </w:tc>
        <w:tc>
          <w:tcPr>
            <w:tcW w:w="1450" w:type="pct"/>
            <w:shd w:val="clear" w:color="auto" w:fill="FFFFFF" w:themeFill="background1"/>
            <w:vAlign w:val="center"/>
          </w:tcPr>
          <w:p w14:paraId="29C7803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423C7D93" w14:textId="77777777" w:rsidTr="00FA1064">
        <w:trPr>
          <w:tblHeader/>
        </w:trPr>
        <w:tc>
          <w:tcPr>
            <w:tcW w:w="360" w:type="pct"/>
            <w:vMerge/>
            <w:shd w:val="clear" w:color="auto" w:fill="FFFFFF" w:themeFill="background1"/>
            <w:tcMar>
              <w:top w:w="57" w:type="dxa"/>
              <w:bottom w:w="57" w:type="dxa"/>
            </w:tcMar>
          </w:tcPr>
          <w:p w14:paraId="10AF6CFE"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34F4FB08"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(6 to &lt;12 years old)</w:t>
            </w:r>
          </w:p>
        </w:tc>
        <w:tc>
          <w:tcPr>
            <w:tcW w:w="954" w:type="pct"/>
            <w:tcBorders>
              <w:top w:val="nil"/>
              <w:left w:val="single" w:sz="4" w:space="0" w:color="auto"/>
              <w:bottom w:val="single" w:sz="4" w:space="0" w:color="auto"/>
              <w:right w:val="single" w:sz="4" w:space="0" w:color="auto"/>
            </w:tcBorders>
            <w:shd w:val="clear" w:color="auto" w:fill="FFFFFF" w:themeFill="background1"/>
            <w:tcMar>
              <w:top w:w="57" w:type="dxa"/>
              <w:bottom w:w="57" w:type="dxa"/>
            </w:tcMar>
            <w:vAlign w:val="bottom"/>
          </w:tcPr>
          <w:p w14:paraId="354F2292"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5854</w:t>
            </w:r>
          </w:p>
        </w:tc>
        <w:tc>
          <w:tcPr>
            <w:tcW w:w="1450" w:type="pct"/>
            <w:shd w:val="clear" w:color="auto" w:fill="FFFFFF" w:themeFill="background1"/>
            <w:vAlign w:val="center"/>
          </w:tcPr>
          <w:p w14:paraId="37EE0B8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1ECD0EFD" w14:textId="77777777" w:rsidTr="00FA1064">
        <w:trPr>
          <w:tblHeader/>
        </w:trPr>
        <w:tc>
          <w:tcPr>
            <w:tcW w:w="360" w:type="pct"/>
            <w:vMerge/>
            <w:shd w:val="clear" w:color="auto" w:fill="FFFFFF" w:themeFill="background1"/>
            <w:tcMar>
              <w:top w:w="57" w:type="dxa"/>
              <w:bottom w:w="57" w:type="dxa"/>
            </w:tcMar>
          </w:tcPr>
          <w:p w14:paraId="25AA5A34"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135342A7"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(2 to &lt;6 years old)</w:t>
            </w:r>
          </w:p>
        </w:tc>
        <w:tc>
          <w:tcPr>
            <w:tcW w:w="954" w:type="pct"/>
            <w:tcBorders>
              <w:top w:val="nil"/>
              <w:left w:val="single" w:sz="4" w:space="0" w:color="auto"/>
              <w:bottom w:val="single" w:sz="4" w:space="0" w:color="auto"/>
              <w:right w:val="single" w:sz="4" w:space="0" w:color="auto"/>
            </w:tcBorders>
            <w:shd w:val="clear" w:color="auto" w:fill="FFFFFF" w:themeFill="background1"/>
            <w:tcMar>
              <w:top w:w="57" w:type="dxa"/>
              <w:bottom w:w="57" w:type="dxa"/>
            </w:tcMar>
            <w:vAlign w:val="bottom"/>
          </w:tcPr>
          <w:p w14:paraId="7C30B84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4574</w:t>
            </w:r>
          </w:p>
        </w:tc>
        <w:tc>
          <w:tcPr>
            <w:tcW w:w="1450" w:type="pct"/>
            <w:shd w:val="clear" w:color="auto" w:fill="FFFFFF" w:themeFill="background1"/>
            <w:vAlign w:val="center"/>
          </w:tcPr>
          <w:p w14:paraId="7419D9FF"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006BA0A4" w14:textId="77777777" w:rsidTr="00FA1064">
        <w:trPr>
          <w:tblHeader/>
        </w:trPr>
        <w:tc>
          <w:tcPr>
            <w:tcW w:w="360" w:type="pct"/>
            <w:vMerge/>
            <w:shd w:val="clear" w:color="auto" w:fill="FFFFFF" w:themeFill="background1"/>
            <w:tcMar>
              <w:top w:w="57" w:type="dxa"/>
              <w:bottom w:w="57" w:type="dxa"/>
            </w:tcMar>
          </w:tcPr>
          <w:p w14:paraId="3BC4C36C"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0689D2F7"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Toddler (1 to &lt;2 years old)</w:t>
            </w:r>
          </w:p>
        </w:tc>
        <w:tc>
          <w:tcPr>
            <w:tcW w:w="954" w:type="pct"/>
            <w:tcBorders>
              <w:top w:val="nil"/>
              <w:left w:val="single" w:sz="4" w:space="0" w:color="auto"/>
              <w:bottom w:val="single" w:sz="4" w:space="0" w:color="auto"/>
              <w:right w:val="single" w:sz="4" w:space="0" w:color="auto"/>
            </w:tcBorders>
            <w:shd w:val="clear" w:color="auto" w:fill="FFFFFF" w:themeFill="background1"/>
            <w:tcMar>
              <w:top w:w="57" w:type="dxa"/>
              <w:bottom w:w="57" w:type="dxa"/>
            </w:tcMar>
            <w:vAlign w:val="bottom"/>
          </w:tcPr>
          <w:p w14:paraId="706F0134"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3293</w:t>
            </w:r>
          </w:p>
        </w:tc>
        <w:tc>
          <w:tcPr>
            <w:tcW w:w="1450" w:type="pct"/>
            <w:shd w:val="clear" w:color="auto" w:fill="FFFFFF" w:themeFill="background1"/>
            <w:vAlign w:val="center"/>
          </w:tcPr>
          <w:p w14:paraId="6D8E1FEC"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6B6D4834" w14:textId="77777777" w:rsidTr="00FA1064">
        <w:trPr>
          <w:tblHeader/>
        </w:trPr>
        <w:tc>
          <w:tcPr>
            <w:tcW w:w="360" w:type="pct"/>
            <w:vMerge/>
            <w:shd w:val="clear" w:color="auto" w:fill="FFFFFF" w:themeFill="background1"/>
            <w:tcMar>
              <w:top w:w="57" w:type="dxa"/>
              <w:bottom w:w="57" w:type="dxa"/>
            </w:tcMar>
          </w:tcPr>
          <w:p w14:paraId="3BFE6974"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2A20519F"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Infant (&lt;1 year old)</w:t>
            </w:r>
          </w:p>
        </w:tc>
        <w:tc>
          <w:tcPr>
            <w:tcW w:w="954" w:type="pct"/>
            <w:tcBorders>
              <w:top w:val="nil"/>
              <w:left w:val="single" w:sz="4" w:space="0" w:color="auto"/>
              <w:bottom w:val="single" w:sz="4" w:space="0" w:color="auto"/>
              <w:right w:val="single" w:sz="4" w:space="0" w:color="auto"/>
            </w:tcBorders>
            <w:shd w:val="clear" w:color="auto" w:fill="FFFFFF" w:themeFill="background1"/>
            <w:tcMar>
              <w:top w:w="57" w:type="dxa"/>
              <w:bottom w:w="57" w:type="dxa"/>
            </w:tcMar>
            <w:vAlign w:val="bottom"/>
          </w:tcPr>
          <w:p w14:paraId="34E814D5"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2813</w:t>
            </w:r>
          </w:p>
        </w:tc>
        <w:tc>
          <w:tcPr>
            <w:tcW w:w="1450" w:type="pct"/>
            <w:shd w:val="clear" w:color="auto" w:fill="FFFFFF" w:themeFill="background1"/>
            <w:vAlign w:val="center"/>
          </w:tcPr>
          <w:p w14:paraId="4674019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5F255F48" w14:textId="77777777" w:rsidTr="00FA1064">
        <w:trPr>
          <w:tblHeader/>
        </w:trPr>
        <w:tc>
          <w:tcPr>
            <w:tcW w:w="360" w:type="pct"/>
            <w:vMerge/>
            <w:shd w:val="clear" w:color="auto" w:fill="FFFFFF" w:themeFill="background1"/>
            <w:tcMar>
              <w:top w:w="57" w:type="dxa"/>
              <w:bottom w:w="57" w:type="dxa"/>
            </w:tcMar>
            <w:vAlign w:val="center"/>
          </w:tcPr>
          <w:p w14:paraId="5A77F0FE"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3190" w:type="pct"/>
            <w:gridSpan w:val="2"/>
            <w:shd w:val="clear" w:color="auto" w:fill="FFFFFF" w:themeFill="background1"/>
            <w:tcMar>
              <w:top w:w="57" w:type="dxa"/>
              <w:bottom w:w="57" w:type="dxa"/>
            </w:tcMar>
          </w:tcPr>
          <w:p w14:paraId="46653516"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Total body area in contact with bed for anti dust treatment (cm²)</w:t>
            </w:r>
          </w:p>
        </w:tc>
        <w:tc>
          <w:tcPr>
            <w:tcW w:w="1450" w:type="pct"/>
            <w:vMerge w:val="restart"/>
            <w:shd w:val="clear" w:color="auto" w:fill="FFFFFF" w:themeFill="background1"/>
            <w:vAlign w:val="center"/>
          </w:tcPr>
          <w:p w14:paraId="33B26DA7"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Recommendation no. 14, 2017</w:t>
            </w:r>
          </w:p>
        </w:tc>
      </w:tr>
      <w:tr w:rsidR="002655EE" w:rsidRPr="00FA1064" w14:paraId="14D5711B" w14:textId="77777777" w:rsidTr="00FA1064">
        <w:trPr>
          <w:tblHeader/>
        </w:trPr>
        <w:tc>
          <w:tcPr>
            <w:tcW w:w="360" w:type="pct"/>
            <w:vMerge/>
            <w:shd w:val="clear" w:color="auto" w:fill="FFFFFF" w:themeFill="background1"/>
            <w:tcMar>
              <w:top w:w="57" w:type="dxa"/>
              <w:bottom w:w="57" w:type="dxa"/>
            </w:tcMar>
            <w:vAlign w:val="center"/>
          </w:tcPr>
          <w:p w14:paraId="37C52F2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22AF2837"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Adult</w:t>
            </w:r>
          </w:p>
        </w:tc>
        <w:tc>
          <w:tcPr>
            <w:tcW w:w="954" w:type="pct"/>
            <w:shd w:val="clear" w:color="auto" w:fill="FFFFFF" w:themeFill="background1"/>
            <w:tcMar>
              <w:top w:w="57" w:type="dxa"/>
              <w:bottom w:w="57" w:type="dxa"/>
            </w:tcMar>
          </w:tcPr>
          <w:p w14:paraId="34A6842C"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16600</w:t>
            </w:r>
          </w:p>
        </w:tc>
        <w:tc>
          <w:tcPr>
            <w:tcW w:w="1450" w:type="pct"/>
            <w:vMerge/>
            <w:shd w:val="clear" w:color="auto" w:fill="FFFFFF" w:themeFill="background1"/>
            <w:vAlign w:val="center"/>
          </w:tcPr>
          <w:p w14:paraId="73295CAE"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7054D701" w14:textId="77777777" w:rsidTr="00FA1064">
        <w:trPr>
          <w:tblHeader/>
        </w:trPr>
        <w:tc>
          <w:tcPr>
            <w:tcW w:w="360" w:type="pct"/>
            <w:vMerge/>
            <w:shd w:val="clear" w:color="auto" w:fill="FFFFFF" w:themeFill="background1"/>
            <w:tcMar>
              <w:top w:w="57" w:type="dxa"/>
              <w:bottom w:w="57" w:type="dxa"/>
            </w:tcMar>
            <w:vAlign w:val="center"/>
          </w:tcPr>
          <w:p w14:paraId="5B60CFE1"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2C13D7FC"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(6 to &lt;12 years old)</w:t>
            </w:r>
          </w:p>
        </w:tc>
        <w:tc>
          <w:tcPr>
            <w:tcW w:w="954" w:type="pct"/>
            <w:shd w:val="clear" w:color="auto" w:fill="FFFFFF" w:themeFill="background1"/>
            <w:tcMar>
              <w:top w:w="57" w:type="dxa"/>
              <w:bottom w:w="57" w:type="dxa"/>
            </w:tcMar>
          </w:tcPr>
          <w:p w14:paraId="1051B1F2"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9200</w:t>
            </w:r>
          </w:p>
        </w:tc>
        <w:tc>
          <w:tcPr>
            <w:tcW w:w="1450" w:type="pct"/>
            <w:vMerge/>
            <w:shd w:val="clear" w:color="auto" w:fill="FFFFFF" w:themeFill="background1"/>
            <w:vAlign w:val="center"/>
          </w:tcPr>
          <w:p w14:paraId="29244AC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47D1DBD8" w14:textId="77777777" w:rsidTr="00FA1064">
        <w:trPr>
          <w:tblHeader/>
        </w:trPr>
        <w:tc>
          <w:tcPr>
            <w:tcW w:w="360" w:type="pct"/>
            <w:vMerge/>
            <w:shd w:val="clear" w:color="auto" w:fill="FFFFFF" w:themeFill="background1"/>
            <w:tcMar>
              <w:top w:w="57" w:type="dxa"/>
              <w:bottom w:w="57" w:type="dxa"/>
            </w:tcMar>
            <w:vAlign w:val="center"/>
          </w:tcPr>
          <w:p w14:paraId="01C93C1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201352F1"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(2 to &lt;6 years old)</w:t>
            </w:r>
          </w:p>
        </w:tc>
        <w:tc>
          <w:tcPr>
            <w:tcW w:w="954" w:type="pct"/>
            <w:shd w:val="clear" w:color="auto" w:fill="FFFFFF" w:themeFill="background1"/>
            <w:tcMar>
              <w:top w:w="57" w:type="dxa"/>
              <w:bottom w:w="57" w:type="dxa"/>
            </w:tcMar>
          </w:tcPr>
          <w:p w14:paraId="2061A27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6800</w:t>
            </w:r>
          </w:p>
        </w:tc>
        <w:tc>
          <w:tcPr>
            <w:tcW w:w="1450" w:type="pct"/>
            <w:vMerge/>
            <w:shd w:val="clear" w:color="auto" w:fill="FFFFFF" w:themeFill="background1"/>
            <w:vAlign w:val="center"/>
          </w:tcPr>
          <w:p w14:paraId="5CA1D76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643B5CC9" w14:textId="77777777" w:rsidTr="00FA1064">
        <w:trPr>
          <w:tblHeader/>
        </w:trPr>
        <w:tc>
          <w:tcPr>
            <w:tcW w:w="360" w:type="pct"/>
            <w:vMerge/>
            <w:shd w:val="clear" w:color="auto" w:fill="FFFFFF" w:themeFill="background1"/>
            <w:tcMar>
              <w:top w:w="57" w:type="dxa"/>
              <w:bottom w:w="57" w:type="dxa"/>
            </w:tcMar>
            <w:vAlign w:val="center"/>
          </w:tcPr>
          <w:p w14:paraId="58EBBB3E"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667B2831"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Toddler (1 to &lt;2 years old)</w:t>
            </w:r>
          </w:p>
        </w:tc>
        <w:tc>
          <w:tcPr>
            <w:tcW w:w="954" w:type="pct"/>
            <w:shd w:val="clear" w:color="auto" w:fill="FFFFFF" w:themeFill="background1"/>
            <w:tcMar>
              <w:top w:w="57" w:type="dxa"/>
              <w:bottom w:w="57" w:type="dxa"/>
            </w:tcMar>
          </w:tcPr>
          <w:p w14:paraId="1DC1C482"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4800</w:t>
            </w:r>
          </w:p>
        </w:tc>
        <w:tc>
          <w:tcPr>
            <w:tcW w:w="1450" w:type="pct"/>
            <w:vMerge/>
            <w:shd w:val="clear" w:color="auto" w:fill="FFFFFF" w:themeFill="background1"/>
            <w:vAlign w:val="center"/>
          </w:tcPr>
          <w:p w14:paraId="2D9C6780"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2CFEF5B6" w14:textId="77777777" w:rsidTr="00FA1064">
        <w:trPr>
          <w:trHeight w:val="20"/>
          <w:tblHeader/>
        </w:trPr>
        <w:tc>
          <w:tcPr>
            <w:tcW w:w="360" w:type="pct"/>
            <w:vMerge/>
            <w:shd w:val="clear" w:color="auto" w:fill="FFFFFF" w:themeFill="background1"/>
            <w:tcMar>
              <w:top w:w="57" w:type="dxa"/>
              <w:bottom w:w="57" w:type="dxa"/>
            </w:tcMar>
            <w:vAlign w:val="center"/>
          </w:tcPr>
          <w:p w14:paraId="54636934"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04C7D619"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Infant (&lt;1 year old)</w:t>
            </w:r>
          </w:p>
        </w:tc>
        <w:tc>
          <w:tcPr>
            <w:tcW w:w="954" w:type="pct"/>
            <w:shd w:val="clear" w:color="auto" w:fill="FFFFFF" w:themeFill="background1"/>
            <w:tcMar>
              <w:top w:w="57" w:type="dxa"/>
              <w:bottom w:w="57" w:type="dxa"/>
            </w:tcMar>
          </w:tcPr>
          <w:p w14:paraId="016D2745"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4100</w:t>
            </w:r>
          </w:p>
        </w:tc>
        <w:tc>
          <w:tcPr>
            <w:tcW w:w="1450" w:type="pct"/>
            <w:vMerge/>
            <w:shd w:val="clear" w:color="auto" w:fill="FFFFFF" w:themeFill="background1"/>
            <w:vAlign w:val="center"/>
          </w:tcPr>
          <w:p w14:paraId="53883FA8"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0FCAD216" w14:textId="77777777" w:rsidTr="00FA1064">
        <w:trPr>
          <w:tblHeader/>
        </w:trPr>
        <w:tc>
          <w:tcPr>
            <w:tcW w:w="360" w:type="pct"/>
            <w:vMerge/>
            <w:shd w:val="clear" w:color="auto" w:fill="FFFFFF" w:themeFill="background1"/>
            <w:tcMar>
              <w:top w:w="57" w:type="dxa"/>
              <w:bottom w:w="57" w:type="dxa"/>
            </w:tcMar>
          </w:tcPr>
          <w:p w14:paraId="4C2518B7"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3190" w:type="pct"/>
            <w:gridSpan w:val="2"/>
            <w:shd w:val="clear" w:color="auto" w:fill="FFFFFF" w:themeFill="background1"/>
            <w:tcMar>
              <w:top w:w="57" w:type="dxa"/>
              <w:bottom w:w="57" w:type="dxa"/>
            </w:tcMar>
          </w:tcPr>
          <w:p w14:paraId="4631F6E7"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Body weight (kg)</w:t>
            </w:r>
          </w:p>
        </w:tc>
        <w:tc>
          <w:tcPr>
            <w:tcW w:w="1450" w:type="pct"/>
            <w:vMerge w:val="restart"/>
            <w:shd w:val="clear" w:color="auto" w:fill="FFFFFF" w:themeFill="background1"/>
            <w:vAlign w:val="center"/>
          </w:tcPr>
          <w:p w14:paraId="05D9CE45"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Recommendation no. 14, 2017</w:t>
            </w:r>
          </w:p>
        </w:tc>
      </w:tr>
      <w:tr w:rsidR="002655EE" w:rsidRPr="00FA1064" w14:paraId="4D7578BF" w14:textId="77777777" w:rsidTr="00FA1064">
        <w:trPr>
          <w:trHeight w:val="20"/>
          <w:tblHeader/>
        </w:trPr>
        <w:tc>
          <w:tcPr>
            <w:tcW w:w="360" w:type="pct"/>
            <w:vMerge/>
            <w:shd w:val="clear" w:color="auto" w:fill="FFFFFF" w:themeFill="background1"/>
            <w:tcMar>
              <w:top w:w="57" w:type="dxa"/>
              <w:bottom w:w="57" w:type="dxa"/>
            </w:tcMar>
          </w:tcPr>
          <w:p w14:paraId="72EA3F20"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1F84A41D"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Adult</w:t>
            </w:r>
          </w:p>
        </w:tc>
        <w:tc>
          <w:tcPr>
            <w:tcW w:w="954" w:type="pct"/>
            <w:shd w:val="clear" w:color="auto" w:fill="FFFFFF" w:themeFill="background1"/>
            <w:tcMar>
              <w:top w:w="57" w:type="dxa"/>
              <w:bottom w:w="57" w:type="dxa"/>
            </w:tcMar>
          </w:tcPr>
          <w:p w14:paraId="3E98BF2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60</w:t>
            </w:r>
          </w:p>
        </w:tc>
        <w:tc>
          <w:tcPr>
            <w:tcW w:w="1450" w:type="pct"/>
            <w:vMerge/>
            <w:shd w:val="clear" w:color="auto" w:fill="FFFFFF" w:themeFill="background1"/>
            <w:vAlign w:val="center"/>
          </w:tcPr>
          <w:p w14:paraId="04EB2EF7"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0BCF3AAB" w14:textId="77777777" w:rsidTr="00FA1064">
        <w:trPr>
          <w:tblHeader/>
        </w:trPr>
        <w:tc>
          <w:tcPr>
            <w:tcW w:w="360" w:type="pct"/>
            <w:vMerge/>
            <w:shd w:val="clear" w:color="auto" w:fill="FFFFFF" w:themeFill="background1"/>
            <w:tcMar>
              <w:top w:w="57" w:type="dxa"/>
              <w:bottom w:w="57" w:type="dxa"/>
            </w:tcMar>
          </w:tcPr>
          <w:p w14:paraId="2EA6080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328E1FA6"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(6 to &lt;12 years old)</w:t>
            </w:r>
          </w:p>
        </w:tc>
        <w:tc>
          <w:tcPr>
            <w:tcW w:w="954" w:type="pct"/>
            <w:shd w:val="clear" w:color="auto" w:fill="FFFFFF" w:themeFill="background1"/>
            <w:tcMar>
              <w:top w:w="57" w:type="dxa"/>
              <w:bottom w:w="57" w:type="dxa"/>
            </w:tcMar>
          </w:tcPr>
          <w:p w14:paraId="116104DD"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23.9</w:t>
            </w:r>
          </w:p>
        </w:tc>
        <w:tc>
          <w:tcPr>
            <w:tcW w:w="1450" w:type="pct"/>
            <w:vMerge/>
            <w:shd w:val="clear" w:color="auto" w:fill="FFFFFF" w:themeFill="background1"/>
            <w:vAlign w:val="center"/>
          </w:tcPr>
          <w:p w14:paraId="520458CB"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67D1EF85" w14:textId="77777777" w:rsidTr="00FA1064">
        <w:trPr>
          <w:tblHeader/>
        </w:trPr>
        <w:tc>
          <w:tcPr>
            <w:tcW w:w="360" w:type="pct"/>
            <w:vMerge/>
            <w:shd w:val="clear" w:color="auto" w:fill="FFFFFF" w:themeFill="background1"/>
            <w:tcMar>
              <w:top w:w="57" w:type="dxa"/>
              <w:bottom w:w="57" w:type="dxa"/>
            </w:tcMar>
          </w:tcPr>
          <w:p w14:paraId="280A5A36"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303383EA"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(2 to &lt;6 years old)</w:t>
            </w:r>
          </w:p>
        </w:tc>
        <w:tc>
          <w:tcPr>
            <w:tcW w:w="954" w:type="pct"/>
            <w:shd w:val="clear" w:color="auto" w:fill="FFFFFF" w:themeFill="background1"/>
            <w:tcMar>
              <w:top w:w="57" w:type="dxa"/>
              <w:bottom w:w="57" w:type="dxa"/>
            </w:tcMar>
          </w:tcPr>
          <w:p w14:paraId="4358679F"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15.6</w:t>
            </w:r>
          </w:p>
        </w:tc>
        <w:tc>
          <w:tcPr>
            <w:tcW w:w="1450" w:type="pct"/>
            <w:vMerge/>
            <w:shd w:val="clear" w:color="auto" w:fill="FFFFFF" w:themeFill="background1"/>
            <w:vAlign w:val="center"/>
          </w:tcPr>
          <w:p w14:paraId="318C20C5"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2C9CCA03" w14:textId="77777777" w:rsidTr="00FA1064">
        <w:trPr>
          <w:trHeight w:val="20"/>
          <w:tblHeader/>
        </w:trPr>
        <w:tc>
          <w:tcPr>
            <w:tcW w:w="360" w:type="pct"/>
            <w:vMerge/>
            <w:shd w:val="clear" w:color="auto" w:fill="FFFFFF" w:themeFill="background1"/>
            <w:tcMar>
              <w:top w:w="57" w:type="dxa"/>
              <w:bottom w:w="57" w:type="dxa"/>
            </w:tcMar>
          </w:tcPr>
          <w:p w14:paraId="7BDEA5D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278E2CB6"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Toddler (1 to &lt;2 years old)</w:t>
            </w:r>
          </w:p>
        </w:tc>
        <w:tc>
          <w:tcPr>
            <w:tcW w:w="954" w:type="pct"/>
            <w:shd w:val="clear" w:color="auto" w:fill="FFFFFF" w:themeFill="background1"/>
            <w:tcMar>
              <w:top w:w="57" w:type="dxa"/>
              <w:bottom w:w="57" w:type="dxa"/>
            </w:tcMar>
          </w:tcPr>
          <w:p w14:paraId="14560DB9"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10</w:t>
            </w:r>
          </w:p>
        </w:tc>
        <w:tc>
          <w:tcPr>
            <w:tcW w:w="1450" w:type="pct"/>
            <w:vMerge/>
            <w:shd w:val="clear" w:color="auto" w:fill="FFFFFF" w:themeFill="background1"/>
            <w:vAlign w:val="center"/>
          </w:tcPr>
          <w:p w14:paraId="4459303F"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r w:rsidR="002655EE" w:rsidRPr="00FA1064" w14:paraId="197EBC1E" w14:textId="77777777" w:rsidTr="00FA1064">
        <w:trPr>
          <w:tblHeader/>
        </w:trPr>
        <w:tc>
          <w:tcPr>
            <w:tcW w:w="360" w:type="pct"/>
            <w:vMerge/>
            <w:shd w:val="clear" w:color="auto" w:fill="FFFFFF" w:themeFill="background1"/>
            <w:tcMar>
              <w:top w:w="57" w:type="dxa"/>
              <w:bottom w:w="57" w:type="dxa"/>
            </w:tcMar>
          </w:tcPr>
          <w:p w14:paraId="15FEA8DD"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c>
          <w:tcPr>
            <w:tcW w:w="2236" w:type="pct"/>
            <w:shd w:val="clear" w:color="auto" w:fill="FFFFFF" w:themeFill="background1"/>
            <w:tcMar>
              <w:top w:w="57" w:type="dxa"/>
              <w:bottom w:w="57" w:type="dxa"/>
            </w:tcMar>
            <w:vAlign w:val="center"/>
          </w:tcPr>
          <w:p w14:paraId="65A0DC9B"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Infant (&lt;1 year old)</w:t>
            </w:r>
          </w:p>
        </w:tc>
        <w:tc>
          <w:tcPr>
            <w:tcW w:w="954" w:type="pct"/>
            <w:shd w:val="clear" w:color="auto" w:fill="FFFFFF" w:themeFill="background1"/>
            <w:tcMar>
              <w:top w:w="57" w:type="dxa"/>
              <w:bottom w:w="57" w:type="dxa"/>
            </w:tcMar>
          </w:tcPr>
          <w:p w14:paraId="673C1A98"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8</w:t>
            </w:r>
          </w:p>
        </w:tc>
        <w:tc>
          <w:tcPr>
            <w:tcW w:w="1450" w:type="pct"/>
            <w:vMerge/>
            <w:shd w:val="clear" w:color="auto" w:fill="FFFFFF" w:themeFill="background1"/>
            <w:vAlign w:val="center"/>
          </w:tcPr>
          <w:p w14:paraId="07D535D4"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c>
      </w:tr>
    </w:tbl>
    <w:p w14:paraId="2E0383EC"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p w14:paraId="57E8B0FA"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Calculations for Scenario [7a] – head lice</w:t>
      </w:r>
    </w:p>
    <w:p w14:paraId="14DA4229"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FA1064" w14:paraId="7F855C60" w14:textId="77777777" w:rsidTr="002655EE">
        <w:trPr>
          <w:cantSplit/>
          <w:trHeight w:val="140"/>
          <w:tblHeader/>
        </w:trPr>
        <w:tc>
          <w:tcPr>
            <w:tcW w:w="5000" w:type="pct"/>
            <w:gridSpan w:val="3"/>
            <w:shd w:val="clear" w:color="auto" w:fill="FFFFCC"/>
          </w:tcPr>
          <w:p w14:paraId="1428E27C"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Summary table: estimated exposure for Dermal Primary exposure</w:t>
            </w:r>
          </w:p>
        </w:tc>
      </w:tr>
      <w:tr w:rsidR="002655EE" w:rsidRPr="00FA1064" w14:paraId="6B18ABD6" w14:textId="77777777" w:rsidTr="00FA1064">
        <w:trPr>
          <w:cantSplit/>
          <w:trHeight w:val="140"/>
          <w:tblHeader/>
        </w:trPr>
        <w:tc>
          <w:tcPr>
            <w:tcW w:w="1842" w:type="pct"/>
            <w:shd w:val="clear" w:color="auto" w:fill="FFFFFF" w:themeFill="background1"/>
          </w:tcPr>
          <w:p w14:paraId="3A35CAF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Exposure scenario</w:t>
            </w:r>
          </w:p>
        </w:tc>
        <w:tc>
          <w:tcPr>
            <w:tcW w:w="1398" w:type="pct"/>
            <w:shd w:val="clear" w:color="auto" w:fill="FFFFFF" w:themeFill="background1"/>
          </w:tcPr>
          <w:p w14:paraId="3CB7EB0D"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Tier/PPE</w:t>
            </w:r>
          </w:p>
        </w:tc>
        <w:tc>
          <w:tcPr>
            <w:tcW w:w="1760" w:type="pct"/>
            <w:shd w:val="clear" w:color="auto" w:fill="FFFFFF" w:themeFill="background1"/>
          </w:tcPr>
          <w:p w14:paraId="76C12796"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Estimated dermal uptake (mg/kg bw/d)</w:t>
            </w:r>
          </w:p>
        </w:tc>
      </w:tr>
      <w:tr w:rsidR="002655EE" w:rsidRPr="00FA1064" w14:paraId="4A75E95E" w14:textId="77777777" w:rsidTr="00FA1064">
        <w:trPr>
          <w:cantSplit/>
          <w:trHeight w:val="282"/>
          <w:tblHeader/>
        </w:trPr>
        <w:tc>
          <w:tcPr>
            <w:tcW w:w="1842" w:type="pct"/>
            <w:shd w:val="clear" w:color="auto" w:fill="FFFFFF" w:themeFill="background1"/>
            <w:vAlign w:val="center"/>
          </w:tcPr>
          <w:p w14:paraId="2C8524CF"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Adult</w:t>
            </w:r>
          </w:p>
        </w:tc>
        <w:tc>
          <w:tcPr>
            <w:tcW w:w="1398" w:type="pct"/>
            <w:shd w:val="clear" w:color="auto" w:fill="FFFFFF" w:themeFill="background1"/>
            <w:vAlign w:val="center"/>
          </w:tcPr>
          <w:p w14:paraId="0AE1DA9D"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center"/>
          </w:tcPr>
          <w:p w14:paraId="158C8278"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1.42</w:t>
            </w:r>
          </w:p>
        </w:tc>
      </w:tr>
      <w:tr w:rsidR="002655EE" w:rsidRPr="00FA1064" w14:paraId="512131DE" w14:textId="77777777" w:rsidTr="00FA1064">
        <w:trPr>
          <w:cantSplit/>
          <w:trHeight w:val="209"/>
          <w:tblHeader/>
        </w:trPr>
        <w:tc>
          <w:tcPr>
            <w:tcW w:w="1842" w:type="pct"/>
            <w:shd w:val="clear" w:color="auto" w:fill="FFFFFF" w:themeFill="background1"/>
            <w:vAlign w:val="center"/>
          </w:tcPr>
          <w:p w14:paraId="2886A8B2"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(6 to &lt;12 years old)</w:t>
            </w:r>
          </w:p>
        </w:tc>
        <w:tc>
          <w:tcPr>
            <w:tcW w:w="1398" w:type="pct"/>
            <w:shd w:val="clear" w:color="auto" w:fill="FFFFFF" w:themeFill="background1"/>
            <w:vAlign w:val="center"/>
          </w:tcPr>
          <w:p w14:paraId="51027D92"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center"/>
          </w:tcPr>
          <w:p w14:paraId="679819C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2.06</w:t>
            </w:r>
          </w:p>
        </w:tc>
      </w:tr>
      <w:tr w:rsidR="002655EE" w:rsidRPr="00FA1064" w14:paraId="558F2B70" w14:textId="77777777" w:rsidTr="00FA1064">
        <w:trPr>
          <w:cantSplit/>
          <w:trHeight w:val="286"/>
          <w:tblHeader/>
        </w:trPr>
        <w:tc>
          <w:tcPr>
            <w:tcW w:w="1842" w:type="pct"/>
            <w:shd w:val="clear" w:color="auto" w:fill="FFFFFF" w:themeFill="background1"/>
            <w:vAlign w:val="center"/>
          </w:tcPr>
          <w:p w14:paraId="0182FE4C"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(2 to &lt;6 years old)</w:t>
            </w:r>
          </w:p>
        </w:tc>
        <w:tc>
          <w:tcPr>
            <w:tcW w:w="1398" w:type="pct"/>
            <w:shd w:val="clear" w:color="auto" w:fill="FFFFFF" w:themeFill="background1"/>
            <w:vAlign w:val="center"/>
          </w:tcPr>
          <w:p w14:paraId="19626BA0"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center"/>
          </w:tcPr>
          <w:p w14:paraId="6FC78D9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2.46</w:t>
            </w:r>
          </w:p>
        </w:tc>
      </w:tr>
      <w:tr w:rsidR="002655EE" w:rsidRPr="00FA1064" w14:paraId="7AA0F88B" w14:textId="77777777" w:rsidTr="00FA1064">
        <w:trPr>
          <w:cantSplit/>
          <w:trHeight w:val="282"/>
          <w:tblHeader/>
        </w:trPr>
        <w:tc>
          <w:tcPr>
            <w:tcW w:w="1842" w:type="pct"/>
            <w:shd w:val="clear" w:color="auto" w:fill="FFFFFF" w:themeFill="background1"/>
            <w:vAlign w:val="center"/>
          </w:tcPr>
          <w:p w14:paraId="708240A0"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Toddler (1 to &lt;2 years old)</w:t>
            </w:r>
          </w:p>
        </w:tc>
        <w:tc>
          <w:tcPr>
            <w:tcW w:w="1398" w:type="pct"/>
            <w:shd w:val="clear" w:color="auto" w:fill="FFFFFF" w:themeFill="background1"/>
            <w:vAlign w:val="center"/>
          </w:tcPr>
          <w:p w14:paraId="4FF62B44"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center"/>
          </w:tcPr>
          <w:p w14:paraId="31E6B45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2.77</w:t>
            </w:r>
          </w:p>
        </w:tc>
      </w:tr>
      <w:tr w:rsidR="002655EE" w:rsidRPr="00FA1064" w14:paraId="23AF0B1C" w14:textId="77777777" w:rsidTr="00FA1064">
        <w:trPr>
          <w:cantSplit/>
          <w:trHeight w:val="282"/>
          <w:tblHeader/>
        </w:trPr>
        <w:tc>
          <w:tcPr>
            <w:tcW w:w="1842" w:type="pct"/>
            <w:tcBorders>
              <w:bottom w:val="double" w:sz="4" w:space="0" w:color="auto"/>
            </w:tcBorders>
            <w:shd w:val="clear" w:color="auto" w:fill="FFFFFF" w:themeFill="background1"/>
            <w:vAlign w:val="center"/>
          </w:tcPr>
          <w:p w14:paraId="0C6BDA4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Infant (&lt;1 year old)</w:t>
            </w:r>
          </w:p>
        </w:tc>
        <w:tc>
          <w:tcPr>
            <w:tcW w:w="1398" w:type="pct"/>
            <w:tcBorders>
              <w:bottom w:val="double" w:sz="4" w:space="0" w:color="auto"/>
            </w:tcBorders>
            <w:shd w:val="clear" w:color="auto" w:fill="FFFFFF" w:themeFill="background1"/>
            <w:vAlign w:val="center"/>
          </w:tcPr>
          <w:p w14:paraId="20A14097"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bottom w:val="double" w:sz="4" w:space="0" w:color="auto"/>
            </w:tcBorders>
            <w:shd w:val="clear" w:color="auto" w:fill="FFFFFF" w:themeFill="background1"/>
            <w:vAlign w:val="center"/>
          </w:tcPr>
          <w:p w14:paraId="6537AB2F"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2.95</w:t>
            </w:r>
          </w:p>
        </w:tc>
      </w:tr>
    </w:tbl>
    <w:p w14:paraId="0D49ED45" w14:textId="77777777" w:rsidR="002655EE" w:rsidRPr="007E29F8" w:rsidRDefault="002655EE" w:rsidP="008A2D32">
      <w:pPr>
        <w:widowControl w:val="0"/>
        <w:kinsoku w:val="0"/>
        <w:overflowPunct w:val="0"/>
        <w:autoSpaceDE w:val="0"/>
        <w:autoSpaceDN w:val="0"/>
        <w:adjustRightInd w:val="0"/>
        <w:spacing w:before="0" w:after="0"/>
        <w:ind w:right="216"/>
        <w:jc w:val="both"/>
        <w:textAlignment w:val="baseline"/>
        <w:rPr>
          <w:rFonts w:cs="Arial"/>
          <w:b/>
          <w:i/>
          <w:spacing w:val="1"/>
          <w:u w:val="single"/>
          <w:lang w:eastAsia="fr-FR"/>
        </w:rPr>
      </w:pPr>
    </w:p>
    <w:p w14:paraId="6820171A" w14:textId="77777777" w:rsidR="002655EE" w:rsidRDefault="002655EE" w:rsidP="008A2D32">
      <w:pPr>
        <w:keepNext/>
        <w:widowControl w:val="0"/>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p>
    <w:p w14:paraId="322332A3"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r w:rsidRPr="007E29F8">
        <w:rPr>
          <w:rFonts w:cs="Arial"/>
          <w:spacing w:val="1"/>
          <w:u w:val="single"/>
          <w:lang w:eastAsia="fr-FR"/>
        </w:rPr>
        <w:t>Calculations for Scenario [7</w:t>
      </w:r>
      <w:r>
        <w:rPr>
          <w:rFonts w:cs="Arial"/>
          <w:spacing w:val="1"/>
          <w:u w:val="single"/>
          <w:lang w:eastAsia="fr-FR"/>
        </w:rPr>
        <w:t>b</w:t>
      </w:r>
      <w:r w:rsidRPr="007E29F8">
        <w:rPr>
          <w:rFonts w:cs="Arial"/>
          <w:spacing w:val="1"/>
          <w:u w:val="single"/>
          <w:lang w:eastAsia="fr-FR"/>
        </w:rPr>
        <w:t xml:space="preserve">] </w:t>
      </w:r>
      <w:r>
        <w:rPr>
          <w:rFonts w:cs="Arial"/>
          <w:spacing w:val="1"/>
          <w:u w:val="single"/>
          <w:lang w:eastAsia="fr-FR"/>
        </w:rPr>
        <w:t>– dust mites</w:t>
      </w:r>
    </w:p>
    <w:p w14:paraId="0B5A6A2A" w14:textId="77777777" w:rsidR="002655EE" w:rsidRPr="007E29F8" w:rsidRDefault="002655EE" w:rsidP="008A2D32">
      <w:pPr>
        <w:keepNext/>
        <w:widowControl w:val="0"/>
        <w:kinsoku w:val="0"/>
        <w:overflowPunct w:val="0"/>
        <w:autoSpaceDE w:val="0"/>
        <w:autoSpaceDN w:val="0"/>
        <w:adjustRightInd w:val="0"/>
        <w:spacing w:before="0" w:after="0" w:line="290" w:lineRule="exact"/>
        <w:ind w:right="216"/>
        <w:jc w:val="both"/>
        <w:textAlignment w:val="baseline"/>
        <w:rPr>
          <w:rFonts w:cs="Arial"/>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7E29F8" w14:paraId="037298EE" w14:textId="77777777" w:rsidTr="002655EE">
        <w:trPr>
          <w:cantSplit/>
          <w:trHeight w:val="140"/>
          <w:tblHeader/>
        </w:trPr>
        <w:tc>
          <w:tcPr>
            <w:tcW w:w="5000" w:type="pct"/>
            <w:gridSpan w:val="3"/>
            <w:shd w:val="clear" w:color="auto" w:fill="FFFFCC"/>
          </w:tcPr>
          <w:p w14:paraId="26A783A8" w14:textId="77777777" w:rsidR="002655EE" w:rsidRPr="007E29F8" w:rsidRDefault="002655EE" w:rsidP="002655EE">
            <w:pPr>
              <w:pStyle w:val="Standaard-Tabellen"/>
              <w:rPr>
                <w:rFonts w:eastAsia="Calibri"/>
                <w:b/>
                <w:sz w:val="20"/>
              </w:rPr>
            </w:pPr>
            <w:r w:rsidRPr="007E29F8">
              <w:rPr>
                <w:rFonts w:eastAsia="Calibri"/>
                <w:b/>
                <w:sz w:val="20"/>
              </w:rPr>
              <w:t>Summary table: estimated exposure for Dermal Primary exposure</w:t>
            </w:r>
          </w:p>
        </w:tc>
      </w:tr>
      <w:tr w:rsidR="002655EE" w:rsidRPr="00FA1064" w14:paraId="6C546466" w14:textId="77777777" w:rsidTr="00FA1064">
        <w:trPr>
          <w:cantSplit/>
          <w:trHeight w:val="140"/>
          <w:tblHeader/>
        </w:trPr>
        <w:tc>
          <w:tcPr>
            <w:tcW w:w="1842" w:type="pct"/>
            <w:shd w:val="clear" w:color="auto" w:fill="FFFFFF" w:themeFill="background1"/>
          </w:tcPr>
          <w:p w14:paraId="5E618E38"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Exposure scenario</w:t>
            </w:r>
          </w:p>
        </w:tc>
        <w:tc>
          <w:tcPr>
            <w:tcW w:w="1398" w:type="pct"/>
            <w:shd w:val="clear" w:color="auto" w:fill="FFFFFF" w:themeFill="background1"/>
          </w:tcPr>
          <w:p w14:paraId="5F99D72E"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Tier/PPE</w:t>
            </w:r>
          </w:p>
        </w:tc>
        <w:tc>
          <w:tcPr>
            <w:tcW w:w="1760" w:type="pct"/>
            <w:shd w:val="clear" w:color="auto" w:fill="FFFFFF" w:themeFill="background1"/>
          </w:tcPr>
          <w:p w14:paraId="2BE0DB9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Estimated dermal uptake (mg/kg bw/d)</w:t>
            </w:r>
          </w:p>
        </w:tc>
      </w:tr>
      <w:tr w:rsidR="002655EE" w:rsidRPr="00FA1064" w14:paraId="69EAD6E2" w14:textId="77777777" w:rsidTr="00FA1064">
        <w:trPr>
          <w:cantSplit/>
          <w:trHeight w:val="282"/>
          <w:tblHeader/>
        </w:trPr>
        <w:tc>
          <w:tcPr>
            <w:tcW w:w="1842" w:type="pct"/>
            <w:shd w:val="clear" w:color="auto" w:fill="FFFFFF" w:themeFill="background1"/>
            <w:vAlign w:val="center"/>
          </w:tcPr>
          <w:p w14:paraId="7C9CA0A0"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Adult</w:t>
            </w:r>
          </w:p>
        </w:tc>
        <w:tc>
          <w:tcPr>
            <w:tcW w:w="1398" w:type="pct"/>
            <w:shd w:val="clear" w:color="auto" w:fill="FFFFFF" w:themeFill="background1"/>
            <w:vAlign w:val="center"/>
          </w:tcPr>
          <w:p w14:paraId="1FCB18D5"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center"/>
          </w:tcPr>
          <w:p w14:paraId="4D845CD9"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 xml:space="preserve">2.32   </w:t>
            </w:r>
          </w:p>
        </w:tc>
      </w:tr>
      <w:tr w:rsidR="002655EE" w:rsidRPr="00FA1064" w14:paraId="14781A45" w14:textId="77777777" w:rsidTr="00FA1064">
        <w:trPr>
          <w:cantSplit/>
          <w:trHeight w:val="209"/>
          <w:tblHeader/>
        </w:trPr>
        <w:tc>
          <w:tcPr>
            <w:tcW w:w="1842" w:type="pct"/>
            <w:shd w:val="clear" w:color="auto" w:fill="FFFFFF" w:themeFill="background1"/>
            <w:vAlign w:val="center"/>
          </w:tcPr>
          <w:p w14:paraId="71428513"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(6 to &lt;12 years old)</w:t>
            </w:r>
          </w:p>
        </w:tc>
        <w:tc>
          <w:tcPr>
            <w:tcW w:w="1398" w:type="pct"/>
            <w:shd w:val="clear" w:color="auto" w:fill="FFFFFF" w:themeFill="background1"/>
            <w:vAlign w:val="center"/>
          </w:tcPr>
          <w:p w14:paraId="1FF8161A"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center"/>
          </w:tcPr>
          <w:p w14:paraId="0B74A204"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 xml:space="preserve">3.23   </w:t>
            </w:r>
          </w:p>
        </w:tc>
      </w:tr>
      <w:tr w:rsidR="002655EE" w:rsidRPr="00FA1064" w14:paraId="72A7ABA4" w14:textId="77777777" w:rsidTr="00FA1064">
        <w:trPr>
          <w:cantSplit/>
          <w:trHeight w:val="286"/>
          <w:tblHeader/>
        </w:trPr>
        <w:tc>
          <w:tcPr>
            <w:tcW w:w="1842" w:type="pct"/>
            <w:shd w:val="clear" w:color="auto" w:fill="FFFFFF" w:themeFill="background1"/>
            <w:vAlign w:val="center"/>
          </w:tcPr>
          <w:p w14:paraId="5E947FFD"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Child (2 to &lt;6 years old)</w:t>
            </w:r>
          </w:p>
        </w:tc>
        <w:tc>
          <w:tcPr>
            <w:tcW w:w="1398" w:type="pct"/>
            <w:shd w:val="clear" w:color="auto" w:fill="FFFFFF" w:themeFill="background1"/>
            <w:vAlign w:val="center"/>
          </w:tcPr>
          <w:p w14:paraId="01FEEC39"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center"/>
          </w:tcPr>
          <w:p w14:paraId="2BB8FBFC"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 xml:space="preserve">3.66   </w:t>
            </w:r>
          </w:p>
        </w:tc>
      </w:tr>
      <w:tr w:rsidR="002655EE" w:rsidRPr="00FA1064" w14:paraId="68628AAB" w14:textId="77777777" w:rsidTr="00FA1064">
        <w:trPr>
          <w:cantSplit/>
          <w:trHeight w:val="282"/>
          <w:tblHeader/>
        </w:trPr>
        <w:tc>
          <w:tcPr>
            <w:tcW w:w="1842" w:type="pct"/>
            <w:shd w:val="clear" w:color="auto" w:fill="FFFFFF" w:themeFill="background1"/>
            <w:vAlign w:val="center"/>
          </w:tcPr>
          <w:p w14:paraId="2570B328"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Toddler (1 to &lt;2 years old)</w:t>
            </w:r>
          </w:p>
        </w:tc>
        <w:tc>
          <w:tcPr>
            <w:tcW w:w="1398" w:type="pct"/>
            <w:shd w:val="clear" w:color="auto" w:fill="FFFFFF" w:themeFill="background1"/>
            <w:vAlign w:val="center"/>
          </w:tcPr>
          <w:p w14:paraId="6F95D3AE"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shd w:val="clear" w:color="auto" w:fill="FFFFFF" w:themeFill="background1"/>
            <w:vAlign w:val="center"/>
          </w:tcPr>
          <w:p w14:paraId="61E6A55B"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 xml:space="preserve">4.03   </w:t>
            </w:r>
          </w:p>
        </w:tc>
      </w:tr>
      <w:tr w:rsidR="002655EE" w:rsidRPr="00FA1064" w14:paraId="23EA9F2B" w14:textId="77777777" w:rsidTr="00FA1064">
        <w:trPr>
          <w:cantSplit/>
          <w:trHeight w:val="282"/>
          <w:tblHeader/>
        </w:trPr>
        <w:tc>
          <w:tcPr>
            <w:tcW w:w="1842" w:type="pct"/>
            <w:tcBorders>
              <w:bottom w:val="double" w:sz="4" w:space="0" w:color="auto"/>
            </w:tcBorders>
            <w:shd w:val="clear" w:color="auto" w:fill="FFFFFF" w:themeFill="background1"/>
            <w:vAlign w:val="center"/>
          </w:tcPr>
          <w:p w14:paraId="276EB091"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Infant (&lt;1 year old)</w:t>
            </w:r>
          </w:p>
        </w:tc>
        <w:tc>
          <w:tcPr>
            <w:tcW w:w="1398" w:type="pct"/>
            <w:tcBorders>
              <w:bottom w:val="double" w:sz="4" w:space="0" w:color="auto"/>
            </w:tcBorders>
            <w:shd w:val="clear" w:color="auto" w:fill="FFFFFF" w:themeFill="background1"/>
            <w:vAlign w:val="center"/>
          </w:tcPr>
          <w:p w14:paraId="5C787A79" w14:textId="77777777" w:rsidR="002655EE" w:rsidRPr="007E29F8"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7E29F8">
              <w:rPr>
                <w:rFonts w:cs="Arial"/>
                <w:bCs/>
                <w:spacing w:val="1"/>
                <w:lang w:eastAsia="fr-FR"/>
              </w:rPr>
              <w:t>Tier 1</w:t>
            </w:r>
          </w:p>
        </w:tc>
        <w:tc>
          <w:tcPr>
            <w:tcW w:w="1760" w:type="pct"/>
            <w:tcBorders>
              <w:bottom w:val="double" w:sz="4" w:space="0" w:color="auto"/>
            </w:tcBorders>
            <w:shd w:val="clear" w:color="auto" w:fill="FFFFFF" w:themeFill="background1"/>
            <w:vAlign w:val="center"/>
          </w:tcPr>
          <w:p w14:paraId="14FF5EF5" w14:textId="77777777" w:rsidR="002655EE" w:rsidRPr="00FA1064" w:rsidRDefault="002655EE" w:rsidP="00FA1064">
            <w:pPr>
              <w:keepNext/>
              <w:widowControl w:val="0"/>
              <w:shd w:val="clear" w:color="auto" w:fill="FFFFFF" w:themeFill="background1"/>
              <w:kinsoku w:val="0"/>
              <w:overflowPunct w:val="0"/>
              <w:autoSpaceDE w:val="0"/>
              <w:autoSpaceDN w:val="0"/>
              <w:adjustRightInd w:val="0"/>
              <w:spacing w:before="0" w:after="0"/>
              <w:ind w:left="147" w:right="27"/>
              <w:jc w:val="center"/>
              <w:textAlignment w:val="baseline"/>
              <w:rPr>
                <w:rFonts w:cs="Arial"/>
                <w:bCs/>
                <w:spacing w:val="1"/>
                <w:lang w:eastAsia="fr-FR"/>
              </w:rPr>
            </w:pPr>
            <w:r w:rsidRPr="00FA1064">
              <w:rPr>
                <w:rFonts w:cs="Arial"/>
                <w:bCs/>
                <w:spacing w:val="1"/>
                <w:lang w:eastAsia="fr-FR"/>
              </w:rPr>
              <w:t xml:space="preserve">4.31   </w:t>
            </w:r>
          </w:p>
        </w:tc>
      </w:tr>
    </w:tbl>
    <w:p w14:paraId="7AE8F701" w14:textId="77777777" w:rsidR="002655EE" w:rsidRPr="007E29F8" w:rsidRDefault="002655EE" w:rsidP="008A2D32">
      <w:pPr>
        <w:widowControl w:val="0"/>
        <w:kinsoku w:val="0"/>
        <w:overflowPunct w:val="0"/>
        <w:autoSpaceDE w:val="0"/>
        <w:autoSpaceDN w:val="0"/>
        <w:adjustRightInd w:val="0"/>
        <w:spacing w:before="0" w:after="0"/>
        <w:ind w:right="216"/>
        <w:jc w:val="both"/>
        <w:textAlignment w:val="baseline"/>
        <w:rPr>
          <w:rFonts w:cs="Arial"/>
          <w:b/>
          <w:i/>
          <w:spacing w:val="1"/>
          <w:u w:val="single"/>
          <w:lang w:eastAsia="fr-FR"/>
        </w:rPr>
      </w:pPr>
    </w:p>
    <w:p w14:paraId="5658DF04" w14:textId="75DA2B07" w:rsidR="002655EE" w:rsidRDefault="002655EE" w:rsidP="002655EE">
      <w:pPr>
        <w:rPr>
          <w:rFonts w:eastAsia="Calibri"/>
          <w:lang w:eastAsia="en-US"/>
        </w:rPr>
      </w:pPr>
    </w:p>
    <w:p w14:paraId="4DB19D82" w14:textId="49759DD7" w:rsidR="00AE1B0E" w:rsidRDefault="00AE1B0E" w:rsidP="002655EE">
      <w:pPr>
        <w:rPr>
          <w:rFonts w:eastAsia="Calibri"/>
          <w:lang w:eastAsia="en-US"/>
        </w:rPr>
      </w:pPr>
    </w:p>
    <w:p w14:paraId="40350EF5" w14:textId="52CFFD8F" w:rsidR="00AE1B0E" w:rsidRDefault="00AE1B0E" w:rsidP="002655EE">
      <w:pPr>
        <w:rPr>
          <w:rFonts w:eastAsia="Calibri"/>
          <w:lang w:eastAsia="en-US"/>
        </w:rPr>
      </w:pPr>
    </w:p>
    <w:p w14:paraId="103F46F9" w14:textId="1FEE7C22" w:rsidR="00AE1B0E" w:rsidRDefault="00AE1B0E" w:rsidP="002655EE">
      <w:pPr>
        <w:rPr>
          <w:rFonts w:eastAsia="Calibri"/>
          <w:lang w:eastAsia="en-US"/>
        </w:rPr>
      </w:pPr>
    </w:p>
    <w:p w14:paraId="1B1CD8CE" w14:textId="4A3C2506" w:rsidR="00AE1B0E" w:rsidRDefault="00AE1B0E" w:rsidP="002655EE">
      <w:pPr>
        <w:rPr>
          <w:rFonts w:eastAsia="Calibri"/>
          <w:lang w:eastAsia="en-US"/>
        </w:rPr>
      </w:pPr>
    </w:p>
    <w:p w14:paraId="0065252F" w14:textId="1924675F" w:rsidR="00AE1B0E" w:rsidRDefault="00AE1B0E" w:rsidP="002655EE">
      <w:pPr>
        <w:rPr>
          <w:rFonts w:eastAsia="Calibri"/>
          <w:lang w:eastAsia="en-US"/>
        </w:rPr>
      </w:pPr>
    </w:p>
    <w:p w14:paraId="249E5778" w14:textId="2AAB4328" w:rsidR="00AE1B0E" w:rsidRDefault="00AE1B0E" w:rsidP="002655EE">
      <w:pPr>
        <w:rPr>
          <w:rFonts w:eastAsia="Calibri"/>
          <w:lang w:eastAsia="en-US"/>
        </w:rPr>
      </w:pPr>
    </w:p>
    <w:p w14:paraId="073C264F" w14:textId="4D227949" w:rsidR="00AE1B0E" w:rsidRDefault="00AE1B0E" w:rsidP="002655EE">
      <w:pPr>
        <w:rPr>
          <w:rFonts w:eastAsia="Calibri"/>
          <w:lang w:eastAsia="en-US"/>
        </w:rPr>
      </w:pPr>
    </w:p>
    <w:p w14:paraId="3E93BA0A" w14:textId="2CC34E6A" w:rsidR="00AE1B0E" w:rsidRDefault="00AE1B0E" w:rsidP="002655EE">
      <w:pPr>
        <w:rPr>
          <w:rFonts w:eastAsia="Calibri"/>
          <w:lang w:eastAsia="en-US"/>
        </w:rPr>
      </w:pPr>
    </w:p>
    <w:p w14:paraId="5BA401B6" w14:textId="55F730DA" w:rsidR="00AE1B0E" w:rsidRDefault="00AE1B0E" w:rsidP="002655EE">
      <w:pPr>
        <w:rPr>
          <w:rFonts w:eastAsia="Calibri"/>
          <w:lang w:eastAsia="en-US"/>
        </w:rPr>
      </w:pPr>
    </w:p>
    <w:p w14:paraId="0719FF27" w14:textId="7C733EC2" w:rsidR="00AE1B0E" w:rsidRDefault="00AE1B0E" w:rsidP="002655EE">
      <w:pPr>
        <w:rPr>
          <w:rFonts w:eastAsia="Calibri"/>
          <w:lang w:eastAsia="en-US"/>
        </w:rPr>
      </w:pPr>
    </w:p>
    <w:p w14:paraId="6C3BA5CA" w14:textId="20A95AE0" w:rsidR="00AE1B0E" w:rsidRDefault="00AE1B0E" w:rsidP="002655EE">
      <w:pPr>
        <w:rPr>
          <w:rFonts w:eastAsia="Calibri"/>
          <w:lang w:eastAsia="en-US"/>
        </w:rPr>
      </w:pPr>
    </w:p>
    <w:p w14:paraId="1C0FF8BA" w14:textId="3FF4965E" w:rsidR="00AE1B0E" w:rsidRDefault="00AE1B0E" w:rsidP="002655EE">
      <w:pPr>
        <w:rPr>
          <w:rFonts w:eastAsia="Calibri"/>
          <w:lang w:eastAsia="en-US"/>
        </w:rPr>
      </w:pPr>
    </w:p>
    <w:p w14:paraId="25396479" w14:textId="67507CEC" w:rsidR="00AE1B0E" w:rsidRDefault="00AE1B0E" w:rsidP="002655EE">
      <w:pPr>
        <w:rPr>
          <w:rFonts w:eastAsia="Calibri"/>
          <w:lang w:eastAsia="en-US"/>
        </w:rPr>
      </w:pPr>
    </w:p>
    <w:p w14:paraId="15D56837" w14:textId="29BD44BC" w:rsidR="00AE1B0E" w:rsidRDefault="00AE1B0E" w:rsidP="002655EE">
      <w:pPr>
        <w:rPr>
          <w:rFonts w:eastAsia="Calibri"/>
          <w:lang w:eastAsia="en-US"/>
        </w:rPr>
      </w:pPr>
    </w:p>
    <w:p w14:paraId="5D02A90D" w14:textId="5CF86BD6" w:rsidR="00AE1B0E" w:rsidRDefault="00AE1B0E" w:rsidP="002655EE">
      <w:pPr>
        <w:rPr>
          <w:rFonts w:eastAsia="Calibri"/>
          <w:lang w:eastAsia="en-US"/>
        </w:rPr>
      </w:pPr>
    </w:p>
    <w:p w14:paraId="7AEB9DFB" w14:textId="0A9F7EE2" w:rsidR="00AE1B0E" w:rsidRPr="007E29F8" w:rsidRDefault="00AE1B0E" w:rsidP="002655EE">
      <w:pPr>
        <w:rPr>
          <w:rFonts w:eastAsia="Calibri"/>
          <w:lang w:eastAsia="en-US"/>
        </w:rPr>
      </w:pPr>
    </w:p>
    <w:p w14:paraId="2A708DD2" w14:textId="77777777" w:rsidR="002655EE" w:rsidRPr="007E29F8" w:rsidRDefault="002655EE" w:rsidP="002655EE">
      <w:pPr>
        <w:rPr>
          <w:rFonts w:eastAsia="Calibri"/>
          <w:lang w:eastAsia="en-US"/>
        </w:rPr>
      </w:pPr>
    </w:p>
    <w:p w14:paraId="37D7C5B7" w14:textId="77777777" w:rsidR="00AE1B0E" w:rsidRPr="009461FB" w:rsidRDefault="00AE1B0E" w:rsidP="00AE1B0E">
      <w:pPr>
        <w:pStyle w:val="Paragraphedeliste"/>
        <w:numPr>
          <w:ilvl w:val="0"/>
          <w:numId w:val="68"/>
        </w:numPr>
        <w:rPr>
          <w:b/>
        </w:rPr>
      </w:pPr>
      <w:r w:rsidRPr="009461FB">
        <w:rPr>
          <w:b/>
        </w:rPr>
        <w:t>FIRST AUTHORISATION – 2017 (BE CA)</w:t>
      </w:r>
    </w:p>
    <w:p w14:paraId="3AFD844F" w14:textId="77777777" w:rsidR="002655EE" w:rsidRPr="007E29F8" w:rsidRDefault="002655EE" w:rsidP="002655EE">
      <w:pPr>
        <w:pStyle w:val="Titre6"/>
        <w:rPr>
          <w:lang w:val="en-GB"/>
        </w:rPr>
      </w:pPr>
      <w:r w:rsidRPr="007E29F8">
        <w:rPr>
          <w:lang w:val="en-GB"/>
        </w:rPr>
        <w:t>Combined scenarios : Total primary exposure : combination of scenario 1 and 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0"/>
        <w:gridCol w:w="1045"/>
        <w:gridCol w:w="1635"/>
        <w:gridCol w:w="1310"/>
        <w:gridCol w:w="1310"/>
        <w:gridCol w:w="2026"/>
      </w:tblGrid>
      <w:tr w:rsidR="002655EE" w:rsidRPr="007E29F8" w14:paraId="163582BD" w14:textId="77777777" w:rsidTr="002655EE">
        <w:trPr>
          <w:cantSplit/>
          <w:trHeight w:val="293"/>
          <w:tblHeader/>
        </w:trPr>
        <w:tc>
          <w:tcPr>
            <w:tcW w:w="5000" w:type="pct"/>
            <w:gridSpan w:val="6"/>
            <w:shd w:val="clear" w:color="auto" w:fill="FFFFCC"/>
          </w:tcPr>
          <w:p w14:paraId="2AC9AE6E" w14:textId="77777777" w:rsidR="002655EE" w:rsidRPr="007E29F8" w:rsidRDefault="002655EE" w:rsidP="002655EE">
            <w:pPr>
              <w:pStyle w:val="Standaard-Tabellen"/>
              <w:jc w:val="center"/>
              <w:rPr>
                <w:rFonts w:eastAsia="Calibri"/>
                <w:b/>
              </w:rPr>
            </w:pPr>
            <w:r w:rsidRPr="007E29F8">
              <w:rPr>
                <w:rFonts w:eastAsia="Calibri"/>
                <w:b/>
              </w:rPr>
              <w:t>Summary table: estimated exposure for combined scenarios 1+2</w:t>
            </w:r>
          </w:p>
        </w:tc>
      </w:tr>
      <w:tr w:rsidR="002655EE" w:rsidRPr="007E29F8" w14:paraId="10E3E95E" w14:textId="77777777" w:rsidTr="002655EE">
        <w:trPr>
          <w:cantSplit/>
          <w:trHeight w:val="444"/>
          <w:tblHeader/>
        </w:trPr>
        <w:tc>
          <w:tcPr>
            <w:tcW w:w="1102" w:type="pct"/>
            <w:shd w:val="clear" w:color="auto" w:fill="BFBFBF" w:themeFill="background1" w:themeFillShade="BF"/>
          </w:tcPr>
          <w:p w14:paraId="1DE538CC" w14:textId="77777777" w:rsidR="002655EE" w:rsidRPr="007E29F8" w:rsidRDefault="002655EE" w:rsidP="002655EE">
            <w:pPr>
              <w:pStyle w:val="Standaard-Tabellen"/>
              <w:rPr>
                <w:rFonts w:eastAsia="Calibri"/>
                <w:b/>
              </w:rPr>
            </w:pPr>
            <w:r w:rsidRPr="007E29F8">
              <w:rPr>
                <w:rFonts w:eastAsia="Calibri"/>
                <w:b/>
              </w:rPr>
              <w:t>Exposure scenario</w:t>
            </w:r>
          </w:p>
        </w:tc>
        <w:tc>
          <w:tcPr>
            <w:tcW w:w="556" w:type="pct"/>
            <w:shd w:val="clear" w:color="auto" w:fill="BFBFBF" w:themeFill="background1" w:themeFillShade="BF"/>
          </w:tcPr>
          <w:p w14:paraId="7DC09D0F" w14:textId="77777777" w:rsidR="002655EE" w:rsidRPr="007E29F8" w:rsidRDefault="002655EE" w:rsidP="002655EE">
            <w:pPr>
              <w:pStyle w:val="Standaard-Tabellen"/>
              <w:rPr>
                <w:rFonts w:eastAsia="Calibri"/>
                <w:b/>
              </w:rPr>
            </w:pPr>
            <w:r w:rsidRPr="007E29F8">
              <w:rPr>
                <w:rFonts w:eastAsia="Calibri"/>
                <w:b/>
              </w:rPr>
              <w:t>Tier/PPE</w:t>
            </w:r>
          </w:p>
        </w:tc>
        <w:tc>
          <w:tcPr>
            <w:tcW w:w="870" w:type="pct"/>
            <w:shd w:val="clear" w:color="auto" w:fill="BFBFBF" w:themeFill="background1" w:themeFillShade="BF"/>
          </w:tcPr>
          <w:p w14:paraId="61563611" w14:textId="77777777" w:rsidR="002655EE" w:rsidRPr="007E29F8" w:rsidRDefault="002655EE" w:rsidP="002655EE">
            <w:pPr>
              <w:pStyle w:val="Standaard-Tabellen"/>
              <w:rPr>
                <w:rFonts w:eastAsia="Calibri"/>
                <w:b/>
              </w:rPr>
            </w:pPr>
            <w:r w:rsidRPr="007E29F8">
              <w:rPr>
                <w:rFonts w:eastAsia="Calibri"/>
                <w:b/>
              </w:rPr>
              <w:t>Estimated</w:t>
            </w:r>
          </w:p>
          <w:p w14:paraId="4365207D" w14:textId="77777777" w:rsidR="002655EE" w:rsidRPr="007E29F8" w:rsidRDefault="002655EE" w:rsidP="002655EE">
            <w:pPr>
              <w:pStyle w:val="Standaard-Tabellen"/>
              <w:rPr>
                <w:rFonts w:eastAsia="Calibri"/>
                <w:b/>
              </w:rPr>
            </w:pPr>
            <w:r w:rsidRPr="007E29F8">
              <w:rPr>
                <w:rFonts w:eastAsia="Calibri"/>
                <w:b/>
              </w:rPr>
              <w:t>dermal</w:t>
            </w:r>
          </w:p>
          <w:p w14:paraId="199C2DFC" w14:textId="77777777" w:rsidR="002655EE" w:rsidRPr="007E29F8" w:rsidRDefault="002655EE" w:rsidP="002655EE">
            <w:pPr>
              <w:pStyle w:val="Standaard-Tabellen"/>
              <w:rPr>
                <w:rFonts w:eastAsia="Calibri"/>
                <w:b/>
              </w:rPr>
            </w:pPr>
            <w:r w:rsidRPr="007E29F8">
              <w:rPr>
                <w:rFonts w:eastAsia="Calibri"/>
                <w:b/>
              </w:rPr>
              <w:t>uptake</w:t>
            </w:r>
          </w:p>
          <w:p w14:paraId="179CD678" w14:textId="77777777" w:rsidR="002655EE" w:rsidRPr="007E29F8" w:rsidRDefault="002655EE" w:rsidP="002655EE">
            <w:pPr>
              <w:pStyle w:val="Standaard-Tabellen"/>
              <w:rPr>
                <w:rFonts w:eastAsia="Calibri"/>
                <w:b/>
              </w:rPr>
            </w:pPr>
            <w:r w:rsidRPr="007E29F8">
              <w:rPr>
                <w:rFonts w:eastAsia="Calibri"/>
                <w:b/>
              </w:rPr>
              <w:t>[mg/kg bw/day]</w:t>
            </w:r>
          </w:p>
        </w:tc>
        <w:tc>
          <w:tcPr>
            <w:tcW w:w="697" w:type="pct"/>
            <w:shd w:val="clear" w:color="auto" w:fill="BFBFBF" w:themeFill="background1" w:themeFillShade="BF"/>
          </w:tcPr>
          <w:p w14:paraId="76DC7CBA" w14:textId="77777777" w:rsidR="002655EE" w:rsidRPr="007E29F8" w:rsidRDefault="002655EE" w:rsidP="002655EE">
            <w:pPr>
              <w:pStyle w:val="Standaard-Tabellen"/>
              <w:rPr>
                <w:rFonts w:eastAsia="Calibri"/>
                <w:b/>
              </w:rPr>
            </w:pPr>
            <w:r w:rsidRPr="007E29F8">
              <w:rPr>
                <w:rFonts w:eastAsia="Calibri"/>
                <w:b/>
              </w:rPr>
              <w:t>Estimated</w:t>
            </w:r>
          </w:p>
          <w:p w14:paraId="03A9E230" w14:textId="77777777" w:rsidR="002655EE" w:rsidRPr="007E29F8" w:rsidRDefault="002655EE" w:rsidP="002655EE">
            <w:pPr>
              <w:pStyle w:val="Standaard-Tabellen"/>
              <w:rPr>
                <w:rFonts w:eastAsia="Calibri"/>
                <w:b/>
              </w:rPr>
            </w:pPr>
            <w:r w:rsidRPr="007E29F8">
              <w:rPr>
                <w:rFonts w:eastAsia="Calibri"/>
                <w:b/>
              </w:rPr>
              <w:t>inhalation</w:t>
            </w:r>
          </w:p>
          <w:p w14:paraId="2756ED3B" w14:textId="77777777" w:rsidR="002655EE" w:rsidRPr="007E29F8" w:rsidRDefault="002655EE" w:rsidP="002655EE">
            <w:pPr>
              <w:pStyle w:val="Standaard-Tabellen"/>
              <w:rPr>
                <w:rFonts w:eastAsia="Calibri"/>
                <w:b/>
              </w:rPr>
            </w:pPr>
            <w:r w:rsidRPr="007E29F8">
              <w:rPr>
                <w:rFonts w:eastAsia="Calibri"/>
                <w:b/>
              </w:rPr>
              <w:t>uptake</w:t>
            </w:r>
          </w:p>
          <w:p w14:paraId="4CD7C733" w14:textId="77777777" w:rsidR="002655EE" w:rsidRPr="007E29F8" w:rsidRDefault="002655EE" w:rsidP="002655EE">
            <w:pPr>
              <w:pStyle w:val="Standaard-Tabellen"/>
              <w:rPr>
                <w:rFonts w:eastAsia="Calibri"/>
                <w:b/>
              </w:rPr>
            </w:pPr>
            <w:r w:rsidRPr="007E29F8">
              <w:rPr>
                <w:rFonts w:eastAsia="Calibri"/>
                <w:b/>
              </w:rPr>
              <w:t>[mg/kg bw]</w:t>
            </w:r>
          </w:p>
        </w:tc>
        <w:tc>
          <w:tcPr>
            <w:tcW w:w="697" w:type="pct"/>
            <w:shd w:val="clear" w:color="auto" w:fill="BFBFBF" w:themeFill="background1" w:themeFillShade="BF"/>
          </w:tcPr>
          <w:p w14:paraId="0D01D668" w14:textId="77777777" w:rsidR="002655EE" w:rsidRPr="007E29F8" w:rsidRDefault="002655EE" w:rsidP="002655EE">
            <w:pPr>
              <w:pStyle w:val="Standaard-Tabellen"/>
              <w:rPr>
                <w:rFonts w:eastAsia="Calibri"/>
                <w:b/>
              </w:rPr>
            </w:pPr>
            <w:r w:rsidRPr="007E29F8">
              <w:rPr>
                <w:rFonts w:eastAsia="Calibri"/>
                <w:b/>
              </w:rPr>
              <w:t>Estimated</w:t>
            </w:r>
          </w:p>
          <w:p w14:paraId="1A8B1652" w14:textId="77777777" w:rsidR="002655EE" w:rsidRPr="007E29F8" w:rsidRDefault="002655EE" w:rsidP="002655EE">
            <w:pPr>
              <w:pStyle w:val="Standaard-Tabellen"/>
              <w:rPr>
                <w:rFonts w:eastAsia="Calibri"/>
                <w:b/>
              </w:rPr>
            </w:pPr>
            <w:r w:rsidRPr="007E29F8">
              <w:rPr>
                <w:rFonts w:eastAsia="Calibri"/>
                <w:b/>
              </w:rPr>
              <w:t>oral</w:t>
            </w:r>
          </w:p>
          <w:p w14:paraId="64E406A7" w14:textId="77777777" w:rsidR="002655EE" w:rsidRPr="007E29F8" w:rsidRDefault="002655EE" w:rsidP="002655EE">
            <w:pPr>
              <w:pStyle w:val="Standaard-Tabellen"/>
              <w:rPr>
                <w:rFonts w:eastAsia="Calibri"/>
                <w:b/>
              </w:rPr>
            </w:pPr>
            <w:r w:rsidRPr="007E29F8">
              <w:rPr>
                <w:rFonts w:eastAsia="Calibri"/>
                <w:b/>
              </w:rPr>
              <w:t>uptake</w:t>
            </w:r>
          </w:p>
          <w:p w14:paraId="1AE01DB8" w14:textId="77777777" w:rsidR="002655EE" w:rsidRPr="007E29F8" w:rsidRDefault="002655EE" w:rsidP="002655EE">
            <w:pPr>
              <w:pStyle w:val="Standaard-Tabellen"/>
              <w:rPr>
                <w:rFonts w:eastAsia="Calibri"/>
                <w:b/>
              </w:rPr>
            </w:pPr>
            <w:r w:rsidRPr="007E29F8">
              <w:rPr>
                <w:rFonts w:eastAsia="Calibri"/>
                <w:b/>
              </w:rPr>
              <w:t>[mg/kg bw]</w:t>
            </w:r>
          </w:p>
        </w:tc>
        <w:tc>
          <w:tcPr>
            <w:tcW w:w="1078" w:type="pct"/>
            <w:shd w:val="clear" w:color="auto" w:fill="BFBFBF" w:themeFill="background1" w:themeFillShade="BF"/>
          </w:tcPr>
          <w:p w14:paraId="22E0E8A6" w14:textId="77777777" w:rsidR="002655EE" w:rsidRPr="007E29F8" w:rsidRDefault="002655EE" w:rsidP="002655EE">
            <w:pPr>
              <w:pStyle w:val="Standaard-Tabellen"/>
              <w:rPr>
                <w:rFonts w:eastAsia="Calibri"/>
                <w:b/>
              </w:rPr>
            </w:pPr>
            <w:r w:rsidRPr="007E29F8">
              <w:rPr>
                <w:rFonts w:eastAsia="Calibri"/>
                <w:b/>
              </w:rPr>
              <w:t xml:space="preserve">Estimated </w:t>
            </w:r>
          </w:p>
          <w:p w14:paraId="2949E2C0" w14:textId="77777777" w:rsidR="002655EE" w:rsidRPr="007E29F8" w:rsidRDefault="002655EE" w:rsidP="002655EE">
            <w:pPr>
              <w:pStyle w:val="Standaard-Tabellen"/>
              <w:rPr>
                <w:rFonts w:eastAsia="Calibri"/>
                <w:b/>
              </w:rPr>
            </w:pPr>
            <w:r w:rsidRPr="007E29F8">
              <w:rPr>
                <w:rFonts w:eastAsia="Calibri"/>
                <w:b/>
              </w:rPr>
              <w:t xml:space="preserve">total acute </w:t>
            </w:r>
          </w:p>
          <w:p w14:paraId="128CAD4E" w14:textId="77777777" w:rsidR="002655EE" w:rsidRPr="007E29F8" w:rsidRDefault="002655EE" w:rsidP="002655EE">
            <w:pPr>
              <w:pStyle w:val="Standaard-Tabellen"/>
              <w:rPr>
                <w:rFonts w:eastAsia="Calibri"/>
                <w:b/>
              </w:rPr>
            </w:pPr>
            <w:r w:rsidRPr="007E29F8">
              <w:rPr>
                <w:rFonts w:eastAsia="Calibri"/>
                <w:b/>
              </w:rPr>
              <w:t>uptake for primary use</w:t>
            </w:r>
          </w:p>
          <w:p w14:paraId="39E13CBD" w14:textId="77777777" w:rsidR="002655EE" w:rsidRPr="007E29F8" w:rsidRDefault="002655EE" w:rsidP="002655EE">
            <w:pPr>
              <w:pStyle w:val="Standaard-Tabellen"/>
              <w:rPr>
                <w:rFonts w:eastAsia="Calibri"/>
                <w:b/>
              </w:rPr>
            </w:pPr>
            <w:r w:rsidRPr="007E29F8">
              <w:rPr>
                <w:rFonts w:eastAsia="Calibri"/>
                <w:b/>
              </w:rPr>
              <w:t>[mg/kg bw]</w:t>
            </w:r>
          </w:p>
        </w:tc>
      </w:tr>
      <w:tr w:rsidR="002655EE" w:rsidRPr="007E29F8" w14:paraId="14E7BF01" w14:textId="77777777" w:rsidTr="002655EE">
        <w:trPr>
          <w:cantSplit/>
          <w:trHeight w:val="587"/>
          <w:tblHeader/>
        </w:trPr>
        <w:tc>
          <w:tcPr>
            <w:tcW w:w="1102" w:type="pct"/>
            <w:shd w:val="clear" w:color="auto" w:fill="auto"/>
          </w:tcPr>
          <w:p w14:paraId="127C724C" w14:textId="77777777" w:rsidR="002655EE" w:rsidRPr="007E29F8" w:rsidRDefault="002655EE" w:rsidP="002655EE">
            <w:pPr>
              <w:pStyle w:val="Standaard-Tabellen"/>
              <w:rPr>
                <w:rFonts w:eastAsia="Calibri"/>
              </w:rPr>
            </w:pPr>
            <w:r w:rsidRPr="007E29F8">
              <w:rPr>
                <w:rFonts w:eastAsia="Calibri"/>
              </w:rPr>
              <w:t>Scenarios 1+2 – ADULT</w:t>
            </w:r>
          </w:p>
          <w:p w14:paraId="4B399B76" w14:textId="77777777" w:rsidR="002655EE" w:rsidRPr="007E29F8" w:rsidRDefault="002655EE" w:rsidP="002655EE">
            <w:pPr>
              <w:pStyle w:val="Standaard-Tabellen"/>
              <w:rPr>
                <w:rFonts w:eastAsia="Calibri"/>
              </w:rPr>
            </w:pPr>
            <w:r w:rsidRPr="007E29F8">
              <w:rPr>
                <w:rFonts w:eastAsia="Calibri"/>
              </w:rPr>
              <w:t>3 appl/d</w:t>
            </w:r>
          </w:p>
        </w:tc>
        <w:tc>
          <w:tcPr>
            <w:tcW w:w="556" w:type="pct"/>
          </w:tcPr>
          <w:p w14:paraId="7C0DCD23" w14:textId="77777777" w:rsidR="002655EE" w:rsidRPr="007E29F8" w:rsidRDefault="002655EE" w:rsidP="002655EE">
            <w:pPr>
              <w:pStyle w:val="Standaard-Tabellen"/>
              <w:rPr>
                <w:rFonts w:eastAsia="Calibri"/>
              </w:rPr>
            </w:pPr>
            <w:r w:rsidRPr="007E29F8">
              <w:rPr>
                <w:rFonts w:eastAsia="Calibri"/>
              </w:rPr>
              <w:t xml:space="preserve">Tier 1 / </w:t>
            </w:r>
          </w:p>
          <w:p w14:paraId="3883BEA9" w14:textId="77777777" w:rsidR="002655EE" w:rsidRPr="007E29F8" w:rsidRDefault="002655EE" w:rsidP="002655EE">
            <w:pPr>
              <w:pStyle w:val="Standaard-Tabellen"/>
              <w:rPr>
                <w:rFonts w:eastAsia="Calibri"/>
              </w:rPr>
            </w:pPr>
            <w:r w:rsidRPr="007E29F8">
              <w:rPr>
                <w:rFonts w:eastAsia="Calibri"/>
              </w:rPr>
              <w:t xml:space="preserve">no PPE </w:t>
            </w:r>
          </w:p>
        </w:tc>
        <w:tc>
          <w:tcPr>
            <w:tcW w:w="870" w:type="pct"/>
            <w:vAlign w:val="center"/>
          </w:tcPr>
          <w:p w14:paraId="3136387B" w14:textId="77777777" w:rsidR="002655EE" w:rsidRPr="007E29F8" w:rsidRDefault="002655EE" w:rsidP="002655EE">
            <w:pPr>
              <w:spacing w:before="0" w:after="0" w:line="276" w:lineRule="auto"/>
              <w:rPr>
                <w:rFonts w:cs="Arial"/>
                <w:sz w:val="18"/>
              </w:rPr>
            </w:pPr>
            <w:r w:rsidRPr="007E29F8">
              <w:rPr>
                <w:rFonts w:cs="Arial"/>
                <w:sz w:val="18"/>
              </w:rPr>
              <w:t>1.47</w:t>
            </w:r>
          </w:p>
        </w:tc>
        <w:tc>
          <w:tcPr>
            <w:tcW w:w="697" w:type="pct"/>
            <w:vAlign w:val="center"/>
          </w:tcPr>
          <w:p w14:paraId="08218D6B" w14:textId="77777777" w:rsidR="002655EE" w:rsidRPr="007E29F8" w:rsidRDefault="002655EE" w:rsidP="002655EE">
            <w:pPr>
              <w:spacing w:before="0" w:after="0" w:line="276" w:lineRule="auto"/>
              <w:rPr>
                <w:rFonts w:cs="Arial"/>
                <w:sz w:val="18"/>
              </w:rPr>
            </w:pPr>
            <w:r w:rsidRPr="007E29F8">
              <w:rPr>
                <w:rFonts w:cs="Arial"/>
                <w:sz w:val="18"/>
              </w:rPr>
              <w:t>0.000981</w:t>
            </w:r>
          </w:p>
        </w:tc>
        <w:tc>
          <w:tcPr>
            <w:tcW w:w="697" w:type="pct"/>
            <w:vAlign w:val="center"/>
          </w:tcPr>
          <w:p w14:paraId="0A3B0755" w14:textId="77777777" w:rsidR="002655EE" w:rsidRPr="007E29F8" w:rsidRDefault="002655EE" w:rsidP="002655EE">
            <w:pPr>
              <w:spacing w:before="0" w:after="0" w:line="276" w:lineRule="auto"/>
              <w:rPr>
                <w:rFonts w:cs="Arial"/>
                <w:sz w:val="18"/>
              </w:rPr>
            </w:pPr>
            <w:r w:rsidRPr="007E29F8">
              <w:rPr>
                <w:rFonts w:cs="Arial"/>
                <w:sz w:val="18"/>
              </w:rPr>
              <w:t>0.00777</w:t>
            </w:r>
          </w:p>
        </w:tc>
        <w:tc>
          <w:tcPr>
            <w:tcW w:w="1078" w:type="pct"/>
          </w:tcPr>
          <w:p w14:paraId="159509F8" w14:textId="77777777" w:rsidR="002655EE" w:rsidRPr="007E29F8" w:rsidRDefault="002655EE" w:rsidP="002655EE">
            <w:pPr>
              <w:spacing w:before="0" w:after="0" w:line="276" w:lineRule="auto"/>
              <w:rPr>
                <w:rFonts w:cs="Arial"/>
                <w:sz w:val="18"/>
              </w:rPr>
            </w:pPr>
          </w:p>
          <w:p w14:paraId="11AC2A84" w14:textId="77777777" w:rsidR="002655EE" w:rsidRPr="007E29F8" w:rsidRDefault="002655EE" w:rsidP="002655EE">
            <w:pPr>
              <w:spacing w:before="0" w:after="0" w:line="276" w:lineRule="auto"/>
              <w:rPr>
                <w:rFonts w:cs="Arial"/>
                <w:sz w:val="18"/>
              </w:rPr>
            </w:pPr>
            <w:r w:rsidRPr="007E29F8">
              <w:rPr>
                <w:rFonts w:cs="Arial"/>
                <w:sz w:val="18"/>
              </w:rPr>
              <w:t>1.48</w:t>
            </w:r>
          </w:p>
        </w:tc>
      </w:tr>
      <w:tr w:rsidR="002655EE" w:rsidRPr="007E29F8" w14:paraId="3B05B415" w14:textId="77777777" w:rsidTr="002655EE">
        <w:trPr>
          <w:cantSplit/>
          <w:trHeight w:val="435"/>
          <w:tblHeader/>
        </w:trPr>
        <w:tc>
          <w:tcPr>
            <w:tcW w:w="1102" w:type="pct"/>
            <w:shd w:val="clear" w:color="auto" w:fill="auto"/>
          </w:tcPr>
          <w:p w14:paraId="199753EB" w14:textId="77777777" w:rsidR="002655EE" w:rsidRPr="007E29F8" w:rsidRDefault="002655EE" w:rsidP="002655EE">
            <w:pPr>
              <w:pStyle w:val="Standaard-Tabellen"/>
              <w:rPr>
                <w:rFonts w:eastAsia="Calibri"/>
              </w:rPr>
            </w:pPr>
            <w:r w:rsidRPr="007E29F8">
              <w:rPr>
                <w:rFonts w:eastAsia="Calibri"/>
              </w:rPr>
              <w:t>Scenarios 1+2 – CHILD</w:t>
            </w:r>
          </w:p>
          <w:p w14:paraId="5D7B2DF2" w14:textId="77777777" w:rsidR="002655EE" w:rsidRPr="007E29F8" w:rsidRDefault="002655EE" w:rsidP="002655EE">
            <w:pPr>
              <w:pStyle w:val="Standaard-Tabellen"/>
              <w:rPr>
                <w:rFonts w:eastAsia="Calibri"/>
              </w:rPr>
            </w:pPr>
            <w:r w:rsidRPr="007E29F8">
              <w:rPr>
                <w:rFonts w:eastAsia="Calibri"/>
              </w:rPr>
              <w:t>3 appl/d</w:t>
            </w:r>
          </w:p>
        </w:tc>
        <w:tc>
          <w:tcPr>
            <w:tcW w:w="556" w:type="pct"/>
          </w:tcPr>
          <w:p w14:paraId="599E7301" w14:textId="77777777" w:rsidR="002655EE" w:rsidRPr="007E29F8" w:rsidRDefault="002655EE" w:rsidP="002655EE">
            <w:pPr>
              <w:pStyle w:val="Standaard-Tabellen"/>
              <w:rPr>
                <w:rFonts w:eastAsia="Calibri"/>
              </w:rPr>
            </w:pPr>
            <w:r w:rsidRPr="007E29F8">
              <w:rPr>
                <w:rFonts w:eastAsia="Calibri"/>
              </w:rPr>
              <w:t xml:space="preserve">Tier 1 / </w:t>
            </w:r>
          </w:p>
          <w:p w14:paraId="2EAEE241" w14:textId="77777777" w:rsidR="002655EE" w:rsidRPr="007E29F8" w:rsidRDefault="002655EE" w:rsidP="002655EE">
            <w:pPr>
              <w:pStyle w:val="Standaard-Tabellen"/>
              <w:rPr>
                <w:rFonts w:eastAsia="Calibri"/>
              </w:rPr>
            </w:pPr>
            <w:r w:rsidRPr="007E29F8">
              <w:rPr>
                <w:rFonts w:eastAsia="Calibri"/>
              </w:rPr>
              <w:t>no PPE</w:t>
            </w:r>
          </w:p>
        </w:tc>
        <w:tc>
          <w:tcPr>
            <w:tcW w:w="870" w:type="pct"/>
            <w:vAlign w:val="center"/>
          </w:tcPr>
          <w:p w14:paraId="062A98E1" w14:textId="77777777" w:rsidR="002655EE" w:rsidRPr="007E29F8" w:rsidRDefault="002655EE" w:rsidP="002655EE">
            <w:pPr>
              <w:spacing w:before="0" w:after="0" w:line="276" w:lineRule="auto"/>
              <w:rPr>
                <w:rFonts w:cs="Arial"/>
                <w:sz w:val="18"/>
              </w:rPr>
            </w:pPr>
            <w:r w:rsidRPr="007E29F8">
              <w:rPr>
                <w:rFonts w:cs="Arial"/>
                <w:sz w:val="18"/>
              </w:rPr>
              <w:t>1.76</w:t>
            </w:r>
          </w:p>
        </w:tc>
        <w:tc>
          <w:tcPr>
            <w:tcW w:w="697" w:type="pct"/>
            <w:vAlign w:val="center"/>
          </w:tcPr>
          <w:p w14:paraId="2B37AB3C" w14:textId="77777777" w:rsidR="002655EE" w:rsidRPr="007E29F8" w:rsidRDefault="002655EE" w:rsidP="002655EE">
            <w:pPr>
              <w:spacing w:before="0" w:after="0" w:line="276" w:lineRule="auto"/>
              <w:rPr>
                <w:rFonts w:cs="Arial"/>
                <w:sz w:val="18"/>
              </w:rPr>
            </w:pPr>
            <w:r w:rsidRPr="007E29F8">
              <w:rPr>
                <w:rFonts w:cs="Arial"/>
                <w:sz w:val="18"/>
              </w:rPr>
              <w:t>0.0026</w:t>
            </w:r>
          </w:p>
        </w:tc>
        <w:tc>
          <w:tcPr>
            <w:tcW w:w="697" w:type="pct"/>
            <w:vAlign w:val="center"/>
          </w:tcPr>
          <w:p w14:paraId="11B0D8D1" w14:textId="77777777" w:rsidR="002655EE" w:rsidRPr="007E29F8" w:rsidRDefault="002655EE" w:rsidP="002655EE">
            <w:pPr>
              <w:spacing w:before="0" w:after="0" w:line="276" w:lineRule="auto"/>
              <w:rPr>
                <w:rFonts w:cs="Arial"/>
                <w:sz w:val="18"/>
              </w:rPr>
            </w:pPr>
            <w:r w:rsidRPr="007E29F8">
              <w:rPr>
                <w:rFonts w:cs="Arial"/>
                <w:sz w:val="18"/>
              </w:rPr>
              <w:t>0.021</w:t>
            </w:r>
          </w:p>
        </w:tc>
        <w:tc>
          <w:tcPr>
            <w:tcW w:w="1078" w:type="pct"/>
          </w:tcPr>
          <w:p w14:paraId="487A905C" w14:textId="77777777" w:rsidR="002655EE" w:rsidRPr="007E29F8" w:rsidRDefault="002655EE" w:rsidP="002655EE">
            <w:pPr>
              <w:spacing w:before="0" w:after="0" w:line="276" w:lineRule="auto"/>
              <w:rPr>
                <w:rFonts w:cs="Arial"/>
                <w:sz w:val="18"/>
              </w:rPr>
            </w:pPr>
          </w:p>
          <w:p w14:paraId="2100E95F" w14:textId="77777777" w:rsidR="002655EE" w:rsidRPr="007E29F8" w:rsidRDefault="002655EE" w:rsidP="002655EE">
            <w:pPr>
              <w:spacing w:before="0" w:after="0" w:line="276" w:lineRule="auto"/>
              <w:rPr>
                <w:rFonts w:cs="Arial"/>
                <w:sz w:val="18"/>
              </w:rPr>
            </w:pPr>
            <w:r w:rsidRPr="007E29F8">
              <w:rPr>
                <w:rFonts w:cs="Arial"/>
                <w:sz w:val="18"/>
              </w:rPr>
              <w:t>1.78</w:t>
            </w:r>
          </w:p>
        </w:tc>
      </w:tr>
      <w:tr w:rsidR="002655EE" w:rsidRPr="007E29F8" w14:paraId="3F414F74" w14:textId="77777777" w:rsidTr="002655EE">
        <w:trPr>
          <w:cantSplit/>
          <w:trHeight w:val="595"/>
          <w:tblHeader/>
        </w:trPr>
        <w:tc>
          <w:tcPr>
            <w:tcW w:w="1102" w:type="pct"/>
            <w:shd w:val="clear" w:color="auto" w:fill="auto"/>
          </w:tcPr>
          <w:p w14:paraId="64DA69E9" w14:textId="77777777" w:rsidR="002655EE" w:rsidRPr="007E29F8" w:rsidRDefault="002655EE" w:rsidP="002655EE">
            <w:pPr>
              <w:pStyle w:val="Standaard-Tabellen"/>
              <w:rPr>
                <w:rFonts w:eastAsia="Calibri"/>
              </w:rPr>
            </w:pPr>
            <w:r w:rsidRPr="007E29F8">
              <w:rPr>
                <w:rFonts w:eastAsia="Calibri"/>
              </w:rPr>
              <w:t>Scenarios 1+2 – TODDLER</w:t>
            </w:r>
          </w:p>
          <w:p w14:paraId="2A1DF925" w14:textId="77777777" w:rsidR="002655EE" w:rsidRPr="007E29F8" w:rsidRDefault="002655EE" w:rsidP="002655EE">
            <w:pPr>
              <w:pStyle w:val="Standaard-Tabellen"/>
              <w:rPr>
                <w:rFonts w:eastAsia="Calibri"/>
              </w:rPr>
            </w:pPr>
            <w:r w:rsidRPr="007E29F8">
              <w:rPr>
                <w:rFonts w:eastAsia="Calibri"/>
              </w:rPr>
              <w:t>3 appl/d</w:t>
            </w:r>
          </w:p>
        </w:tc>
        <w:tc>
          <w:tcPr>
            <w:tcW w:w="556" w:type="pct"/>
          </w:tcPr>
          <w:p w14:paraId="5AEBD0B0" w14:textId="77777777" w:rsidR="002655EE" w:rsidRPr="007E29F8" w:rsidRDefault="002655EE" w:rsidP="002655EE">
            <w:pPr>
              <w:pStyle w:val="Standaard-Tabellen"/>
              <w:rPr>
                <w:rFonts w:eastAsia="Calibri"/>
              </w:rPr>
            </w:pPr>
            <w:r w:rsidRPr="007E29F8">
              <w:rPr>
                <w:rFonts w:eastAsia="Calibri"/>
              </w:rPr>
              <w:t xml:space="preserve">Tier 1 / </w:t>
            </w:r>
          </w:p>
          <w:p w14:paraId="23B1DE62" w14:textId="77777777" w:rsidR="002655EE" w:rsidRPr="007E29F8" w:rsidRDefault="002655EE" w:rsidP="002655EE">
            <w:pPr>
              <w:pStyle w:val="Standaard-Tabellen"/>
              <w:rPr>
                <w:rFonts w:eastAsia="Calibri"/>
              </w:rPr>
            </w:pPr>
            <w:r w:rsidRPr="007E29F8">
              <w:rPr>
                <w:rFonts w:eastAsia="Calibri"/>
              </w:rPr>
              <w:t>no PPE</w:t>
            </w:r>
          </w:p>
        </w:tc>
        <w:tc>
          <w:tcPr>
            <w:tcW w:w="870" w:type="pct"/>
            <w:vAlign w:val="center"/>
          </w:tcPr>
          <w:p w14:paraId="79AD2566" w14:textId="77777777" w:rsidR="002655EE" w:rsidRPr="007E29F8" w:rsidRDefault="002655EE" w:rsidP="002655EE">
            <w:pPr>
              <w:spacing w:before="0" w:after="0" w:line="276" w:lineRule="auto"/>
              <w:rPr>
                <w:rFonts w:cs="Arial"/>
                <w:sz w:val="18"/>
              </w:rPr>
            </w:pPr>
            <w:r w:rsidRPr="007E29F8">
              <w:rPr>
                <w:rFonts w:cs="Arial"/>
                <w:sz w:val="18"/>
              </w:rPr>
              <w:t>4.2</w:t>
            </w:r>
          </w:p>
        </w:tc>
        <w:tc>
          <w:tcPr>
            <w:tcW w:w="697" w:type="pct"/>
            <w:vAlign w:val="center"/>
          </w:tcPr>
          <w:p w14:paraId="0280A50E" w14:textId="77777777" w:rsidR="002655EE" w:rsidRPr="007E29F8" w:rsidRDefault="002655EE" w:rsidP="002655EE">
            <w:pPr>
              <w:spacing w:before="0" w:after="0" w:line="276" w:lineRule="auto"/>
              <w:rPr>
                <w:rFonts w:cs="Arial"/>
                <w:sz w:val="18"/>
              </w:rPr>
            </w:pPr>
            <w:r w:rsidRPr="007E29F8">
              <w:rPr>
                <w:rFonts w:cs="Arial"/>
                <w:sz w:val="18"/>
              </w:rPr>
              <w:t>0.00593</w:t>
            </w:r>
          </w:p>
        </w:tc>
        <w:tc>
          <w:tcPr>
            <w:tcW w:w="697" w:type="pct"/>
            <w:vAlign w:val="center"/>
          </w:tcPr>
          <w:p w14:paraId="1C48CC40" w14:textId="77777777" w:rsidR="002655EE" w:rsidRPr="007E29F8" w:rsidRDefault="002655EE" w:rsidP="002655EE">
            <w:pPr>
              <w:spacing w:before="0" w:after="0" w:line="276" w:lineRule="auto"/>
              <w:rPr>
                <w:rFonts w:cs="Arial"/>
                <w:sz w:val="18"/>
              </w:rPr>
            </w:pPr>
            <w:r w:rsidRPr="007E29F8">
              <w:rPr>
                <w:rFonts w:cs="Arial"/>
                <w:sz w:val="18"/>
              </w:rPr>
              <w:t>0.0470</w:t>
            </w:r>
          </w:p>
        </w:tc>
        <w:tc>
          <w:tcPr>
            <w:tcW w:w="1078" w:type="pct"/>
          </w:tcPr>
          <w:p w14:paraId="2FD075A4" w14:textId="77777777" w:rsidR="002655EE" w:rsidRPr="007E29F8" w:rsidRDefault="002655EE" w:rsidP="002655EE">
            <w:pPr>
              <w:spacing w:before="0" w:after="0" w:line="276" w:lineRule="auto"/>
              <w:rPr>
                <w:rFonts w:cs="Arial"/>
                <w:sz w:val="18"/>
              </w:rPr>
            </w:pPr>
          </w:p>
          <w:p w14:paraId="6B3DDC82" w14:textId="77777777" w:rsidR="002655EE" w:rsidRPr="007E29F8" w:rsidRDefault="002655EE" w:rsidP="002655EE">
            <w:pPr>
              <w:spacing w:before="0" w:after="0" w:line="276" w:lineRule="auto"/>
              <w:rPr>
                <w:rFonts w:cs="Arial"/>
                <w:sz w:val="18"/>
              </w:rPr>
            </w:pPr>
            <w:r w:rsidRPr="007E29F8">
              <w:rPr>
                <w:rFonts w:cs="Arial"/>
                <w:sz w:val="18"/>
              </w:rPr>
              <w:t>4.26</w:t>
            </w:r>
          </w:p>
        </w:tc>
      </w:tr>
      <w:tr w:rsidR="002655EE" w:rsidRPr="007E29F8" w14:paraId="12A0AB78" w14:textId="77777777" w:rsidTr="002655EE">
        <w:trPr>
          <w:cantSplit/>
          <w:trHeight w:val="587"/>
          <w:tblHeader/>
        </w:trPr>
        <w:tc>
          <w:tcPr>
            <w:tcW w:w="1102" w:type="pct"/>
            <w:shd w:val="clear" w:color="auto" w:fill="auto"/>
          </w:tcPr>
          <w:p w14:paraId="4791E218" w14:textId="77777777" w:rsidR="002655EE" w:rsidRPr="007E29F8" w:rsidRDefault="002655EE" w:rsidP="002655EE">
            <w:pPr>
              <w:pStyle w:val="Standaard-Tabellen"/>
              <w:rPr>
                <w:rFonts w:eastAsia="Calibri"/>
              </w:rPr>
            </w:pPr>
            <w:r w:rsidRPr="007E29F8">
              <w:rPr>
                <w:rFonts w:eastAsia="Calibri"/>
              </w:rPr>
              <w:t>Scenarios 1+2 – INFANT</w:t>
            </w:r>
          </w:p>
          <w:p w14:paraId="429B7B1A" w14:textId="77777777" w:rsidR="002655EE" w:rsidRPr="007E29F8" w:rsidRDefault="002655EE" w:rsidP="002655EE">
            <w:pPr>
              <w:pStyle w:val="Standaard-Tabellen"/>
              <w:rPr>
                <w:rFonts w:eastAsia="Calibri"/>
              </w:rPr>
            </w:pPr>
            <w:r w:rsidRPr="007E29F8">
              <w:rPr>
                <w:rFonts w:eastAsia="Calibri"/>
              </w:rPr>
              <w:t>3 appl/d</w:t>
            </w:r>
          </w:p>
        </w:tc>
        <w:tc>
          <w:tcPr>
            <w:tcW w:w="556" w:type="pct"/>
          </w:tcPr>
          <w:p w14:paraId="61CE59C1" w14:textId="77777777" w:rsidR="002655EE" w:rsidRPr="007E29F8" w:rsidRDefault="002655EE" w:rsidP="002655EE">
            <w:pPr>
              <w:pStyle w:val="Standaard-Tabellen"/>
              <w:rPr>
                <w:rFonts w:eastAsia="Calibri"/>
              </w:rPr>
            </w:pPr>
            <w:r w:rsidRPr="007E29F8">
              <w:rPr>
                <w:rFonts w:eastAsia="Calibri"/>
              </w:rPr>
              <w:t xml:space="preserve">Tier 1 / </w:t>
            </w:r>
          </w:p>
          <w:p w14:paraId="44561BA0" w14:textId="77777777" w:rsidR="002655EE" w:rsidRPr="007E29F8" w:rsidRDefault="002655EE" w:rsidP="002655EE">
            <w:pPr>
              <w:pStyle w:val="Standaard-Tabellen"/>
              <w:rPr>
                <w:rFonts w:eastAsia="Calibri"/>
              </w:rPr>
            </w:pPr>
            <w:r w:rsidRPr="007E29F8">
              <w:rPr>
                <w:rFonts w:eastAsia="Calibri"/>
              </w:rPr>
              <w:t>no PPE</w:t>
            </w:r>
          </w:p>
        </w:tc>
        <w:tc>
          <w:tcPr>
            <w:tcW w:w="870" w:type="pct"/>
            <w:vAlign w:val="center"/>
          </w:tcPr>
          <w:p w14:paraId="366EB326" w14:textId="77777777" w:rsidR="002655EE" w:rsidRPr="007E29F8" w:rsidRDefault="002655EE" w:rsidP="002655EE">
            <w:pPr>
              <w:spacing w:before="0" w:after="0" w:line="276" w:lineRule="auto"/>
              <w:rPr>
                <w:rFonts w:cs="Arial"/>
                <w:sz w:val="18"/>
              </w:rPr>
            </w:pPr>
            <w:r w:rsidRPr="007E29F8">
              <w:rPr>
                <w:rFonts w:cs="Arial"/>
                <w:sz w:val="18"/>
              </w:rPr>
              <w:t>5.25</w:t>
            </w:r>
          </w:p>
        </w:tc>
        <w:tc>
          <w:tcPr>
            <w:tcW w:w="697" w:type="pct"/>
            <w:vAlign w:val="center"/>
          </w:tcPr>
          <w:p w14:paraId="4FDB9378" w14:textId="77777777" w:rsidR="002655EE" w:rsidRPr="007E29F8" w:rsidRDefault="002655EE" w:rsidP="002655EE">
            <w:pPr>
              <w:spacing w:before="0" w:after="0" w:line="276" w:lineRule="auto"/>
              <w:rPr>
                <w:rFonts w:cs="Arial"/>
                <w:sz w:val="18"/>
              </w:rPr>
            </w:pPr>
            <w:r w:rsidRPr="007E29F8">
              <w:rPr>
                <w:rFonts w:cs="Arial"/>
                <w:sz w:val="18"/>
              </w:rPr>
              <w:t>0.00494</w:t>
            </w:r>
          </w:p>
        </w:tc>
        <w:tc>
          <w:tcPr>
            <w:tcW w:w="697" w:type="pct"/>
            <w:vAlign w:val="center"/>
          </w:tcPr>
          <w:p w14:paraId="35B53431" w14:textId="77777777" w:rsidR="002655EE" w:rsidRPr="007E29F8" w:rsidRDefault="002655EE" w:rsidP="002655EE">
            <w:pPr>
              <w:spacing w:before="0" w:after="0" w:line="276" w:lineRule="auto"/>
              <w:rPr>
                <w:rFonts w:cs="Arial"/>
                <w:sz w:val="18"/>
              </w:rPr>
            </w:pPr>
            <w:r w:rsidRPr="007E29F8">
              <w:rPr>
                <w:rFonts w:cs="Arial"/>
                <w:sz w:val="18"/>
              </w:rPr>
              <w:t>0.0392</w:t>
            </w:r>
          </w:p>
        </w:tc>
        <w:tc>
          <w:tcPr>
            <w:tcW w:w="1078" w:type="pct"/>
          </w:tcPr>
          <w:p w14:paraId="03A00E3A" w14:textId="77777777" w:rsidR="002655EE" w:rsidRPr="007E29F8" w:rsidRDefault="002655EE" w:rsidP="002655EE">
            <w:pPr>
              <w:spacing w:before="0" w:after="0" w:line="276" w:lineRule="auto"/>
              <w:rPr>
                <w:rFonts w:cs="Arial"/>
                <w:sz w:val="18"/>
              </w:rPr>
            </w:pPr>
          </w:p>
          <w:p w14:paraId="2E4E730E" w14:textId="77777777" w:rsidR="002655EE" w:rsidRPr="007E29F8" w:rsidRDefault="002655EE" w:rsidP="002655EE">
            <w:pPr>
              <w:spacing w:before="0" w:after="0" w:line="276" w:lineRule="auto"/>
              <w:rPr>
                <w:rFonts w:cs="Arial"/>
                <w:sz w:val="18"/>
              </w:rPr>
            </w:pPr>
            <w:r w:rsidRPr="007E29F8">
              <w:rPr>
                <w:rFonts w:cs="Arial"/>
                <w:sz w:val="18"/>
              </w:rPr>
              <w:t>5.29</w:t>
            </w:r>
          </w:p>
        </w:tc>
      </w:tr>
      <w:tr w:rsidR="002655EE" w:rsidRPr="007E29F8" w14:paraId="59AE413A" w14:textId="77777777" w:rsidTr="002655EE">
        <w:trPr>
          <w:cantSplit/>
          <w:trHeight w:val="587"/>
          <w:tblHeader/>
        </w:trPr>
        <w:tc>
          <w:tcPr>
            <w:tcW w:w="1102" w:type="pct"/>
            <w:shd w:val="clear" w:color="auto" w:fill="auto"/>
          </w:tcPr>
          <w:p w14:paraId="38DEC3BB" w14:textId="77777777" w:rsidR="002655EE" w:rsidRPr="007E29F8" w:rsidRDefault="002655EE" w:rsidP="002655EE">
            <w:pPr>
              <w:pStyle w:val="Standaard-Tabellen"/>
              <w:rPr>
                <w:rFonts w:eastAsia="Calibri"/>
              </w:rPr>
            </w:pPr>
            <w:r w:rsidRPr="007E29F8">
              <w:rPr>
                <w:rFonts w:eastAsia="Calibri"/>
              </w:rPr>
              <w:t>Scenarios 1+2 – INFANT</w:t>
            </w:r>
          </w:p>
          <w:p w14:paraId="5507AC0F" w14:textId="77777777" w:rsidR="002655EE" w:rsidRPr="007E29F8" w:rsidRDefault="002655EE" w:rsidP="002655EE">
            <w:pPr>
              <w:pStyle w:val="Standaard-Tabellen"/>
              <w:rPr>
                <w:rFonts w:eastAsia="Calibri"/>
              </w:rPr>
            </w:pPr>
            <w:r w:rsidRPr="007E29F8">
              <w:rPr>
                <w:rFonts w:eastAsia="Calibri"/>
              </w:rPr>
              <w:t>2 appl/d</w:t>
            </w:r>
          </w:p>
        </w:tc>
        <w:tc>
          <w:tcPr>
            <w:tcW w:w="556" w:type="pct"/>
          </w:tcPr>
          <w:p w14:paraId="22608E19" w14:textId="77777777" w:rsidR="002655EE" w:rsidRPr="007E29F8" w:rsidRDefault="002655EE" w:rsidP="002655EE">
            <w:pPr>
              <w:pStyle w:val="Standaard-Tabellen"/>
              <w:rPr>
                <w:rFonts w:eastAsia="Calibri"/>
              </w:rPr>
            </w:pPr>
            <w:r w:rsidRPr="007E29F8">
              <w:rPr>
                <w:rFonts w:eastAsia="Calibri"/>
              </w:rPr>
              <w:t xml:space="preserve">Tier 2 / </w:t>
            </w:r>
          </w:p>
          <w:p w14:paraId="6D3815F8" w14:textId="77777777" w:rsidR="002655EE" w:rsidRPr="007E29F8" w:rsidRDefault="002655EE" w:rsidP="002655EE">
            <w:pPr>
              <w:pStyle w:val="Standaard-Tabellen"/>
              <w:rPr>
                <w:rFonts w:eastAsia="Calibri"/>
              </w:rPr>
            </w:pPr>
            <w:r w:rsidRPr="007E29F8">
              <w:rPr>
                <w:rFonts w:eastAsia="Calibri"/>
              </w:rPr>
              <w:t>no PPE</w:t>
            </w:r>
          </w:p>
        </w:tc>
        <w:tc>
          <w:tcPr>
            <w:tcW w:w="870" w:type="pct"/>
            <w:vAlign w:val="center"/>
          </w:tcPr>
          <w:p w14:paraId="1BAFB079" w14:textId="77777777" w:rsidR="002655EE" w:rsidRPr="007E29F8" w:rsidRDefault="002655EE" w:rsidP="002655EE">
            <w:pPr>
              <w:spacing w:before="0" w:after="0" w:line="276" w:lineRule="auto"/>
              <w:rPr>
                <w:rFonts w:cs="Arial"/>
                <w:sz w:val="18"/>
              </w:rPr>
            </w:pPr>
            <w:r w:rsidRPr="007E29F8">
              <w:rPr>
                <w:rFonts w:cs="Arial"/>
                <w:sz w:val="18"/>
              </w:rPr>
              <w:t>3.5</w:t>
            </w:r>
          </w:p>
        </w:tc>
        <w:tc>
          <w:tcPr>
            <w:tcW w:w="697" w:type="pct"/>
            <w:vAlign w:val="center"/>
          </w:tcPr>
          <w:p w14:paraId="3E11E2A8" w14:textId="77777777" w:rsidR="002655EE" w:rsidRPr="007E29F8" w:rsidRDefault="002655EE" w:rsidP="002655EE">
            <w:pPr>
              <w:spacing w:before="0" w:after="0" w:line="276" w:lineRule="auto"/>
              <w:rPr>
                <w:rFonts w:cs="Arial"/>
                <w:sz w:val="18"/>
              </w:rPr>
            </w:pPr>
            <w:r w:rsidRPr="007E29F8">
              <w:rPr>
                <w:rFonts w:cs="Arial"/>
                <w:sz w:val="18"/>
              </w:rPr>
              <w:t>0.0033</w:t>
            </w:r>
          </w:p>
        </w:tc>
        <w:tc>
          <w:tcPr>
            <w:tcW w:w="697" w:type="pct"/>
            <w:vAlign w:val="center"/>
          </w:tcPr>
          <w:p w14:paraId="4F31128F" w14:textId="77777777" w:rsidR="002655EE" w:rsidRPr="007E29F8" w:rsidRDefault="002655EE" w:rsidP="002655EE">
            <w:pPr>
              <w:spacing w:before="0" w:after="0" w:line="276" w:lineRule="auto"/>
              <w:rPr>
                <w:rFonts w:cs="Arial"/>
                <w:sz w:val="18"/>
              </w:rPr>
            </w:pPr>
            <w:r w:rsidRPr="007E29F8">
              <w:rPr>
                <w:rFonts w:cs="Arial"/>
                <w:sz w:val="18"/>
              </w:rPr>
              <w:t>0.026</w:t>
            </w:r>
          </w:p>
        </w:tc>
        <w:tc>
          <w:tcPr>
            <w:tcW w:w="1078" w:type="pct"/>
          </w:tcPr>
          <w:p w14:paraId="28A1D563" w14:textId="77777777" w:rsidR="002655EE" w:rsidRPr="007E29F8" w:rsidRDefault="002655EE" w:rsidP="002655EE">
            <w:pPr>
              <w:spacing w:before="0" w:after="0" w:line="276" w:lineRule="auto"/>
              <w:rPr>
                <w:rFonts w:cs="Arial"/>
                <w:sz w:val="18"/>
              </w:rPr>
            </w:pPr>
          </w:p>
          <w:p w14:paraId="6383FDD8" w14:textId="77777777" w:rsidR="002655EE" w:rsidRPr="007E29F8" w:rsidRDefault="002655EE" w:rsidP="002655EE">
            <w:pPr>
              <w:spacing w:before="0" w:after="0" w:line="276" w:lineRule="auto"/>
              <w:rPr>
                <w:rFonts w:cs="Arial"/>
                <w:sz w:val="18"/>
              </w:rPr>
            </w:pPr>
            <w:r w:rsidRPr="007E29F8">
              <w:rPr>
                <w:rFonts w:cs="Arial"/>
                <w:sz w:val="18"/>
              </w:rPr>
              <w:t>3.53</w:t>
            </w:r>
          </w:p>
        </w:tc>
      </w:tr>
    </w:tbl>
    <w:p w14:paraId="0D092E48" w14:textId="77777777" w:rsidR="002655EE" w:rsidRPr="007E29F8" w:rsidRDefault="002655EE" w:rsidP="002655EE">
      <w:pPr>
        <w:rPr>
          <w:lang w:eastAsia="en-US"/>
        </w:rPr>
      </w:pPr>
    </w:p>
    <w:p w14:paraId="34413C53" w14:textId="77777777" w:rsidR="002655EE" w:rsidRPr="007E29F8" w:rsidRDefault="002655EE" w:rsidP="002655EE">
      <w:pPr>
        <w:rPr>
          <w:lang w:eastAsia="en-US"/>
        </w:rPr>
      </w:pPr>
      <w:r w:rsidRPr="007E29F8">
        <w:rPr>
          <w:lang w:eastAsia="en-US"/>
        </w:rPr>
        <w:t>The exposure of inhalation of volatilized residues after application and the combined inhalative and oral exposure of a parent treating two children are negligible compared to primary (dermal) exposure.</w:t>
      </w:r>
    </w:p>
    <w:p w14:paraId="45B41086" w14:textId="77777777" w:rsidR="002655EE" w:rsidRPr="007E29F8" w:rsidRDefault="002655EE" w:rsidP="00FA1064">
      <w:pPr>
        <w:shd w:val="clear" w:color="auto" w:fill="FFFFFF" w:themeFill="background1"/>
        <w:rPr>
          <w:lang w:eastAsia="en-US"/>
        </w:rPr>
      </w:pPr>
    </w:p>
    <w:p w14:paraId="17D2BCE9" w14:textId="77777777" w:rsidR="008A2D32" w:rsidRPr="00FA1064" w:rsidRDefault="008A2D32" w:rsidP="00FA1064">
      <w:pPr>
        <w:pStyle w:val="Paragraphedeliste"/>
        <w:keepNext/>
        <w:numPr>
          <w:ilvl w:val="0"/>
          <w:numId w:val="36"/>
        </w:numPr>
        <w:shd w:val="clear" w:color="auto" w:fill="FFFFFF" w:themeFill="background1"/>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FA1064">
        <w:rPr>
          <w:rFonts w:eastAsia="Calibri"/>
          <w:b/>
          <w:lang w:eastAsia="en-US"/>
        </w:rPr>
        <w:t>MAJOR CHANGE FOR SPRAY REPULSIF IR200 – 2019 (FR CA)</w:t>
      </w:r>
    </w:p>
    <w:p w14:paraId="70E42548" w14:textId="10E73131" w:rsidR="002655EE" w:rsidRPr="007E29F8"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p>
    <w:p w14:paraId="7B773AC1" w14:textId="77777777" w:rsidR="002655EE"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sidRPr="007E29F8">
        <w:rPr>
          <w:rFonts w:cs="Arial"/>
          <w:b/>
          <w:spacing w:val="1"/>
          <w:lang w:eastAsia="fr-FR"/>
        </w:rPr>
        <w:t xml:space="preserve">Combined scenarios: </w:t>
      </w:r>
    </w:p>
    <w:p w14:paraId="28160B34" w14:textId="77777777" w:rsidR="002655EE"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p>
    <w:p w14:paraId="70B8A4ED" w14:textId="77777777" w:rsidR="002655EE"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Different combined scenario are considered:</w:t>
      </w:r>
    </w:p>
    <w:p w14:paraId="769C0C89" w14:textId="77777777" w:rsidR="002655EE" w:rsidRDefault="002655EE" w:rsidP="00FA1064">
      <w:pPr>
        <w:pStyle w:val="Paragraphedeliste"/>
        <w:widowControl w:val="0"/>
        <w:numPr>
          <w:ilvl w:val="0"/>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 xml:space="preserve">For application against head lice: </w:t>
      </w:r>
    </w:p>
    <w:p w14:paraId="5B99C819" w14:textId="77777777" w:rsidR="002655EE" w:rsidRDefault="002655EE" w:rsidP="00FA1064">
      <w:pPr>
        <w:pStyle w:val="Paragraphedeliste"/>
        <w:widowControl w:val="0"/>
        <w:numPr>
          <w:ilvl w:val="1"/>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Skin application on head + exposure linked to application on clothes + exposure during application on clothes</w:t>
      </w:r>
    </w:p>
    <w:p w14:paraId="359E4950" w14:textId="77777777" w:rsidR="002655EE" w:rsidRDefault="002655EE" w:rsidP="00FA1064">
      <w:pPr>
        <w:pStyle w:val="Paragraphedeliste"/>
        <w:widowControl w:val="0"/>
        <w:numPr>
          <w:ilvl w:val="1"/>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Skin application on head + exposure linked to application on bed linen + exposure to volatilised residues +</w:t>
      </w:r>
      <w:r w:rsidRPr="00D46AC1">
        <w:rPr>
          <w:rFonts w:cs="Arial"/>
          <w:b/>
          <w:spacing w:val="1"/>
          <w:lang w:eastAsia="fr-FR"/>
        </w:rPr>
        <w:t xml:space="preserve"> </w:t>
      </w:r>
      <w:r>
        <w:rPr>
          <w:rFonts w:cs="Arial"/>
          <w:b/>
          <w:spacing w:val="1"/>
          <w:lang w:eastAsia="fr-FR"/>
        </w:rPr>
        <w:t>exposure during application on fabrics</w:t>
      </w:r>
    </w:p>
    <w:p w14:paraId="146F60ED" w14:textId="77777777" w:rsidR="002655EE" w:rsidRDefault="002655EE" w:rsidP="00FA1064">
      <w:pPr>
        <w:pStyle w:val="Paragraphedeliste"/>
        <w:widowControl w:val="0"/>
        <w:numPr>
          <w:ilvl w:val="0"/>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For application against mosquitoes</w:t>
      </w:r>
    </w:p>
    <w:p w14:paraId="0FE615EE" w14:textId="77777777" w:rsidR="002655EE" w:rsidRDefault="002655EE" w:rsidP="00FA1064">
      <w:pPr>
        <w:pStyle w:val="Paragraphedeliste"/>
        <w:widowControl w:val="0"/>
        <w:numPr>
          <w:ilvl w:val="1"/>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Skin application (tropical zone) + exposure linked to application on clothes+ exposure during application on clothes</w:t>
      </w:r>
    </w:p>
    <w:p w14:paraId="08E3F6EC" w14:textId="77777777" w:rsidR="002655EE" w:rsidRDefault="002655EE" w:rsidP="00FA1064">
      <w:pPr>
        <w:pStyle w:val="Paragraphedeliste"/>
        <w:widowControl w:val="0"/>
        <w:numPr>
          <w:ilvl w:val="1"/>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Skin application (temperate zone) + exposure linked to application on clothes+ exposure during application on clothes</w:t>
      </w:r>
    </w:p>
    <w:p w14:paraId="2C847CB3" w14:textId="77777777" w:rsidR="002655EE" w:rsidRDefault="002655EE" w:rsidP="00FA1064">
      <w:pPr>
        <w:pStyle w:val="Paragraphedeliste"/>
        <w:widowControl w:val="0"/>
        <w:numPr>
          <w:ilvl w:val="0"/>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For application against ticks</w:t>
      </w:r>
    </w:p>
    <w:p w14:paraId="71B0A502" w14:textId="77777777" w:rsidR="002655EE" w:rsidRDefault="002655EE" w:rsidP="00FA1064">
      <w:pPr>
        <w:pStyle w:val="Paragraphedeliste"/>
        <w:widowControl w:val="0"/>
        <w:numPr>
          <w:ilvl w:val="1"/>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Skin application + exposure linked to application on clothes+ exposure during application on clothes</w:t>
      </w:r>
    </w:p>
    <w:p w14:paraId="20B73098" w14:textId="77777777" w:rsidR="002655EE" w:rsidRDefault="002655EE" w:rsidP="00FA1064">
      <w:pPr>
        <w:pStyle w:val="Paragraphedeliste"/>
        <w:widowControl w:val="0"/>
        <w:numPr>
          <w:ilvl w:val="0"/>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For application against dust mites</w:t>
      </w:r>
    </w:p>
    <w:p w14:paraId="2ECFFC3B" w14:textId="77777777" w:rsidR="002655EE" w:rsidRDefault="002655EE" w:rsidP="00FA1064">
      <w:pPr>
        <w:pStyle w:val="Paragraphedeliste"/>
        <w:widowControl w:val="0"/>
        <w:numPr>
          <w:ilvl w:val="1"/>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Exposure linked to application on bed linen + exposure to volatilised residues +</w:t>
      </w:r>
      <w:r w:rsidRPr="00D46AC1">
        <w:rPr>
          <w:rFonts w:cs="Arial"/>
          <w:b/>
          <w:spacing w:val="1"/>
          <w:lang w:eastAsia="fr-FR"/>
        </w:rPr>
        <w:t xml:space="preserve"> </w:t>
      </w:r>
      <w:r>
        <w:rPr>
          <w:rFonts w:cs="Arial"/>
          <w:b/>
          <w:spacing w:val="1"/>
          <w:lang w:eastAsia="fr-FR"/>
        </w:rPr>
        <w:t>exposure during application on fabrics</w:t>
      </w:r>
    </w:p>
    <w:p w14:paraId="7C0C2212" w14:textId="77777777" w:rsidR="002655EE" w:rsidRPr="0090387F" w:rsidRDefault="002655EE" w:rsidP="00FA1064">
      <w:pPr>
        <w:pStyle w:val="Paragraphedeliste"/>
        <w:widowControl w:val="0"/>
        <w:shd w:val="clear" w:color="auto" w:fill="FFFFFF" w:themeFill="background1"/>
        <w:kinsoku w:val="0"/>
        <w:overflowPunct w:val="0"/>
        <w:autoSpaceDE w:val="0"/>
        <w:autoSpaceDN w:val="0"/>
        <w:adjustRightInd w:val="0"/>
        <w:spacing w:before="0" w:after="0"/>
        <w:ind w:left="1080" w:right="216"/>
        <w:jc w:val="both"/>
        <w:textAlignment w:val="baseline"/>
        <w:rPr>
          <w:rFonts w:cs="Arial"/>
          <w:b/>
          <w:spacing w:val="1"/>
          <w:lang w:eastAsia="fr-FR"/>
        </w:rPr>
      </w:pPr>
    </w:p>
    <w:p w14:paraId="7884070B" w14:textId="77777777" w:rsidR="002655EE"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p>
    <w:p w14:paraId="7C0F3098" w14:textId="77777777" w:rsidR="002655EE" w:rsidRPr="0090387F" w:rsidRDefault="002655EE" w:rsidP="00FA1064">
      <w:pPr>
        <w:pStyle w:val="Paragraphedeliste"/>
        <w:widowControl w:val="0"/>
        <w:numPr>
          <w:ilvl w:val="0"/>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u w:val="single"/>
          <w:lang w:eastAsia="fr-FR"/>
        </w:rPr>
      </w:pPr>
      <w:r w:rsidRPr="0090387F">
        <w:rPr>
          <w:rFonts w:cs="Arial"/>
          <w:b/>
          <w:spacing w:val="1"/>
          <w:u w:val="single"/>
          <w:lang w:eastAsia="fr-FR"/>
        </w:rPr>
        <w:t xml:space="preserve">For application against head lice: </w:t>
      </w:r>
    </w:p>
    <w:p w14:paraId="6DC8444E" w14:textId="77777777" w:rsidR="002655EE" w:rsidRDefault="002655EE" w:rsidP="00FA1064">
      <w:pPr>
        <w:pStyle w:val="Paragraphedeliste"/>
        <w:widowControl w:val="0"/>
        <w:numPr>
          <w:ilvl w:val="1"/>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Skin application on head + exposure linked to application on clothes + exposure during application on clothes</w:t>
      </w:r>
    </w:p>
    <w:p w14:paraId="36F165BD" w14:textId="77777777" w:rsidR="002655EE"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FA1064" w14:paraId="4E74AF78" w14:textId="77777777" w:rsidTr="00FA1064">
        <w:trPr>
          <w:cantSplit/>
          <w:trHeight w:val="140"/>
          <w:tblHeader/>
        </w:trPr>
        <w:tc>
          <w:tcPr>
            <w:tcW w:w="1842" w:type="pct"/>
            <w:tcBorders>
              <w:bottom w:val="single" w:sz="4" w:space="0" w:color="auto"/>
            </w:tcBorders>
            <w:shd w:val="clear" w:color="auto" w:fill="FFFFFF" w:themeFill="background1"/>
          </w:tcPr>
          <w:p w14:paraId="65D8D1CF" w14:textId="77777777" w:rsidR="002655EE" w:rsidRPr="00FA1064" w:rsidRDefault="002655EE" w:rsidP="00FA1064">
            <w:pPr>
              <w:spacing w:before="0" w:after="0" w:line="276" w:lineRule="auto"/>
              <w:rPr>
                <w:rFonts w:cs="Arial"/>
                <w:sz w:val="18"/>
              </w:rPr>
            </w:pPr>
            <w:r w:rsidRPr="00FA1064">
              <w:rPr>
                <w:rFonts w:cs="Arial"/>
                <w:sz w:val="18"/>
              </w:rPr>
              <w:t>Exposure scenario</w:t>
            </w:r>
          </w:p>
        </w:tc>
        <w:tc>
          <w:tcPr>
            <w:tcW w:w="1398" w:type="pct"/>
            <w:tcBorders>
              <w:bottom w:val="single" w:sz="4" w:space="0" w:color="auto"/>
            </w:tcBorders>
            <w:shd w:val="clear" w:color="auto" w:fill="FFFFFF" w:themeFill="background1"/>
          </w:tcPr>
          <w:p w14:paraId="49F5DD59" w14:textId="77777777" w:rsidR="002655EE" w:rsidRPr="00FA1064" w:rsidRDefault="002655EE" w:rsidP="00FA1064">
            <w:pPr>
              <w:spacing w:before="0" w:after="0" w:line="276" w:lineRule="auto"/>
              <w:rPr>
                <w:rFonts w:cs="Arial"/>
                <w:sz w:val="18"/>
              </w:rPr>
            </w:pPr>
            <w:r w:rsidRPr="00FA1064">
              <w:rPr>
                <w:rFonts w:cs="Arial"/>
                <w:sz w:val="18"/>
              </w:rPr>
              <w:t>Tier/PPE</w:t>
            </w:r>
          </w:p>
        </w:tc>
        <w:tc>
          <w:tcPr>
            <w:tcW w:w="1760" w:type="pct"/>
            <w:tcBorders>
              <w:bottom w:val="single" w:sz="4" w:space="0" w:color="auto"/>
            </w:tcBorders>
            <w:shd w:val="clear" w:color="auto" w:fill="FFFFFF" w:themeFill="background1"/>
          </w:tcPr>
          <w:p w14:paraId="78396F6D" w14:textId="77777777" w:rsidR="002655EE" w:rsidRPr="00FA1064" w:rsidRDefault="002655EE" w:rsidP="00FA1064">
            <w:pPr>
              <w:spacing w:before="0" w:after="0" w:line="276" w:lineRule="auto"/>
              <w:rPr>
                <w:rFonts w:cs="Arial"/>
                <w:sz w:val="18"/>
              </w:rPr>
            </w:pPr>
            <w:r w:rsidRPr="00FA1064">
              <w:rPr>
                <w:rFonts w:cs="Arial"/>
                <w:sz w:val="18"/>
              </w:rPr>
              <w:t>Estimated dermal uptake (mg/kg bw/d)</w:t>
            </w:r>
          </w:p>
        </w:tc>
      </w:tr>
      <w:tr w:rsidR="002655EE" w:rsidRPr="00FA1064" w14:paraId="238D38A5"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C66A2" w14:textId="77777777" w:rsidR="002655EE" w:rsidRPr="00FA1064" w:rsidRDefault="002655EE" w:rsidP="00FA1064">
            <w:pPr>
              <w:spacing w:before="0" w:after="0" w:line="276" w:lineRule="auto"/>
              <w:rPr>
                <w:rFonts w:cs="Arial"/>
                <w:sz w:val="18"/>
              </w:rPr>
            </w:pPr>
            <w:r w:rsidRPr="00FA1064">
              <w:rPr>
                <w:rFonts w:cs="Arial"/>
                <w:sz w:val="18"/>
              </w:rPr>
              <w:t>Adult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3F19" w14:textId="77777777" w:rsidR="002655EE" w:rsidRPr="00FA1064" w:rsidRDefault="002655EE" w:rsidP="00FA1064">
            <w:pPr>
              <w:spacing w:before="0" w:after="0" w:line="276" w:lineRule="auto"/>
              <w:jc w:val="center"/>
              <w:rPr>
                <w:rFonts w:cs="Arial"/>
                <w:sz w:val="18"/>
              </w:rPr>
            </w:pPr>
            <w:r w:rsidRPr="00FA1064">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391CC" w14:textId="77777777" w:rsidR="002655EE" w:rsidRPr="00FA1064" w:rsidRDefault="002655EE" w:rsidP="00FA1064">
            <w:pPr>
              <w:spacing w:before="0" w:after="0" w:line="276" w:lineRule="auto"/>
              <w:jc w:val="center"/>
              <w:rPr>
                <w:rFonts w:cs="Arial"/>
                <w:sz w:val="18"/>
              </w:rPr>
            </w:pPr>
            <w:r w:rsidRPr="00FA1064">
              <w:rPr>
                <w:rFonts w:cs="Arial"/>
                <w:sz w:val="18"/>
              </w:rPr>
              <w:t>3.74</w:t>
            </w:r>
          </w:p>
        </w:tc>
      </w:tr>
      <w:tr w:rsidR="002655EE" w:rsidRPr="00FA1064" w14:paraId="3F334F3F" w14:textId="77777777" w:rsidTr="00FA1064">
        <w:trPr>
          <w:cantSplit/>
          <w:trHeight w:val="209"/>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2DD3E" w14:textId="77777777" w:rsidR="002655EE" w:rsidRPr="00FA1064" w:rsidRDefault="002655EE" w:rsidP="00FA1064">
            <w:pPr>
              <w:spacing w:before="0" w:after="0" w:line="276" w:lineRule="auto"/>
              <w:rPr>
                <w:rFonts w:cs="Arial"/>
                <w:sz w:val="18"/>
              </w:rPr>
            </w:pPr>
            <w:r w:rsidRPr="00FA1064">
              <w:rPr>
                <w:rFonts w:cs="Arial"/>
                <w:sz w:val="18"/>
              </w:rPr>
              <w:t>Child (6 to &lt;12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E826A" w14:textId="77777777" w:rsidR="002655EE" w:rsidRPr="00FA1064" w:rsidRDefault="002655EE" w:rsidP="00FA1064">
            <w:pPr>
              <w:spacing w:before="0" w:after="0" w:line="276" w:lineRule="auto"/>
              <w:jc w:val="center"/>
              <w:rPr>
                <w:rFonts w:cs="Arial"/>
                <w:sz w:val="18"/>
              </w:rPr>
            </w:pPr>
            <w:r w:rsidRPr="00FA1064">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E161E" w14:textId="77777777" w:rsidR="002655EE" w:rsidRPr="00FA1064" w:rsidRDefault="002655EE" w:rsidP="00FA1064">
            <w:pPr>
              <w:spacing w:before="0" w:after="0" w:line="276" w:lineRule="auto"/>
              <w:jc w:val="center"/>
              <w:rPr>
                <w:rFonts w:cs="Arial"/>
                <w:sz w:val="18"/>
              </w:rPr>
            </w:pPr>
            <w:r w:rsidRPr="00FA1064">
              <w:rPr>
                <w:rFonts w:cs="Arial"/>
                <w:sz w:val="18"/>
              </w:rPr>
              <w:t>4.78</w:t>
            </w:r>
          </w:p>
        </w:tc>
      </w:tr>
      <w:tr w:rsidR="002655EE" w:rsidRPr="00FA1064" w14:paraId="3870091A" w14:textId="77777777" w:rsidTr="00FA1064">
        <w:trPr>
          <w:cantSplit/>
          <w:trHeight w:val="286"/>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EF44" w14:textId="77777777" w:rsidR="002655EE" w:rsidRPr="00FA1064" w:rsidRDefault="002655EE" w:rsidP="00FA1064">
            <w:pPr>
              <w:spacing w:before="0" w:after="0" w:line="276" w:lineRule="auto"/>
              <w:rPr>
                <w:rFonts w:cs="Arial"/>
                <w:sz w:val="18"/>
              </w:rPr>
            </w:pPr>
            <w:r w:rsidRPr="00FA1064">
              <w:rPr>
                <w:rFonts w:cs="Arial"/>
                <w:sz w:val="18"/>
              </w:rPr>
              <w:t>Child (2 to &lt;6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ED334" w14:textId="77777777" w:rsidR="002655EE" w:rsidRPr="00FA1064" w:rsidRDefault="002655EE" w:rsidP="00FA1064">
            <w:pPr>
              <w:spacing w:before="0" w:after="0" w:line="276" w:lineRule="auto"/>
              <w:jc w:val="center"/>
              <w:rPr>
                <w:rFonts w:cs="Arial"/>
                <w:sz w:val="18"/>
              </w:rPr>
            </w:pPr>
            <w:r w:rsidRPr="00FA1064">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94104" w14:textId="77777777" w:rsidR="002655EE" w:rsidRPr="00FA1064" w:rsidRDefault="002655EE" w:rsidP="00FA1064">
            <w:pPr>
              <w:spacing w:before="0" w:after="0" w:line="276" w:lineRule="auto"/>
              <w:jc w:val="center"/>
              <w:rPr>
                <w:rFonts w:cs="Arial"/>
                <w:sz w:val="18"/>
              </w:rPr>
            </w:pPr>
            <w:r w:rsidRPr="00FA1064">
              <w:rPr>
                <w:rFonts w:cs="Arial"/>
                <w:sz w:val="18"/>
              </w:rPr>
              <w:t>6.27</w:t>
            </w:r>
          </w:p>
        </w:tc>
      </w:tr>
      <w:tr w:rsidR="002655EE" w:rsidRPr="00FA1064" w14:paraId="04EF0582"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9EB55" w14:textId="77777777" w:rsidR="002655EE" w:rsidRPr="00FA1064" w:rsidRDefault="002655EE" w:rsidP="00FA1064">
            <w:pPr>
              <w:spacing w:before="0" w:after="0" w:line="276" w:lineRule="auto"/>
              <w:rPr>
                <w:rFonts w:cs="Arial"/>
                <w:sz w:val="18"/>
              </w:rPr>
            </w:pPr>
            <w:r w:rsidRPr="00FA1064">
              <w:rPr>
                <w:rFonts w:cs="Arial"/>
                <w:sz w:val="18"/>
              </w:rPr>
              <w:t>Toddler (1 to &lt;2 years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60142" w14:textId="77777777" w:rsidR="002655EE" w:rsidRPr="00FA1064" w:rsidRDefault="002655EE" w:rsidP="00FA1064">
            <w:pPr>
              <w:spacing w:before="0" w:after="0" w:line="276" w:lineRule="auto"/>
              <w:jc w:val="center"/>
              <w:rPr>
                <w:rFonts w:cs="Arial"/>
                <w:sz w:val="18"/>
              </w:rPr>
            </w:pPr>
            <w:r w:rsidRPr="00FA1064">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B119A" w14:textId="77777777" w:rsidR="002655EE" w:rsidRPr="00FA1064" w:rsidRDefault="002655EE" w:rsidP="00FA1064">
            <w:pPr>
              <w:spacing w:before="0" w:after="0" w:line="276" w:lineRule="auto"/>
              <w:jc w:val="center"/>
              <w:rPr>
                <w:rFonts w:cs="Arial"/>
                <w:sz w:val="18"/>
              </w:rPr>
            </w:pPr>
            <w:r w:rsidRPr="00FA1064">
              <w:rPr>
                <w:rFonts w:cs="Arial"/>
                <w:sz w:val="18"/>
              </w:rPr>
              <w:t>8.21</w:t>
            </w:r>
          </w:p>
        </w:tc>
      </w:tr>
      <w:tr w:rsidR="002655EE" w:rsidRPr="00FA1064" w14:paraId="16811F01" w14:textId="77777777" w:rsidTr="00FA1064">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3076B" w14:textId="77777777" w:rsidR="002655EE" w:rsidRPr="00FA1064" w:rsidRDefault="002655EE" w:rsidP="00FA1064">
            <w:pPr>
              <w:spacing w:before="0" w:after="0" w:line="276" w:lineRule="auto"/>
              <w:rPr>
                <w:rFonts w:cs="Arial"/>
                <w:sz w:val="18"/>
              </w:rPr>
            </w:pPr>
            <w:r w:rsidRPr="00FA1064">
              <w:rPr>
                <w:rFonts w:cs="Arial"/>
                <w:sz w:val="18"/>
              </w:rPr>
              <w:t>Infant (&lt;1 year old)</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080BE" w14:textId="77777777" w:rsidR="002655EE" w:rsidRPr="00FA1064" w:rsidRDefault="002655EE" w:rsidP="00FA1064">
            <w:pPr>
              <w:spacing w:before="0" w:after="0" w:line="276" w:lineRule="auto"/>
              <w:jc w:val="center"/>
              <w:rPr>
                <w:rFonts w:cs="Arial"/>
                <w:sz w:val="18"/>
              </w:rPr>
            </w:pPr>
            <w:r w:rsidRPr="00FA1064">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7CFF1" w14:textId="77777777" w:rsidR="002655EE" w:rsidRPr="00FA1064" w:rsidRDefault="002655EE" w:rsidP="00FA1064">
            <w:pPr>
              <w:spacing w:before="0" w:after="0" w:line="276" w:lineRule="auto"/>
              <w:jc w:val="center"/>
              <w:rPr>
                <w:rFonts w:cs="Arial"/>
                <w:sz w:val="18"/>
              </w:rPr>
            </w:pPr>
            <w:r w:rsidRPr="00FA1064">
              <w:rPr>
                <w:rFonts w:cs="Arial"/>
                <w:sz w:val="18"/>
              </w:rPr>
              <w:t>7.78</w:t>
            </w:r>
          </w:p>
        </w:tc>
      </w:tr>
    </w:tbl>
    <w:p w14:paraId="728F23A8"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7857CA01"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5AED90CE" w14:textId="77777777" w:rsidR="002655EE" w:rsidRDefault="002655EE" w:rsidP="00FA1064">
      <w:pPr>
        <w:pStyle w:val="Paragraphedeliste"/>
        <w:widowControl w:val="0"/>
        <w:numPr>
          <w:ilvl w:val="1"/>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Skin application on head + exposure linked to application on bed linen + exposure to volatilised residues +</w:t>
      </w:r>
      <w:r w:rsidRPr="00D46AC1">
        <w:rPr>
          <w:rFonts w:cs="Arial"/>
          <w:b/>
          <w:spacing w:val="1"/>
          <w:lang w:eastAsia="fr-FR"/>
        </w:rPr>
        <w:t xml:space="preserve"> </w:t>
      </w:r>
      <w:r>
        <w:rPr>
          <w:rFonts w:cs="Arial"/>
          <w:b/>
          <w:spacing w:val="1"/>
          <w:lang w:eastAsia="fr-FR"/>
        </w:rPr>
        <w:t>exposure during application on fabrics</w:t>
      </w:r>
    </w:p>
    <w:p w14:paraId="66D92632"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FA1064" w14:paraId="41AD7652" w14:textId="77777777" w:rsidTr="008E6261">
        <w:trPr>
          <w:cantSplit/>
          <w:trHeight w:val="140"/>
          <w:tblHeader/>
        </w:trPr>
        <w:tc>
          <w:tcPr>
            <w:tcW w:w="1842" w:type="pct"/>
            <w:tcBorders>
              <w:bottom w:val="single" w:sz="4" w:space="0" w:color="auto"/>
            </w:tcBorders>
            <w:shd w:val="clear" w:color="auto" w:fill="BFBFBF" w:themeFill="background1" w:themeFillShade="BF"/>
          </w:tcPr>
          <w:p w14:paraId="339B3391" w14:textId="77777777" w:rsidR="002655EE" w:rsidRPr="00FA1064" w:rsidRDefault="002655EE" w:rsidP="00FA1064">
            <w:pPr>
              <w:spacing w:before="0" w:after="0" w:line="276" w:lineRule="auto"/>
              <w:rPr>
                <w:rFonts w:cs="Arial"/>
                <w:sz w:val="18"/>
              </w:rPr>
            </w:pPr>
            <w:r w:rsidRPr="00FA1064">
              <w:rPr>
                <w:rFonts w:cs="Arial"/>
                <w:sz w:val="18"/>
              </w:rPr>
              <w:t>Exposure scenario</w:t>
            </w:r>
          </w:p>
        </w:tc>
        <w:tc>
          <w:tcPr>
            <w:tcW w:w="1398" w:type="pct"/>
            <w:tcBorders>
              <w:bottom w:val="single" w:sz="4" w:space="0" w:color="auto"/>
            </w:tcBorders>
            <w:shd w:val="clear" w:color="auto" w:fill="BFBFBF" w:themeFill="background1" w:themeFillShade="BF"/>
          </w:tcPr>
          <w:p w14:paraId="64160EA0" w14:textId="77777777" w:rsidR="002655EE" w:rsidRPr="00FA1064" w:rsidRDefault="002655EE" w:rsidP="00FA1064">
            <w:pPr>
              <w:spacing w:before="0" w:after="0" w:line="276" w:lineRule="auto"/>
              <w:rPr>
                <w:rFonts w:cs="Arial"/>
                <w:sz w:val="18"/>
              </w:rPr>
            </w:pPr>
            <w:r w:rsidRPr="00FA1064">
              <w:rPr>
                <w:rFonts w:cs="Arial"/>
                <w:sz w:val="18"/>
              </w:rPr>
              <w:t>Tier/PPE</w:t>
            </w:r>
          </w:p>
        </w:tc>
        <w:tc>
          <w:tcPr>
            <w:tcW w:w="1760" w:type="pct"/>
            <w:tcBorders>
              <w:bottom w:val="single" w:sz="4" w:space="0" w:color="auto"/>
            </w:tcBorders>
            <w:shd w:val="clear" w:color="auto" w:fill="BFBFBF" w:themeFill="background1" w:themeFillShade="BF"/>
          </w:tcPr>
          <w:p w14:paraId="3D3BFEDF" w14:textId="77777777" w:rsidR="002655EE" w:rsidRPr="00FA1064" w:rsidRDefault="002655EE" w:rsidP="00FA1064">
            <w:pPr>
              <w:spacing w:before="0" w:after="0" w:line="276" w:lineRule="auto"/>
              <w:rPr>
                <w:rFonts w:cs="Arial"/>
                <w:sz w:val="18"/>
              </w:rPr>
            </w:pPr>
            <w:r w:rsidRPr="00FA1064">
              <w:rPr>
                <w:rFonts w:cs="Arial"/>
                <w:sz w:val="18"/>
              </w:rPr>
              <w:t>Estimated dermal uptake (mg/kg bw/d)</w:t>
            </w:r>
          </w:p>
        </w:tc>
      </w:tr>
      <w:tr w:rsidR="002655EE" w:rsidRPr="00FA1064" w14:paraId="31F9DD92" w14:textId="77777777" w:rsidTr="001B7765">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36A1024E" w14:textId="77777777" w:rsidR="002655EE" w:rsidRPr="00FA1064" w:rsidRDefault="002655EE" w:rsidP="00FA1064">
            <w:pPr>
              <w:spacing w:before="0" w:after="0" w:line="276" w:lineRule="auto"/>
              <w:rPr>
                <w:rFonts w:cs="Arial"/>
                <w:sz w:val="18"/>
              </w:rPr>
            </w:pPr>
            <w:r w:rsidRPr="00FA1064">
              <w:rPr>
                <w:rFonts w:cs="Arial"/>
                <w:sz w:val="18"/>
              </w:rPr>
              <w:t>Adult</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9E22DFF" w14:textId="77777777" w:rsidR="002655EE" w:rsidRPr="00FA1064" w:rsidRDefault="002655EE" w:rsidP="00FA1064">
            <w:pPr>
              <w:spacing w:before="0" w:after="0" w:line="276" w:lineRule="auto"/>
              <w:jc w:val="center"/>
              <w:rPr>
                <w:rFonts w:cs="Arial"/>
                <w:sz w:val="18"/>
              </w:rPr>
            </w:pPr>
            <w:r w:rsidRPr="00FA1064">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550B6A4D" w14:textId="77777777" w:rsidR="002655EE" w:rsidRPr="00FA1064" w:rsidRDefault="002655EE" w:rsidP="00FA1064">
            <w:pPr>
              <w:spacing w:before="0" w:after="0" w:line="276" w:lineRule="auto"/>
              <w:jc w:val="center"/>
              <w:rPr>
                <w:rFonts w:cs="Arial"/>
                <w:sz w:val="18"/>
              </w:rPr>
            </w:pPr>
            <w:r w:rsidRPr="00FA1064">
              <w:rPr>
                <w:rFonts w:cs="Arial"/>
                <w:sz w:val="18"/>
              </w:rPr>
              <w:t>3.15</w:t>
            </w:r>
          </w:p>
        </w:tc>
      </w:tr>
      <w:tr w:rsidR="002655EE" w:rsidRPr="00FA1064" w14:paraId="41B312EC" w14:textId="77777777" w:rsidTr="001B7765">
        <w:trPr>
          <w:cantSplit/>
          <w:trHeight w:val="209"/>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59B5FC75" w14:textId="77777777" w:rsidR="002655EE" w:rsidRPr="00FA1064" w:rsidRDefault="002655EE" w:rsidP="00FA1064">
            <w:pPr>
              <w:spacing w:before="0" w:after="0" w:line="276" w:lineRule="auto"/>
              <w:rPr>
                <w:rFonts w:cs="Arial"/>
                <w:sz w:val="18"/>
              </w:rPr>
            </w:pPr>
            <w:r w:rsidRPr="00FA1064">
              <w:rPr>
                <w:rFonts w:cs="Arial"/>
                <w:sz w:val="18"/>
              </w:rPr>
              <w:t>Child (6 to &lt;12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35A30D37" w14:textId="77777777" w:rsidR="002655EE" w:rsidRPr="00FA1064" w:rsidRDefault="002655EE" w:rsidP="00FA1064">
            <w:pPr>
              <w:spacing w:before="0" w:after="0" w:line="276" w:lineRule="auto"/>
              <w:jc w:val="center"/>
              <w:rPr>
                <w:rFonts w:cs="Arial"/>
                <w:sz w:val="18"/>
              </w:rPr>
            </w:pPr>
            <w:r w:rsidRPr="00FA1064">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4B3EC25C" w14:textId="77777777" w:rsidR="002655EE" w:rsidRPr="00FA1064" w:rsidRDefault="002655EE" w:rsidP="00FA1064">
            <w:pPr>
              <w:spacing w:before="0" w:after="0" w:line="276" w:lineRule="auto"/>
              <w:jc w:val="center"/>
              <w:rPr>
                <w:rFonts w:cs="Arial"/>
                <w:sz w:val="18"/>
              </w:rPr>
            </w:pPr>
            <w:r w:rsidRPr="00FA1064">
              <w:rPr>
                <w:rFonts w:cs="Arial"/>
                <w:sz w:val="18"/>
              </w:rPr>
              <w:t>3.88</w:t>
            </w:r>
          </w:p>
        </w:tc>
      </w:tr>
      <w:tr w:rsidR="002655EE" w:rsidRPr="00FA1064" w14:paraId="53810E7A" w14:textId="77777777" w:rsidTr="001B7765">
        <w:trPr>
          <w:cantSplit/>
          <w:trHeight w:val="286"/>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0DE9B6DD" w14:textId="77777777" w:rsidR="002655EE" w:rsidRPr="00FA1064" w:rsidRDefault="002655EE" w:rsidP="00FA1064">
            <w:pPr>
              <w:spacing w:before="0" w:after="0" w:line="276" w:lineRule="auto"/>
              <w:rPr>
                <w:rFonts w:cs="Arial"/>
                <w:sz w:val="18"/>
              </w:rPr>
            </w:pPr>
            <w:r w:rsidRPr="00FA1064">
              <w:rPr>
                <w:rFonts w:cs="Arial"/>
                <w:sz w:val="18"/>
              </w:rPr>
              <w:t>Child (2 to &lt;6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A18E891" w14:textId="77777777" w:rsidR="002655EE" w:rsidRPr="00FA1064" w:rsidRDefault="002655EE" w:rsidP="00FA1064">
            <w:pPr>
              <w:spacing w:before="0" w:after="0" w:line="276" w:lineRule="auto"/>
              <w:jc w:val="center"/>
              <w:rPr>
                <w:rFonts w:cs="Arial"/>
                <w:sz w:val="18"/>
              </w:rPr>
            </w:pPr>
            <w:r w:rsidRPr="00FA1064">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089EE9EE" w14:textId="77777777" w:rsidR="002655EE" w:rsidRPr="00FA1064" w:rsidRDefault="002655EE" w:rsidP="00FA1064">
            <w:pPr>
              <w:spacing w:before="0" w:after="0" w:line="276" w:lineRule="auto"/>
              <w:jc w:val="center"/>
              <w:rPr>
                <w:rFonts w:cs="Arial"/>
                <w:sz w:val="18"/>
              </w:rPr>
            </w:pPr>
            <w:r w:rsidRPr="00FA1064">
              <w:rPr>
                <w:rFonts w:cs="Arial"/>
                <w:sz w:val="18"/>
              </w:rPr>
              <w:t>5.24</w:t>
            </w:r>
          </w:p>
        </w:tc>
      </w:tr>
      <w:tr w:rsidR="002655EE" w:rsidRPr="00FA1064" w14:paraId="0797D377" w14:textId="77777777" w:rsidTr="001B7765">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19152EF2" w14:textId="77777777" w:rsidR="002655EE" w:rsidRPr="00FA1064" w:rsidRDefault="002655EE" w:rsidP="00FA1064">
            <w:pPr>
              <w:spacing w:before="0" w:after="0" w:line="276" w:lineRule="auto"/>
              <w:rPr>
                <w:rFonts w:cs="Arial"/>
                <w:sz w:val="18"/>
              </w:rPr>
            </w:pPr>
            <w:r w:rsidRPr="00FA1064">
              <w:rPr>
                <w:rFonts w:cs="Arial"/>
                <w:sz w:val="18"/>
              </w:rPr>
              <w:t>Toddler (1 to &lt;2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CB6BE79" w14:textId="77777777" w:rsidR="002655EE" w:rsidRPr="00FA1064" w:rsidRDefault="002655EE" w:rsidP="00FA1064">
            <w:pPr>
              <w:spacing w:before="0" w:after="0" w:line="276" w:lineRule="auto"/>
              <w:jc w:val="center"/>
              <w:rPr>
                <w:rFonts w:cs="Arial"/>
                <w:sz w:val="18"/>
              </w:rPr>
            </w:pPr>
            <w:r w:rsidRPr="00FA1064">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69B60983" w14:textId="77777777" w:rsidR="002655EE" w:rsidRPr="00FA1064" w:rsidRDefault="002655EE" w:rsidP="00FA1064">
            <w:pPr>
              <w:spacing w:before="0" w:after="0" w:line="276" w:lineRule="auto"/>
              <w:jc w:val="center"/>
              <w:rPr>
                <w:rFonts w:cs="Arial"/>
                <w:sz w:val="18"/>
              </w:rPr>
            </w:pPr>
            <w:r w:rsidRPr="00FA1064">
              <w:rPr>
                <w:rFonts w:cs="Arial"/>
                <w:sz w:val="18"/>
              </w:rPr>
              <w:t>7.07</w:t>
            </w:r>
          </w:p>
        </w:tc>
      </w:tr>
      <w:tr w:rsidR="002655EE" w:rsidRPr="00FA1064" w14:paraId="09FA5A62" w14:textId="77777777" w:rsidTr="001B7765">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66982CC8" w14:textId="77777777" w:rsidR="002655EE" w:rsidRPr="00FA1064" w:rsidRDefault="002655EE" w:rsidP="00FA1064">
            <w:pPr>
              <w:spacing w:before="0" w:after="0" w:line="276" w:lineRule="auto"/>
              <w:rPr>
                <w:rFonts w:cs="Arial"/>
                <w:sz w:val="18"/>
              </w:rPr>
            </w:pPr>
            <w:r w:rsidRPr="00FA1064">
              <w:rPr>
                <w:rFonts w:cs="Arial"/>
                <w:sz w:val="18"/>
              </w:rPr>
              <w:t>Infant (&lt;1 year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76FAE977" w14:textId="77777777" w:rsidR="002655EE" w:rsidRPr="00FA1064" w:rsidRDefault="002655EE" w:rsidP="00FA1064">
            <w:pPr>
              <w:spacing w:before="0" w:after="0" w:line="276" w:lineRule="auto"/>
              <w:jc w:val="center"/>
              <w:rPr>
                <w:rFonts w:cs="Arial"/>
                <w:sz w:val="18"/>
              </w:rPr>
            </w:pPr>
            <w:r w:rsidRPr="00FA1064">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12DB8141" w14:textId="77777777" w:rsidR="002655EE" w:rsidRPr="00FA1064" w:rsidRDefault="002655EE" w:rsidP="00FA1064">
            <w:pPr>
              <w:spacing w:before="0" w:after="0" w:line="276" w:lineRule="auto"/>
              <w:jc w:val="center"/>
              <w:rPr>
                <w:rFonts w:cs="Arial"/>
                <w:sz w:val="18"/>
              </w:rPr>
            </w:pPr>
            <w:r w:rsidRPr="00FA1064">
              <w:rPr>
                <w:rFonts w:cs="Arial"/>
                <w:sz w:val="18"/>
              </w:rPr>
              <w:t>6.54</w:t>
            </w:r>
          </w:p>
        </w:tc>
      </w:tr>
    </w:tbl>
    <w:p w14:paraId="646A04D1" w14:textId="77777777" w:rsidR="002655EE"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p>
    <w:p w14:paraId="5247AE00" w14:textId="77777777" w:rsidR="002655EE" w:rsidRPr="0090387F" w:rsidRDefault="002655EE" w:rsidP="00FA1064">
      <w:pPr>
        <w:pStyle w:val="Paragraphedeliste"/>
        <w:widowControl w:val="0"/>
        <w:numPr>
          <w:ilvl w:val="0"/>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u w:val="single"/>
          <w:lang w:eastAsia="fr-FR"/>
        </w:rPr>
      </w:pPr>
      <w:r w:rsidRPr="0090387F">
        <w:rPr>
          <w:rFonts w:cs="Arial"/>
          <w:b/>
          <w:spacing w:val="1"/>
          <w:u w:val="single"/>
          <w:lang w:eastAsia="fr-FR"/>
        </w:rPr>
        <w:t>For application against mosquitoes</w:t>
      </w:r>
    </w:p>
    <w:p w14:paraId="22EB1B4E" w14:textId="77777777" w:rsidR="002655EE" w:rsidRDefault="002655EE" w:rsidP="00FA1064">
      <w:pPr>
        <w:widowControl w:val="0"/>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p>
    <w:p w14:paraId="308348FE" w14:textId="77777777" w:rsidR="002655EE" w:rsidRDefault="002655EE" w:rsidP="00FA1064">
      <w:pPr>
        <w:pStyle w:val="Paragraphedeliste"/>
        <w:widowControl w:val="0"/>
        <w:numPr>
          <w:ilvl w:val="1"/>
          <w:numId w:val="17"/>
        </w:numPr>
        <w:shd w:val="clear" w:color="auto" w:fill="FFFFFF" w:themeFill="background1"/>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Skin application (tropical zone) + exposure linked to application on clothes+ exposure during application on clothes</w:t>
      </w:r>
    </w:p>
    <w:p w14:paraId="379400F4"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7E29F8" w14:paraId="2FC01BE0" w14:textId="77777777" w:rsidTr="008E6261">
        <w:trPr>
          <w:cantSplit/>
          <w:trHeight w:val="140"/>
          <w:tblHeader/>
        </w:trPr>
        <w:tc>
          <w:tcPr>
            <w:tcW w:w="1842" w:type="pct"/>
            <w:tcBorders>
              <w:bottom w:val="single" w:sz="4" w:space="0" w:color="auto"/>
            </w:tcBorders>
            <w:shd w:val="clear" w:color="auto" w:fill="BFBFBF" w:themeFill="background1" w:themeFillShade="BF"/>
          </w:tcPr>
          <w:p w14:paraId="43F571D3"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Exposure scenario</w:t>
            </w:r>
          </w:p>
        </w:tc>
        <w:tc>
          <w:tcPr>
            <w:tcW w:w="1398" w:type="pct"/>
            <w:tcBorders>
              <w:bottom w:val="single" w:sz="4" w:space="0" w:color="auto"/>
            </w:tcBorders>
            <w:shd w:val="clear" w:color="auto" w:fill="BFBFBF" w:themeFill="background1" w:themeFillShade="BF"/>
          </w:tcPr>
          <w:p w14:paraId="3A1C75AF"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Tier/PPE</w:t>
            </w:r>
          </w:p>
        </w:tc>
        <w:tc>
          <w:tcPr>
            <w:tcW w:w="1760" w:type="pct"/>
            <w:tcBorders>
              <w:bottom w:val="single" w:sz="4" w:space="0" w:color="auto"/>
            </w:tcBorders>
            <w:shd w:val="clear" w:color="auto" w:fill="BFBFBF" w:themeFill="background1" w:themeFillShade="BF"/>
          </w:tcPr>
          <w:p w14:paraId="70DB7FBB"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68" w:right="117"/>
              <w:jc w:val="both"/>
              <w:textAlignment w:val="baseline"/>
              <w:rPr>
                <w:rFonts w:cs="Arial"/>
                <w:b/>
                <w:bCs/>
                <w:spacing w:val="1"/>
                <w:lang w:eastAsia="fr-FR"/>
              </w:rPr>
            </w:pPr>
            <w:r w:rsidRPr="007E29F8">
              <w:rPr>
                <w:rFonts w:cs="Arial"/>
                <w:b/>
                <w:bCs/>
                <w:spacing w:val="1"/>
                <w:lang w:eastAsia="fr-FR"/>
              </w:rPr>
              <w:t>Estimated dermal uptake (mg/kg bw/d)</w:t>
            </w:r>
          </w:p>
        </w:tc>
      </w:tr>
      <w:tr w:rsidR="0009761B" w:rsidRPr="007E29F8" w14:paraId="5C0C711B" w14:textId="77777777" w:rsidTr="001B7765">
        <w:trPr>
          <w:cantSplit/>
          <w:trHeight w:val="70"/>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77FA2C6D" w14:textId="0C4962F8" w:rsidR="0009761B" w:rsidRPr="00762A41" w:rsidRDefault="0009761B" w:rsidP="00762A41">
            <w:pPr>
              <w:spacing w:before="0" w:after="0" w:line="276" w:lineRule="auto"/>
              <w:jc w:val="center"/>
              <w:rPr>
                <w:rFonts w:cs="Arial"/>
                <w:sz w:val="18"/>
              </w:rPr>
            </w:pPr>
            <w:r w:rsidRPr="00762A41">
              <w:rPr>
                <w:rFonts w:cs="Arial"/>
                <w:sz w:val="18"/>
              </w:rPr>
              <w:t>Adult (one application)</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3873973" w14:textId="77777777" w:rsidR="0009761B" w:rsidRPr="00762A41" w:rsidRDefault="0009761B"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05B3C154" w14:textId="75BD80AF" w:rsidR="0009761B" w:rsidRPr="00762A41" w:rsidRDefault="0009761B" w:rsidP="00762A41">
            <w:pPr>
              <w:spacing w:before="0" w:after="0" w:line="276" w:lineRule="auto"/>
              <w:jc w:val="center"/>
              <w:rPr>
                <w:rFonts w:cs="Arial"/>
                <w:sz w:val="18"/>
              </w:rPr>
            </w:pPr>
            <w:r w:rsidRPr="00762A41">
              <w:rPr>
                <w:rFonts w:cs="Arial"/>
                <w:sz w:val="18"/>
              </w:rPr>
              <w:t>4.78</w:t>
            </w:r>
          </w:p>
        </w:tc>
      </w:tr>
      <w:tr w:rsidR="0009761B" w:rsidRPr="007E29F8" w14:paraId="717628E0" w14:textId="77777777" w:rsidTr="001B7765">
        <w:trPr>
          <w:cantSplit/>
          <w:trHeight w:val="209"/>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645BFE7C" w14:textId="77777777" w:rsidR="0009761B" w:rsidRPr="00762A41" w:rsidRDefault="0009761B" w:rsidP="00762A41">
            <w:pPr>
              <w:spacing w:before="0" w:after="0" w:line="276" w:lineRule="auto"/>
              <w:jc w:val="center"/>
              <w:rPr>
                <w:rFonts w:cs="Arial"/>
                <w:sz w:val="18"/>
              </w:rPr>
            </w:pPr>
            <w:r w:rsidRPr="00762A41">
              <w:rPr>
                <w:rFonts w:cs="Arial"/>
                <w:sz w:val="18"/>
              </w:rPr>
              <w:t>Child (6 to &lt;12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383EC78B" w14:textId="1B94CAF0" w:rsidR="0009761B" w:rsidRPr="00762A41" w:rsidRDefault="0009761B"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5B79F9EF" w14:textId="53A7EA80" w:rsidR="0009761B" w:rsidRPr="00762A41" w:rsidRDefault="0009761B" w:rsidP="00762A41">
            <w:pPr>
              <w:spacing w:before="0" w:after="0" w:line="276" w:lineRule="auto"/>
              <w:jc w:val="center"/>
              <w:rPr>
                <w:rFonts w:cs="Arial"/>
                <w:sz w:val="18"/>
              </w:rPr>
            </w:pPr>
            <w:r w:rsidRPr="00762A41">
              <w:rPr>
                <w:rFonts w:cs="Arial"/>
                <w:sz w:val="18"/>
              </w:rPr>
              <w:t>6.22</w:t>
            </w:r>
          </w:p>
        </w:tc>
      </w:tr>
      <w:tr w:rsidR="0009761B" w:rsidRPr="007E29F8" w14:paraId="204F72C4" w14:textId="77777777" w:rsidTr="001B7765">
        <w:trPr>
          <w:cantSplit/>
          <w:trHeight w:val="286"/>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5D0B1E85" w14:textId="77777777" w:rsidR="0009761B" w:rsidRPr="00762A41" w:rsidRDefault="0009761B" w:rsidP="00762A41">
            <w:pPr>
              <w:spacing w:before="0" w:after="0" w:line="276" w:lineRule="auto"/>
              <w:jc w:val="center"/>
              <w:rPr>
                <w:rFonts w:cs="Arial"/>
                <w:sz w:val="18"/>
              </w:rPr>
            </w:pPr>
            <w:r w:rsidRPr="00762A41">
              <w:rPr>
                <w:rFonts w:cs="Arial"/>
                <w:sz w:val="18"/>
              </w:rPr>
              <w:t>Child (2 to &lt;6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0E9ECBFB" w14:textId="7E715660" w:rsidR="0009761B" w:rsidRPr="00762A41" w:rsidRDefault="0009761B"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7D0412BA" w14:textId="1674E96E" w:rsidR="0009761B" w:rsidRPr="00762A41" w:rsidRDefault="0009761B" w:rsidP="00762A41">
            <w:pPr>
              <w:spacing w:before="0" w:after="0" w:line="276" w:lineRule="auto"/>
              <w:jc w:val="center"/>
              <w:rPr>
                <w:rFonts w:cs="Arial"/>
                <w:sz w:val="18"/>
              </w:rPr>
            </w:pPr>
            <w:r w:rsidRPr="00762A41">
              <w:rPr>
                <w:rFonts w:cs="Arial"/>
                <w:sz w:val="18"/>
              </w:rPr>
              <w:t>7.05</w:t>
            </w:r>
          </w:p>
        </w:tc>
      </w:tr>
      <w:tr w:rsidR="0009761B" w:rsidRPr="007E29F8" w14:paraId="3F2997D4" w14:textId="77777777" w:rsidTr="001B7765">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22F29329" w14:textId="77777777" w:rsidR="0009761B" w:rsidRPr="00762A41" w:rsidRDefault="0009761B" w:rsidP="00762A41">
            <w:pPr>
              <w:spacing w:before="0" w:after="0" w:line="276" w:lineRule="auto"/>
              <w:jc w:val="center"/>
              <w:rPr>
                <w:rFonts w:cs="Arial"/>
                <w:sz w:val="18"/>
              </w:rPr>
            </w:pPr>
            <w:r w:rsidRPr="00762A41">
              <w:rPr>
                <w:rFonts w:cs="Arial"/>
                <w:sz w:val="18"/>
              </w:rPr>
              <w:t>Toddler (1 to &lt;2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4F044A16" w14:textId="190789D5" w:rsidR="0009761B" w:rsidRPr="00762A41" w:rsidRDefault="0009761B"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729AFEB0" w14:textId="23540C32" w:rsidR="0009761B" w:rsidRPr="00762A41" w:rsidRDefault="0009761B" w:rsidP="00762A41">
            <w:pPr>
              <w:spacing w:before="0" w:after="0" w:line="276" w:lineRule="auto"/>
              <w:jc w:val="center"/>
              <w:rPr>
                <w:rFonts w:cs="Arial"/>
                <w:sz w:val="18"/>
              </w:rPr>
            </w:pPr>
            <w:r w:rsidRPr="00762A41">
              <w:rPr>
                <w:rFonts w:cs="Arial"/>
                <w:sz w:val="18"/>
              </w:rPr>
              <w:t>7.78</w:t>
            </w:r>
          </w:p>
        </w:tc>
      </w:tr>
      <w:tr w:rsidR="0009761B" w:rsidRPr="00762A41" w14:paraId="37ACBE9C" w14:textId="77777777" w:rsidTr="001B7765">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39B27D74" w14:textId="77777777" w:rsidR="0009761B" w:rsidRPr="00762A41" w:rsidRDefault="0009761B" w:rsidP="00762A41">
            <w:pPr>
              <w:spacing w:before="0" w:after="0" w:line="276" w:lineRule="auto"/>
              <w:jc w:val="center"/>
              <w:rPr>
                <w:rFonts w:cs="Arial"/>
                <w:sz w:val="18"/>
              </w:rPr>
            </w:pPr>
            <w:r w:rsidRPr="00762A41">
              <w:rPr>
                <w:rFonts w:cs="Arial"/>
                <w:sz w:val="18"/>
              </w:rPr>
              <w:t>Infant (&lt;1 year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0F839207" w14:textId="17E50ED2" w:rsidR="0009761B" w:rsidRPr="00762A41" w:rsidRDefault="0009761B"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4585C393" w14:textId="18975841" w:rsidR="0009761B" w:rsidRPr="00762A41" w:rsidRDefault="0009761B" w:rsidP="00762A41">
            <w:pPr>
              <w:spacing w:before="0" w:after="0" w:line="276" w:lineRule="auto"/>
              <w:jc w:val="center"/>
              <w:rPr>
                <w:rFonts w:cs="Arial"/>
                <w:sz w:val="18"/>
              </w:rPr>
            </w:pPr>
            <w:r w:rsidRPr="00762A41">
              <w:rPr>
                <w:rFonts w:cs="Arial"/>
                <w:sz w:val="18"/>
              </w:rPr>
              <w:t>8.31</w:t>
            </w:r>
          </w:p>
        </w:tc>
      </w:tr>
    </w:tbl>
    <w:p w14:paraId="79194933" w14:textId="77777777" w:rsidR="002655EE" w:rsidRPr="00762A41" w:rsidRDefault="002655EE" w:rsidP="00762A41">
      <w:pPr>
        <w:spacing w:before="0" w:after="0" w:line="276" w:lineRule="auto"/>
        <w:jc w:val="center"/>
        <w:rPr>
          <w:rFonts w:cs="Arial"/>
          <w:sz w:val="18"/>
        </w:rPr>
      </w:pPr>
    </w:p>
    <w:p w14:paraId="37EDE632" w14:textId="77777777" w:rsidR="002655EE" w:rsidRPr="0090387F"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3CA4ED6C" w14:textId="77777777" w:rsidR="002655EE" w:rsidRDefault="002655EE" w:rsidP="001B7765">
      <w:pPr>
        <w:pStyle w:val="Paragraphedeliste"/>
        <w:widowControl w:val="0"/>
        <w:numPr>
          <w:ilvl w:val="1"/>
          <w:numId w:val="17"/>
        </w:numPr>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Skin application (temperate zone) + exposure linked to application on clothes+ exposure during application on clothes</w:t>
      </w:r>
    </w:p>
    <w:p w14:paraId="1E35193C"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7615D3D5"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7E29F8" w14:paraId="64A00786" w14:textId="77777777" w:rsidTr="008E6261">
        <w:trPr>
          <w:cantSplit/>
          <w:trHeight w:val="140"/>
          <w:tblHeader/>
        </w:trPr>
        <w:tc>
          <w:tcPr>
            <w:tcW w:w="1842" w:type="pct"/>
            <w:tcBorders>
              <w:bottom w:val="single" w:sz="4" w:space="0" w:color="auto"/>
            </w:tcBorders>
            <w:shd w:val="clear" w:color="auto" w:fill="BFBFBF" w:themeFill="background1" w:themeFillShade="BF"/>
          </w:tcPr>
          <w:p w14:paraId="3E6C85B2"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Exposure scenario</w:t>
            </w:r>
          </w:p>
        </w:tc>
        <w:tc>
          <w:tcPr>
            <w:tcW w:w="1398" w:type="pct"/>
            <w:tcBorders>
              <w:bottom w:val="single" w:sz="4" w:space="0" w:color="auto"/>
            </w:tcBorders>
            <w:shd w:val="clear" w:color="auto" w:fill="BFBFBF" w:themeFill="background1" w:themeFillShade="BF"/>
          </w:tcPr>
          <w:p w14:paraId="6451C61E"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Tier/PPE</w:t>
            </w:r>
          </w:p>
        </w:tc>
        <w:tc>
          <w:tcPr>
            <w:tcW w:w="1760" w:type="pct"/>
            <w:tcBorders>
              <w:bottom w:val="single" w:sz="4" w:space="0" w:color="auto"/>
            </w:tcBorders>
            <w:shd w:val="clear" w:color="auto" w:fill="BFBFBF" w:themeFill="background1" w:themeFillShade="BF"/>
          </w:tcPr>
          <w:p w14:paraId="302A5F8A"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68" w:right="117"/>
              <w:jc w:val="both"/>
              <w:textAlignment w:val="baseline"/>
              <w:rPr>
                <w:rFonts w:cs="Arial"/>
                <w:b/>
                <w:bCs/>
                <w:spacing w:val="1"/>
                <w:lang w:eastAsia="fr-FR"/>
              </w:rPr>
            </w:pPr>
            <w:r w:rsidRPr="007E29F8">
              <w:rPr>
                <w:rFonts w:cs="Arial"/>
                <w:b/>
                <w:bCs/>
                <w:spacing w:val="1"/>
                <w:lang w:eastAsia="fr-FR"/>
              </w:rPr>
              <w:t>Estimated dermal uptake (mg/kg bw/d)</w:t>
            </w:r>
          </w:p>
        </w:tc>
      </w:tr>
      <w:tr w:rsidR="002655EE" w:rsidRPr="00762A41" w14:paraId="2E20C003" w14:textId="77777777" w:rsidTr="001B7765">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6A4D8A13" w14:textId="3630FD1A" w:rsidR="002655EE" w:rsidRPr="00762A41" w:rsidRDefault="002655EE" w:rsidP="00762A41">
            <w:pPr>
              <w:spacing w:before="0" w:after="0" w:line="276" w:lineRule="auto"/>
              <w:jc w:val="center"/>
              <w:rPr>
                <w:rFonts w:cs="Arial"/>
                <w:sz w:val="18"/>
              </w:rPr>
            </w:pPr>
            <w:r w:rsidRPr="00762A41">
              <w:rPr>
                <w:rFonts w:cs="Arial"/>
                <w:sz w:val="18"/>
              </w:rPr>
              <w:t>Adult</w:t>
            </w:r>
            <w:r w:rsidR="0009761B" w:rsidRPr="00762A41">
              <w:rPr>
                <w:rFonts w:cs="Arial"/>
                <w:sz w:val="18"/>
              </w:rPr>
              <w:t xml:space="preserve"> (one application)</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3BB6F868" w14:textId="77777777" w:rsidR="002655EE" w:rsidRPr="00762A41" w:rsidRDefault="002655EE"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75649122" w14:textId="7001AEA5" w:rsidR="002655EE" w:rsidRPr="00762A41" w:rsidRDefault="0009761B" w:rsidP="00762A41">
            <w:pPr>
              <w:spacing w:before="0" w:after="0" w:line="276" w:lineRule="auto"/>
              <w:jc w:val="center"/>
              <w:rPr>
                <w:rFonts w:cs="Arial"/>
                <w:sz w:val="18"/>
              </w:rPr>
            </w:pPr>
            <w:r w:rsidRPr="00762A41">
              <w:rPr>
                <w:rFonts w:cs="Arial"/>
                <w:sz w:val="18"/>
              </w:rPr>
              <w:t>3.89</w:t>
            </w:r>
          </w:p>
        </w:tc>
      </w:tr>
      <w:tr w:rsidR="002655EE" w:rsidRPr="00762A41" w14:paraId="5A1FC886" w14:textId="77777777" w:rsidTr="001B7765">
        <w:trPr>
          <w:cantSplit/>
          <w:trHeight w:val="209"/>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3972F3E7" w14:textId="77777777" w:rsidR="002655EE" w:rsidRPr="00762A41" w:rsidRDefault="002655EE" w:rsidP="00762A41">
            <w:pPr>
              <w:spacing w:before="0" w:after="0" w:line="276" w:lineRule="auto"/>
              <w:jc w:val="center"/>
              <w:rPr>
                <w:rFonts w:cs="Arial"/>
                <w:sz w:val="18"/>
              </w:rPr>
            </w:pPr>
            <w:r w:rsidRPr="00762A41">
              <w:rPr>
                <w:rFonts w:cs="Arial"/>
                <w:sz w:val="18"/>
              </w:rPr>
              <w:t>Child (6 to &lt;12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0A03C355" w14:textId="67417514" w:rsidR="002655EE" w:rsidRPr="00762A41" w:rsidRDefault="002655EE" w:rsidP="00762A41">
            <w:pPr>
              <w:spacing w:before="0" w:after="0" w:line="276" w:lineRule="auto"/>
              <w:jc w:val="center"/>
              <w:rPr>
                <w:rFonts w:cs="Arial"/>
                <w:sz w:val="18"/>
              </w:rPr>
            </w:pPr>
            <w:r w:rsidRPr="00762A41">
              <w:rPr>
                <w:rFonts w:cs="Arial"/>
                <w:sz w:val="18"/>
              </w:rPr>
              <w:t xml:space="preserve">Tier </w:t>
            </w:r>
            <w:r w:rsidR="0009761B" w:rsidRPr="00762A41">
              <w:rPr>
                <w:rFonts w:cs="Arial"/>
                <w:sz w:val="18"/>
              </w:rPr>
              <w:t>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4D694242" w14:textId="104C65BC" w:rsidR="002655EE" w:rsidRPr="00762A41" w:rsidRDefault="0009761B" w:rsidP="00762A41">
            <w:pPr>
              <w:spacing w:before="0" w:after="0" w:line="276" w:lineRule="auto"/>
              <w:jc w:val="center"/>
              <w:rPr>
                <w:rFonts w:cs="Arial"/>
                <w:sz w:val="18"/>
              </w:rPr>
            </w:pPr>
            <w:r w:rsidRPr="00762A41">
              <w:rPr>
                <w:rFonts w:cs="Arial"/>
                <w:sz w:val="18"/>
              </w:rPr>
              <w:t>5.02</w:t>
            </w:r>
          </w:p>
        </w:tc>
      </w:tr>
      <w:tr w:rsidR="002655EE" w:rsidRPr="00762A41" w14:paraId="37EA129D" w14:textId="77777777" w:rsidTr="001B7765">
        <w:trPr>
          <w:cantSplit/>
          <w:trHeight w:val="286"/>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105CA1C3" w14:textId="77777777" w:rsidR="002655EE" w:rsidRPr="00762A41" w:rsidRDefault="002655EE" w:rsidP="00762A41">
            <w:pPr>
              <w:spacing w:before="0" w:after="0" w:line="276" w:lineRule="auto"/>
              <w:jc w:val="center"/>
              <w:rPr>
                <w:rFonts w:cs="Arial"/>
                <w:sz w:val="18"/>
              </w:rPr>
            </w:pPr>
            <w:r w:rsidRPr="00762A41">
              <w:rPr>
                <w:rFonts w:cs="Arial"/>
                <w:sz w:val="18"/>
              </w:rPr>
              <w:t>Child (2 to &lt;6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4CB66A97" w14:textId="5068C5F6" w:rsidR="002655EE" w:rsidRPr="00762A41" w:rsidRDefault="002655EE" w:rsidP="00762A41">
            <w:pPr>
              <w:spacing w:before="0" w:after="0" w:line="276" w:lineRule="auto"/>
              <w:jc w:val="center"/>
              <w:rPr>
                <w:rFonts w:cs="Arial"/>
                <w:sz w:val="18"/>
              </w:rPr>
            </w:pPr>
            <w:r w:rsidRPr="00762A41">
              <w:rPr>
                <w:rFonts w:cs="Arial"/>
                <w:sz w:val="18"/>
              </w:rPr>
              <w:t xml:space="preserve">Tier </w:t>
            </w:r>
            <w:r w:rsidR="0009761B" w:rsidRPr="00762A41">
              <w:rPr>
                <w:rFonts w:cs="Arial"/>
                <w:sz w:val="18"/>
              </w:rPr>
              <w:t>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0D23F7E7" w14:textId="7D7DCE54" w:rsidR="002655EE" w:rsidRPr="00762A41" w:rsidRDefault="0009761B" w:rsidP="00762A41">
            <w:pPr>
              <w:spacing w:before="0" w:after="0" w:line="276" w:lineRule="auto"/>
              <w:jc w:val="center"/>
              <w:rPr>
                <w:rFonts w:cs="Arial"/>
                <w:sz w:val="18"/>
              </w:rPr>
            </w:pPr>
            <w:r w:rsidRPr="00762A41">
              <w:rPr>
                <w:rFonts w:cs="Arial"/>
                <w:sz w:val="18"/>
              </w:rPr>
              <w:t>5.70</w:t>
            </w:r>
          </w:p>
        </w:tc>
      </w:tr>
      <w:tr w:rsidR="002655EE" w:rsidRPr="00762A41" w14:paraId="4EAAE3C8" w14:textId="77777777" w:rsidTr="001B7765">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29D8E5A2" w14:textId="77777777" w:rsidR="002655EE" w:rsidRPr="00762A41" w:rsidRDefault="002655EE" w:rsidP="00762A41">
            <w:pPr>
              <w:spacing w:before="0" w:after="0" w:line="276" w:lineRule="auto"/>
              <w:jc w:val="center"/>
              <w:rPr>
                <w:rFonts w:cs="Arial"/>
                <w:sz w:val="18"/>
              </w:rPr>
            </w:pPr>
            <w:r w:rsidRPr="00762A41">
              <w:rPr>
                <w:rFonts w:cs="Arial"/>
                <w:sz w:val="18"/>
              </w:rPr>
              <w:t>Toddler (1 to &lt;2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00EE2E1B" w14:textId="3187E26D" w:rsidR="002655EE" w:rsidRPr="00762A41" w:rsidRDefault="002655EE" w:rsidP="00762A41">
            <w:pPr>
              <w:spacing w:before="0" w:after="0" w:line="276" w:lineRule="auto"/>
              <w:jc w:val="center"/>
              <w:rPr>
                <w:rFonts w:cs="Arial"/>
                <w:sz w:val="18"/>
              </w:rPr>
            </w:pPr>
            <w:r w:rsidRPr="00762A41">
              <w:rPr>
                <w:rFonts w:cs="Arial"/>
                <w:sz w:val="18"/>
              </w:rPr>
              <w:t xml:space="preserve">Tier </w:t>
            </w:r>
            <w:r w:rsidR="0009761B" w:rsidRPr="00762A41">
              <w:rPr>
                <w:rFonts w:cs="Arial"/>
                <w:sz w:val="18"/>
              </w:rPr>
              <w:t>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4C6B6267" w14:textId="2F7C29E4" w:rsidR="002655EE" w:rsidRPr="00762A41" w:rsidRDefault="0009761B" w:rsidP="00762A41">
            <w:pPr>
              <w:spacing w:before="0" w:after="0" w:line="276" w:lineRule="auto"/>
              <w:jc w:val="center"/>
              <w:rPr>
                <w:rFonts w:cs="Arial"/>
                <w:sz w:val="18"/>
              </w:rPr>
            </w:pPr>
            <w:r w:rsidRPr="00762A41">
              <w:rPr>
                <w:rFonts w:cs="Arial"/>
                <w:sz w:val="18"/>
              </w:rPr>
              <w:t>6.28</w:t>
            </w:r>
          </w:p>
        </w:tc>
      </w:tr>
      <w:tr w:rsidR="002655EE" w:rsidRPr="00762A41" w14:paraId="7B89382F" w14:textId="77777777" w:rsidTr="001B7765">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0CF15736" w14:textId="77777777" w:rsidR="002655EE" w:rsidRPr="00762A41" w:rsidRDefault="002655EE" w:rsidP="00762A41">
            <w:pPr>
              <w:spacing w:before="0" w:after="0" w:line="276" w:lineRule="auto"/>
              <w:jc w:val="center"/>
              <w:rPr>
                <w:rFonts w:cs="Arial"/>
                <w:sz w:val="18"/>
              </w:rPr>
            </w:pPr>
            <w:r w:rsidRPr="00762A41">
              <w:rPr>
                <w:rFonts w:cs="Arial"/>
                <w:sz w:val="18"/>
              </w:rPr>
              <w:t>Infant (&lt;1 year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21AB6725" w14:textId="117A8596" w:rsidR="002655EE" w:rsidRPr="00762A41" w:rsidRDefault="002655EE" w:rsidP="00762A41">
            <w:pPr>
              <w:spacing w:before="0" w:after="0" w:line="276" w:lineRule="auto"/>
              <w:jc w:val="center"/>
              <w:rPr>
                <w:rFonts w:cs="Arial"/>
                <w:sz w:val="18"/>
              </w:rPr>
            </w:pPr>
            <w:r w:rsidRPr="00762A41">
              <w:rPr>
                <w:rFonts w:cs="Arial"/>
                <w:sz w:val="18"/>
              </w:rPr>
              <w:t xml:space="preserve">Tier </w:t>
            </w:r>
            <w:r w:rsidR="0009761B" w:rsidRPr="00762A41">
              <w:rPr>
                <w:rFonts w:cs="Arial"/>
                <w:sz w:val="18"/>
              </w:rPr>
              <w:t>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47A0B694" w14:textId="0F5ABE71" w:rsidR="002655EE" w:rsidRPr="00762A41" w:rsidRDefault="0009761B" w:rsidP="00762A41">
            <w:pPr>
              <w:spacing w:before="0" w:after="0" w:line="276" w:lineRule="auto"/>
              <w:jc w:val="center"/>
              <w:rPr>
                <w:rFonts w:cs="Arial"/>
                <w:sz w:val="18"/>
              </w:rPr>
            </w:pPr>
            <w:r w:rsidRPr="00762A41">
              <w:rPr>
                <w:rFonts w:cs="Arial"/>
                <w:sz w:val="18"/>
              </w:rPr>
              <w:t>6.71</w:t>
            </w:r>
          </w:p>
        </w:tc>
      </w:tr>
    </w:tbl>
    <w:p w14:paraId="5A3D5CE8" w14:textId="77777777" w:rsidR="002655EE" w:rsidRPr="00762A41" w:rsidRDefault="002655EE" w:rsidP="00762A41">
      <w:pPr>
        <w:spacing w:before="0" w:after="0" w:line="276" w:lineRule="auto"/>
        <w:jc w:val="center"/>
        <w:rPr>
          <w:rFonts w:cs="Arial"/>
          <w:sz w:val="18"/>
        </w:rPr>
      </w:pPr>
    </w:p>
    <w:p w14:paraId="7F22179B"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59F081A7"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7AAAD6AE"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06FACA73"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5E354D5B"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3DE58303"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28DFD399" w14:textId="77777777" w:rsidR="002655EE" w:rsidRPr="0090387F" w:rsidRDefault="002655EE" w:rsidP="001B7765">
      <w:pPr>
        <w:widowControl w:val="0"/>
        <w:kinsoku w:val="0"/>
        <w:overflowPunct w:val="0"/>
        <w:autoSpaceDE w:val="0"/>
        <w:autoSpaceDN w:val="0"/>
        <w:adjustRightInd w:val="0"/>
        <w:spacing w:before="0" w:after="0"/>
        <w:ind w:right="216"/>
        <w:jc w:val="both"/>
        <w:textAlignment w:val="baseline"/>
        <w:rPr>
          <w:rFonts w:cs="Arial"/>
          <w:b/>
          <w:spacing w:val="1"/>
          <w:u w:val="single"/>
          <w:lang w:eastAsia="fr-FR"/>
        </w:rPr>
      </w:pPr>
    </w:p>
    <w:p w14:paraId="2DC54F54" w14:textId="77777777" w:rsidR="002655EE" w:rsidRPr="0090387F" w:rsidRDefault="002655EE" w:rsidP="001B7765">
      <w:pPr>
        <w:pStyle w:val="Paragraphedeliste"/>
        <w:widowControl w:val="0"/>
        <w:numPr>
          <w:ilvl w:val="0"/>
          <w:numId w:val="17"/>
        </w:numPr>
        <w:kinsoku w:val="0"/>
        <w:overflowPunct w:val="0"/>
        <w:autoSpaceDE w:val="0"/>
        <w:autoSpaceDN w:val="0"/>
        <w:adjustRightInd w:val="0"/>
        <w:spacing w:before="0" w:after="0"/>
        <w:ind w:right="216"/>
        <w:jc w:val="both"/>
        <w:textAlignment w:val="baseline"/>
        <w:rPr>
          <w:rFonts w:cs="Arial"/>
          <w:b/>
          <w:spacing w:val="1"/>
          <w:u w:val="single"/>
          <w:lang w:eastAsia="fr-FR"/>
        </w:rPr>
      </w:pPr>
      <w:r w:rsidRPr="0090387F">
        <w:rPr>
          <w:rFonts w:cs="Arial"/>
          <w:b/>
          <w:spacing w:val="1"/>
          <w:u w:val="single"/>
          <w:lang w:eastAsia="fr-FR"/>
        </w:rPr>
        <w:t>For application against ticks</w:t>
      </w:r>
    </w:p>
    <w:p w14:paraId="05810C95" w14:textId="77777777" w:rsidR="002655EE" w:rsidRDefault="002655EE" w:rsidP="001B7765">
      <w:pPr>
        <w:pStyle w:val="Paragraphedeliste"/>
        <w:widowControl w:val="0"/>
        <w:numPr>
          <w:ilvl w:val="1"/>
          <w:numId w:val="17"/>
        </w:numPr>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Skin application + exposure linked to application on clothes+ exposure during application on clothes</w:t>
      </w:r>
    </w:p>
    <w:p w14:paraId="339ABF90" w14:textId="72837DE8"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2655EE" w:rsidRPr="007E29F8" w14:paraId="5BCC3D2D" w14:textId="77777777" w:rsidTr="008E6261">
        <w:trPr>
          <w:cantSplit/>
          <w:trHeight w:val="140"/>
          <w:tblHeader/>
        </w:trPr>
        <w:tc>
          <w:tcPr>
            <w:tcW w:w="1842" w:type="pct"/>
            <w:tcBorders>
              <w:bottom w:val="single" w:sz="4" w:space="0" w:color="auto"/>
            </w:tcBorders>
            <w:shd w:val="clear" w:color="auto" w:fill="BFBFBF" w:themeFill="background1" w:themeFillShade="BF"/>
          </w:tcPr>
          <w:p w14:paraId="52B3C6BC"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Exposure scenario</w:t>
            </w:r>
          </w:p>
        </w:tc>
        <w:tc>
          <w:tcPr>
            <w:tcW w:w="1398" w:type="pct"/>
            <w:tcBorders>
              <w:bottom w:val="single" w:sz="4" w:space="0" w:color="auto"/>
            </w:tcBorders>
            <w:shd w:val="clear" w:color="auto" w:fill="BFBFBF" w:themeFill="background1" w:themeFillShade="BF"/>
          </w:tcPr>
          <w:p w14:paraId="55DC08D1"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Tier/PPE</w:t>
            </w:r>
          </w:p>
        </w:tc>
        <w:tc>
          <w:tcPr>
            <w:tcW w:w="1760" w:type="pct"/>
            <w:tcBorders>
              <w:bottom w:val="single" w:sz="4" w:space="0" w:color="auto"/>
            </w:tcBorders>
            <w:shd w:val="clear" w:color="auto" w:fill="BFBFBF" w:themeFill="background1" w:themeFillShade="BF"/>
          </w:tcPr>
          <w:p w14:paraId="754B10B1"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68" w:right="117"/>
              <w:jc w:val="both"/>
              <w:textAlignment w:val="baseline"/>
              <w:rPr>
                <w:rFonts w:cs="Arial"/>
                <w:b/>
                <w:bCs/>
                <w:spacing w:val="1"/>
                <w:lang w:eastAsia="fr-FR"/>
              </w:rPr>
            </w:pPr>
            <w:r w:rsidRPr="007E29F8">
              <w:rPr>
                <w:rFonts w:cs="Arial"/>
                <w:b/>
                <w:bCs/>
                <w:spacing w:val="1"/>
                <w:lang w:eastAsia="fr-FR"/>
              </w:rPr>
              <w:t>Estimated dermal uptake (mg/kg bw/d)</w:t>
            </w:r>
          </w:p>
        </w:tc>
      </w:tr>
      <w:tr w:rsidR="006E00A9" w:rsidRPr="007E29F8" w14:paraId="3484CA7F" w14:textId="77777777" w:rsidTr="00762A41">
        <w:trPr>
          <w:cantSplit/>
          <w:trHeight w:val="85"/>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4553D052" w14:textId="6C2F18DB" w:rsidR="006E00A9" w:rsidRPr="00762A41" w:rsidRDefault="006E00A9" w:rsidP="00762A41">
            <w:pPr>
              <w:spacing w:before="0" w:after="0" w:line="276" w:lineRule="auto"/>
              <w:jc w:val="center"/>
              <w:rPr>
                <w:rFonts w:cs="Arial"/>
                <w:sz w:val="18"/>
              </w:rPr>
            </w:pPr>
            <w:r w:rsidRPr="00762A41">
              <w:rPr>
                <w:rFonts w:cs="Arial"/>
                <w:sz w:val="18"/>
              </w:rPr>
              <w:t>Adult (one application)</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3B6BC5FC" w14:textId="77777777" w:rsidR="006E00A9" w:rsidRPr="00762A41" w:rsidRDefault="006E00A9"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3097397A" w14:textId="5DFBDEBE" w:rsidR="006E00A9" w:rsidRPr="00762A41" w:rsidRDefault="006E00A9" w:rsidP="00762A41">
            <w:pPr>
              <w:spacing w:before="0" w:after="0" w:line="276" w:lineRule="auto"/>
              <w:jc w:val="center"/>
              <w:rPr>
                <w:rFonts w:cs="Arial"/>
                <w:sz w:val="18"/>
              </w:rPr>
            </w:pPr>
            <w:r w:rsidRPr="00762A41">
              <w:rPr>
                <w:rFonts w:cs="Arial"/>
                <w:sz w:val="18"/>
              </w:rPr>
              <w:t>4.30</w:t>
            </w:r>
          </w:p>
        </w:tc>
      </w:tr>
      <w:tr w:rsidR="006E00A9" w:rsidRPr="007E29F8" w14:paraId="64CB48CF" w14:textId="77777777" w:rsidTr="001B7765">
        <w:trPr>
          <w:cantSplit/>
          <w:trHeight w:val="209"/>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6559476C" w14:textId="77777777" w:rsidR="006E00A9" w:rsidRPr="00762A41" w:rsidRDefault="006E00A9" w:rsidP="00762A41">
            <w:pPr>
              <w:spacing w:before="0" w:after="0" w:line="276" w:lineRule="auto"/>
              <w:jc w:val="center"/>
              <w:rPr>
                <w:rFonts w:cs="Arial"/>
                <w:sz w:val="18"/>
              </w:rPr>
            </w:pPr>
            <w:r w:rsidRPr="00762A41">
              <w:rPr>
                <w:rFonts w:cs="Arial"/>
                <w:sz w:val="18"/>
              </w:rPr>
              <w:t>Child (6 to &lt;12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2D15D98B" w14:textId="2823F880" w:rsidR="006E00A9" w:rsidRPr="00762A41" w:rsidRDefault="006E00A9"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3A478522" w14:textId="115A0B3A" w:rsidR="006E00A9" w:rsidRPr="00762A41" w:rsidRDefault="006E00A9" w:rsidP="00762A41">
            <w:pPr>
              <w:spacing w:before="0" w:after="0" w:line="276" w:lineRule="auto"/>
              <w:jc w:val="center"/>
              <w:rPr>
                <w:rFonts w:cs="Arial"/>
                <w:sz w:val="18"/>
              </w:rPr>
            </w:pPr>
            <w:r w:rsidRPr="00762A41">
              <w:rPr>
                <w:rFonts w:cs="Arial"/>
                <w:sz w:val="18"/>
              </w:rPr>
              <w:t>5.63</w:t>
            </w:r>
          </w:p>
        </w:tc>
      </w:tr>
      <w:tr w:rsidR="006E00A9" w:rsidRPr="007E29F8" w14:paraId="3A0DF974" w14:textId="77777777" w:rsidTr="001B7765">
        <w:trPr>
          <w:cantSplit/>
          <w:trHeight w:val="286"/>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65B516C5" w14:textId="77777777" w:rsidR="006E00A9" w:rsidRPr="00762A41" w:rsidRDefault="006E00A9" w:rsidP="00762A41">
            <w:pPr>
              <w:spacing w:before="0" w:after="0" w:line="276" w:lineRule="auto"/>
              <w:jc w:val="center"/>
              <w:rPr>
                <w:rFonts w:cs="Arial"/>
                <w:sz w:val="18"/>
              </w:rPr>
            </w:pPr>
            <w:r w:rsidRPr="00762A41">
              <w:rPr>
                <w:rFonts w:cs="Arial"/>
                <w:sz w:val="18"/>
              </w:rPr>
              <w:t>Child (2 to &lt;6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6F378125" w14:textId="7124B0F4" w:rsidR="006E00A9" w:rsidRPr="00762A41" w:rsidRDefault="006E00A9"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3F6252C4" w14:textId="34F1744E" w:rsidR="006E00A9" w:rsidRPr="00762A41" w:rsidRDefault="006E00A9" w:rsidP="00762A41">
            <w:pPr>
              <w:spacing w:before="0" w:after="0" w:line="276" w:lineRule="auto"/>
              <w:jc w:val="center"/>
              <w:rPr>
                <w:rFonts w:cs="Arial"/>
                <w:sz w:val="18"/>
              </w:rPr>
            </w:pPr>
            <w:r w:rsidRPr="00762A41">
              <w:rPr>
                <w:rFonts w:cs="Arial"/>
                <w:sz w:val="18"/>
              </w:rPr>
              <w:t>6.37</w:t>
            </w:r>
          </w:p>
        </w:tc>
      </w:tr>
      <w:tr w:rsidR="006E00A9" w:rsidRPr="007E29F8" w14:paraId="47728872" w14:textId="77777777" w:rsidTr="001B7765">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45279F39" w14:textId="77777777" w:rsidR="006E00A9" w:rsidRPr="00762A41" w:rsidRDefault="006E00A9" w:rsidP="00762A41">
            <w:pPr>
              <w:spacing w:before="0" w:after="0" w:line="276" w:lineRule="auto"/>
              <w:jc w:val="center"/>
              <w:rPr>
                <w:rFonts w:cs="Arial"/>
                <w:sz w:val="18"/>
              </w:rPr>
            </w:pPr>
            <w:r w:rsidRPr="00762A41">
              <w:rPr>
                <w:rFonts w:cs="Arial"/>
                <w:sz w:val="18"/>
              </w:rPr>
              <w:t>Toddler (1 to &lt;2 years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1C141D82" w14:textId="02A47C99" w:rsidR="006E00A9" w:rsidRPr="00762A41" w:rsidRDefault="006E00A9"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4ABCC8DC" w14:textId="15FFAD06" w:rsidR="006E00A9" w:rsidRPr="00762A41" w:rsidRDefault="006E00A9" w:rsidP="00762A41">
            <w:pPr>
              <w:spacing w:before="0" w:after="0" w:line="276" w:lineRule="auto"/>
              <w:jc w:val="center"/>
              <w:rPr>
                <w:rFonts w:cs="Arial"/>
                <w:sz w:val="18"/>
              </w:rPr>
            </w:pPr>
            <w:r w:rsidRPr="00762A41">
              <w:rPr>
                <w:rFonts w:cs="Arial"/>
                <w:sz w:val="18"/>
              </w:rPr>
              <w:t>7.02</w:t>
            </w:r>
          </w:p>
        </w:tc>
      </w:tr>
      <w:tr w:rsidR="006E00A9" w:rsidRPr="007E29F8" w14:paraId="78CC1038" w14:textId="77777777" w:rsidTr="001B7765">
        <w:trPr>
          <w:cantSplit/>
          <w:trHeight w:val="282"/>
          <w:tblHeader/>
        </w:trPr>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14:paraId="0FE9662B" w14:textId="77777777" w:rsidR="006E00A9" w:rsidRPr="00762A41" w:rsidRDefault="006E00A9" w:rsidP="00762A41">
            <w:pPr>
              <w:spacing w:before="0" w:after="0" w:line="276" w:lineRule="auto"/>
              <w:jc w:val="center"/>
              <w:rPr>
                <w:rFonts w:cs="Arial"/>
                <w:sz w:val="18"/>
              </w:rPr>
            </w:pPr>
            <w:r w:rsidRPr="00762A41">
              <w:rPr>
                <w:rFonts w:cs="Arial"/>
                <w:sz w:val="18"/>
              </w:rPr>
              <w:t>Infant (&lt;1 year old)</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0801308E" w14:textId="31EFD958" w:rsidR="006E00A9" w:rsidRPr="00762A41" w:rsidRDefault="006E00A9" w:rsidP="00762A41">
            <w:pPr>
              <w:spacing w:before="0" w:after="0" w:line="276" w:lineRule="auto"/>
              <w:jc w:val="center"/>
              <w:rPr>
                <w:rFonts w:cs="Arial"/>
                <w:sz w:val="18"/>
              </w:rPr>
            </w:pPr>
            <w:r w:rsidRPr="00762A41">
              <w:rPr>
                <w:rFonts w:cs="Arial"/>
                <w:sz w:val="18"/>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30B05C27" w14:textId="419FBCC1" w:rsidR="006E00A9" w:rsidRPr="00762A41" w:rsidRDefault="006E00A9" w:rsidP="00762A41">
            <w:pPr>
              <w:spacing w:before="0" w:after="0" w:line="276" w:lineRule="auto"/>
              <w:jc w:val="center"/>
              <w:rPr>
                <w:rFonts w:cs="Arial"/>
                <w:sz w:val="18"/>
              </w:rPr>
            </w:pPr>
            <w:r w:rsidRPr="00762A41">
              <w:rPr>
                <w:rFonts w:cs="Arial"/>
                <w:sz w:val="18"/>
              </w:rPr>
              <w:t>7.50</w:t>
            </w:r>
          </w:p>
        </w:tc>
      </w:tr>
    </w:tbl>
    <w:p w14:paraId="0B217AB7" w14:textId="2BDBA954"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1E6D7C13" w14:textId="77777777" w:rsidR="002655EE" w:rsidRPr="0090387F"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u w:val="single"/>
          <w:lang w:eastAsia="fr-FR"/>
        </w:rPr>
      </w:pPr>
    </w:p>
    <w:p w14:paraId="693DA437" w14:textId="77777777" w:rsidR="002655EE" w:rsidRPr="0090387F" w:rsidRDefault="002655EE" w:rsidP="001B7765">
      <w:pPr>
        <w:pStyle w:val="Paragraphedeliste"/>
        <w:widowControl w:val="0"/>
        <w:numPr>
          <w:ilvl w:val="0"/>
          <w:numId w:val="17"/>
        </w:numPr>
        <w:kinsoku w:val="0"/>
        <w:overflowPunct w:val="0"/>
        <w:autoSpaceDE w:val="0"/>
        <w:autoSpaceDN w:val="0"/>
        <w:adjustRightInd w:val="0"/>
        <w:spacing w:before="0" w:after="0"/>
        <w:ind w:right="216"/>
        <w:jc w:val="both"/>
        <w:textAlignment w:val="baseline"/>
        <w:rPr>
          <w:rFonts w:cs="Arial"/>
          <w:b/>
          <w:spacing w:val="1"/>
          <w:u w:val="single"/>
          <w:lang w:eastAsia="fr-FR"/>
        </w:rPr>
      </w:pPr>
      <w:r w:rsidRPr="0090387F">
        <w:rPr>
          <w:rFonts w:cs="Arial"/>
          <w:b/>
          <w:spacing w:val="1"/>
          <w:u w:val="single"/>
          <w:lang w:eastAsia="fr-FR"/>
        </w:rPr>
        <w:t>For application against dust mites</w:t>
      </w:r>
    </w:p>
    <w:p w14:paraId="7CD1BE79" w14:textId="77777777" w:rsidR="002655EE" w:rsidRDefault="002655EE" w:rsidP="001B7765">
      <w:pPr>
        <w:pStyle w:val="Paragraphedeliste"/>
        <w:widowControl w:val="0"/>
        <w:kinsoku w:val="0"/>
        <w:overflowPunct w:val="0"/>
        <w:autoSpaceDE w:val="0"/>
        <w:autoSpaceDN w:val="0"/>
        <w:adjustRightInd w:val="0"/>
        <w:spacing w:before="0" w:after="0"/>
        <w:ind w:left="360" w:right="216"/>
        <w:jc w:val="both"/>
        <w:textAlignment w:val="baseline"/>
        <w:rPr>
          <w:rFonts w:cs="Arial"/>
          <w:b/>
          <w:spacing w:val="1"/>
          <w:lang w:eastAsia="fr-FR"/>
        </w:rPr>
      </w:pPr>
    </w:p>
    <w:p w14:paraId="158528C3" w14:textId="77777777" w:rsidR="002655EE" w:rsidRDefault="002655EE" w:rsidP="001B7765">
      <w:pPr>
        <w:pStyle w:val="Paragraphedeliste"/>
        <w:widowControl w:val="0"/>
        <w:numPr>
          <w:ilvl w:val="1"/>
          <w:numId w:val="17"/>
        </w:numPr>
        <w:kinsoku w:val="0"/>
        <w:overflowPunct w:val="0"/>
        <w:autoSpaceDE w:val="0"/>
        <w:autoSpaceDN w:val="0"/>
        <w:adjustRightInd w:val="0"/>
        <w:spacing w:before="0" w:after="0"/>
        <w:ind w:right="216"/>
        <w:jc w:val="both"/>
        <w:textAlignment w:val="baseline"/>
        <w:rPr>
          <w:rFonts w:cs="Arial"/>
          <w:b/>
          <w:spacing w:val="1"/>
          <w:lang w:eastAsia="fr-FR"/>
        </w:rPr>
      </w:pPr>
      <w:r>
        <w:rPr>
          <w:rFonts w:cs="Arial"/>
          <w:b/>
          <w:spacing w:val="1"/>
          <w:lang w:eastAsia="fr-FR"/>
        </w:rPr>
        <w:t>Exposure linked to application on bed linen + exposure to volatilised residues +</w:t>
      </w:r>
      <w:r w:rsidRPr="00D46AC1">
        <w:rPr>
          <w:rFonts w:cs="Arial"/>
          <w:b/>
          <w:spacing w:val="1"/>
          <w:lang w:eastAsia="fr-FR"/>
        </w:rPr>
        <w:t xml:space="preserve"> </w:t>
      </w:r>
      <w:r>
        <w:rPr>
          <w:rFonts w:cs="Arial"/>
          <w:b/>
          <w:spacing w:val="1"/>
          <w:lang w:eastAsia="fr-FR"/>
        </w:rPr>
        <w:t>exposure during application on fabrics</w:t>
      </w:r>
    </w:p>
    <w:p w14:paraId="3FD48910" w14:textId="249DCB6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2578"/>
        <w:gridCol w:w="3246"/>
      </w:tblGrid>
      <w:tr w:rsidR="002655EE" w:rsidRPr="007E29F8" w14:paraId="20CE8878" w14:textId="77777777" w:rsidTr="008E6261">
        <w:trPr>
          <w:cantSplit/>
          <w:trHeight w:val="140"/>
          <w:tblHeader/>
        </w:trPr>
        <w:tc>
          <w:tcPr>
            <w:tcW w:w="1842" w:type="pct"/>
            <w:shd w:val="clear" w:color="auto" w:fill="BFBFBF" w:themeFill="background1" w:themeFillShade="BF"/>
          </w:tcPr>
          <w:p w14:paraId="579AF7EA"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Exposure scenario</w:t>
            </w:r>
          </w:p>
        </w:tc>
        <w:tc>
          <w:tcPr>
            <w:tcW w:w="1398" w:type="pct"/>
            <w:shd w:val="clear" w:color="auto" w:fill="BFBFBF" w:themeFill="background1" w:themeFillShade="BF"/>
          </w:tcPr>
          <w:p w14:paraId="6F25A253"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spacing w:val="1"/>
                <w:lang w:eastAsia="fr-FR"/>
              </w:rPr>
            </w:pPr>
            <w:r w:rsidRPr="007E29F8">
              <w:rPr>
                <w:rFonts w:cs="Arial"/>
                <w:b/>
                <w:bCs/>
                <w:spacing w:val="1"/>
                <w:lang w:eastAsia="fr-FR"/>
              </w:rPr>
              <w:t>Tier/PPE</w:t>
            </w:r>
          </w:p>
        </w:tc>
        <w:tc>
          <w:tcPr>
            <w:tcW w:w="1760" w:type="pct"/>
            <w:shd w:val="clear" w:color="auto" w:fill="BFBFBF" w:themeFill="background1" w:themeFillShade="BF"/>
          </w:tcPr>
          <w:p w14:paraId="11D12D96" w14:textId="77777777" w:rsidR="002655EE" w:rsidRPr="007E29F8" w:rsidRDefault="002655EE" w:rsidP="002655EE">
            <w:pPr>
              <w:keepNext/>
              <w:widowControl w:val="0"/>
              <w:shd w:val="clear" w:color="auto" w:fill="D9D9D9" w:themeFill="background1" w:themeFillShade="D9"/>
              <w:kinsoku w:val="0"/>
              <w:overflowPunct w:val="0"/>
              <w:autoSpaceDE w:val="0"/>
              <w:autoSpaceDN w:val="0"/>
              <w:adjustRightInd w:val="0"/>
              <w:spacing w:before="0" w:after="0"/>
              <w:ind w:left="68" w:right="117"/>
              <w:jc w:val="both"/>
              <w:textAlignment w:val="baseline"/>
              <w:rPr>
                <w:rFonts w:cs="Arial"/>
                <w:b/>
                <w:bCs/>
                <w:spacing w:val="1"/>
                <w:lang w:eastAsia="fr-FR"/>
              </w:rPr>
            </w:pPr>
            <w:r w:rsidRPr="007E29F8">
              <w:rPr>
                <w:rFonts w:cs="Arial"/>
                <w:b/>
                <w:bCs/>
                <w:spacing w:val="1"/>
                <w:lang w:eastAsia="fr-FR"/>
              </w:rPr>
              <w:t>Estimated dermal uptake (mg/kg bw/d)</w:t>
            </w:r>
          </w:p>
        </w:tc>
      </w:tr>
      <w:tr w:rsidR="002655EE" w:rsidRPr="007E29F8" w14:paraId="20CF1A8C" w14:textId="77777777" w:rsidTr="001B7765">
        <w:trPr>
          <w:cantSplit/>
          <w:trHeight w:val="282"/>
          <w:tblHeader/>
        </w:trPr>
        <w:tc>
          <w:tcPr>
            <w:tcW w:w="1842" w:type="pct"/>
            <w:shd w:val="clear" w:color="auto" w:fill="auto"/>
            <w:vAlign w:val="center"/>
          </w:tcPr>
          <w:p w14:paraId="2E56272E" w14:textId="77777777" w:rsidR="002655EE" w:rsidRPr="00762A41" w:rsidRDefault="002655EE" w:rsidP="00762A41">
            <w:pPr>
              <w:spacing w:before="0" w:after="0" w:line="276" w:lineRule="auto"/>
              <w:jc w:val="center"/>
              <w:rPr>
                <w:rFonts w:cs="Arial"/>
                <w:sz w:val="18"/>
              </w:rPr>
            </w:pPr>
            <w:r w:rsidRPr="00762A41">
              <w:rPr>
                <w:rFonts w:cs="Arial"/>
                <w:sz w:val="18"/>
              </w:rPr>
              <w:t>Adult</w:t>
            </w:r>
          </w:p>
        </w:tc>
        <w:tc>
          <w:tcPr>
            <w:tcW w:w="1398" w:type="pct"/>
            <w:shd w:val="clear" w:color="auto" w:fill="auto"/>
            <w:vAlign w:val="center"/>
          </w:tcPr>
          <w:p w14:paraId="3A29E368" w14:textId="77777777" w:rsidR="002655EE" w:rsidRPr="00762A41" w:rsidRDefault="002655EE" w:rsidP="00762A41">
            <w:pPr>
              <w:spacing w:before="0" w:after="0" w:line="276" w:lineRule="auto"/>
              <w:jc w:val="center"/>
              <w:rPr>
                <w:rFonts w:cs="Arial"/>
                <w:sz w:val="18"/>
              </w:rPr>
            </w:pPr>
            <w:r w:rsidRPr="00762A41">
              <w:rPr>
                <w:rFonts w:cs="Arial"/>
                <w:sz w:val="18"/>
              </w:rPr>
              <w:t>Tier 1</w:t>
            </w:r>
          </w:p>
        </w:tc>
        <w:tc>
          <w:tcPr>
            <w:tcW w:w="1760" w:type="pct"/>
            <w:shd w:val="clear" w:color="auto" w:fill="auto"/>
            <w:vAlign w:val="bottom"/>
          </w:tcPr>
          <w:p w14:paraId="7405E27F" w14:textId="77777777" w:rsidR="002655EE" w:rsidRPr="00762A41" w:rsidRDefault="002655EE" w:rsidP="00762A41">
            <w:pPr>
              <w:spacing w:before="0" w:after="0" w:line="276" w:lineRule="auto"/>
              <w:jc w:val="center"/>
              <w:rPr>
                <w:rFonts w:cs="Arial"/>
                <w:sz w:val="18"/>
              </w:rPr>
            </w:pPr>
            <w:r w:rsidRPr="00762A41">
              <w:rPr>
                <w:rFonts w:cs="Arial"/>
                <w:sz w:val="18"/>
              </w:rPr>
              <w:t>2.58</w:t>
            </w:r>
          </w:p>
        </w:tc>
      </w:tr>
      <w:tr w:rsidR="002655EE" w:rsidRPr="007E29F8" w14:paraId="30952A8E" w14:textId="77777777" w:rsidTr="001B7765">
        <w:trPr>
          <w:cantSplit/>
          <w:trHeight w:val="209"/>
          <w:tblHeader/>
        </w:trPr>
        <w:tc>
          <w:tcPr>
            <w:tcW w:w="1842" w:type="pct"/>
            <w:shd w:val="clear" w:color="auto" w:fill="auto"/>
            <w:vAlign w:val="center"/>
          </w:tcPr>
          <w:p w14:paraId="443A42CD" w14:textId="77777777" w:rsidR="002655EE" w:rsidRPr="00762A41" w:rsidRDefault="002655EE" w:rsidP="00762A41">
            <w:pPr>
              <w:spacing w:before="0" w:after="0" w:line="276" w:lineRule="auto"/>
              <w:jc w:val="center"/>
              <w:rPr>
                <w:rFonts w:cs="Arial"/>
                <w:sz w:val="18"/>
              </w:rPr>
            </w:pPr>
            <w:r w:rsidRPr="00762A41">
              <w:rPr>
                <w:rFonts w:cs="Arial"/>
                <w:sz w:val="18"/>
              </w:rPr>
              <w:t>Child (6 to &lt;12 years old)</w:t>
            </w:r>
          </w:p>
        </w:tc>
        <w:tc>
          <w:tcPr>
            <w:tcW w:w="1398" w:type="pct"/>
            <w:shd w:val="clear" w:color="auto" w:fill="auto"/>
            <w:vAlign w:val="center"/>
          </w:tcPr>
          <w:p w14:paraId="0A21996E" w14:textId="0A72A8D7" w:rsidR="002655EE" w:rsidRPr="00762A41" w:rsidRDefault="002655EE" w:rsidP="00762A41">
            <w:pPr>
              <w:spacing w:before="0" w:after="0" w:line="276" w:lineRule="auto"/>
              <w:jc w:val="center"/>
              <w:rPr>
                <w:rFonts w:cs="Arial"/>
                <w:sz w:val="18"/>
              </w:rPr>
            </w:pPr>
            <w:r w:rsidRPr="00762A41">
              <w:rPr>
                <w:rFonts w:cs="Arial"/>
                <w:sz w:val="18"/>
              </w:rPr>
              <w:t xml:space="preserve">Tier </w:t>
            </w:r>
            <w:r w:rsidR="0009761B" w:rsidRPr="00762A41">
              <w:rPr>
                <w:rFonts w:cs="Arial"/>
                <w:sz w:val="18"/>
              </w:rPr>
              <w:t>1</w:t>
            </w:r>
          </w:p>
        </w:tc>
        <w:tc>
          <w:tcPr>
            <w:tcW w:w="1760" w:type="pct"/>
            <w:shd w:val="clear" w:color="auto" w:fill="auto"/>
            <w:vAlign w:val="bottom"/>
          </w:tcPr>
          <w:p w14:paraId="4607B41A" w14:textId="77777777" w:rsidR="002655EE" w:rsidRPr="00762A41" w:rsidRDefault="002655EE" w:rsidP="00762A41">
            <w:pPr>
              <w:spacing w:before="0" w:after="0" w:line="276" w:lineRule="auto"/>
              <w:jc w:val="center"/>
              <w:rPr>
                <w:rFonts w:cs="Arial"/>
                <w:sz w:val="18"/>
              </w:rPr>
            </w:pPr>
            <w:r w:rsidRPr="00762A41">
              <w:rPr>
                <w:rFonts w:cs="Arial"/>
                <w:sz w:val="18"/>
              </w:rPr>
              <w:t>3.30</w:t>
            </w:r>
          </w:p>
        </w:tc>
      </w:tr>
      <w:tr w:rsidR="002655EE" w:rsidRPr="007E29F8" w14:paraId="33DA1717" w14:textId="77777777" w:rsidTr="001B7765">
        <w:trPr>
          <w:cantSplit/>
          <w:trHeight w:val="286"/>
          <w:tblHeader/>
        </w:trPr>
        <w:tc>
          <w:tcPr>
            <w:tcW w:w="1842" w:type="pct"/>
            <w:shd w:val="clear" w:color="auto" w:fill="auto"/>
            <w:vAlign w:val="center"/>
          </w:tcPr>
          <w:p w14:paraId="658E4CA5" w14:textId="77777777" w:rsidR="002655EE" w:rsidRPr="00762A41" w:rsidRDefault="002655EE" w:rsidP="00762A41">
            <w:pPr>
              <w:spacing w:before="0" w:after="0" w:line="276" w:lineRule="auto"/>
              <w:jc w:val="center"/>
              <w:rPr>
                <w:rFonts w:cs="Arial"/>
                <w:sz w:val="18"/>
              </w:rPr>
            </w:pPr>
            <w:r w:rsidRPr="00762A41">
              <w:rPr>
                <w:rFonts w:cs="Arial"/>
                <w:sz w:val="18"/>
              </w:rPr>
              <w:t>Child (2 to &lt;6 years old)</w:t>
            </w:r>
          </w:p>
        </w:tc>
        <w:tc>
          <w:tcPr>
            <w:tcW w:w="1398" w:type="pct"/>
            <w:shd w:val="clear" w:color="auto" w:fill="auto"/>
            <w:vAlign w:val="center"/>
          </w:tcPr>
          <w:p w14:paraId="1F1F4596" w14:textId="030E8F6D" w:rsidR="002655EE" w:rsidRPr="00762A41" w:rsidRDefault="002655EE" w:rsidP="00762A41">
            <w:pPr>
              <w:spacing w:before="0" w:after="0" w:line="276" w:lineRule="auto"/>
              <w:jc w:val="center"/>
              <w:rPr>
                <w:rFonts w:cs="Arial"/>
                <w:sz w:val="18"/>
              </w:rPr>
            </w:pPr>
            <w:r w:rsidRPr="00762A41">
              <w:rPr>
                <w:rFonts w:cs="Arial"/>
                <w:sz w:val="18"/>
              </w:rPr>
              <w:t xml:space="preserve">Tier </w:t>
            </w:r>
            <w:r w:rsidR="0009761B" w:rsidRPr="00762A41">
              <w:rPr>
                <w:rFonts w:cs="Arial"/>
                <w:sz w:val="18"/>
              </w:rPr>
              <w:t>1</w:t>
            </w:r>
          </w:p>
        </w:tc>
        <w:tc>
          <w:tcPr>
            <w:tcW w:w="1760" w:type="pct"/>
            <w:shd w:val="clear" w:color="auto" w:fill="auto"/>
            <w:vAlign w:val="bottom"/>
          </w:tcPr>
          <w:p w14:paraId="0DBD57B3" w14:textId="77777777" w:rsidR="002655EE" w:rsidRPr="00762A41" w:rsidRDefault="002655EE" w:rsidP="00762A41">
            <w:pPr>
              <w:spacing w:before="0" w:after="0" w:line="276" w:lineRule="auto"/>
              <w:jc w:val="center"/>
              <w:rPr>
                <w:rFonts w:cs="Arial"/>
                <w:sz w:val="18"/>
              </w:rPr>
            </w:pPr>
            <w:r w:rsidRPr="00762A41">
              <w:rPr>
                <w:rFonts w:cs="Arial"/>
                <w:sz w:val="18"/>
              </w:rPr>
              <w:t>3.75</w:t>
            </w:r>
          </w:p>
        </w:tc>
      </w:tr>
      <w:tr w:rsidR="002655EE" w:rsidRPr="007E29F8" w14:paraId="282F9FBA" w14:textId="77777777" w:rsidTr="001B7765">
        <w:trPr>
          <w:cantSplit/>
          <w:trHeight w:val="282"/>
          <w:tblHeader/>
        </w:trPr>
        <w:tc>
          <w:tcPr>
            <w:tcW w:w="1842" w:type="pct"/>
            <w:shd w:val="clear" w:color="auto" w:fill="auto"/>
            <w:vAlign w:val="center"/>
          </w:tcPr>
          <w:p w14:paraId="50B49583" w14:textId="77777777" w:rsidR="002655EE" w:rsidRPr="00762A41" w:rsidRDefault="002655EE" w:rsidP="00762A41">
            <w:pPr>
              <w:spacing w:before="0" w:after="0" w:line="276" w:lineRule="auto"/>
              <w:jc w:val="center"/>
              <w:rPr>
                <w:rFonts w:cs="Arial"/>
                <w:sz w:val="18"/>
              </w:rPr>
            </w:pPr>
            <w:r w:rsidRPr="00762A41">
              <w:rPr>
                <w:rFonts w:cs="Arial"/>
                <w:sz w:val="18"/>
              </w:rPr>
              <w:t>Toddler (1 to &lt;2 years old)</w:t>
            </w:r>
          </w:p>
        </w:tc>
        <w:tc>
          <w:tcPr>
            <w:tcW w:w="1398" w:type="pct"/>
            <w:shd w:val="clear" w:color="auto" w:fill="auto"/>
            <w:vAlign w:val="center"/>
          </w:tcPr>
          <w:p w14:paraId="3AD8995C" w14:textId="2A4CD1EF" w:rsidR="002655EE" w:rsidRPr="00762A41" w:rsidRDefault="002655EE" w:rsidP="00762A41">
            <w:pPr>
              <w:spacing w:before="0" w:after="0" w:line="276" w:lineRule="auto"/>
              <w:jc w:val="center"/>
              <w:rPr>
                <w:rFonts w:cs="Arial"/>
                <w:sz w:val="18"/>
              </w:rPr>
            </w:pPr>
            <w:r w:rsidRPr="00762A41">
              <w:rPr>
                <w:rFonts w:cs="Arial"/>
                <w:sz w:val="18"/>
              </w:rPr>
              <w:t xml:space="preserve">Tier </w:t>
            </w:r>
            <w:r w:rsidR="0009761B" w:rsidRPr="00762A41">
              <w:rPr>
                <w:rFonts w:cs="Arial"/>
                <w:sz w:val="18"/>
              </w:rPr>
              <w:t>1</w:t>
            </w:r>
          </w:p>
        </w:tc>
        <w:tc>
          <w:tcPr>
            <w:tcW w:w="1760" w:type="pct"/>
            <w:shd w:val="clear" w:color="auto" w:fill="auto"/>
            <w:vAlign w:val="bottom"/>
          </w:tcPr>
          <w:p w14:paraId="22801EF0" w14:textId="77777777" w:rsidR="002655EE" w:rsidRPr="00762A41" w:rsidRDefault="002655EE" w:rsidP="00762A41">
            <w:pPr>
              <w:spacing w:before="0" w:after="0" w:line="276" w:lineRule="auto"/>
              <w:jc w:val="center"/>
              <w:rPr>
                <w:rFonts w:cs="Arial"/>
                <w:sz w:val="18"/>
              </w:rPr>
            </w:pPr>
            <w:r w:rsidRPr="00762A41">
              <w:rPr>
                <w:rFonts w:cs="Arial"/>
                <w:sz w:val="18"/>
              </w:rPr>
              <w:t>4.14</w:t>
            </w:r>
          </w:p>
        </w:tc>
      </w:tr>
      <w:tr w:rsidR="002655EE" w:rsidRPr="007E29F8" w14:paraId="20E6E8A8" w14:textId="77777777" w:rsidTr="001B7765">
        <w:trPr>
          <w:cantSplit/>
          <w:trHeight w:val="282"/>
          <w:tblHeader/>
        </w:trPr>
        <w:tc>
          <w:tcPr>
            <w:tcW w:w="1842" w:type="pct"/>
            <w:shd w:val="clear" w:color="auto" w:fill="auto"/>
            <w:vAlign w:val="center"/>
          </w:tcPr>
          <w:p w14:paraId="460F616F" w14:textId="77777777" w:rsidR="002655EE" w:rsidRPr="00762A41" w:rsidRDefault="002655EE" w:rsidP="00762A41">
            <w:pPr>
              <w:spacing w:before="0" w:after="0" w:line="276" w:lineRule="auto"/>
              <w:jc w:val="center"/>
              <w:rPr>
                <w:rFonts w:cs="Arial"/>
                <w:sz w:val="18"/>
              </w:rPr>
            </w:pPr>
            <w:r w:rsidRPr="00762A41">
              <w:rPr>
                <w:rFonts w:cs="Arial"/>
                <w:sz w:val="18"/>
              </w:rPr>
              <w:t>Infant (&lt;1 year old)</w:t>
            </w:r>
          </w:p>
        </w:tc>
        <w:tc>
          <w:tcPr>
            <w:tcW w:w="1398" w:type="pct"/>
            <w:shd w:val="clear" w:color="auto" w:fill="auto"/>
            <w:vAlign w:val="center"/>
          </w:tcPr>
          <w:p w14:paraId="5719C85F" w14:textId="22913688" w:rsidR="002655EE" w:rsidRPr="00762A41" w:rsidRDefault="002655EE" w:rsidP="00762A41">
            <w:pPr>
              <w:spacing w:before="0" w:after="0" w:line="276" w:lineRule="auto"/>
              <w:jc w:val="center"/>
              <w:rPr>
                <w:rFonts w:cs="Arial"/>
                <w:sz w:val="18"/>
              </w:rPr>
            </w:pPr>
            <w:r w:rsidRPr="00762A41">
              <w:rPr>
                <w:rFonts w:cs="Arial"/>
                <w:sz w:val="18"/>
              </w:rPr>
              <w:t xml:space="preserve">Tier </w:t>
            </w:r>
            <w:r w:rsidR="0009761B" w:rsidRPr="00762A41">
              <w:rPr>
                <w:rFonts w:cs="Arial"/>
                <w:sz w:val="18"/>
              </w:rPr>
              <w:t>1</w:t>
            </w:r>
          </w:p>
        </w:tc>
        <w:tc>
          <w:tcPr>
            <w:tcW w:w="1760" w:type="pct"/>
            <w:shd w:val="clear" w:color="auto" w:fill="auto"/>
            <w:vAlign w:val="bottom"/>
          </w:tcPr>
          <w:p w14:paraId="1328D7AE" w14:textId="77777777" w:rsidR="002655EE" w:rsidRPr="00762A41" w:rsidRDefault="002655EE" w:rsidP="00762A41">
            <w:pPr>
              <w:spacing w:before="0" w:after="0" w:line="276" w:lineRule="auto"/>
              <w:jc w:val="center"/>
              <w:rPr>
                <w:rFonts w:cs="Arial"/>
                <w:sz w:val="18"/>
              </w:rPr>
            </w:pPr>
            <w:r w:rsidRPr="00762A41">
              <w:rPr>
                <w:rFonts w:cs="Arial"/>
                <w:sz w:val="18"/>
              </w:rPr>
              <w:t>4.39</w:t>
            </w:r>
          </w:p>
        </w:tc>
      </w:tr>
    </w:tbl>
    <w:p w14:paraId="55784295"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019F27E6" w14:textId="77777777" w:rsidR="002655EE" w:rsidRDefault="002655EE" w:rsidP="008A2D32">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0E3384FF" w14:textId="4F0A87DD" w:rsidR="00C442A7" w:rsidRPr="00AE1B0E" w:rsidRDefault="00C442A7" w:rsidP="00C442A7">
      <w:pPr>
        <w:spacing w:before="0" w:after="160" w:line="259" w:lineRule="auto"/>
        <w:rPr>
          <w:lang w:eastAsia="en-US"/>
        </w:rPr>
      </w:pPr>
    </w:p>
    <w:p w14:paraId="6981D5B8" w14:textId="0BE81D34" w:rsidR="00C442A7" w:rsidRDefault="005641ED" w:rsidP="00C442A7">
      <w:pPr>
        <w:pStyle w:val="Titre5"/>
      </w:pPr>
      <w:bookmarkStart w:id="222" w:name="_Toc93326565"/>
      <w:r>
        <w:t>Exposure</w:t>
      </w:r>
      <w:r w:rsidR="00C442A7">
        <w:t xml:space="preserve"> of the general public</w:t>
      </w:r>
      <w:bookmarkEnd w:id="222"/>
    </w:p>
    <w:p w14:paraId="62B4FE99" w14:textId="1BDFDC09" w:rsidR="00C41691" w:rsidRDefault="00C41691" w:rsidP="00C41691">
      <w:pPr>
        <w:rPr>
          <w:lang w:val="en-US" w:eastAsia="en-US"/>
        </w:rPr>
      </w:pPr>
    </w:p>
    <w:p w14:paraId="4E84F43F" w14:textId="77777777" w:rsidR="00C41691" w:rsidRPr="009461FB" w:rsidRDefault="00C41691" w:rsidP="00C41691">
      <w:pPr>
        <w:pStyle w:val="Paragraphedeliste"/>
        <w:numPr>
          <w:ilvl w:val="0"/>
          <w:numId w:val="68"/>
        </w:numPr>
        <w:rPr>
          <w:b/>
        </w:rPr>
      </w:pPr>
      <w:r w:rsidRPr="009461FB">
        <w:rPr>
          <w:b/>
        </w:rPr>
        <w:t>FIRST AUTHORISATION – 2017 (BE CA)</w:t>
      </w:r>
    </w:p>
    <w:p w14:paraId="76091417" w14:textId="77777777" w:rsidR="00C41691" w:rsidRPr="00C41691" w:rsidRDefault="00C41691" w:rsidP="00C41691">
      <w:pPr>
        <w:rPr>
          <w:lang w:val="en-US" w:eastAsia="en-US"/>
        </w:rPr>
      </w:pPr>
    </w:p>
    <w:p w14:paraId="34F0DEB1" w14:textId="77777777" w:rsidR="005B626D" w:rsidRPr="00250D84" w:rsidRDefault="005B626D" w:rsidP="005B626D">
      <w:pPr>
        <w:rPr>
          <w:lang w:val="en-US"/>
        </w:rPr>
      </w:pPr>
      <w:r w:rsidRPr="00250D84">
        <w:rPr>
          <w:lang w:val="en-US"/>
        </w:rPr>
        <w:t>Exposure of the general public is covered by the secondary exposure of non-professional.</w:t>
      </w:r>
    </w:p>
    <w:p w14:paraId="73D79E02" w14:textId="77777777" w:rsidR="00AE1B0E" w:rsidRPr="001B7765" w:rsidRDefault="00AE1B0E" w:rsidP="001B776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1B7765">
        <w:rPr>
          <w:rFonts w:eastAsia="Calibri"/>
          <w:b/>
          <w:lang w:eastAsia="en-US"/>
        </w:rPr>
        <w:t>MAJOR CHANGE FOR SPRAY REPULSIF IR200 – 2019 (FR CA)</w:t>
      </w:r>
    </w:p>
    <w:p w14:paraId="4A0C019C" w14:textId="21E34EF8" w:rsidR="0000733D" w:rsidRPr="00F07537" w:rsidRDefault="0000733D" w:rsidP="001B7765">
      <w:pPr>
        <w:widowControl w:val="0"/>
        <w:kinsoku w:val="0"/>
        <w:overflowPunct w:val="0"/>
        <w:autoSpaceDE w:val="0"/>
        <w:autoSpaceDN w:val="0"/>
        <w:adjustRightInd w:val="0"/>
        <w:spacing w:before="0" w:after="0"/>
        <w:ind w:right="216"/>
        <w:jc w:val="both"/>
        <w:textAlignment w:val="baseline"/>
        <w:rPr>
          <w:rFonts w:cs="Arial"/>
          <w:spacing w:val="1"/>
          <w:lang w:val="en-US" w:eastAsia="fr-FR"/>
        </w:rPr>
      </w:pPr>
      <w:r w:rsidRPr="001B7765">
        <w:rPr>
          <w:rFonts w:cs="Arial"/>
          <w:spacing w:val="1"/>
          <w:lang w:val="en-US" w:eastAsia="fr-FR"/>
        </w:rPr>
        <w:t>For clarity, exposure of infants, toddlers and children have been added in the section (V) Non-professional exposure.</w:t>
      </w:r>
    </w:p>
    <w:p w14:paraId="2D933894" w14:textId="1B1CC98D" w:rsidR="0000733D" w:rsidRDefault="0000733D" w:rsidP="005B626D">
      <w:pPr>
        <w:rPr>
          <w:lang w:val="en-US"/>
        </w:rPr>
      </w:pPr>
    </w:p>
    <w:p w14:paraId="3A6CF619" w14:textId="77777777" w:rsidR="0000733D" w:rsidRPr="00250D84" w:rsidRDefault="0000733D" w:rsidP="005B626D">
      <w:pPr>
        <w:rPr>
          <w:lang w:val="en-US"/>
        </w:rPr>
      </w:pPr>
    </w:p>
    <w:p w14:paraId="179C06E4" w14:textId="63403EEB" w:rsidR="00C442A7" w:rsidRDefault="00C442A7" w:rsidP="00C442A7">
      <w:pPr>
        <w:pStyle w:val="Titre5"/>
      </w:pPr>
      <w:bookmarkStart w:id="223" w:name="_Toc93326566"/>
      <w:r>
        <w:t>Monitoring data</w:t>
      </w:r>
      <w:bookmarkEnd w:id="223"/>
    </w:p>
    <w:p w14:paraId="7C0B8DBD" w14:textId="77777777" w:rsidR="00C41691" w:rsidRPr="009461FB" w:rsidRDefault="00C41691" w:rsidP="00C41691">
      <w:pPr>
        <w:pStyle w:val="Paragraphedeliste"/>
        <w:numPr>
          <w:ilvl w:val="0"/>
          <w:numId w:val="68"/>
        </w:numPr>
        <w:rPr>
          <w:b/>
        </w:rPr>
      </w:pPr>
      <w:r w:rsidRPr="009461FB">
        <w:rPr>
          <w:b/>
        </w:rPr>
        <w:t>FIRST AUTHORISATION – 2017 (BE CA)</w:t>
      </w:r>
    </w:p>
    <w:p w14:paraId="32BAA3F3" w14:textId="77777777" w:rsidR="00C41691" w:rsidRPr="00C41691" w:rsidRDefault="00C41691" w:rsidP="00C41691">
      <w:pPr>
        <w:rPr>
          <w:lang w:val="en-US" w:eastAsia="en-US"/>
        </w:rPr>
      </w:pPr>
    </w:p>
    <w:p w14:paraId="57C12375" w14:textId="77777777" w:rsidR="00C442A7" w:rsidRPr="00C442A7" w:rsidRDefault="00CD178B" w:rsidP="00C442A7">
      <w:pPr>
        <w:rPr>
          <w:lang w:eastAsia="en-US"/>
        </w:rPr>
      </w:pPr>
      <w:r>
        <w:rPr>
          <w:rFonts w:eastAsia="Calibri"/>
          <w:lang w:eastAsia="en-US"/>
        </w:rPr>
        <w:t>Not applicable.</w:t>
      </w:r>
    </w:p>
    <w:p w14:paraId="277A160C" w14:textId="3972AD0F" w:rsidR="00C442A7" w:rsidRDefault="00C442A7" w:rsidP="00C442A7">
      <w:pPr>
        <w:pStyle w:val="Titre5"/>
      </w:pPr>
      <w:bookmarkStart w:id="224" w:name="_Toc93326567"/>
      <w:r>
        <w:t>Dietary exposure</w:t>
      </w:r>
      <w:bookmarkEnd w:id="224"/>
    </w:p>
    <w:p w14:paraId="6055D30D" w14:textId="77777777" w:rsidR="00C41691" w:rsidRPr="009461FB" w:rsidRDefault="00C41691" w:rsidP="00C41691">
      <w:pPr>
        <w:pStyle w:val="Paragraphedeliste"/>
        <w:numPr>
          <w:ilvl w:val="0"/>
          <w:numId w:val="68"/>
        </w:numPr>
        <w:rPr>
          <w:b/>
        </w:rPr>
      </w:pPr>
      <w:r w:rsidRPr="009461FB">
        <w:rPr>
          <w:b/>
        </w:rPr>
        <w:t>FIRST AUTHORISATION – 2017 (BE CA)</w:t>
      </w:r>
    </w:p>
    <w:p w14:paraId="7F65F62E" w14:textId="77777777" w:rsidR="00C41691" w:rsidRPr="00C41691" w:rsidRDefault="00C41691" w:rsidP="00C41691">
      <w:pPr>
        <w:rPr>
          <w:lang w:val="en-US" w:eastAsia="en-US"/>
        </w:rPr>
      </w:pPr>
    </w:p>
    <w:p w14:paraId="08A8FA13" w14:textId="77777777" w:rsidR="00A80E60" w:rsidRDefault="00A80E60" w:rsidP="00A80E60">
      <w:pPr>
        <w:rPr>
          <w:lang w:eastAsia="en-US"/>
        </w:rPr>
      </w:pPr>
      <w:r>
        <w:rPr>
          <w:lang w:eastAsia="en-US"/>
        </w:rPr>
        <w:t xml:space="preserve">Considering the scenario 3 (hand to mouth transfer), considering that the amount in scenario 3 will be superior to the amount on the fingers of the hands (possible contact surface for transfer of residue to food) and finally considering that the biocidal product is not used for and/or during food production, or in rooms where food is produced processed or stored, the dietary risk would be covered by the scenario 3.    </w:t>
      </w:r>
    </w:p>
    <w:p w14:paraId="558E66B2" w14:textId="77777777" w:rsidR="00A80E60" w:rsidRDefault="00A80E60" w:rsidP="00A80E60">
      <w:pPr>
        <w:rPr>
          <w:lang w:eastAsia="en-US"/>
        </w:rPr>
      </w:pPr>
    </w:p>
    <w:p w14:paraId="5306928E" w14:textId="25A7A16B" w:rsidR="00A80E60" w:rsidRDefault="00A80E60" w:rsidP="00A80E60">
      <w:pPr>
        <w:rPr>
          <w:lang w:eastAsia="en-US"/>
        </w:rPr>
      </w:pPr>
      <w:r>
        <w:rPr>
          <w:lang w:eastAsia="en-US"/>
        </w:rPr>
        <w:t>However, Belgium is of advice that the restriction measures (Wash hands thoroughly after handling) must stay to avoid any misuse of the product.</w:t>
      </w:r>
    </w:p>
    <w:p w14:paraId="167595AF" w14:textId="77777777" w:rsidR="00AE1B0E" w:rsidRPr="001B7765" w:rsidRDefault="00AE1B0E" w:rsidP="001B776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1B7765">
        <w:rPr>
          <w:rFonts w:eastAsia="Calibri"/>
          <w:b/>
          <w:lang w:eastAsia="en-US"/>
        </w:rPr>
        <w:t>MAJOR CHANGE FOR SPRAY REPULSIF IR200 – 2019 (FR CA)</w:t>
      </w:r>
    </w:p>
    <w:p w14:paraId="1885C321" w14:textId="7E291952" w:rsidR="003C3D08" w:rsidRDefault="003C3D08" w:rsidP="001B7765">
      <w:pPr>
        <w:rPr>
          <w:lang w:eastAsia="en-US"/>
        </w:rPr>
      </w:pPr>
    </w:p>
    <w:p w14:paraId="5D2135A4" w14:textId="45419BD1" w:rsidR="003C3D08" w:rsidRPr="003C3D08" w:rsidRDefault="00AE1B0E" w:rsidP="001B7765">
      <w:pPr>
        <w:jc w:val="both"/>
        <w:rPr>
          <w:u w:val="single"/>
        </w:rPr>
      </w:pPr>
      <w:r w:rsidRPr="00043748">
        <w:t>A</w:t>
      </w:r>
      <w:r w:rsidR="003C3D08">
        <w:t xml:space="preserve"> dietary exposure proposed by FR is presented below.</w:t>
      </w:r>
    </w:p>
    <w:p w14:paraId="09BD5421" w14:textId="77777777" w:rsidR="003C3D08" w:rsidRDefault="003C3D08" w:rsidP="001B7765">
      <w:pPr>
        <w:rPr>
          <w:lang w:eastAsia="en-US"/>
        </w:rPr>
      </w:pPr>
    </w:p>
    <w:p w14:paraId="2B36F25F" w14:textId="77777777" w:rsidR="003C3D08" w:rsidRPr="00C033C5" w:rsidRDefault="003C3D08" w:rsidP="001B7765">
      <w:pPr>
        <w:autoSpaceDE w:val="0"/>
        <w:autoSpaceDN w:val="0"/>
        <w:adjustRightInd w:val="0"/>
        <w:spacing w:after="0"/>
        <w:jc w:val="both"/>
        <w:rPr>
          <w:rFonts w:cs="Arial"/>
          <w:lang w:val="en-US" w:eastAsia="fr-FR"/>
        </w:rPr>
      </w:pPr>
      <w:r w:rsidRPr="00C033C5">
        <w:rPr>
          <w:rFonts w:cs="Arial"/>
          <w:lang w:val="en-US" w:eastAsia="fr-FR"/>
        </w:rPr>
        <w:t>As regards to the intended use of the product SPRAY REPULSIF IR200 on human skin a contamination of food cannot be excluded. As a consequence, a dietary risk assessment is proposed in framework of this dossier.</w:t>
      </w:r>
    </w:p>
    <w:p w14:paraId="75FCE9DF" w14:textId="77777777" w:rsidR="003C3D08" w:rsidRPr="00C033C5" w:rsidRDefault="003C3D08" w:rsidP="001B7765">
      <w:pPr>
        <w:spacing w:after="0"/>
        <w:jc w:val="both"/>
        <w:rPr>
          <w:sz w:val="18"/>
          <w:lang w:val="en-US"/>
        </w:rPr>
      </w:pPr>
    </w:p>
    <w:p w14:paraId="02A4F52B" w14:textId="77777777" w:rsidR="003C3D08" w:rsidRDefault="003C3D08" w:rsidP="001B7765">
      <w:pPr>
        <w:spacing w:after="0"/>
        <w:rPr>
          <w:lang w:val="en-US"/>
        </w:rPr>
      </w:pPr>
      <w:r w:rsidRPr="00F81118">
        <w:rPr>
          <w:lang w:val="en-US"/>
        </w:rPr>
        <w:t>Residue definitions</w:t>
      </w:r>
    </w:p>
    <w:p w14:paraId="0D5E2E7E" w14:textId="77777777" w:rsidR="003C3D08" w:rsidRPr="00C033C5" w:rsidRDefault="003C3D08" w:rsidP="001B7765">
      <w:pPr>
        <w:spacing w:after="0"/>
        <w:rPr>
          <w:lang w:val="en-US"/>
        </w:rPr>
      </w:pPr>
    </w:p>
    <w:p w14:paraId="712A5045" w14:textId="1B3A9BE8" w:rsidR="003C3D08" w:rsidRPr="00C033C5" w:rsidRDefault="003C3D08" w:rsidP="001B7765">
      <w:pPr>
        <w:autoSpaceDE w:val="0"/>
        <w:autoSpaceDN w:val="0"/>
        <w:adjustRightInd w:val="0"/>
        <w:spacing w:after="0"/>
        <w:jc w:val="both"/>
        <w:rPr>
          <w:rFonts w:cs="Arial"/>
          <w:lang w:val="en-US" w:eastAsia="fr-FR"/>
        </w:rPr>
      </w:pPr>
      <w:r w:rsidRPr="00C033C5">
        <w:rPr>
          <w:rFonts w:cs="Arial"/>
          <w:lang w:val="en-US" w:eastAsia="fr-FR"/>
        </w:rPr>
        <w:t xml:space="preserve">IR3535 is the only </w:t>
      </w:r>
      <w:r w:rsidRPr="001B7765">
        <w:rPr>
          <w:rFonts w:cs="Arial"/>
          <w:lang w:val="en-US" w:eastAsia="fr-FR"/>
        </w:rPr>
        <w:t xml:space="preserve">active substance </w:t>
      </w:r>
      <w:r w:rsidR="00D51291" w:rsidRPr="001B7765">
        <w:rPr>
          <w:rFonts w:cs="Arial"/>
          <w:lang w:val="en-US" w:eastAsia="fr-FR"/>
        </w:rPr>
        <w:t xml:space="preserve">considered </w:t>
      </w:r>
      <w:r w:rsidRPr="001B7765">
        <w:rPr>
          <w:rFonts w:cs="Arial"/>
          <w:lang w:val="en-US" w:eastAsia="fr-FR"/>
        </w:rPr>
        <w:t>for the biocidal products of SPRAY REPULSIF IR200. The parent compound, IR3535 (ethyl butylacetylaminopropionate) is the only compound considered r</w:t>
      </w:r>
      <w:r w:rsidRPr="00C033C5">
        <w:rPr>
          <w:rFonts w:cs="Arial"/>
          <w:lang w:val="en-US" w:eastAsia="fr-FR"/>
        </w:rPr>
        <w:t>elevant regarding the dietary exposure.</w:t>
      </w:r>
    </w:p>
    <w:p w14:paraId="7F565642" w14:textId="77777777" w:rsidR="003C3D08" w:rsidRPr="00C033C5" w:rsidRDefault="003C3D08" w:rsidP="001B7765">
      <w:pPr>
        <w:spacing w:after="0"/>
        <w:rPr>
          <w:lang w:val="en-US"/>
        </w:rPr>
      </w:pPr>
    </w:p>
    <w:p w14:paraId="2E381119" w14:textId="77777777" w:rsidR="003C3D08" w:rsidRPr="00F84E0D" w:rsidRDefault="003C3D08" w:rsidP="001B7765">
      <w:pPr>
        <w:spacing w:after="0"/>
        <w:rPr>
          <w:i/>
          <w:u w:val="single"/>
        </w:rPr>
      </w:pPr>
      <w:bookmarkStart w:id="225" w:name="_Toc389729078"/>
      <w:r w:rsidRPr="00F84E0D">
        <w:rPr>
          <w:i/>
          <w:u w:val="single"/>
        </w:rPr>
        <w:t>List of scenarios</w:t>
      </w:r>
      <w:bookmarkEnd w:id="225"/>
    </w:p>
    <w:p w14:paraId="37F4ADF2" w14:textId="77777777" w:rsidR="003C3D08" w:rsidRPr="00FD2055" w:rsidRDefault="003C3D08" w:rsidP="003C3D08">
      <w:pPr>
        <w:spacing w:after="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413"/>
        <w:gridCol w:w="3698"/>
        <w:gridCol w:w="3171"/>
      </w:tblGrid>
      <w:tr w:rsidR="003C3D08" w:rsidRPr="000C06E0" w14:paraId="6A32D228" w14:textId="77777777" w:rsidTr="003C3D08">
        <w:trPr>
          <w:tblHeader/>
        </w:trPr>
        <w:tc>
          <w:tcPr>
            <w:tcW w:w="5000" w:type="pct"/>
            <w:gridSpan w:val="4"/>
            <w:shd w:val="clear" w:color="auto" w:fill="FFFFCC"/>
          </w:tcPr>
          <w:p w14:paraId="40C1E9CA" w14:textId="77777777" w:rsidR="003C3D08" w:rsidRPr="00F81118" w:rsidRDefault="003C3D08" w:rsidP="003C3D08">
            <w:pPr>
              <w:spacing w:after="0"/>
              <w:jc w:val="center"/>
              <w:rPr>
                <w:b/>
                <w:lang w:val="en-US"/>
              </w:rPr>
            </w:pPr>
            <w:r w:rsidRPr="00F81118">
              <w:rPr>
                <w:b/>
                <w:lang w:val="en-US"/>
              </w:rPr>
              <w:t>Summary table of main representative dietary exposure scenarios</w:t>
            </w:r>
          </w:p>
        </w:tc>
      </w:tr>
      <w:tr w:rsidR="003C3D08" w:rsidRPr="00F84E0D" w14:paraId="6880165F" w14:textId="77777777" w:rsidTr="001B7765">
        <w:trPr>
          <w:tblHeader/>
        </w:trPr>
        <w:tc>
          <w:tcPr>
            <w:tcW w:w="587" w:type="pct"/>
            <w:shd w:val="clear" w:color="auto" w:fill="auto"/>
            <w:tcMar>
              <w:top w:w="57" w:type="dxa"/>
              <w:bottom w:w="57" w:type="dxa"/>
            </w:tcMar>
          </w:tcPr>
          <w:p w14:paraId="3AB53853" w14:textId="77777777" w:rsidR="003C3D08" w:rsidRPr="00F84E0D" w:rsidRDefault="003C3D08" w:rsidP="003C3D08">
            <w:pPr>
              <w:spacing w:after="0"/>
              <w:rPr>
                <w:b/>
              </w:rPr>
            </w:pPr>
            <w:r w:rsidRPr="00F84E0D">
              <w:rPr>
                <w:b/>
              </w:rPr>
              <w:t>Scenario number</w:t>
            </w:r>
          </w:p>
        </w:tc>
        <w:tc>
          <w:tcPr>
            <w:tcW w:w="754" w:type="pct"/>
            <w:shd w:val="clear" w:color="auto" w:fill="auto"/>
            <w:tcMar>
              <w:top w:w="57" w:type="dxa"/>
              <w:bottom w:w="57" w:type="dxa"/>
            </w:tcMar>
          </w:tcPr>
          <w:p w14:paraId="553EA24A" w14:textId="77777777" w:rsidR="003C3D08" w:rsidRPr="00F84E0D" w:rsidRDefault="003C3D08" w:rsidP="003C3D08">
            <w:pPr>
              <w:spacing w:after="0"/>
              <w:rPr>
                <w:b/>
              </w:rPr>
            </w:pPr>
            <w:r w:rsidRPr="00F84E0D">
              <w:rPr>
                <w:b/>
              </w:rPr>
              <w:t>Type of use</w:t>
            </w:r>
            <w:r w:rsidRPr="00F84E0D">
              <w:rPr>
                <w:b/>
                <w:vertAlign w:val="superscript"/>
              </w:rPr>
              <w:t>1</w:t>
            </w:r>
          </w:p>
        </w:tc>
        <w:tc>
          <w:tcPr>
            <w:tcW w:w="1970" w:type="pct"/>
            <w:shd w:val="clear" w:color="auto" w:fill="auto"/>
            <w:tcMar>
              <w:top w:w="57" w:type="dxa"/>
              <w:bottom w:w="57" w:type="dxa"/>
            </w:tcMar>
          </w:tcPr>
          <w:p w14:paraId="5EE4DE6D" w14:textId="77777777" w:rsidR="003C3D08" w:rsidRPr="00F84E0D" w:rsidRDefault="003C3D08" w:rsidP="003C3D08">
            <w:pPr>
              <w:spacing w:after="0"/>
              <w:rPr>
                <w:b/>
              </w:rPr>
            </w:pPr>
            <w:r w:rsidRPr="00F84E0D">
              <w:rPr>
                <w:b/>
              </w:rPr>
              <w:t>Description of scenario</w:t>
            </w:r>
          </w:p>
        </w:tc>
        <w:tc>
          <w:tcPr>
            <w:tcW w:w="1689" w:type="pct"/>
            <w:shd w:val="clear" w:color="auto" w:fill="auto"/>
            <w:tcMar>
              <w:top w:w="57" w:type="dxa"/>
              <w:bottom w:w="57" w:type="dxa"/>
            </w:tcMar>
          </w:tcPr>
          <w:p w14:paraId="0D35EADF" w14:textId="77777777" w:rsidR="003C3D08" w:rsidRPr="00F84E0D" w:rsidRDefault="003C3D08" w:rsidP="003C3D08">
            <w:pPr>
              <w:spacing w:after="0"/>
              <w:rPr>
                <w:b/>
              </w:rPr>
            </w:pPr>
            <w:r w:rsidRPr="00F84E0D">
              <w:rPr>
                <w:b/>
              </w:rPr>
              <w:t>Subject of exposure</w:t>
            </w:r>
            <w:r w:rsidRPr="00F84E0D">
              <w:rPr>
                <w:b/>
                <w:vertAlign w:val="superscript"/>
              </w:rPr>
              <w:t>2</w:t>
            </w:r>
          </w:p>
        </w:tc>
      </w:tr>
      <w:tr w:rsidR="003C3D08" w:rsidRPr="000C06E0" w14:paraId="5FD83AAB" w14:textId="77777777" w:rsidTr="001B7765">
        <w:trPr>
          <w:tblHeader/>
        </w:trPr>
        <w:tc>
          <w:tcPr>
            <w:tcW w:w="5000" w:type="pct"/>
            <w:gridSpan w:val="4"/>
            <w:shd w:val="clear" w:color="auto" w:fill="auto"/>
            <w:tcMar>
              <w:top w:w="57" w:type="dxa"/>
              <w:bottom w:w="57" w:type="dxa"/>
            </w:tcMar>
          </w:tcPr>
          <w:p w14:paraId="14E71E8B" w14:textId="77777777" w:rsidR="003C3D08" w:rsidRPr="00226B24" w:rsidRDefault="003C3D08" w:rsidP="003C3D08">
            <w:pPr>
              <w:spacing w:after="0"/>
              <w:rPr>
                <w:b/>
                <w:sz w:val="18"/>
                <w:szCs w:val="18"/>
                <w:lang w:val="en-US"/>
              </w:rPr>
            </w:pPr>
            <w:r w:rsidRPr="00226B24">
              <w:rPr>
                <w:b/>
                <w:sz w:val="18"/>
                <w:szCs w:val="18"/>
                <w:lang w:val="en-US"/>
              </w:rPr>
              <w:t>Use # 4 – Spray for skin application to repel mosquitoes</w:t>
            </w:r>
          </w:p>
          <w:p w14:paraId="018B80C8" w14:textId="77777777" w:rsidR="003C3D08" w:rsidRPr="00226B24" w:rsidRDefault="003C3D08" w:rsidP="003C3D08">
            <w:pPr>
              <w:spacing w:after="0"/>
              <w:jc w:val="both"/>
              <w:rPr>
                <w:rFonts w:cs="Arial"/>
                <w:lang w:val="en-US"/>
              </w:rPr>
            </w:pPr>
            <w:r w:rsidRPr="00226B24">
              <w:rPr>
                <w:b/>
                <w:sz w:val="18"/>
                <w:szCs w:val="18"/>
                <w:lang w:val="en-US"/>
              </w:rPr>
              <w:t>Use # 6 – Spray for skin application to repel ticks</w:t>
            </w:r>
          </w:p>
        </w:tc>
      </w:tr>
      <w:tr w:rsidR="003C3D08" w:rsidRPr="00F84E0D" w14:paraId="501C6B5A" w14:textId="77777777" w:rsidTr="001B7765">
        <w:trPr>
          <w:tblHeader/>
        </w:trPr>
        <w:tc>
          <w:tcPr>
            <w:tcW w:w="587" w:type="pct"/>
            <w:shd w:val="clear" w:color="auto" w:fill="auto"/>
            <w:tcMar>
              <w:top w:w="57" w:type="dxa"/>
              <w:bottom w:w="57" w:type="dxa"/>
            </w:tcMar>
          </w:tcPr>
          <w:p w14:paraId="054F8CF0" w14:textId="77777777" w:rsidR="003C3D08" w:rsidRPr="009C533F" w:rsidRDefault="003C3D08" w:rsidP="003C3D08">
            <w:pPr>
              <w:spacing w:after="0"/>
            </w:pPr>
            <w:r w:rsidRPr="009C533F">
              <w:t>DRA 1.</w:t>
            </w:r>
          </w:p>
        </w:tc>
        <w:tc>
          <w:tcPr>
            <w:tcW w:w="754" w:type="pct"/>
            <w:shd w:val="clear" w:color="auto" w:fill="auto"/>
            <w:tcMar>
              <w:top w:w="57" w:type="dxa"/>
              <w:bottom w:w="57" w:type="dxa"/>
            </w:tcMar>
          </w:tcPr>
          <w:p w14:paraId="57DE97D2" w14:textId="77777777" w:rsidR="003C3D08" w:rsidRPr="009C533F" w:rsidRDefault="003C3D08" w:rsidP="003C3D08">
            <w:pPr>
              <w:spacing w:after="0"/>
              <w:jc w:val="both"/>
              <w:rPr>
                <w:rFonts w:cs="Arial"/>
              </w:rPr>
            </w:pPr>
            <w:r w:rsidRPr="009C533F">
              <w:rPr>
                <w:rFonts w:cs="Arial"/>
              </w:rPr>
              <w:t>General public</w:t>
            </w:r>
          </w:p>
        </w:tc>
        <w:tc>
          <w:tcPr>
            <w:tcW w:w="1970" w:type="pct"/>
            <w:shd w:val="clear" w:color="auto" w:fill="auto"/>
            <w:tcMar>
              <w:top w:w="57" w:type="dxa"/>
              <w:bottom w:w="57" w:type="dxa"/>
            </w:tcMar>
          </w:tcPr>
          <w:p w14:paraId="11733BD1" w14:textId="77777777" w:rsidR="003C3D08" w:rsidRPr="009C533F" w:rsidRDefault="003C3D08" w:rsidP="003C3D08">
            <w:pPr>
              <w:spacing w:after="0"/>
              <w:jc w:val="both"/>
              <w:rPr>
                <w:rFonts w:cs="Arial"/>
                <w:lang w:val="en-US"/>
              </w:rPr>
            </w:pPr>
            <w:r w:rsidRPr="009C533F">
              <w:rPr>
                <w:rFonts w:cs="Arial"/>
                <w:lang w:val="en-US"/>
              </w:rPr>
              <w:t>Contamination of food with contact with palm of treated hands</w:t>
            </w:r>
          </w:p>
        </w:tc>
        <w:tc>
          <w:tcPr>
            <w:tcW w:w="1689" w:type="pct"/>
            <w:shd w:val="clear" w:color="auto" w:fill="auto"/>
            <w:tcMar>
              <w:top w:w="57" w:type="dxa"/>
              <w:bottom w:w="57" w:type="dxa"/>
            </w:tcMar>
          </w:tcPr>
          <w:p w14:paraId="0CCA8351" w14:textId="77777777" w:rsidR="003C3D08" w:rsidRPr="009C533F" w:rsidRDefault="003C3D08" w:rsidP="003C3D08">
            <w:pPr>
              <w:spacing w:after="0"/>
              <w:jc w:val="both"/>
              <w:rPr>
                <w:rFonts w:cs="Arial"/>
              </w:rPr>
            </w:pPr>
            <w:r w:rsidRPr="009C533F">
              <w:rPr>
                <w:rFonts w:cs="Arial"/>
              </w:rPr>
              <w:t>All kind of food</w:t>
            </w:r>
          </w:p>
        </w:tc>
      </w:tr>
    </w:tbl>
    <w:p w14:paraId="6D4F4CFC" w14:textId="77777777" w:rsidR="003C3D08" w:rsidRPr="00F81118" w:rsidRDefault="003C3D08" w:rsidP="003C3D08">
      <w:pPr>
        <w:spacing w:after="0"/>
        <w:rPr>
          <w:iCs/>
          <w:sz w:val="18"/>
          <w:lang w:val="en-US"/>
        </w:rPr>
      </w:pPr>
      <w:r w:rsidRPr="00F81118">
        <w:rPr>
          <w:iCs/>
          <w:sz w:val="18"/>
          <w:vertAlign w:val="superscript"/>
          <w:lang w:val="en-US"/>
        </w:rPr>
        <w:t>1</w:t>
      </w:r>
      <w:r w:rsidRPr="00F81118">
        <w:rPr>
          <w:iCs/>
          <w:sz w:val="18"/>
          <w:lang w:val="en-US"/>
        </w:rPr>
        <w:t xml:space="preserve"> e.g. animal husbandry, food industry, professional use, residential use. </w:t>
      </w:r>
    </w:p>
    <w:p w14:paraId="164951F7" w14:textId="77777777" w:rsidR="003C3D08" w:rsidRPr="00F81118" w:rsidRDefault="003C3D08" w:rsidP="003C3D08">
      <w:pPr>
        <w:spacing w:after="0"/>
        <w:rPr>
          <w:lang w:val="en-US"/>
        </w:rPr>
      </w:pPr>
      <w:r w:rsidRPr="00F81118">
        <w:rPr>
          <w:iCs/>
          <w:sz w:val="18"/>
          <w:vertAlign w:val="superscript"/>
          <w:lang w:val="en-US"/>
        </w:rPr>
        <w:t>2</w:t>
      </w:r>
      <w:r w:rsidRPr="00F81118">
        <w:rPr>
          <w:iCs/>
          <w:sz w:val="18"/>
          <w:lang w:val="en-US"/>
        </w:rPr>
        <w:t xml:space="preserve"> e.g. chicken, milk, beer</w:t>
      </w:r>
    </w:p>
    <w:p w14:paraId="15DA324C" w14:textId="77777777" w:rsidR="003C3D08" w:rsidRPr="00F81118" w:rsidRDefault="003C3D08" w:rsidP="003C3D08">
      <w:pPr>
        <w:spacing w:after="0"/>
        <w:rPr>
          <w:i/>
          <w:iCs/>
          <w:lang w:val="en-US"/>
        </w:rPr>
      </w:pPr>
    </w:p>
    <w:p w14:paraId="6EC83E9C" w14:textId="77777777" w:rsidR="003C3D08" w:rsidRPr="00F81118" w:rsidRDefault="003C3D08" w:rsidP="001B7765">
      <w:pPr>
        <w:spacing w:after="0"/>
        <w:rPr>
          <w:i/>
          <w:u w:val="single"/>
          <w:lang w:val="en-US"/>
        </w:rPr>
      </w:pPr>
      <w:bookmarkStart w:id="226" w:name="_Toc389729079"/>
      <w:r w:rsidRPr="00F81118">
        <w:rPr>
          <w:i/>
          <w:u w:val="single"/>
          <w:lang w:val="en-US"/>
        </w:rPr>
        <w:t>Information of non-biocidal use of the active substance</w:t>
      </w:r>
      <w:bookmarkEnd w:id="226"/>
    </w:p>
    <w:p w14:paraId="1316DEEF" w14:textId="77777777" w:rsidR="003C3D08" w:rsidRPr="009C533F" w:rsidRDefault="003C3D08" w:rsidP="001B7765">
      <w:pPr>
        <w:spacing w:after="0"/>
        <w:jc w:val="both"/>
        <w:rPr>
          <w:rFonts w:cs="Arial"/>
          <w:lang w:val="en-US"/>
        </w:rPr>
      </w:pPr>
      <w:r w:rsidRPr="009C533F">
        <w:rPr>
          <w:rFonts w:cs="Arial"/>
          <w:lang w:val="en-US"/>
        </w:rPr>
        <w:t>IR3535 is not known to be used in other areas.</w:t>
      </w:r>
    </w:p>
    <w:p w14:paraId="6F733ED4" w14:textId="77777777" w:rsidR="003C3D08" w:rsidRPr="00F81118" w:rsidRDefault="003C3D08" w:rsidP="001B7765">
      <w:pPr>
        <w:spacing w:after="0"/>
        <w:rPr>
          <w:lang w:val="en-US"/>
        </w:rPr>
      </w:pPr>
    </w:p>
    <w:p w14:paraId="333E3A36" w14:textId="77777777" w:rsidR="003C3D08" w:rsidRPr="00F81118" w:rsidRDefault="003C3D08" w:rsidP="001B7765">
      <w:pPr>
        <w:spacing w:after="0"/>
        <w:rPr>
          <w:i/>
          <w:u w:val="single"/>
          <w:lang w:val="en-US"/>
        </w:rPr>
      </w:pPr>
      <w:bookmarkStart w:id="227" w:name="_Toc389729080"/>
      <w:r w:rsidRPr="00F81118">
        <w:rPr>
          <w:i/>
          <w:u w:val="single"/>
          <w:lang w:val="en-US"/>
        </w:rPr>
        <w:t>Estimating Livestock Exposure to Active Substances used in Biocidal Products</w:t>
      </w:r>
      <w:bookmarkEnd w:id="227"/>
    </w:p>
    <w:p w14:paraId="754BF25F" w14:textId="77777777" w:rsidR="003C3D08" w:rsidRPr="009C533F" w:rsidRDefault="003C3D08" w:rsidP="001B7765">
      <w:pPr>
        <w:spacing w:after="0"/>
        <w:jc w:val="both"/>
        <w:rPr>
          <w:rFonts w:cs="Arial"/>
          <w:lang w:val="en-US"/>
        </w:rPr>
      </w:pPr>
      <w:r w:rsidRPr="009C533F">
        <w:rPr>
          <w:rFonts w:cs="Arial"/>
          <w:lang w:val="en-US"/>
        </w:rPr>
        <w:t>Regarding the intended use of the products of SPRAY REPULSIF IR200, no livestock exposure to IR3535 is expected.</w:t>
      </w:r>
    </w:p>
    <w:p w14:paraId="7D9E0EA9" w14:textId="77777777" w:rsidR="003C3D08" w:rsidRPr="00F81118" w:rsidRDefault="003C3D08" w:rsidP="001B7765">
      <w:pPr>
        <w:spacing w:after="0"/>
        <w:rPr>
          <w:i/>
          <w:iCs/>
          <w:lang w:val="en-US"/>
        </w:rPr>
      </w:pPr>
    </w:p>
    <w:p w14:paraId="33A555D1" w14:textId="77777777" w:rsidR="003C3D08" w:rsidRPr="00F81118" w:rsidRDefault="003C3D08" w:rsidP="001B7765">
      <w:pPr>
        <w:spacing w:after="0"/>
        <w:jc w:val="both"/>
        <w:rPr>
          <w:i/>
          <w:u w:val="single"/>
          <w:lang w:val="en-US"/>
        </w:rPr>
      </w:pPr>
      <w:bookmarkStart w:id="228" w:name="_Toc389729081"/>
      <w:r w:rsidRPr="00F81118">
        <w:rPr>
          <w:i/>
          <w:u w:val="single"/>
          <w:lang w:val="en-US"/>
        </w:rPr>
        <w:t>Estimating transfer of biocidal active substances into foods as a result of professional and/or industrial application(s)</w:t>
      </w:r>
      <w:bookmarkEnd w:id="228"/>
    </w:p>
    <w:p w14:paraId="68DA0678" w14:textId="77777777" w:rsidR="003C3D08" w:rsidRPr="00C033C5" w:rsidRDefault="003C3D08" w:rsidP="001B7765">
      <w:pPr>
        <w:spacing w:after="0"/>
        <w:rPr>
          <w:lang w:val="en-US"/>
        </w:rPr>
      </w:pPr>
    </w:p>
    <w:p w14:paraId="0F3717BE" w14:textId="77777777" w:rsidR="003C3D08" w:rsidRPr="00C033C5" w:rsidRDefault="003C3D08" w:rsidP="001B7765">
      <w:pPr>
        <w:spacing w:after="0"/>
        <w:jc w:val="both"/>
        <w:rPr>
          <w:rFonts w:cs="Arial"/>
          <w:b/>
          <w:bCs/>
          <w:lang w:val="en-US"/>
        </w:rPr>
      </w:pPr>
      <w:r w:rsidRPr="00C033C5">
        <w:rPr>
          <w:rFonts w:cs="Arial"/>
          <w:b/>
          <w:bCs/>
          <w:lang w:val="en-US"/>
        </w:rPr>
        <w:t xml:space="preserve">Scenario </w:t>
      </w:r>
      <w:r>
        <w:rPr>
          <w:rFonts w:cs="Arial"/>
          <w:b/>
          <w:bCs/>
          <w:lang w:val="en-US"/>
        </w:rPr>
        <w:t xml:space="preserve">DRA </w:t>
      </w:r>
      <w:r w:rsidRPr="00C033C5">
        <w:rPr>
          <w:rFonts w:cs="Arial"/>
          <w:b/>
          <w:bCs/>
          <w:lang w:val="en-US"/>
        </w:rPr>
        <w:t>1</w:t>
      </w:r>
    </w:p>
    <w:p w14:paraId="4F9687F3" w14:textId="77777777" w:rsidR="003C3D08" w:rsidRPr="00C033C5" w:rsidRDefault="003C3D08" w:rsidP="003C3D08">
      <w:pPr>
        <w:spacing w:after="0"/>
        <w:jc w:val="both"/>
        <w:rPr>
          <w:rFonts w:cs="Arial"/>
          <w:lang w:val="en-US"/>
        </w:rPr>
      </w:pPr>
    </w:p>
    <w:p w14:paraId="5CEA4A65" w14:textId="3EB7B97C" w:rsidR="003C3D08" w:rsidRDefault="003C3D08" w:rsidP="001B7765">
      <w:pPr>
        <w:spacing w:after="0"/>
        <w:jc w:val="both"/>
        <w:rPr>
          <w:rFonts w:cs="Arial"/>
          <w:lang w:val="en-US"/>
        </w:rPr>
      </w:pPr>
      <w:r>
        <w:rPr>
          <w:rFonts w:cs="Arial"/>
          <w:lang w:val="en-US"/>
        </w:rPr>
        <w:t>An exposure estimation scenario for PT19 with skin application is presented below. It is a model proposed by FR and its development is still under discussions</w:t>
      </w:r>
      <w:r w:rsidRPr="006719A6">
        <w:rPr>
          <w:rFonts w:cs="Arial"/>
          <w:lang w:val="en-US"/>
        </w:rPr>
        <w:t xml:space="preserve"> </w:t>
      </w:r>
      <w:r>
        <w:rPr>
          <w:rFonts w:cs="Arial"/>
          <w:lang w:val="en-US"/>
        </w:rPr>
        <w:t xml:space="preserve">in framework of </w:t>
      </w:r>
      <w:r w:rsidR="00AE1B0E">
        <w:rPr>
          <w:rFonts w:cs="Arial"/>
          <w:lang w:val="en-US"/>
        </w:rPr>
        <w:t>ART Food</w:t>
      </w:r>
      <w:r>
        <w:rPr>
          <w:rFonts w:cs="Arial"/>
          <w:lang w:val="en-US"/>
        </w:rPr>
        <w:t>.</w:t>
      </w:r>
    </w:p>
    <w:p w14:paraId="2334EBB8" w14:textId="77777777" w:rsidR="003C3D08" w:rsidRDefault="003C3D08" w:rsidP="001B7765">
      <w:pPr>
        <w:spacing w:after="0"/>
        <w:jc w:val="both"/>
        <w:rPr>
          <w:rFonts w:cs="Arial"/>
          <w:lang w:val="en-US"/>
        </w:rPr>
      </w:pPr>
      <w:r w:rsidRPr="00C033C5">
        <w:rPr>
          <w:rFonts w:cs="Arial"/>
          <w:lang w:val="en-US"/>
        </w:rPr>
        <w:t xml:space="preserve">Scenario </w:t>
      </w:r>
      <w:r>
        <w:rPr>
          <w:rFonts w:cs="Arial"/>
          <w:lang w:val="en-US"/>
        </w:rPr>
        <w:t xml:space="preserve">DRA </w:t>
      </w:r>
      <w:r w:rsidRPr="00C033C5">
        <w:rPr>
          <w:rFonts w:cs="Arial"/>
          <w:lang w:val="en-US"/>
        </w:rPr>
        <w:t xml:space="preserve">1 </w:t>
      </w:r>
      <w:r>
        <w:rPr>
          <w:rFonts w:cs="Arial"/>
          <w:lang w:val="en-US"/>
        </w:rPr>
        <w:t>has been</w:t>
      </w:r>
      <w:r w:rsidRPr="00C033C5">
        <w:rPr>
          <w:rFonts w:cs="Arial"/>
          <w:lang w:val="en-US"/>
        </w:rPr>
        <w:t xml:space="preserve"> performed for toddler, child and adult considering reference values mentioned in </w:t>
      </w:r>
      <w:r w:rsidRPr="009C533F">
        <w:rPr>
          <w:rFonts w:cs="Arial"/>
          <w:lang w:val="en-US"/>
        </w:rPr>
        <w:t>HEADhoc recommendation No. 14</w:t>
      </w:r>
      <w:r w:rsidRPr="00C033C5">
        <w:rPr>
          <w:rFonts w:cs="Arial"/>
          <w:lang w:val="en-US"/>
        </w:rPr>
        <w:t>.</w:t>
      </w:r>
    </w:p>
    <w:p w14:paraId="4043C251" w14:textId="77777777" w:rsidR="003C3D08" w:rsidRPr="00C033C5" w:rsidRDefault="003C3D08" w:rsidP="003C3D08">
      <w:pPr>
        <w:spacing w:after="0"/>
        <w:jc w:val="both"/>
        <w:rPr>
          <w:rFonts w:cs="Arial"/>
          <w:lang w:val="en-US"/>
        </w:rPr>
      </w:pPr>
    </w:p>
    <w:tbl>
      <w:tblPr>
        <w:tblW w:w="9431" w:type="dxa"/>
        <w:tblInd w:w="-5" w:type="dxa"/>
        <w:tblLayout w:type="fixed"/>
        <w:tblCellMar>
          <w:left w:w="70" w:type="dxa"/>
          <w:right w:w="70" w:type="dxa"/>
        </w:tblCellMar>
        <w:tblLook w:val="04A0" w:firstRow="1" w:lastRow="0" w:firstColumn="1" w:lastColumn="0" w:noHBand="0" w:noVBand="1"/>
      </w:tblPr>
      <w:tblGrid>
        <w:gridCol w:w="4470"/>
        <w:gridCol w:w="1240"/>
        <w:gridCol w:w="1240"/>
        <w:gridCol w:w="1240"/>
        <w:gridCol w:w="1241"/>
      </w:tblGrid>
      <w:tr w:rsidR="003C3D08" w:rsidRPr="00C033C5" w14:paraId="1B42D5B8" w14:textId="77777777" w:rsidTr="001B7765">
        <w:trPr>
          <w:trHeight w:val="300"/>
        </w:trPr>
        <w:tc>
          <w:tcPr>
            <w:tcW w:w="4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7A6A" w14:textId="77777777" w:rsidR="003C3D08" w:rsidRPr="00C033C5" w:rsidRDefault="003C3D08" w:rsidP="001B7765">
            <w:pPr>
              <w:spacing w:after="0"/>
              <w:jc w:val="both"/>
              <w:rPr>
                <w:rFonts w:cs="Arial"/>
                <w:lang w:val="en-US"/>
              </w:rPr>
            </w:pPr>
            <w:r w:rsidRPr="00C033C5">
              <w:rPr>
                <w:rFonts w:cs="Arial"/>
                <w:lang w:val="en-US"/>
              </w:rPr>
              <w:t>The scenario is not considered relevant for infant (&lt;1 year), as the diet of infant consists mainly of milk and puree food, the contamination from hand to food is very limited. </w:t>
            </w:r>
          </w:p>
        </w:tc>
        <w:tc>
          <w:tcPr>
            <w:tcW w:w="1240" w:type="dxa"/>
            <w:tcBorders>
              <w:top w:val="single" w:sz="4" w:space="0" w:color="auto"/>
              <w:left w:val="nil"/>
              <w:bottom w:val="single" w:sz="4" w:space="0" w:color="auto"/>
              <w:right w:val="single" w:sz="4" w:space="0" w:color="auto"/>
            </w:tcBorders>
            <w:shd w:val="clear" w:color="auto" w:fill="auto"/>
            <w:vAlign w:val="center"/>
          </w:tcPr>
          <w:p w14:paraId="629EF7F1" w14:textId="77777777" w:rsidR="003C3D08" w:rsidRPr="00C033C5" w:rsidRDefault="003C3D08" w:rsidP="001B7765">
            <w:pPr>
              <w:spacing w:after="0"/>
              <w:jc w:val="both"/>
              <w:rPr>
                <w:rFonts w:cs="Arial"/>
              </w:rPr>
            </w:pPr>
            <w:r w:rsidRPr="00C033C5">
              <w:rPr>
                <w:rFonts w:cs="Arial"/>
              </w:rPr>
              <w:t xml:space="preserve">toddler </w:t>
            </w:r>
          </w:p>
          <w:p w14:paraId="079AC4AE" w14:textId="77777777" w:rsidR="003C3D08" w:rsidRPr="00C033C5" w:rsidRDefault="003C3D08" w:rsidP="001B7765">
            <w:pPr>
              <w:spacing w:after="0"/>
              <w:jc w:val="both"/>
              <w:rPr>
                <w:rFonts w:cs="Arial"/>
              </w:rPr>
            </w:pPr>
            <w:r>
              <w:rPr>
                <w:rFonts w:cs="Arial"/>
              </w:rPr>
              <w:t>1</w:t>
            </w:r>
            <w:r w:rsidRPr="00C033C5">
              <w:rPr>
                <w:rFonts w:cs="Arial"/>
              </w:rPr>
              <w:t>-2 years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777EF72" w14:textId="77777777" w:rsidR="003C3D08" w:rsidRPr="00C033C5" w:rsidRDefault="003C3D08" w:rsidP="001B7765">
            <w:pPr>
              <w:spacing w:after="0"/>
              <w:jc w:val="both"/>
              <w:rPr>
                <w:rFonts w:cs="Arial"/>
              </w:rPr>
            </w:pPr>
            <w:r w:rsidRPr="00C033C5">
              <w:rPr>
                <w:rFonts w:cs="Arial"/>
              </w:rPr>
              <w:t>Child</w:t>
            </w:r>
          </w:p>
          <w:p w14:paraId="2F29D702" w14:textId="77777777" w:rsidR="003C3D08" w:rsidRPr="00C033C5" w:rsidDel="00813390" w:rsidRDefault="003C3D08" w:rsidP="001B7765">
            <w:pPr>
              <w:spacing w:after="0"/>
              <w:jc w:val="both"/>
              <w:rPr>
                <w:rFonts w:cs="Arial"/>
              </w:rPr>
            </w:pPr>
            <w:r w:rsidRPr="00C033C5">
              <w:rPr>
                <w:rFonts w:cs="Arial"/>
              </w:rPr>
              <w:t>2-</w:t>
            </w:r>
            <w:r>
              <w:rPr>
                <w:rFonts w:cs="Arial"/>
              </w:rPr>
              <w:t>6</w:t>
            </w:r>
            <w:r w:rsidRPr="00C033C5">
              <w:rPr>
                <w:rFonts w:cs="Arial"/>
              </w:rPr>
              <w:t xml:space="preserve"> years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32A4576" w14:textId="77777777" w:rsidR="003C3D08" w:rsidRPr="00C033C5" w:rsidRDefault="003C3D08" w:rsidP="001B7765">
            <w:pPr>
              <w:spacing w:after="0"/>
              <w:jc w:val="both"/>
              <w:rPr>
                <w:rFonts w:cs="Arial"/>
              </w:rPr>
            </w:pPr>
            <w:r w:rsidRPr="00C033C5">
              <w:rPr>
                <w:rFonts w:cs="Arial"/>
              </w:rPr>
              <w:t>Child</w:t>
            </w:r>
          </w:p>
          <w:p w14:paraId="37B7A2A0" w14:textId="77777777" w:rsidR="003C3D08" w:rsidRPr="00C033C5" w:rsidRDefault="003C3D08" w:rsidP="001B7765">
            <w:pPr>
              <w:spacing w:after="0"/>
              <w:ind w:left="-42" w:right="-13"/>
              <w:jc w:val="both"/>
              <w:rPr>
                <w:rFonts w:cs="Arial"/>
              </w:rPr>
            </w:pPr>
            <w:r w:rsidRPr="00C033C5">
              <w:rPr>
                <w:rFonts w:cs="Arial"/>
              </w:rPr>
              <w:t>6-1</w:t>
            </w:r>
            <w:r>
              <w:rPr>
                <w:rFonts w:cs="Arial"/>
              </w:rPr>
              <w:t>2</w:t>
            </w:r>
            <w:r w:rsidRPr="00C033C5">
              <w:rPr>
                <w:rFonts w:cs="Arial"/>
              </w:rPr>
              <w:t xml:space="preserve"> years</w:t>
            </w:r>
            <w:r w:rsidRPr="00C033C5" w:rsidDel="004A2929">
              <w:rPr>
                <w:rFonts w:cs="Arial"/>
                <w: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9730" w14:textId="77777777" w:rsidR="003C3D08" w:rsidRPr="00C033C5" w:rsidRDefault="003C3D08" w:rsidP="001B7765">
            <w:pPr>
              <w:spacing w:after="0"/>
              <w:jc w:val="both"/>
              <w:rPr>
                <w:rFonts w:cs="Arial"/>
              </w:rPr>
            </w:pPr>
            <w:r w:rsidRPr="00C033C5">
              <w:rPr>
                <w:rFonts w:cs="Arial"/>
              </w:rPr>
              <w:t>Adult</w:t>
            </w:r>
          </w:p>
        </w:tc>
      </w:tr>
      <w:tr w:rsidR="003C3D08" w:rsidRPr="00C033C5" w14:paraId="266E530C" w14:textId="77777777" w:rsidTr="001B7765">
        <w:trPr>
          <w:trHeight w:val="247"/>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6E0DC00B" w14:textId="77777777" w:rsidR="003C3D08" w:rsidRPr="00C033C5" w:rsidRDefault="003C3D08" w:rsidP="001B7765">
            <w:pPr>
              <w:spacing w:after="0"/>
              <w:jc w:val="both"/>
              <w:rPr>
                <w:rFonts w:cs="Arial"/>
              </w:rPr>
            </w:pPr>
            <w:r w:rsidRPr="00C033C5">
              <w:rPr>
                <w:rFonts w:cs="Arial"/>
              </w:rPr>
              <w:t>body weight (kg)</w:t>
            </w:r>
          </w:p>
        </w:tc>
        <w:tc>
          <w:tcPr>
            <w:tcW w:w="1240" w:type="dxa"/>
            <w:tcBorders>
              <w:top w:val="single" w:sz="4" w:space="0" w:color="auto"/>
              <w:left w:val="nil"/>
              <w:bottom w:val="single" w:sz="4" w:space="0" w:color="auto"/>
              <w:right w:val="single" w:sz="4" w:space="0" w:color="auto"/>
            </w:tcBorders>
            <w:shd w:val="clear" w:color="auto" w:fill="auto"/>
            <w:vAlign w:val="center"/>
          </w:tcPr>
          <w:p w14:paraId="208D5BC9" w14:textId="77777777" w:rsidR="003C3D08" w:rsidRPr="00C033C5" w:rsidRDefault="003C3D08" w:rsidP="001B7765">
            <w:pPr>
              <w:spacing w:after="0"/>
              <w:jc w:val="both"/>
              <w:rPr>
                <w:rFonts w:cs="Arial"/>
              </w:rPr>
            </w:pPr>
            <w:r w:rsidRPr="00C033C5">
              <w:rPr>
                <w:rFonts w:cs="Arial"/>
              </w:rPr>
              <w:t>10</w:t>
            </w:r>
          </w:p>
        </w:tc>
        <w:tc>
          <w:tcPr>
            <w:tcW w:w="1240" w:type="dxa"/>
            <w:tcBorders>
              <w:top w:val="nil"/>
              <w:left w:val="single" w:sz="4" w:space="0" w:color="auto"/>
              <w:bottom w:val="single" w:sz="4" w:space="0" w:color="auto"/>
              <w:right w:val="single" w:sz="4" w:space="0" w:color="auto"/>
            </w:tcBorders>
            <w:shd w:val="clear" w:color="auto" w:fill="auto"/>
            <w:vAlign w:val="center"/>
          </w:tcPr>
          <w:p w14:paraId="6A06F62C" w14:textId="77777777" w:rsidR="003C3D08" w:rsidRPr="00C033C5" w:rsidRDefault="003C3D08" w:rsidP="001B7765">
            <w:pPr>
              <w:spacing w:after="0"/>
              <w:jc w:val="both"/>
              <w:rPr>
                <w:rFonts w:cs="Arial"/>
              </w:rPr>
            </w:pPr>
            <w:r w:rsidRPr="00C033C5">
              <w:rPr>
                <w:rFonts w:cs="Arial"/>
              </w:rPr>
              <w:t>1</w:t>
            </w:r>
            <w:r>
              <w:rPr>
                <w:rFonts w:cs="Arial"/>
              </w:rPr>
              <w:t>5.6</w:t>
            </w:r>
          </w:p>
        </w:tc>
        <w:tc>
          <w:tcPr>
            <w:tcW w:w="1240" w:type="dxa"/>
            <w:tcBorders>
              <w:top w:val="nil"/>
              <w:left w:val="single" w:sz="4" w:space="0" w:color="auto"/>
              <w:bottom w:val="single" w:sz="4" w:space="0" w:color="auto"/>
              <w:right w:val="single" w:sz="4" w:space="0" w:color="auto"/>
            </w:tcBorders>
            <w:shd w:val="clear" w:color="auto" w:fill="auto"/>
            <w:vAlign w:val="center"/>
          </w:tcPr>
          <w:p w14:paraId="281EF31E" w14:textId="77777777" w:rsidR="003C3D08" w:rsidRPr="00C033C5" w:rsidRDefault="003C3D08" w:rsidP="001B7765">
            <w:pPr>
              <w:spacing w:after="0"/>
              <w:jc w:val="both"/>
              <w:rPr>
                <w:rFonts w:cs="Arial"/>
              </w:rPr>
            </w:pPr>
            <w:r w:rsidRPr="00C033C5">
              <w:rPr>
                <w:rFonts w:cs="Arial"/>
              </w:rPr>
              <w:t>23.9</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46618669" w14:textId="77777777" w:rsidR="003C3D08" w:rsidRPr="00C033C5" w:rsidRDefault="003C3D08" w:rsidP="001B7765">
            <w:pPr>
              <w:spacing w:after="0"/>
              <w:jc w:val="both"/>
              <w:rPr>
                <w:rFonts w:cs="Arial"/>
              </w:rPr>
            </w:pPr>
            <w:r w:rsidRPr="00C033C5">
              <w:rPr>
                <w:rFonts w:cs="Arial"/>
              </w:rPr>
              <w:t>60</w:t>
            </w:r>
          </w:p>
        </w:tc>
      </w:tr>
      <w:tr w:rsidR="003C3D08" w:rsidRPr="00C033C5" w14:paraId="4FA3EB4E" w14:textId="77777777" w:rsidTr="001B7765">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7174B239" w14:textId="77777777" w:rsidR="003C3D08" w:rsidRPr="00C033C5" w:rsidRDefault="003C3D08" w:rsidP="001B7765">
            <w:pPr>
              <w:spacing w:after="0"/>
              <w:jc w:val="both"/>
              <w:rPr>
                <w:rFonts w:cs="Arial"/>
                <w:lang w:val="en-US"/>
              </w:rPr>
            </w:pPr>
            <w:r w:rsidRPr="00C033C5">
              <w:rPr>
                <w:rFonts w:cs="Arial"/>
                <w:lang w:val="en-US"/>
              </w:rPr>
              <w:t>hands (palms and back of both hands) (cm</w:t>
            </w:r>
            <w:r w:rsidRPr="00C033C5">
              <w:rPr>
                <w:rFonts w:cs="Arial"/>
                <w:vertAlign w:val="superscript"/>
                <w:lang w:val="en-US"/>
              </w:rPr>
              <w:t>2</w:t>
            </w:r>
            <w:r w:rsidRPr="00C033C5">
              <w:rPr>
                <w:rFonts w:cs="Arial"/>
                <w:lang w:val="en-US"/>
              </w:rPr>
              <w:t>)</w:t>
            </w:r>
          </w:p>
        </w:tc>
        <w:tc>
          <w:tcPr>
            <w:tcW w:w="1240" w:type="dxa"/>
            <w:tcBorders>
              <w:top w:val="single" w:sz="4" w:space="0" w:color="auto"/>
              <w:left w:val="nil"/>
              <w:bottom w:val="single" w:sz="4" w:space="0" w:color="auto"/>
              <w:right w:val="single" w:sz="4" w:space="0" w:color="auto"/>
            </w:tcBorders>
            <w:shd w:val="clear" w:color="auto" w:fill="auto"/>
            <w:vAlign w:val="center"/>
          </w:tcPr>
          <w:p w14:paraId="24E61DC2" w14:textId="77777777" w:rsidR="003C3D08" w:rsidRPr="00C033C5" w:rsidRDefault="003C3D08" w:rsidP="001B7765">
            <w:pPr>
              <w:spacing w:after="0"/>
              <w:jc w:val="both"/>
              <w:rPr>
                <w:rFonts w:cs="Arial"/>
              </w:rPr>
            </w:pPr>
            <w:r w:rsidRPr="00C033C5">
              <w:rPr>
                <w:rFonts w:cs="Arial"/>
              </w:rPr>
              <w:t>230.4</w:t>
            </w:r>
          </w:p>
        </w:tc>
        <w:tc>
          <w:tcPr>
            <w:tcW w:w="1240" w:type="dxa"/>
            <w:tcBorders>
              <w:top w:val="nil"/>
              <w:left w:val="single" w:sz="4" w:space="0" w:color="auto"/>
              <w:bottom w:val="single" w:sz="4" w:space="0" w:color="auto"/>
              <w:right w:val="single" w:sz="4" w:space="0" w:color="auto"/>
            </w:tcBorders>
            <w:shd w:val="clear" w:color="auto" w:fill="auto"/>
            <w:vAlign w:val="center"/>
          </w:tcPr>
          <w:p w14:paraId="2B10686E" w14:textId="77777777" w:rsidR="003C3D08" w:rsidRPr="00C033C5" w:rsidRDefault="003C3D08" w:rsidP="001B7765">
            <w:pPr>
              <w:spacing w:after="0"/>
              <w:jc w:val="both"/>
              <w:rPr>
                <w:rFonts w:cs="Arial"/>
              </w:rPr>
            </w:pPr>
            <w:r>
              <w:rPr>
                <w:rFonts w:cs="Arial"/>
              </w:rPr>
              <w:t>330.9</w:t>
            </w:r>
          </w:p>
        </w:tc>
        <w:tc>
          <w:tcPr>
            <w:tcW w:w="1240" w:type="dxa"/>
            <w:tcBorders>
              <w:top w:val="nil"/>
              <w:left w:val="single" w:sz="4" w:space="0" w:color="auto"/>
              <w:bottom w:val="single" w:sz="4" w:space="0" w:color="auto"/>
              <w:right w:val="single" w:sz="4" w:space="0" w:color="auto"/>
            </w:tcBorders>
            <w:shd w:val="clear" w:color="auto" w:fill="auto"/>
            <w:vAlign w:val="center"/>
          </w:tcPr>
          <w:p w14:paraId="2F830C58" w14:textId="77777777" w:rsidR="003C3D08" w:rsidRPr="00C033C5" w:rsidRDefault="003C3D08" w:rsidP="001B7765">
            <w:pPr>
              <w:spacing w:after="0"/>
              <w:jc w:val="both"/>
              <w:rPr>
                <w:rFonts w:cs="Arial"/>
              </w:rPr>
            </w:pPr>
            <w:r w:rsidRPr="00C033C5">
              <w:rPr>
                <w:rFonts w:cs="Arial"/>
              </w:rPr>
              <w:t>427.8</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517D5147" w14:textId="77777777" w:rsidR="003C3D08" w:rsidRPr="00C033C5" w:rsidRDefault="003C3D08" w:rsidP="001B7765">
            <w:pPr>
              <w:spacing w:after="0"/>
              <w:jc w:val="both"/>
              <w:rPr>
                <w:rFonts w:cs="Arial"/>
              </w:rPr>
            </w:pPr>
            <w:r w:rsidRPr="00C033C5">
              <w:rPr>
                <w:rFonts w:cs="Arial"/>
              </w:rPr>
              <w:t>820</w:t>
            </w:r>
          </w:p>
        </w:tc>
      </w:tr>
    </w:tbl>
    <w:p w14:paraId="5E86F95C" w14:textId="77777777" w:rsidR="003C3D08" w:rsidRPr="00C033C5" w:rsidRDefault="003C3D08" w:rsidP="001B7765">
      <w:pPr>
        <w:spacing w:after="0"/>
        <w:jc w:val="both"/>
        <w:rPr>
          <w:rFonts w:cs="Arial"/>
        </w:rPr>
      </w:pPr>
    </w:p>
    <w:p w14:paraId="7B191915" w14:textId="77777777" w:rsidR="003C3D08" w:rsidRPr="00C033C5" w:rsidRDefault="003C3D08" w:rsidP="001B7765">
      <w:pPr>
        <w:spacing w:after="0"/>
        <w:jc w:val="both"/>
        <w:rPr>
          <w:rFonts w:cs="Arial"/>
          <w:lang w:val="en-US"/>
        </w:rPr>
      </w:pPr>
      <w:r w:rsidRPr="00C033C5">
        <w:rPr>
          <w:rFonts w:cs="Arial"/>
          <w:lang w:val="en-US"/>
        </w:rPr>
        <w:t xml:space="preserve">These biocidal products are intended for </w:t>
      </w:r>
      <w:r w:rsidRPr="001B7765">
        <w:rPr>
          <w:rFonts w:cs="Arial"/>
          <w:lang w:val="en-US"/>
        </w:rPr>
        <w:t>children ≤6 years with 1 application per day, and for children &gt; 6 years and adults until 2 applications per day.</w:t>
      </w:r>
      <w:r w:rsidRPr="00C033C5">
        <w:rPr>
          <w:rFonts w:cs="Arial"/>
          <w:lang w:val="en-US"/>
        </w:rPr>
        <w:t xml:space="preserve"> </w:t>
      </w:r>
    </w:p>
    <w:p w14:paraId="0CE43298" w14:textId="77777777" w:rsidR="003C3D08" w:rsidRPr="00C033C5" w:rsidRDefault="003C3D08" w:rsidP="001B7765">
      <w:pPr>
        <w:spacing w:after="0"/>
        <w:jc w:val="both"/>
        <w:rPr>
          <w:rFonts w:cs="Arial"/>
          <w:lang w:val="en-US"/>
        </w:rPr>
      </w:pPr>
    </w:p>
    <w:p w14:paraId="29759D5A" w14:textId="77777777" w:rsidR="003C3D08" w:rsidRPr="00C033C5" w:rsidRDefault="003C3D08" w:rsidP="001B7765">
      <w:pPr>
        <w:spacing w:after="0"/>
        <w:jc w:val="both"/>
        <w:rPr>
          <w:rFonts w:cs="Arial"/>
          <w:lang w:val="en-US"/>
        </w:rPr>
      </w:pPr>
      <w:r w:rsidRPr="00C033C5">
        <w:rPr>
          <w:rFonts w:cs="Arial"/>
          <w:lang w:val="en-US"/>
        </w:rPr>
        <w:t>To estimate dietary exposure, the following assumption</w:t>
      </w:r>
      <w:r>
        <w:rPr>
          <w:rFonts w:cs="Arial"/>
          <w:lang w:val="en-US"/>
        </w:rPr>
        <w:t>s</w:t>
      </w:r>
      <w:r w:rsidRPr="00C033C5">
        <w:rPr>
          <w:rFonts w:cs="Arial"/>
          <w:lang w:val="en-US"/>
        </w:rPr>
        <w:t xml:space="preserve"> and reference values were used:</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1"/>
        <w:gridCol w:w="3260"/>
      </w:tblGrid>
      <w:tr w:rsidR="003C3D08" w:rsidRPr="00C033C5" w14:paraId="61A3CF34" w14:textId="77777777" w:rsidTr="001B7765">
        <w:trPr>
          <w:trHeight w:val="300"/>
        </w:trPr>
        <w:tc>
          <w:tcPr>
            <w:tcW w:w="6101" w:type="dxa"/>
            <w:shd w:val="clear" w:color="auto" w:fill="auto"/>
            <w:noWrap/>
            <w:vAlign w:val="center"/>
            <w:hideMark/>
          </w:tcPr>
          <w:p w14:paraId="20225F03" w14:textId="77777777" w:rsidR="003C3D08" w:rsidRPr="00C033C5" w:rsidRDefault="003C3D08" w:rsidP="001B7765">
            <w:pPr>
              <w:spacing w:after="0"/>
              <w:jc w:val="both"/>
              <w:rPr>
                <w:rFonts w:cs="Arial"/>
                <w:lang w:val="en-US"/>
              </w:rPr>
            </w:pPr>
            <w:r w:rsidRPr="00C033C5">
              <w:rPr>
                <w:rFonts w:cs="Arial"/>
                <w:lang w:val="en-US"/>
              </w:rPr>
              <w:t>Ratio surface factor of the palm compared to whole hand</w:t>
            </w:r>
          </w:p>
        </w:tc>
        <w:tc>
          <w:tcPr>
            <w:tcW w:w="3260" w:type="dxa"/>
            <w:shd w:val="clear" w:color="auto" w:fill="auto"/>
            <w:vAlign w:val="center"/>
          </w:tcPr>
          <w:p w14:paraId="61A3BD58" w14:textId="77777777" w:rsidR="003C3D08" w:rsidRPr="00C033C5" w:rsidRDefault="003C3D08" w:rsidP="001B7765">
            <w:pPr>
              <w:spacing w:after="0"/>
              <w:jc w:val="both"/>
              <w:rPr>
                <w:rFonts w:cs="Arial"/>
              </w:rPr>
            </w:pPr>
            <w:r w:rsidRPr="00C033C5">
              <w:rPr>
                <w:rFonts w:cs="Arial"/>
              </w:rPr>
              <w:t>0.5</w:t>
            </w:r>
          </w:p>
        </w:tc>
      </w:tr>
      <w:tr w:rsidR="003C3D08" w:rsidRPr="00C033C5" w14:paraId="18A92E7F" w14:textId="77777777" w:rsidTr="001B7765">
        <w:trPr>
          <w:trHeight w:val="300"/>
        </w:trPr>
        <w:tc>
          <w:tcPr>
            <w:tcW w:w="6101" w:type="dxa"/>
            <w:shd w:val="clear" w:color="auto" w:fill="auto"/>
            <w:noWrap/>
            <w:vAlign w:val="center"/>
            <w:hideMark/>
          </w:tcPr>
          <w:p w14:paraId="6450EFDB" w14:textId="77777777" w:rsidR="003C3D08" w:rsidRPr="00C033C5" w:rsidRDefault="003C3D08" w:rsidP="001B7765">
            <w:pPr>
              <w:spacing w:after="0"/>
              <w:jc w:val="both"/>
              <w:rPr>
                <w:rFonts w:cs="Arial"/>
                <w:lang w:val="en-US"/>
              </w:rPr>
            </w:pPr>
            <w:r w:rsidRPr="00C033C5">
              <w:rPr>
                <w:rFonts w:cs="Arial"/>
                <w:lang w:val="en-US"/>
              </w:rPr>
              <w:t>transfer factor (hand to food) in %</w:t>
            </w:r>
          </w:p>
        </w:tc>
        <w:tc>
          <w:tcPr>
            <w:tcW w:w="3260" w:type="dxa"/>
            <w:shd w:val="clear" w:color="auto" w:fill="auto"/>
            <w:vAlign w:val="center"/>
          </w:tcPr>
          <w:p w14:paraId="100E88F7" w14:textId="77777777" w:rsidR="003C3D08" w:rsidRPr="00C033C5" w:rsidRDefault="003C3D08" w:rsidP="001B7765">
            <w:pPr>
              <w:spacing w:after="0"/>
              <w:jc w:val="both"/>
              <w:rPr>
                <w:rFonts w:cs="Arial"/>
              </w:rPr>
            </w:pPr>
            <w:r w:rsidRPr="00C033C5">
              <w:rPr>
                <w:rFonts w:cs="Arial"/>
              </w:rPr>
              <w:t>100%</w:t>
            </w:r>
          </w:p>
        </w:tc>
      </w:tr>
      <w:tr w:rsidR="003C3D08" w:rsidRPr="00C033C5" w14:paraId="475B2900" w14:textId="77777777" w:rsidTr="001B7765">
        <w:trPr>
          <w:trHeight w:val="300"/>
        </w:trPr>
        <w:tc>
          <w:tcPr>
            <w:tcW w:w="6101" w:type="dxa"/>
            <w:shd w:val="clear" w:color="auto" w:fill="auto"/>
            <w:noWrap/>
            <w:vAlign w:val="center"/>
            <w:hideMark/>
          </w:tcPr>
          <w:p w14:paraId="2D696B8B" w14:textId="77777777" w:rsidR="003C3D08" w:rsidRPr="00C033C5" w:rsidRDefault="003C3D08" w:rsidP="001B7765">
            <w:pPr>
              <w:spacing w:after="0"/>
              <w:jc w:val="both"/>
              <w:rPr>
                <w:rFonts w:cs="Arial"/>
                <w:lang w:val="en-US"/>
              </w:rPr>
            </w:pPr>
            <w:r w:rsidRPr="00C033C5">
              <w:rPr>
                <w:rFonts w:cs="Arial"/>
                <w:lang w:val="en-US"/>
              </w:rPr>
              <w:t>transfer factor (food to mouth) in %</w:t>
            </w:r>
          </w:p>
        </w:tc>
        <w:tc>
          <w:tcPr>
            <w:tcW w:w="3260" w:type="dxa"/>
            <w:shd w:val="clear" w:color="auto" w:fill="auto"/>
            <w:vAlign w:val="center"/>
          </w:tcPr>
          <w:p w14:paraId="404F902F" w14:textId="77777777" w:rsidR="003C3D08" w:rsidRPr="00C033C5" w:rsidRDefault="003C3D08" w:rsidP="001B7765">
            <w:pPr>
              <w:spacing w:after="0"/>
              <w:jc w:val="both"/>
              <w:rPr>
                <w:rFonts w:cs="Arial"/>
              </w:rPr>
            </w:pPr>
            <w:r w:rsidRPr="00C033C5">
              <w:rPr>
                <w:rFonts w:cs="Arial"/>
              </w:rPr>
              <w:t>100%</w:t>
            </w:r>
          </w:p>
        </w:tc>
      </w:tr>
      <w:tr w:rsidR="003C3D08" w:rsidRPr="004A6277" w14:paraId="04C443EF" w14:textId="77777777" w:rsidTr="001B7765">
        <w:trPr>
          <w:trHeight w:val="300"/>
        </w:trPr>
        <w:tc>
          <w:tcPr>
            <w:tcW w:w="6101" w:type="dxa"/>
            <w:shd w:val="clear" w:color="auto" w:fill="auto"/>
            <w:noWrap/>
            <w:vAlign w:val="center"/>
          </w:tcPr>
          <w:p w14:paraId="0F40BB3F" w14:textId="77777777" w:rsidR="003C3D08" w:rsidRPr="00C033C5" w:rsidRDefault="003C3D08" w:rsidP="001B7765">
            <w:pPr>
              <w:spacing w:after="0"/>
              <w:jc w:val="both"/>
              <w:rPr>
                <w:rFonts w:cs="Arial"/>
                <w:lang w:val="en-US"/>
              </w:rPr>
            </w:pPr>
            <w:r>
              <w:rPr>
                <w:rFonts w:cs="Arial"/>
                <w:lang w:val="en-US"/>
              </w:rPr>
              <w:t xml:space="preserve">Cumulative exposure considering daily application number </w:t>
            </w:r>
          </w:p>
        </w:tc>
        <w:tc>
          <w:tcPr>
            <w:tcW w:w="3260" w:type="dxa"/>
            <w:shd w:val="clear" w:color="auto" w:fill="auto"/>
            <w:vAlign w:val="center"/>
          </w:tcPr>
          <w:p w14:paraId="415C15FC" w14:textId="77777777" w:rsidR="003C3D08" w:rsidRPr="004A6277" w:rsidRDefault="003C3D08" w:rsidP="001B7765">
            <w:pPr>
              <w:spacing w:after="0"/>
              <w:jc w:val="both"/>
              <w:rPr>
                <w:rFonts w:cs="Arial"/>
                <w:lang w:val="en-US"/>
              </w:rPr>
            </w:pPr>
            <w:r>
              <w:rPr>
                <w:rFonts w:cs="Arial"/>
                <w:lang w:val="en-US"/>
              </w:rPr>
              <w:t>1-2</w:t>
            </w:r>
          </w:p>
        </w:tc>
      </w:tr>
      <w:tr w:rsidR="003C3D08" w:rsidRPr="000C06E0" w14:paraId="4267FA9D" w14:textId="77777777" w:rsidTr="001B7765">
        <w:trPr>
          <w:trHeight w:val="209"/>
        </w:trPr>
        <w:tc>
          <w:tcPr>
            <w:tcW w:w="6101" w:type="dxa"/>
            <w:shd w:val="clear" w:color="auto" w:fill="auto"/>
            <w:vAlign w:val="center"/>
            <w:hideMark/>
          </w:tcPr>
          <w:p w14:paraId="786EE410" w14:textId="77777777" w:rsidR="003C3D08" w:rsidRPr="00C033C5" w:rsidRDefault="003C3D08" w:rsidP="001B7765">
            <w:pPr>
              <w:spacing w:after="0"/>
              <w:jc w:val="both"/>
              <w:rPr>
                <w:rFonts w:cs="Arial"/>
                <w:lang w:val="en-US"/>
              </w:rPr>
            </w:pPr>
            <w:r w:rsidRPr="00C033C5">
              <w:rPr>
                <w:rFonts w:cs="Arial"/>
                <w:lang w:val="en-US"/>
              </w:rPr>
              <w:t>handwash after use  (i.e rinsing factor)</w:t>
            </w:r>
            <w:r w:rsidRPr="00C033C5">
              <w:rPr>
                <w:rFonts w:cs="Arial"/>
                <w:vertAlign w:val="superscript"/>
              </w:rPr>
              <w:footnoteReference w:id="13"/>
            </w:r>
          </w:p>
        </w:tc>
        <w:tc>
          <w:tcPr>
            <w:tcW w:w="3260" w:type="dxa"/>
            <w:shd w:val="clear" w:color="auto" w:fill="auto"/>
            <w:vAlign w:val="center"/>
          </w:tcPr>
          <w:p w14:paraId="51303B83" w14:textId="77777777" w:rsidR="003C3D08" w:rsidRPr="00C033C5" w:rsidRDefault="003C3D08" w:rsidP="001B7765">
            <w:pPr>
              <w:spacing w:after="0"/>
              <w:jc w:val="both"/>
              <w:rPr>
                <w:rFonts w:cs="Arial"/>
                <w:lang w:val="en-US"/>
              </w:rPr>
            </w:pPr>
            <w:r>
              <w:rPr>
                <w:rFonts w:cs="Arial"/>
                <w:lang w:val="en-US"/>
              </w:rPr>
              <w:t>3</w:t>
            </w:r>
            <w:r w:rsidRPr="00C033C5">
              <w:rPr>
                <w:rFonts w:cs="Arial"/>
                <w:lang w:val="en-US"/>
              </w:rPr>
              <w:t xml:space="preserve"> (considering that </w:t>
            </w:r>
            <w:r>
              <w:rPr>
                <w:rFonts w:cs="Arial"/>
                <w:lang w:val="en-US"/>
              </w:rPr>
              <w:t>a</w:t>
            </w:r>
            <w:r w:rsidRPr="00C033C5">
              <w:rPr>
                <w:rFonts w:cs="Arial"/>
                <w:lang w:val="en-US"/>
              </w:rPr>
              <w:t xml:space="preserve"> recommendation to wash hands is proposed)</w:t>
            </w:r>
          </w:p>
        </w:tc>
      </w:tr>
      <w:tr w:rsidR="003C3D08" w:rsidRPr="000C06E0" w14:paraId="7A686B8B" w14:textId="77777777" w:rsidTr="001B7765">
        <w:trPr>
          <w:trHeight w:val="209"/>
        </w:trPr>
        <w:tc>
          <w:tcPr>
            <w:tcW w:w="6101" w:type="dxa"/>
            <w:shd w:val="clear" w:color="auto" w:fill="auto"/>
            <w:vAlign w:val="center"/>
          </w:tcPr>
          <w:p w14:paraId="2A0633B3" w14:textId="77777777" w:rsidR="003C3D08" w:rsidRPr="00C033C5" w:rsidRDefault="003C3D08" w:rsidP="001B7765">
            <w:pPr>
              <w:spacing w:after="0"/>
              <w:jc w:val="both"/>
              <w:rPr>
                <w:rFonts w:cs="Arial"/>
                <w:lang w:val="en-US"/>
              </w:rPr>
            </w:pPr>
            <w:r>
              <w:rPr>
                <w:rFonts w:cs="Arial"/>
                <w:lang w:val="en-US"/>
              </w:rPr>
              <w:t xml:space="preserve">exposure for children ≤6 years </w:t>
            </w:r>
          </w:p>
        </w:tc>
        <w:tc>
          <w:tcPr>
            <w:tcW w:w="3260" w:type="dxa"/>
            <w:shd w:val="clear" w:color="auto" w:fill="auto"/>
            <w:vAlign w:val="center"/>
          </w:tcPr>
          <w:p w14:paraId="4AFA2BA0" w14:textId="77777777" w:rsidR="003C3D08" w:rsidRPr="00C033C5" w:rsidDel="004A6277" w:rsidRDefault="003C3D08" w:rsidP="001B7765">
            <w:pPr>
              <w:spacing w:after="0"/>
              <w:contextualSpacing/>
              <w:jc w:val="both"/>
              <w:rPr>
                <w:rFonts w:cs="Arial"/>
                <w:lang w:val="en-US"/>
              </w:rPr>
            </w:pPr>
            <w:r>
              <w:rPr>
                <w:rFonts w:cs="Arial"/>
                <w:lang w:val="en-US"/>
              </w:rPr>
              <w:t xml:space="preserve">not relevant (considering the risk mitigation measure: </w:t>
            </w:r>
            <w:r w:rsidRPr="004A6277">
              <w:rPr>
                <w:rFonts w:cs="Arial"/>
                <w:bCs/>
                <w:i/>
                <w:color w:val="000000"/>
                <w:lang w:val="en-US" w:eastAsia="fr-FR"/>
              </w:rPr>
              <w:t>Do not apply the product on the hands of child 6 years old</w:t>
            </w:r>
            <w:r>
              <w:rPr>
                <w:rFonts w:cs="Arial"/>
                <w:bCs/>
                <w:i/>
                <w:color w:val="000000"/>
                <w:lang w:val="en-US" w:eastAsia="fr-FR"/>
              </w:rPr>
              <w:t>)</w:t>
            </w:r>
          </w:p>
        </w:tc>
      </w:tr>
    </w:tbl>
    <w:p w14:paraId="12F2AC35" w14:textId="77777777" w:rsidR="003C3D08" w:rsidRPr="00C033C5" w:rsidRDefault="003C3D08" w:rsidP="003C3D08">
      <w:pPr>
        <w:spacing w:after="0"/>
        <w:jc w:val="both"/>
        <w:rPr>
          <w:rFonts w:cs="Arial"/>
          <w:color w:val="004080"/>
          <w:lang w:val="en-US"/>
        </w:rPr>
      </w:pPr>
    </w:p>
    <w:p w14:paraId="02C538B6" w14:textId="77777777" w:rsidR="003C3D08" w:rsidRPr="00C033C5" w:rsidRDefault="003C3D08" w:rsidP="003C3D08">
      <w:pPr>
        <w:spacing w:after="0"/>
        <w:jc w:val="both"/>
        <w:rPr>
          <w:rFonts w:cs="Arial"/>
          <w:lang w:val="en-US"/>
        </w:rPr>
      </w:pPr>
      <w:r>
        <w:rPr>
          <w:rFonts w:cs="Arial"/>
          <w:lang w:val="en-US"/>
        </w:rPr>
        <w:t>Indirect exposure via food:</w:t>
      </w:r>
    </w:p>
    <w:tbl>
      <w:tblPr>
        <w:tblW w:w="9408" w:type="dxa"/>
        <w:tblLayout w:type="fixed"/>
        <w:tblCellMar>
          <w:left w:w="0" w:type="dxa"/>
          <w:right w:w="0" w:type="dxa"/>
        </w:tblCellMar>
        <w:tblLook w:val="04A0" w:firstRow="1" w:lastRow="0" w:firstColumn="1" w:lastColumn="0" w:noHBand="0" w:noVBand="1"/>
      </w:tblPr>
      <w:tblGrid>
        <w:gridCol w:w="4400"/>
        <w:gridCol w:w="1252"/>
        <w:gridCol w:w="1252"/>
        <w:gridCol w:w="1252"/>
        <w:gridCol w:w="1252"/>
      </w:tblGrid>
      <w:tr w:rsidR="003C3D08" w:rsidRPr="000C06E0" w14:paraId="431E4F24" w14:textId="77777777" w:rsidTr="003C3D08">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31D4E38" w14:textId="77777777" w:rsidR="003C3D08" w:rsidRPr="005D1119" w:rsidRDefault="003C3D08" w:rsidP="003C3D08">
            <w:pPr>
              <w:spacing w:after="0"/>
              <w:jc w:val="both"/>
              <w:rPr>
                <w:rFonts w:cs="Arial"/>
                <w:color w:val="000000"/>
                <w:sz w:val="18"/>
                <w:szCs w:val="18"/>
                <w:lang w:val="en-US"/>
              </w:rPr>
            </w:pPr>
            <w:r w:rsidRPr="005D1119">
              <w:rPr>
                <w:rFonts w:cs="Arial"/>
                <w:color w:val="000000"/>
                <w:sz w:val="18"/>
                <w:szCs w:val="18"/>
                <w:lang w:val="en-US"/>
              </w:rPr>
              <w:t>Product application rate (mg product/cm²) (effective)</w:t>
            </w:r>
          </w:p>
        </w:tc>
        <w:tc>
          <w:tcPr>
            <w:tcW w:w="5008" w:type="dxa"/>
            <w:gridSpan w:val="4"/>
            <w:tcBorders>
              <w:top w:val="single" w:sz="4" w:space="0" w:color="auto"/>
              <w:left w:val="nil"/>
              <w:bottom w:val="single" w:sz="4" w:space="0" w:color="auto"/>
              <w:right w:val="single" w:sz="4" w:space="0" w:color="auto"/>
            </w:tcBorders>
            <w:shd w:val="clear" w:color="auto" w:fill="FFFF99"/>
            <w:vAlign w:val="center"/>
          </w:tcPr>
          <w:p w14:paraId="764EABB6" w14:textId="77777777" w:rsidR="003C3D08" w:rsidRPr="005D1119" w:rsidRDefault="003C3D08" w:rsidP="003C3D08">
            <w:pPr>
              <w:spacing w:after="0"/>
              <w:jc w:val="both"/>
              <w:rPr>
                <w:rFonts w:cs="Arial"/>
                <w:sz w:val="18"/>
                <w:szCs w:val="18"/>
                <w:lang w:val="en-US"/>
              </w:rPr>
            </w:pPr>
            <w:r w:rsidRPr="005D1119">
              <w:rPr>
                <w:rFonts w:cs="Arial"/>
                <w:sz w:val="18"/>
                <w:szCs w:val="18"/>
                <w:lang w:val="en-US"/>
              </w:rPr>
              <w:t>0.8 (dose max covered lower dose of 0.6)</w:t>
            </w:r>
          </w:p>
        </w:tc>
      </w:tr>
      <w:tr w:rsidR="003C3D08" w:rsidRPr="005D1119" w14:paraId="5D8CF439" w14:textId="77777777" w:rsidTr="003C3D08">
        <w:trPr>
          <w:trHeight w:val="300"/>
        </w:trPr>
        <w:tc>
          <w:tcPr>
            <w:tcW w:w="4400" w:type="dxa"/>
            <w:tcBorders>
              <w:top w:val="nil"/>
              <w:left w:val="single" w:sz="4" w:space="0" w:color="auto"/>
              <w:bottom w:val="single" w:sz="4" w:space="0" w:color="auto"/>
              <w:right w:val="single" w:sz="4" w:space="0" w:color="auto"/>
            </w:tcBorders>
            <w:shd w:val="clear" w:color="auto" w:fill="FFFF99"/>
            <w:noWrap/>
            <w:vAlign w:val="bottom"/>
            <w:hideMark/>
          </w:tcPr>
          <w:p w14:paraId="7CCEF2D0" w14:textId="77777777" w:rsidR="003C3D08" w:rsidRPr="005D1119" w:rsidRDefault="003C3D08" w:rsidP="003C3D08">
            <w:pPr>
              <w:spacing w:after="0"/>
              <w:jc w:val="both"/>
              <w:rPr>
                <w:rFonts w:cs="Arial"/>
                <w:color w:val="000000"/>
                <w:sz w:val="18"/>
                <w:szCs w:val="18"/>
                <w:lang w:val="en-US"/>
              </w:rPr>
            </w:pPr>
            <w:r w:rsidRPr="005D1119">
              <w:rPr>
                <w:rFonts w:cs="Arial"/>
                <w:color w:val="000000"/>
                <w:sz w:val="18"/>
                <w:szCs w:val="18"/>
                <w:lang w:val="en-US"/>
              </w:rPr>
              <w:t>Concentration (a.s in % w/w in the product)</w:t>
            </w:r>
          </w:p>
        </w:tc>
        <w:tc>
          <w:tcPr>
            <w:tcW w:w="5008" w:type="dxa"/>
            <w:gridSpan w:val="4"/>
            <w:tcBorders>
              <w:top w:val="nil"/>
              <w:left w:val="nil"/>
              <w:bottom w:val="single" w:sz="4" w:space="0" w:color="auto"/>
              <w:right w:val="single" w:sz="4" w:space="0" w:color="auto"/>
            </w:tcBorders>
            <w:shd w:val="clear" w:color="auto" w:fill="FFFF99"/>
            <w:vAlign w:val="center"/>
          </w:tcPr>
          <w:p w14:paraId="2A46147E" w14:textId="77777777" w:rsidR="003C3D08" w:rsidRPr="005D1119" w:rsidRDefault="003C3D08" w:rsidP="003C3D08">
            <w:pPr>
              <w:spacing w:after="0"/>
              <w:jc w:val="both"/>
              <w:rPr>
                <w:rFonts w:cs="Arial"/>
                <w:sz w:val="18"/>
                <w:szCs w:val="18"/>
              </w:rPr>
            </w:pPr>
            <w:r w:rsidRPr="005D1119">
              <w:rPr>
                <w:rFonts w:cs="Arial"/>
                <w:sz w:val="18"/>
                <w:szCs w:val="18"/>
              </w:rPr>
              <w:t>20</w:t>
            </w:r>
          </w:p>
        </w:tc>
      </w:tr>
      <w:tr w:rsidR="003C3D08" w:rsidRPr="005D1119" w14:paraId="66B842D8" w14:textId="77777777" w:rsidTr="003C3D08">
        <w:trPr>
          <w:trHeight w:val="300"/>
        </w:trPr>
        <w:tc>
          <w:tcPr>
            <w:tcW w:w="4400" w:type="dxa"/>
            <w:tcBorders>
              <w:top w:val="nil"/>
              <w:left w:val="single" w:sz="4" w:space="0" w:color="auto"/>
              <w:bottom w:val="single" w:sz="4" w:space="0" w:color="auto"/>
              <w:right w:val="single" w:sz="4" w:space="0" w:color="auto"/>
            </w:tcBorders>
            <w:shd w:val="clear" w:color="auto" w:fill="FFFF99"/>
            <w:noWrap/>
            <w:vAlign w:val="bottom"/>
            <w:hideMark/>
          </w:tcPr>
          <w:p w14:paraId="03820F5E" w14:textId="77777777" w:rsidR="003C3D08" w:rsidRPr="005D1119" w:rsidRDefault="003C3D08" w:rsidP="003C3D08">
            <w:pPr>
              <w:spacing w:after="0"/>
              <w:jc w:val="both"/>
              <w:rPr>
                <w:rFonts w:cs="Arial"/>
                <w:color w:val="000000"/>
                <w:sz w:val="18"/>
                <w:szCs w:val="18"/>
              </w:rPr>
            </w:pPr>
            <w:r w:rsidRPr="005D1119">
              <w:rPr>
                <w:rFonts w:cs="Arial"/>
                <w:color w:val="000000"/>
                <w:sz w:val="18"/>
                <w:szCs w:val="18"/>
              </w:rPr>
              <w:t>Applied active substance (mg a.s/cm²) (effective)</w:t>
            </w:r>
          </w:p>
        </w:tc>
        <w:tc>
          <w:tcPr>
            <w:tcW w:w="5008" w:type="dxa"/>
            <w:gridSpan w:val="4"/>
            <w:tcBorders>
              <w:top w:val="nil"/>
              <w:left w:val="nil"/>
              <w:bottom w:val="single" w:sz="4" w:space="0" w:color="auto"/>
              <w:right w:val="single" w:sz="4" w:space="0" w:color="auto"/>
            </w:tcBorders>
            <w:shd w:val="clear" w:color="auto" w:fill="FFFF99"/>
            <w:vAlign w:val="center"/>
          </w:tcPr>
          <w:p w14:paraId="2F9448C4" w14:textId="77777777" w:rsidR="003C3D08" w:rsidRPr="005D1119" w:rsidRDefault="003C3D08" w:rsidP="003C3D08">
            <w:pPr>
              <w:spacing w:after="0"/>
              <w:jc w:val="both"/>
              <w:rPr>
                <w:rFonts w:cs="Arial"/>
                <w:sz w:val="18"/>
                <w:szCs w:val="18"/>
              </w:rPr>
            </w:pPr>
            <w:r w:rsidRPr="005D1119">
              <w:rPr>
                <w:rFonts w:cs="Arial"/>
                <w:sz w:val="18"/>
                <w:szCs w:val="18"/>
              </w:rPr>
              <w:t>0.16</w:t>
            </w:r>
          </w:p>
        </w:tc>
      </w:tr>
      <w:tr w:rsidR="003C3D08" w:rsidRPr="005D1119" w14:paraId="6FB9F425" w14:textId="77777777" w:rsidTr="001B7765">
        <w:trPr>
          <w:trHeight w:val="6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5E948C9" w14:textId="77777777" w:rsidR="003C3D08" w:rsidRPr="005D1119" w:rsidRDefault="003C3D08" w:rsidP="003C3D08">
            <w:pPr>
              <w:spacing w:after="0"/>
              <w:jc w:val="both"/>
              <w:rPr>
                <w:rFonts w:cs="Arial"/>
                <w:color w:val="000000"/>
                <w:sz w:val="18"/>
                <w:szCs w:val="18"/>
              </w:rPr>
            </w:pPr>
            <w:r w:rsidRPr="005D1119">
              <w:rPr>
                <w:rFonts w:cs="Arial"/>
                <w:color w:val="000000"/>
                <w:sz w:val="18"/>
                <w:szCs w:val="18"/>
              </w:rPr>
              <w:t>age</w:t>
            </w:r>
          </w:p>
        </w:tc>
        <w:tc>
          <w:tcPr>
            <w:tcW w:w="1252" w:type="dxa"/>
            <w:tcBorders>
              <w:top w:val="nil"/>
              <w:left w:val="nil"/>
              <w:bottom w:val="single" w:sz="4" w:space="0" w:color="auto"/>
              <w:right w:val="single" w:sz="4" w:space="0" w:color="auto"/>
            </w:tcBorders>
            <w:shd w:val="clear" w:color="auto" w:fill="auto"/>
            <w:vAlign w:val="center"/>
          </w:tcPr>
          <w:p w14:paraId="219A2B93" w14:textId="77777777" w:rsidR="003C3D08" w:rsidRPr="005D1119" w:rsidRDefault="003C3D08" w:rsidP="003C3D08">
            <w:pPr>
              <w:spacing w:after="0"/>
              <w:jc w:val="center"/>
              <w:rPr>
                <w:sz w:val="18"/>
                <w:szCs w:val="18"/>
              </w:rPr>
            </w:pPr>
            <w:r w:rsidRPr="005D1119">
              <w:rPr>
                <w:sz w:val="18"/>
                <w:szCs w:val="18"/>
              </w:rPr>
              <w:t>toddler (1-2 years)</w:t>
            </w:r>
          </w:p>
        </w:tc>
        <w:tc>
          <w:tcPr>
            <w:tcW w:w="1252" w:type="dxa"/>
            <w:tcBorders>
              <w:top w:val="single" w:sz="4" w:space="0" w:color="auto"/>
              <w:left w:val="nil"/>
              <w:bottom w:val="single" w:sz="4" w:space="0" w:color="auto"/>
              <w:right w:val="single" w:sz="4" w:space="0" w:color="auto"/>
            </w:tcBorders>
            <w:shd w:val="clear" w:color="auto" w:fill="auto"/>
            <w:vAlign w:val="center"/>
          </w:tcPr>
          <w:p w14:paraId="3286771A" w14:textId="77777777" w:rsidR="003C3D08" w:rsidRPr="005D1119" w:rsidRDefault="003C3D08" w:rsidP="003C3D08">
            <w:pPr>
              <w:spacing w:after="0"/>
              <w:jc w:val="center"/>
              <w:rPr>
                <w:sz w:val="18"/>
                <w:szCs w:val="18"/>
              </w:rPr>
            </w:pPr>
            <w:r w:rsidRPr="005D1119">
              <w:rPr>
                <w:sz w:val="18"/>
                <w:szCs w:val="18"/>
              </w:rPr>
              <w:t>child (2-6 years)</w:t>
            </w:r>
          </w:p>
        </w:tc>
        <w:tc>
          <w:tcPr>
            <w:tcW w:w="1252" w:type="dxa"/>
            <w:tcBorders>
              <w:top w:val="nil"/>
              <w:left w:val="single" w:sz="4" w:space="0" w:color="auto"/>
              <w:bottom w:val="single" w:sz="4" w:space="0" w:color="auto"/>
              <w:right w:val="single" w:sz="4" w:space="0" w:color="auto"/>
            </w:tcBorders>
            <w:shd w:val="clear" w:color="auto" w:fill="auto"/>
            <w:vAlign w:val="center"/>
          </w:tcPr>
          <w:p w14:paraId="6B93EBF8" w14:textId="77777777" w:rsidR="003C3D08" w:rsidRPr="005D1119" w:rsidRDefault="003C3D08" w:rsidP="003C3D08">
            <w:pPr>
              <w:spacing w:after="0"/>
              <w:jc w:val="center"/>
              <w:rPr>
                <w:color w:val="000000"/>
                <w:sz w:val="18"/>
                <w:szCs w:val="18"/>
              </w:rPr>
            </w:pPr>
            <w:r w:rsidRPr="005D1119">
              <w:rPr>
                <w:color w:val="000000"/>
                <w:sz w:val="18"/>
                <w:szCs w:val="18"/>
              </w:rPr>
              <w:t>child (6-12 years)</w:t>
            </w:r>
          </w:p>
        </w:tc>
        <w:tc>
          <w:tcPr>
            <w:tcW w:w="1252" w:type="dxa"/>
            <w:tcBorders>
              <w:top w:val="nil"/>
              <w:left w:val="single" w:sz="4" w:space="0" w:color="auto"/>
              <w:bottom w:val="single" w:sz="4" w:space="0" w:color="auto"/>
              <w:right w:val="single" w:sz="4" w:space="0" w:color="auto"/>
            </w:tcBorders>
            <w:shd w:val="clear" w:color="auto" w:fill="auto"/>
            <w:vAlign w:val="center"/>
          </w:tcPr>
          <w:p w14:paraId="24D08CE5" w14:textId="77777777" w:rsidR="003C3D08" w:rsidRPr="005D1119" w:rsidRDefault="003C3D08" w:rsidP="003C3D08">
            <w:pPr>
              <w:spacing w:after="0"/>
              <w:jc w:val="center"/>
              <w:rPr>
                <w:color w:val="000000"/>
                <w:sz w:val="18"/>
                <w:szCs w:val="18"/>
              </w:rPr>
            </w:pPr>
            <w:r w:rsidRPr="005D1119">
              <w:rPr>
                <w:color w:val="000000"/>
                <w:sz w:val="18"/>
                <w:szCs w:val="18"/>
              </w:rPr>
              <w:t>adult</w:t>
            </w:r>
          </w:p>
        </w:tc>
      </w:tr>
      <w:tr w:rsidR="003C3D08" w:rsidRPr="005D1119" w14:paraId="26B0BFD8" w14:textId="77777777" w:rsidTr="001B7765">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BD8302B" w14:textId="77777777" w:rsidR="003C3D08" w:rsidRPr="005D1119" w:rsidRDefault="003C3D08" w:rsidP="003C3D08">
            <w:pPr>
              <w:spacing w:after="0"/>
              <w:jc w:val="both"/>
              <w:rPr>
                <w:rFonts w:cs="Arial"/>
                <w:color w:val="000000"/>
                <w:sz w:val="18"/>
                <w:szCs w:val="18"/>
                <w:lang w:val="en-US"/>
              </w:rPr>
            </w:pPr>
            <w:r w:rsidRPr="005D1119">
              <w:rPr>
                <w:rFonts w:cs="Arial"/>
                <w:color w:val="000000"/>
                <w:sz w:val="18"/>
                <w:szCs w:val="18"/>
                <w:lang w:val="en-US"/>
              </w:rPr>
              <w:t>hands (palms and back of both hands) (cm</w:t>
            </w:r>
            <w:r w:rsidRPr="005D1119">
              <w:rPr>
                <w:rFonts w:cs="Arial"/>
                <w:color w:val="000000"/>
                <w:sz w:val="18"/>
                <w:szCs w:val="18"/>
                <w:vertAlign w:val="superscript"/>
                <w:lang w:val="en-US"/>
              </w:rPr>
              <w:t>2</w:t>
            </w:r>
            <w:r w:rsidRPr="005D1119">
              <w:rPr>
                <w:rFonts w:cs="Arial"/>
                <w:color w:val="000000"/>
                <w:sz w:val="18"/>
                <w:szCs w:val="18"/>
                <w:lang w:val="en-US"/>
              </w:rPr>
              <w:t>)</w:t>
            </w:r>
          </w:p>
        </w:tc>
        <w:tc>
          <w:tcPr>
            <w:tcW w:w="1252" w:type="dxa"/>
            <w:tcBorders>
              <w:top w:val="nil"/>
              <w:left w:val="nil"/>
              <w:bottom w:val="single" w:sz="4" w:space="0" w:color="auto"/>
              <w:right w:val="single" w:sz="4" w:space="0" w:color="auto"/>
            </w:tcBorders>
            <w:shd w:val="clear" w:color="auto" w:fill="auto"/>
            <w:noWrap/>
            <w:vAlign w:val="center"/>
          </w:tcPr>
          <w:p w14:paraId="3FBCBDDC" w14:textId="77777777" w:rsidR="003C3D08" w:rsidRPr="005D1119" w:rsidRDefault="003C3D08" w:rsidP="003C3D08">
            <w:pPr>
              <w:spacing w:after="0"/>
              <w:jc w:val="center"/>
              <w:rPr>
                <w:sz w:val="18"/>
                <w:szCs w:val="18"/>
              </w:rPr>
            </w:pPr>
            <w:r w:rsidRPr="005D1119">
              <w:rPr>
                <w:sz w:val="18"/>
                <w:szCs w:val="18"/>
              </w:rPr>
              <w:t>230</w:t>
            </w:r>
            <w:r>
              <w:rPr>
                <w:sz w:val="18"/>
                <w:szCs w:val="18"/>
              </w:rPr>
              <w:t>.</w:t>
            </w:r>
            <w:r w:rsidRPr="005D1119">
              <w:rPr>
                <w:sz w:val="18"/>
                <w:szCs w:val="18"/>
              </w:rPr>
              <w:t>4</w:t>
            </w:r>
          </w:p>
        </w:tc>
        <w:tc>
          <w:tcPr>
            <w:tcW w:w="1252" w:type="dxa"/>
            <w:tcBorders>
              <w:top w:val="single" w:sz="4" w:space="0" w:color="auto"/>
              <w:left w:val="nil"/>
              <w:bottom w:val="single" w:sz="4" w:space="0" w:color="auto"/>
              <w:right w:val="single" w:sz="4" w:space="0" w:color="auto"/>
            </w:tcBorders>
            <w:shd w:val="clear" w:color="auto" w:fill="auto"/>
            <w:vAlign w:val="center"/>
          </w:tcPr>
          <w:p w14:paraId="46CC6B67" w14:textId="77777777" w:rsidR="003C3D08" w:rsidRPr="005D1119" w:rsidRDefault="003C3D08" w:rsidP="003C3D08">
            <w:pPr>
              <w:spacing w:after="0"/>
              <w:jc w:val="center"/>
              <w:rPr>
                <w:sz w:val="18"/>
                <w:szCs w:val="18"/>
              </w:rPr>
            </w:pPr>
            <w:r w:rsidRPr="005D1119">
              <w:rPr>
                <w:sz w:val="18"/>
                <w:szCs w:val="18"/>
              </w:rPr>
              <w:t>330</w:t>
            </w:r>
            <w:r>
              <w:rPr>
                <w:sz w:val="18"/>
                <w:szCs w:val="18"/>
              </w:rPr>
              <w:t>.</w:t>
            </w:r>
            <w:r w:rsidRPr="005D1119">
              <w:rPr>
                <w:sz w:val="18"/>
                <w:szCs w:val="18"/>
              </w:rPr>
              <w:t>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2B411706" w14:textId="77777777" w:rsidR="003C3D08" w:rsidRPr="005D1119" w:rsidRDefault="003C3D08" w:rsidP="003C3D08">
            <w:pPr>
              <w:spacing w:after="0"/>
              <w:jc w:val="center"/>
              <w:rPr>
                <w:color w:val="000000"/>
                <w:sz w:val="18"/>
                <w:szCs w:val="18"/>
              </w:rPr>
            </w:pPr>
            <w:r w:rsidRPr="005D1119">
              <w:rPr>
                <w:color w:val="000000"/>
                <w:sz w:val="18"/>
                <w:szCs w:val="18"/>
              </w:rPr>
              <w:t>427</w:t>
            </w:r>
            <w:r>
              <w:rPr>
                <w:color w:val="000000"/>
                <w:sz w:val="18"/>
                <w:szCs w:val="18"/>
              </w:rPr>
              <w:t>.</w:t>
            </w:r>
            <w:r w:rsidRPr="005D1119">
              <w:rPr>
                <w:color w:val="000000"/>
                <w:sz w:val="18"/>
                <w:szCs w:val="18"/>
              </w:rPr>
              <w:t>8</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B1D1B64" w14:textId="77777777" w:rsidR="003C3D08" w:rsidRPr="005D1119" w:rsidRDefault="003C3D08" w:rsidP="003C3D08">
            <w:pPr>
              <w:spacing w:after="0"/>
              <w:jc w:val="center"/>
              <w:rPr>
                <w:color w:val="000000"/>
                <w:sz w:val="18"/>
                <w:szCs w:val="18"/>
              </w:rPr>
            </w:pPr>
            <w:r w:rsidRPr="005D1119">
              <w:rPr>
                <w:color w:val="000000"/>
                <w:sz w:val="18"/>
                <w:szCs w:val="18"/>
              </w:rPr>
              <w:t>820</w:t>
            </w:r>
          </w:p>
        </w:tc>
      </w:tr>
      <w:tr w:rsidR="003C3D08" w:rsidRPr="004A6277" w14:paraId="5EC737B6" w14:textId="77777777" w:rsidTr="003C3D08">
        <w:trPr>
          <w:trHeight w:val="300"/>
        </w:trPr>
        <w:tc>
          <w:tcPr>
            <w:tcW w:w="4400" w:type="dxa"/>
            <w:tcBorders>
              <w:top w:val="nil"/>
              <w:left w:val="single" w:sz="4" w:space="0" w:color="auto"/>
              <w:bottom w:val="single" w:sz="4" w:space="0" w:color="auto"/>
              <w:right w:val="single" w:sz="4" w:space="0" w:color="auto"/>
            </w:tcBorders>
            <w:shd w:val="clear" w:color="auto" w:fill="FFFF99"/>
            <w:noWrap/>
            <w:vAlign w:val="bottom"/>
            <w:hideMark/>
          </w:tcPr>
          <w:p w14:paraId="65BC8653" w14:textId="77777777" w:rsidR="003C3D08" w:rsidRPr="009C453D" w:rsidRDefault="003C3D08" w:rsidP="003C3D08">
            <w:pPr>
              <w:spacing w:after="0"/>
              <w:jc w:val="both"/>
              <w:rPr>
                <w:rFonts w:cs="Arial"/>
                <w:color w:val="000000"/>
                <w:sz w:val="18"/>
                <w:szCs w:val="18"/>
                <w:lang w:val="en-US"/>
              </w:rPr>
            </w:pPr>
            <w:r w:rsidRPr="009C453D">
              <w:rPr>
                <w:rFonts w:cs="Arial"/>
                <w:color w:val="000000"/>
                <w:sz w:val="18"/>
                <w:szCs w:val="18"/>
                <w:lang w:val="en-US"/>
              </w:rPr>
              <w:t>Intended number of application</w:t>
            </w:r>
          </w:p>
          <w:p w14:paraId="0C7A1B96" w14:textId="77777777" w:rsidR="003C3D08" w:rsidRPr="009C453D" w:rsidRDefault="003C3D08" w:rsidP="003C3D08">
            <w:pPr>
              <w:spacing w:after="0"/>
              <w:jc w:val="both"/>
              <w:rPr>
                <w:rFonts w:cs="Arial"/>
                <w:color w:val="000000"/>
                <w:sz w:val="18"/>
                <w:szCs w:val="18"/>
                <w:lang w:val="en-US"/>
              </w:rPr>
            </w:pPr>
            <w:r w:rsidRPr="009C453D">
              <w:rPr>
                <w:rFonts w:cs="Arial"/>
                <w:color w:val="000000"/>
                <w:sz w:val="18"/>
                <w:szCs w:val="18"/>
                <w:lang w:val="en-US"/>
              </w:rPr>
              <w:t>(evaluated)</w:t>
            </w:r>
          </w:p>
        </w:tc>
        <w:tc>
          <w:tcPr>
            <w:tcW w:w="1252" w:type="dxa"/>
            <w:tcBorders>
              <w:top w:val="nil"/>
              <w:left w:val="nil"/>
              <w:bottom w:val="single" w:sz="4" w:space="0" w:color="auto"/>
              <w:right w:val="single" w:sz="4" w:space="0" w:color="auto"/>
            </w:tcBorders>
            <w:shd w:val="clear" w:color="auto" w:fill="FFFF99"/>
            <w:noWrap/>
            <w:vAlign w:val="center"/>
          </w:tcPr>
          <w:p w14:paraId="4380FF84" w14:textId="77777777" w:rsidR="003C3D08" w:rsidRPr="009C453D" w:rsidRDefault="003C3D08" w:rsidP="003C3D08">
            <w:pPr>
              <w:spacing w:after="0"/>
              <w:jc w:val="center"/>
              <w:rPr>
                <w:bCs/>
                <w:sz w:val="18"/>
                <w:szCs w:val="18"/>
              </w:rPr>
            </w:pPr>
            <w:r w:rsidRPr="009C453D">
              <w:rPr>
                <w:bCs/>
                <w:sz w:val="18"/>
                <w:szCs w:val="18"/>
              </w:rPr>
              <w:t>1</w:t>
            </w:r>
          </w:p>
        </w:tc>
        <w:tc>
          <w:tcPr>
            <w:tcW w:w="1252" w:type="dxa"/>
            <w:tcBorders>
              <w:top w:val="single" w:sz="4" w:space="0" w:color="auto"/>
              <w:left w:val="nil"/>
              <w:bottom w:val="single" w:sz="4" w:space="0" w:color="auto"/>
              <w:right w:val="single" w:sz="4" w:space="0" w:color="auto"/>
            </w:tcBorders>
            <w:shd w:val="clear" w:color="auto" w:fill="FFFF99"/>
            <w:vAlign w:val="center"/>
          </w:tcPr>
          <w:p w14:paraId="46D7435E" w14:textId="77777777" w:rsidR="003C3D08" w:rsidRPr="009C453D" w:rsidRDefault="003C3D08" w:rsidP="003C3D08">
            <w:pPr>
              <w:spacing w:after="0"/>
              <w:jc w:val="center"/>
              <w:rPr>
                <w:bCs/>
                <w:sz w:val="18"/>
                <w:szCs w:val="18"/>
              </w:rPr>
            </w:pPr>
            <w:r w:rsidRPr="009C453D">
              <w:rPr>
                <w:bCs/>
                <w:sz w:val="18"/>
                <w:szCs w:val="18"/>
              </w:rPr>
              <w:t>1</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4B4053E0" w14:textId="77777777" w:rsidR="003C3D08" w:rsidRPr="009C453D" w:rsidRDefault="003C3D08" w:rsidP="003C3D08">
            <w:pPr>
              <w:spacing w:after="0"/>
              <w:jc w:val="center"/>
              <w:rPr>
                <w:bCs/>
                <w:sz w:val="18"/>
                <w:szCs w:val="18"/>
              </w:rPr>
            </w:pPr>
            <w:r w:rsidRPr="009C453D">
              <w:rPr>
                <w:bCs/>
                <w:sz w:val="18"/>
                <w:szCs w:val="18"/>
              </w:rPr>
              <w:t>2</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7DDE9356" w14:textId="77777777" w:rsidR="003C3D08" w:rsidRPr="009C453D" w:rsidRDefault="003C3D08" w:rsidP="003C3D08">
            <w:pPr>
              <w:spacing w:after="0"/>
              <w:jc w:val="center"/>
              <w:rPr>
                <w:bCs/>
                <w:sz w:val="18"/>
                <w:szCs w:val="18"/>
              </w:rPr>
            </w:pPr>
            <w:r w:rsidRPr="009C453D">
              <w:rPr>
                <w:bCs/>
                <w:sz w:val="18"/>
                <w:szCs w:val="18"/>
              </w:rPr>
              <w:t>2</w:t>
            </w:r>
          </w:p>
        </w:tc>
      </w:tr>
      <w:tr w:rsidR="003C3D08" w:rsidRPr="005D1119" w14:paraId="6368F3B6" w14:textId="77777777" w:rsidTr="001B7765">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BB1297F" w14:textId="77777777" w:rsidR="003C3D08" w:rsidRPr="005D1119" w:rsidRDefault="003C3D08" w:rsidP="003C3D08">
            <w:pPr>
              <w:spacing w:after="0"/>
              <w:jc w:val="both"/>
              <w:rPr>
                <w:rFonts w:cs="Arial"/>
                <w:color w:val="000000"/>
                <w:sz w:val="18"/>
                <w:szCs w:val="18"/>
                <w:lang w:val="en-US"/>
              </w:rPr>
            </w:pPr>
            <w:r w:rsidRPr="005D1119">
              <w:rPr>
                <w:rFonts w:cs="Arial"/>
                <w:color w:val="000000"/>
                <w:sz w:val="18"/>
                <w:szCs w:val="18"/>
                <w:lang w:val="en-US"/>
              </w:rPr>
              <w:t xml:space="preserve">Ratio surface factor of the palm compared to whole hand </w:t>
            </w:r>
          </w:p>
        </w:tc>
        <w:tc>
          <w:tcPr>
            <w:tcW w:w="1252" w:type="dxa"/>
            <w:tcBorders>
              <w:top w:val="nil"/>
              <w:left w:val="nil"/>
              <w:bottom w:val="single" w:sz="4" w:space="0" w:color="auto"/>
              <w:right w:val="single" w:sz="4" w:space="0" w:color="auto"/>
            </w:tcBorders>
            <w:shd w:val="clear" w:color="auto" w:fill="auto"/>
            <w:noWrap/>
            <w:vAlign w:val="center"/>
            <w:hideMark/>
          </w:tcPr>
          <w:p w14:paraId="7691A195" w14:textId="77777777" w:rsidR="003C3D08" w:rsidRPr="005D1119" w:rsidRDefault="003C3D08" w:rsidP="003C3D08">
            <w:pPr>
              <w:spacing w:after="0"/>
              <w:jc w:val="center"/>
              <w:rPr>
                <w:color w:val="000000"/>
                <w:sz w:val="18"/>
                <w:szCs w:val="18"/>
              </w:rPr>
            </w:pPr>
            <w:r w:rsidRPr="005D1119">
              <w:rPr>
                <w:color w:val="000000"/>
                <w:sz w:val="18"/>
                <w:szCs w:val="18"/>
              </w:rPr>
              <w:t>0</w:t>
            </w:r>
            <w:r>
              <w:rPr>
                <w:color w:val="000000"/>
                <w:sz w:val="18"/>
                <w:szCs w:val="18"/>
              </w:rPr>
              <w:t>.</w:t>
            </w:r>
            <w:r w:rsidRPr="005D1119">
              <w:rPr>
                <w:color w:val="000000"/>
                <w:sz w:val="18"/>
                <w:szCs w:val="18"/>
              </w:rPr>
              <w:t>5</w:t>
            </w:r>
          </w:p>
        </w:tc>
        <w:tc>
          <w:tcPr>
            <w:tcW w:w="1252" w:type="dxa"/>
            <w:tcBorders>
              <w:top w:val="single" w:sz="4" w:space="0" w:color="auto"/>
              <w:left w:val="nil"/>
              <w:bottom w:val="single" w:sz="4" w:space="0" w:color="auto"/>
              <w:right w:val="single" w:sz="4" w:space="0" w:color="auto"/>
            </w:tcBorders>
            <w:shd w:val="clear" w:color="auto" w:fill="auto"/>
            <w:vAlign w:val="center"/>
          </w:tcPr>
          <w:p w14:paraId="4BF0D706" w14:textId="77777777" w:rsidR="003C3D08" w:rsidRPr="005D1119" w:rsidRDefault="003C3D08" w:rsidP="003C3D08">
            <w:pPr>
              <w:spacing w:after="0"/>
              <w:jc w:val="center"/>
              <w:rPr>
                <w:color w:val="000000"/>
                <w:sz w:val="18"/>
                <w:szCs w:val="18"/>
              </w:rPr>
            </w:pPr>
            <w:r w:rsidRPr="005D1119">
              <w:rPr>
                <w:color w:val="000000"/>
                <w:sz w:val="18"/>
                <w:szCs w:val="18"/>
              </w:rPr>
              <w:t>0</w:t>
            </w:r>
            <w:r>
              <w:rPr>
                <w:color w:val="000000"/>
                <w:sz w:val="18"/>
                <w:szCs w:val="18"/>
              </w:rPr>
              <w:t>.</w:t>
            </w:r>
            <w:r w:rsidRPr="005D1119">
              <w:rPr>
                <w:color w:val="000000"/>
                <w:sz w:val="18"/>
                <w:szCs w:val="18"/>
              </w:rPr>
              <w:t>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175F1CB" w14:textId="77777777" w:rsidR="003C3D08" w:rsidRPr="005D1119" w:rsidRDefault="003C3D08" w:rsidP="003C3D08">
            <w:pPr>
              <w:spacing w:after="0"/>
              <w:jc w:val="center"/>
              <w:rPr>
                <w:color w:val="000000"/>
                <w:sz w:val="18"/>
                <w:szCs w:val="18"/>
              </w:rPr>
            </w:pPr>
            <w:r w:rsidRPr="005D1119">
              <w:rPr>
                <w:color w:val="000000"/>
                <w:sz w:val="18"/>
                <w:szCs w:val="18"/>
              </w:rPr>
              <w:t>0</w:t>
            </w:r>
            <w:r>
              <w:rPr>
                <w:color w:val="000000"/>
                <w:sz w:val="18"/>
                <w:szCs w:val="18"/>
              </w:rPr>
              <w:t>.</w:t>
            </w:r>
            <w:r w:rsidRPr="005D1119">
              <w:rPr>
                <w:color w:val="000000"/>
                <w:sz w:val="18"/>
                <w:szCs w:val="18"/>
              </w:rPr>
              <w:t>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4C9F92C" w14:textId="77777777" w:rsidR="003C3D08" w:rsidRPr="005D1119" w:rsidRDefault="003C3D08" w:rsidP="003C3D08">
            <w:pPr>
              <w:spacing w:after="0"/>
              <w:jc w:val="center"/>
              <w:rPr>
                <w:color w:val="000000"/>
                <w:sz w:val="18"/>
                <w:szCs w:val="18"/>
              </w:rPr>
            </w:pPr>
            <w:r w:rsidRPr="005D1119">
              <w:rPr>
                <w:color w:val="000000"/>
                <w:sz w:val="18"/>
                <w:szCs w:val="18"/>
              </w:rPr>
              <w:t>0</w:t>
            </w:r>
            <w:r>
              <w:rPr>
                <w:color w:val="000000"/>
                <w:sz w:val="18"/>
                <w:szCs w:val="18"/>
              </w:rPr>
              <w:t>.</w:t>
            </w:r>
            <w:r w:rsidRPr="005D1119">
              <w:rPr>
                <w:color w:val="000000"/>
                <w:sz w:val="18"/>
                <w:szCs w:val="18"/>
              </w:rPr>
              <w:t>5</w:t>
            </w:r>
          </w:p>
        </w:tc>
      </w:tr>
      <w:tr w:rsidR="003C3D08" w:rsidRPr="005D1119" w14:paraId="5E2D1D91" w14:textId="77777777" w:rsidTr="001B7765">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C5A6814" w14:textId="77777777" w:rsidR="003C3D08" w:rsidRPr="005D1119" w:rsidRDefault="003C3D08" w:rsidP="003C3D08">
            <w:pPr>
              <w:spacing w:after="0"/>
              <w:jc w:val="both"/>
              <w:rPr>
                <w:rFonts w:cs="Arial"/>
                <w:color w:val="000000"/>
                <w:sz w:val="18"/>
                <w:szCs w:val="18"/>
                <w:lang w:val="en-US"/>
              </w:rPr>
            </w:pPr>
            <w:r>
              <w:rPr>
                <w:rFonts w:cs="Arial"/>
                <w:color w:val="000000"/>
                <w:sz w:val="18"/>
                <w:szCs w:val="18"/>
                <w:lang w:val="en-US"/>
              </w:rPr>
              <w:t xml:space="preserve">Hand </w:t>
            </w:r>
            <w:r w:rsidRPr="005D1119">
              <w:rPr>
                <w:rFonts w:cs="Arial"/>
                <w:color w:val="000000"/>
                <w:sz w:val="18"/>
                <w:szCs w:val="18"/>
                <w:lang w:val="en-US"/>
              </w:rPr>
              <w:t>exposure per application (a.s in mg)</w:t>
            </w:r>
          </w:p>
        </w:tc>
        <w:tc>
          <w:tcPr>
            <w:tcW w:w="1252" w:type="dxa"/>
            <w:tcBorders>
              <w:top w:val="nil"/>
              <w:left w:val="nil"/>
              <w:bottom w:val="single" w:sz="4" w:space="0" w:color="auto"/>
              <w:right w:val="single" w:sz="4" w:space="0" w:color="auto"/>
            </w:tcBorders>
            <w:shd w:val="clear" w:color="auto" w:fill="auto"/>
            <w:noWrap/>
            <w:vAlign w:val="center"/>
          </w:tcPr>
          <w:p w14:paraId="4357B4BC" w14:textId="77777777" w:rsidR="003C3D08" w:rsidRPr="005D1119" w:rsidRDefault="003C3D08" w:rsidP="003C3D08">
            <w:pPr>
              <w:spacing w:after="0"/>
              <w:jc w:val="center"/>
              <w:rPr>
                <w:b/>
                <w:bCs/>
                <w:color w:val="000000"/>
                <w:sz w:val="18"/>
                <w:szCs w:val="18"/>
              </w:rPr>
            </w:pPr>
            <w:r w:rsidRPr="005D1119">
              <w:rPr>
                <w:b/>
                <w:bCs/>
                <w:color w:val="000000"/>
                <w:sz w:val="18"/>
                <w:szCs w:val="18"/>
              </w:rPr>
              <w:t>18</w:t>
            </w:r>
          </w:p>
        </w:tc>
        <w:tc>
          <w:tcPr>
            <w:tcW w:w="1252" w:type="dxa"/>
            <w:tcBorders>
              <w:top w:val="single" w:sz="4" w:space="0" w:color="auto"/>
              <w:left w:val="nil"/>
              <w:bottom w:val="single" w:sz="4" w:space="0" w:color="auto"/>
              <w:right w:val="single" w:sz="4" w:space="0" w:color="auto"/>
            </w:tcBorders>
            <w:shd w:val="clear" w:color="auto" w:fill="auto"/>
            <w:vAlign w:val="center"/>
          </w:tcPr>
          <w:p w14:paraId="16BD789A" w14:textId="77777777" w:rsidR="003C3D08" w:rsidRPr="005D1119" w:rsidRDefault="003C3D08" w:rsidP="003C3D08">
            <w:pPr>
              <w:spacing w:after="0"/>
              <w:jc w:val="center"/>
              <w:rPr>
                <w:b/>
                <w:bCs/>
                <w:color w:val="000000"/>
                <w:sz w:val="18"/>
                <w:szCs w:val="18"/>
              </w:rPr>
            </w:pPr>
            <w:r w:rsidRPr="005D1119">
              <w:rPr>
                <w:b/>
                <w:bCs/>
                <w:color w:val="000000"/>
                <w:sz w:val="18"/>
                <w:szCs w:val="18"/>
              </w:rPr>
              <w:t>26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DC8596C" w14:textId="77777777" w:rsidR="003C3D08" w:rsidRPr="005D1119" w:rsidRDefault="003C3D08" w:rsidP="003C3D08">
            <w:pPr>
              <w:spacing w:after="0"/>
              <w:jc w:val="center"/>
              <w:rPr>
                <w:b/>
                <w:bCs/>
                <w:color w:val="000000"/>
                <w:sz w:val="18"/>
                <w:szCs w:val="18"/>
              </w:rPr>
            </w:pPr>
            <w:r w:rsidRPr="005D1119">
              <w:rPr>
                <w:b/>
                <w:bCs/>
                <w:color w:val="000000"/>
                <w:sz w:val="18"/>
                <w:szCs w:val="18"/>
              </w:rPr>
              <w:t>68</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A1B8E42" w14:textId="77777777" w:rsidR="003C3D08" w:rsidRPr="005D1119" w:rsidRDefault="003C3D08" w:rsidP="003C3D08">
            <w:pPr>
              <w:spacing w:after="0"/>
              <w:jc w:val="center"/>
              <w:rPr>
                <w:b/>
                <w:bCs/>
                <w:color w:val="000000"/>
                <w:sz w:val="18"/>
                <w:szCs w:val="18"/>
              </w:rPr>
            </w:pPr>
            <w:r w:rsidRPr="005D1119">
              <w:rPr>
                <w:b/>
                <w:bCs/>
                <w:color w:val="000000"/>
                <w:sz w:val="18"/>
                <w:szCs w:val="18"/>
              </w:rPr>
              <w:t>131</w:t>
            </w:r>
          </w:p>
        </w:tc>
      </w:tr>
      <w:tr w:rsidR="003C3D08" w:rsidRPr="005D1119" w14:paraId="333F97FB" w14:textId="77777777" w:rsidTr="001B7765">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3D4283C" w14:textId="77777777" w:rsidR="003C3D08" w:rsidRPr="005D1119" w:rsidRDefault="003C3D08" w:rsidP="003C3D08">
            <w:pPr>
              <w:spacing w:after="0"/>
              <w:jc w:val="both"/>
              <w:rPr>
                <w:rFonts w:cs="Arial"/>
                <w:color w:val="000000"/>
                <w:sz w:val="18"/>
                <w:szCs w:val="18"/>
                <w:lang w:val="en-US"/>
              </w:rPr>
            </w:pPr>
            <w:r w:rsidRPr="005D1119">
              <w:rPr>
                <w:rFonts w:cs="Arial"/>
                <w:color w:val="000000"/>
                <w:sz w:val="18"/>
                <w:szCs w:val="18"/>
                <w:lang w:val="en-US"/>
              </w:rPr>
              <w:t>transfer factor (hand to food) in %</w:t>
            </w:r>
          </w:p>
        </w:tc>
        <w:tc>
          <w:tcPr>
            <w:tcW w:w="1252" w:type="dxa"/>
            <w:tcBorders>
              <w:top w:val="nil"/>
              <w:left w:val="nil"/>
              <w:bottom w:val="single" w:sz="4" w:space="0" w:color="auto"/>
              <w:right w:val="single" w:sz="4" w:space="0" w:color="auto"/>
            </w:tcBorders>
            <w:shd w:val="clear" w:color="auto" w:fill="auto"/>
            <w:noWrap/>
            <w:vAlign w:val="center"/>
          </w:tcPr>
          <w:p w14:paraId="7D183021" w14:textId="77777777" w:rsidR="003C3D08" w:rsidRPr="005D1119" w:rsidRDefault="003C3D08" w:rsidP="003C3D08">
            <w:pPr>
              <w:spacing w:after="0"/>
              <w:jc w:val="center"/>
              <w:rPr>
                <w:sz w:val="18"/>
                <w:szCs w:val="18"/>
              </w:rPr>
            </w:pPr>
            <w:r w:rsidRPr="005D1119">
              <w:rPr>
                <w:sz w:val="18"/>
                <w:szCs w:val="18"/>
              </w:rPr>
              <w:t>100</w:t>
            </w:r>
          </w:p>
        </w:tc>
        <w:tc>
          <w:tcPr>
            <w:tcW w:w="1252" w:type="dxa"/>
            <w:tcBorders>
              <w:top w:val="single" w:sz="4" w:space="0" w:color="auto"/>
              <w:left w:val="nil"/>
              <w:bottom w:val="single" w:sz="4" w:space="0" w:color="auto"/>
              <w:right w:val="single" w:sz="4" w:space="0" w:color="auto"/>
            </w:tcBorders>
            <w:shd w:val="clear" w:color="auto" w:fill="auto"/>
            <w:vAlign w:val="center"/>
          </w:tcPr>
          <w:p w14:paraId="23FB53E2" w14:textId="77777777" w:rsidR="003C3D08" w:rsidRPr="005D1119" w:rsidRDefault="003C3D08" w:rsidP="003C3D08">
            <w:pPr>
              <w:spacing w:after="0"/>
              <w:jc w:val="center"/>
              <w:rPr>
                <w:sz w:val="18"/>
                <w:szCs w:val="18"/>
              </w:rPr>
            </w:pPr>
            <w:r w:rsidRPr="005D1119">
              <w:rPr>
                <w:sz w:val="18"/>
                <w:szCs w:val="18"/>
              </w:rPr>
              <w:t>100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BCDBC2C" w14:textId="77777777" w:rsidR="003C3D08" w:rsidRPr="005D1119" w:rsidRDefault="003C3D08" w:rsidP="003C3D08">
            <w:pPr>
              <w:spacing w:after="0"/>
              <w:jc w:val="center"/>
              <w:rPr>
                <w:sz w:val="18"/>
                <w:szCs w:val="18"/>
              </w:rPr>
            </w:pPr>
            <w:r w:rsidRPr="005D1119">
              <w:rPr>
                <w:sz w:val="18"/>
                <w:szCs w:val="18"/>
              </w:rPr>
              <w:t>100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EB8D13B" w14:textId="77777777" w:rsidR="003C3D08" w:rsidRPr="005D1119" w:rsidRDefault="003C3D08" w:rsidP="003C3D08">
            <w:pPr>
              <w:spacing w:after="0"/>
              <w:jc w:val="center"/>
              <w:rPr>
                <w:sz w:val="18"/>
                <w:szCs w:val="18"/>
              </w:rPr>
            </w:pPr>
            <w:r w:rsidRPr="005D1119">
              <w:rPr>
                <w:sz w:val="18"/>
                <w:szCs w:val="18"/>
              </w:rPr>
              <w:t>100</w:t>
            </w:r>
          </w:p>
        </w:tc>
      </w:tr>
      <w:tr w:rsidR="003C3D08" w:rsidRPr="005D1119" w14:paraId="7D31501B" w14:textId="77777777" w:rsidTr="001B7765">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9B63FF7" w14:textId="77777777" w:rsidR="003C3D08" w:rsidRPr="005D1119" w:rsidRDefault="003C3D08" w:rsidP="003C3D08">
            <w:pPr>
              <w:spacing w:after="0"/>
              <w:jc w:val="both"/>
              <w:rPr>
                <w:rFonts w:cs="Arial"/>
                <w:color w:val="000000"/>
                <w:sz w:val="18"/>
                <w:szCs w:val="18"/>
                <w:lang w:val="en-US"/>
              </w:rPr>
            </w:pPr>
            <w:r w:rsidRPr="005D1119">
              <w:rPr>
                <w:rFonts w:cs="Arial"/>
                <w:color w:val="000000"/>
                <w:sz w:val="18"/>
                <w:szCs w:val="18"/>
                <w:lang w:val="en-US"/>
              </w:rPr>
              <w:t>transfer factor (food to mouth) in %</w:t>
            </w:r>
          </w:p>
        </w:tc>
        <w:tc>
          <w:tcPr>
            <w:tcW w:w="1252" w:type="dxa"/>
            <w:tcBorders>
              <w:top w:val="nil"/>
              <w:left w:val="nil"/>
              <w:bottom w:val="single" w:sz="4" w:space="0" w:color="auto"/>
              <w:right w:val="single" w:sz="4" w:space="0" w:color="auto"/>
            </w:tcBorders>
            <w:shd w:val="clear" w:color="auto" w:fill="auto"/>
            <w:noWrap/>
            <w:vAlign w:val="center"/>
          </w:tcPr>
          <w:p w14:paraId="4FC0C105" w14:textId="77777777" w:rsidR="003C3D08" w:rsidRPr="005D1119" w:rsidRDefault="003C3D08" w:rsidP="003C3D08">
            <w:pPr>
              <w:spacing w:after="0"/>
              <w:jc w:val="center"/>
              <w:rPr>
                <w:color w:val="000000"/>
                <w:sz w:val="18"/>
                <w:szCs w:val="18"/>
              </w:rPr>
            </w:pPr>
            <w:r w:rsidRPr="005D1119">
              <w:rPr>
                <w:color w:val="000000"/>
                <w:sz w:val="18"/>
                <w:szCs w:val="18"/>
              </w:rPr>
              <w:t>100</w:t>
            </w:r>
          </w:p>
        </w:tc>
        <w:tc>
          <w:tcPr>
            <w:tcW w:w="1252" w:type="dxa"/>
            <w:tcBorders>
              <w:top w:val="single" w:sz="4" w:space="0" w:color="auto"/>
              <w:left w:val="nil"/>
              <w:bottom w:val="single" w:sz="4" w:space="0" w:color="auto"/>
              <w:right w:val="single" w:sz="4" w:space="0" w:color="auto"/>
            </w:tcBorders>
            <w:shd w:val="clear" w:color="auto" w:fill="auto"/>
            <w:vAlign w:val="center"/>
          </w:tcPr>
          <w:p w14:paraId="30B9B1F0" w14:textId="77777777" w:rsidR="003C3D08" w:rsidRPr="005D1119" w:rsidRDefault="003C3D08" w:rsidP="003C3D08">
            <w:pPr>
              <w:spacing w:after="0"/>
              <w:jc w:val="center"/>
              <w:rPr>
                <w:color w:val="000000"/>
                <w:sz w:val="18"/>
                <w:szCs w:val="18"/>
              </w:rPr>
            </w:pPr>
            <w:r w:rsidRPr="005D1119">
              <w:rPr>
                <w:color w:val="000000"/>
                <w:sz w:val="18"/>
                <w:szCs w:val="18"/>
              </w:rPr>
              <w:t>100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EEC04D9" w14:textId="77777777" w:rsidR="003C3D08" w:rsidRPr="005D1119" w:rsidRDefault="003C3D08" w:rsidP="003C3D08">
            <w:pPr>
              <w:spacing w:after="0"/>
              <w:jc w:val="center"/>
              <w:rPr>
                <w:color w:val="000000"/>
                <w:sz w:val="18"/>
                <w:szCs w:val="18"/>
              </w:rPr>
            </w:pPr>
            <w:r w:rsidRPr="005D1119">
              <w:rPr>
                <w:color w:val="000000"/>
                <w:sz w:val="18"/>
                <w:szCs w:val="18"/>
              </w:rPr>
              <w:t>100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F82EFAC" w14:textId="77777777" w:rsidR="003C3D08" w:rsidRPr="005D1119" w:rsidRDefault="003C3D08" w:rsidP="003C3D08">
            <w:pPr>
              <w:spacing w:after="0"/>
              <w:jc w:val="center"/>
              <w:rPr>
                <w:color w:val="000000"/>
                <w:sz w:val="18"/>
                <w:szCs w:val="18"/>
              </w:rPr>
            </w:pPr>
            <w:r w:rsidRPr="005D1119">
              <w:rPr>
                <w:color w:val="000000"/>
                <w:sz w:val="18"/>
                <w:szCs w:val="18"/>
              </w:rPr>
              <w:t>100</w:t>
            </w:r>
          </w:p>
        </w:tc>
      </w:tr>
      <w:tr w:rsidR="003C3D08" w:rsidRPr="005D1119" w14:paraId="2960F2C2" w14:textId="77777777" w:rsidTr="001B7765">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7DB059B" w14:textId="77777777" w:rsidR="003C3D08" w:rsidRPr="005D1119" w:rsidRDefault="003C3D08" w:rsidP="003C3D08">
            <w:pPr>
              <w:spacing w:after="0"/>
              <w:jc w:val="both"/>
              <w:rPr>
                <w:rFonts w:cs="Arial"/>
                <w:color w:val="000000"/>
                <w:sz w:val="18"/>
                <w:szCs w:val="18"/>
                <w:lang w:val="en-US"/>
              </w:rPr>
            </w:pPr>
            <w:r w:rsidRPr="005D1119">
              <w:rPr>
                <w:rFonts w:cs="Arial"/>
                <w:color w:val="000000"/>
                <w:sz w:val="18"/>
                <w:szCs w:val="18"/>
                <w:lang w:val="en-US"/>
              </w:rPr>
              <w:t xml:space="preserve">ingested a.s in mg and per application </w:t>
            </w:r>
          </w:p>
        </w:tc>
        <w:tc>
          <w:tcPr>
            <w:tcW w:w="1252" w:type="dxa"/>
            <w:tcBorders>
              <w:top w:val="nil"/>
              <w:left w:val="nil"/>
              <w:bottom w:val="single" w:sz="4" w:space="0" w:color="auto"/>
              <w:right w:val="single" w:sz="4" w:space="0" w:color="auto"/>
            </w:tcBorders>
            <w:shd w:val="clear" w:color="auto" w:fill="auto"/>
            <w:noWrap/>
            <w:vAlign w:val="center"/>
          </w:tcPr>
          <w:p w14:paraId="5872F76E" w14:textId="77777777" w:rsidR="003C3D08" w:rsidRPr="005D1119" w:rsidRDefault="003C3D08" w:rsidP="003C3D08">
            <w:pPr>
              <w:spacing w:after="0"/>
              <w:jc w:val="center"/>
              <w:rPr>
                <w:color w:val="000000"/>
                <w:sz w:val="18"/>
                <w:szCs w:val="18"/>
              </w:rPr>
            </w:pPr>
            <w:r w:rsidRPr="005D1119">
              <w:rPr>
                <w:color w:val="000000"/>
                <w:sz w:val="18"/>
                <w:szCs w:val="18"/>
              </w:rPr>
              <w:t>18</w:t>
            </w:r>
          </w:p>
        </w:tc>
        <w:tc>
          <w:tcPr>
            <w:tcW w:w="1252" w:type="dxa"/>
            <w:tcBorders>
              <w:top w:val="single" w:sz="4" w:space="0" w:color="auto"/>
              <w:left w:val="nil"/>
              <w:bottom w:val="single" w:sz="4" w:space="0" w:color="auto"/>
              <w:right w:val="single" w:sz="4" w:space="0" w:color="auto"/>
            </w:tcBorders>
            <w:shd w:val="clear" w:color="auto" w:fill="auto"/>
            <w:vAlign w:val="center"/>
          </w:tcPr>
          <w:p w14:paraId="4D8B14EC" w14:textId="77777777" w:rsidR="003C3D08" w:rsidRPr="005D1119" w:rsidRDefault="003C3D08" w:rsidP="003C3D08">
            <w:pPr>
              <w:spacing w:after="0"/>
              <w:jc w:val="center"/>
              <w:rPr>
                <w:color w:val="000000"/>
                <w:sz w:val="18"/>
                <w:szCs w:val="18"/>
              </w:rPr>
            </w:pPr>
            <w:r w:rsidRPr="005D1119">
              <w:rPr>
                <w:color w:val="000000"/>
                <w:sz w:val="18"/>
                <w:szCs w:val="18"/>
              </w:rPr>
              <w:t>26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BAE7307" w14:textId="77777777" w:rsidR="003C3D08" w:rsidRPr="005D1119" w:rsidRDefault="003C3D08" w:rsidP="003C3D08">
            <w:pPr>
              <w:spacing w:after="0"/>
              <w:jc w:val="center"/>
              <w:rPr>
                <w:color w:val="000000"/>
                <w:sz w:val="18"/>
                <w:szCs w:val="18"/>
              </w:rPr>
            </w:pPr>
            <w:r w:rsidRPr="005D1119">
              <w:rPr>
                <w:color w:val="000000"/>
                <w:sz w:val="18"/>
                <w:szCs w:val="18"/>
              </w:rPr>
              <w:t>34</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E7FD6D2" w14:textId="77777777" w:rsidR="003C3D08" w:rsidRPr="005D1119" w:rsidRDefault="003C3D08" w:rsidP="003C3D08">
            <w:pPr>
              <w:spacing w:after="0"/>
              <w:jc w:val="center"/>
              <w:rPr>
                <w:color w:val="000000"/>
                <w:sz w:val="18"/>
                <w:szCs w:val="18"/>
              </w:rPr>
            </w:pPr>
            <w:r w:rsidRPr="005D1119">
              <w:rPr>
                <w:color w:val="000000"/>
                <w:sz w:val="18"/>
                <w:szCs w:val="18"/>
              </w:rPr>
              <w:t>66</w:t>
            </w:r>
          </w:p>
        </w:tc>
      </w:tr>
      <w:tr w:rsidR="003C3D08" w:rsidRPr="005D1119" w14:paraId="48C72F12" w14:textId="77777777" w:rsidTr="001B7765">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74DC65C" w14:textId="77777777" w:rsidR="003C3D08" w:rsidRPr="009C453D" w:rsidRDefault="003C3D08" w:rsidP="003C3D08">
            <w:pPr>
              <w:spacing w:after="0"/>
              <w:jc w:val="both"/>
              <w:rPr>
                <w:rFonts w:cs="Arial"/>
                <w:color w:val="000000"/>
                <w:sz w:val="18"/>
                <w:szCs w:val="18"/>
                <w:lang w:val="en-US"/>
              </w:rPr>
            </w:pPr>
            <w:r w:rsidRPr="009C453D">
              <w:rPr>
                <w:rFonts w:cs="Arial"/>
                <w:color w:val="000000"/>
                <w:sz w:val="18"/>
                <w:szCs w:val="18"/>
                <w:lang w:val="en-US"/>
              </w:rPr>
              <w:t>total ingested a.s in mg</w:t>
            </w:r>
          </w:p>
        </w:tc>
        <w:tc>
          <w:tcPr>
            <w:tcW w:w="1252" w:type="dxa"/>
            <w:tcBorders>
              <w:top w:val="nil"/>
              <w:left w:val="nil"/>
              <w:bottom w:val="single" w:sz="4" w:space="0" w:color="auto"/>
              <w:right w:val="single" w:sz="4" w:space="0" w:color="auto"/>
            </w:tcBorders>
            <w:shd w:val="clear" w:color="auto" w:fill="auto"/>
            <w:noWrap/>
            <w:vAlign w:val="center"/>
          </w:tcPr>
          <w:p w14:paraId="4DBF6EA5" w14:textId="77777777" w:rsidR="003C3D08" w:rsidRPr="005D1119" w:rsidRDefault="003C3D08" w:rsidP="003C3D08">
            <w:pPr>
              <w:spacing w:after="0"/>
              <w:jc w:val="center"/>
              <w:rPr>
                <w:color w:val="000000"/>
                <w:sz w:val="18"/>
                <w:szCs w:val="18"/>
              </w:rPr>
            </w:pPr>
            <w:r w:rsidRPr="005D1119">
              <w:rPr>
                <w:color w:val="000000"/>
                <w:sz w:val="18"/>
                <w:szCs w:val="18"/>
              </w:rPr>
              <w:t>18</w:t>
            </w:r>
          </w:p>
        </w:tc>
        <w:tc>
          <w:tcPr>
            <w:tcW w:w="1252" w:type="dxa"/>
            <w:tcBorders>
              <w:top w:val="single" w:sz="4" w:space="0" w:color="auto"/>
              <w:left w:val="nil"/>
              <w:bottom w:val="single" w:sz="4" w:space="0" w:color="auto"/>
              <w:right w:val="single" w:sz="4" w:space="0" w:color="auto"/>
            </w:tcBorders>
            <w:shd w:val="clear" w:color="auto" w:fill="auto"/>
            <w:vAlign w:val="center"/>
          </w:tcPr>
          <w:p w14:paraId="440484C3" w14:textId="77777777" w:rsidR="003C3D08" w:rsidRPr="005D1119" w:rsidRDefault="003C3D08" w:rsidP="003C3D08">
            <w:pPr>
              <w:spacing w:after="0"/>
              <w:jc w:val="center"/>
              <w:rPr>
                <w:sz w:val="18"/>
                <w:szCs w:val="18"/>
              </w:rPr>
            </w:pPr>
            <w:r w:rsidRPr="005D1119">
              <w:rPr>
                <w:sz w:val="18"/>
                <w:szCs w:val="18"/>
              </w:rPr>
              <w:t>26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C65F7FD" w14:textId="77777777" w:rsidR="003C3D08" w:rsidRPr="005D1119" w:rsidRDefault="003C3D08" w:rsidP="003C3D08">
            <w:pPr>
              <w:spacing w:after="0"/>
              <w:jc w:val="center"/>
              <w:rPr>
                <w:color w:val="000000"/>
                <w:sz w:val="18"/>
                <w:szCs w:val="18"/>
              </w:rPr>
            </w:pPr>
            <w:r w:rsidRPr="005D1119">
              <w:rPr>
                <w:color w:val="000000"/>
                <w:sz w:val="18"/>
                <w:szCs w:val="18"/>
              </w:rPr>
              <w:t>68</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EE7AC3A" w14:textId="77777777" w:rsidR="003C3D08" w:rsidRPr="005D1119" w:rsidRDefault="003C3D08" w:rsidP="003C3D08">
            <w:pPr>
              <w:spacing w:after="0"/>
              <w:jc w:val="center"/>
              <w:rPr>
                <w:color w:val="000000"/>
                <w:sz w:val="18"/>
                <w:szCs w:val="18"/>
              </w:rPr>
            </w:pPr>
            <w:r w:rsidRPr="005D1119">
              <w:rPr>
                <w:color w:val="000000"/>
                <w:sz w:val="18"/>
                <w:szCs w:val="18"/>
              </w:rPr>
              <w:t>131</w:t>
            </w:r>
          </w:p>
        </w:tc>
      </w:tr>
      <w:tr w:rsidR="003C3D08" w:rsidRPr="005D1119" w14:paraId="3F3812FE" w14:textId="77777777" w:rsidTr="001B7765">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C65A513" w14:textId="77777777" w:rsidR="003C3D08" w:rsidRPr="005D1119" w:rsidRDefault="003C3D08" w:rsidP="003C3D08">
            <w:pPr>
              <w:spacing w:after="0"/>
              <w:jc w:val="both"/>
              <w:rPr>
                <w:rFonts w:cs="Arial"/>
                <w:color w:val="000000"/>
                <w:sz w:val="18"/>
                <w:szCs w:val="18"/>
              </w:rPr>
            </w:pPr>
            <w:r w:rsidRPr="005D1119">
              <w:rPr>
                <w:rFonts w:cs="Arial"/>
                <w:color w:val="000000"/>
                <w:sz w:val="18"/>
                <w:szCs w:val="18"/>
              </w:rPr>
              <w:t>Body weight in kg</w:t>
            </w:r>
          </w:p>
        </w:tc>
        <w:tc>
          <w:tcPr>
            <w:tcW w:w="1252" w:type="dxa"/>
            <w:tcBorders>
              <w:top w:val="nil"/>
              <w:left w:val="nil"/>
              <w:bottom w:val="single" w:sz="4" w:space="0" w:color="auto"/>
              <w:right w:val="single" w:sz="4" w:space="0" w:color="auto"/>
            </w:tcBorders>
            <w:shd w:val="clear" w:color="auto" w:fill="auto"/>
            <w:noWrap/>
            <w:vAlign w:val="center"/>
          </w:tcPr>
          <w:p w14:paraId="027A9416" w14:textId="77777777" w:rsidR="003C3D08" w:rsidRPr="005D1119" w:rsidRDefault="003C3D08" w:rsidP="003C3D08">
            <w:pPr>
              <w:spacing w:after="0"/>
              <w:jc w:val="center"/>
              <w:rPr>
                <w:color w:val="000000"/>
                <w:sz w:val="18"/>
                <w:szCs w:val="18"/>
              </w:rPr>
            </w:pPr>
            <w:r w:rsidRPr="005D1119">
              <w:rPr>
                <w:color w:val="000000"/>
                <w:sz w:val="18"/>
                <w:szCs w:val="18"/>
              </w:rPr>
              <w:t>10</w:t>
            </w:r>
          </w:p>
        </w:tc>
        <w:tc>
          <w:tcPr>
            <w:tcW w:w="1252" w:type="dxa"/>
            <w:tcBorders>
              <w:top w:val="single" w:sz="4" w:space="0" w:color="auto"/>
              <w:left w:val="nil"/>
              <w:bottom w:val="single" w:sz="4" w:space="0" w:color="auto"/>
              <w:right w:val="single" w:sz="4" w:space="0" w:color="auto"/>
            </w:tcBorders>
            <w:shd w:val="clear" w:color="auto" w:fill="auto"/>
            <w:vAlign w:val="center"/>
          </w:tcPr>
          <w:p w14:paraId="338FBCBA" w14:textId="77777777" w:rsidR="003C3D08" w:rsidRPr="005D1119" w:rsidRDefault="003C3D08" w:rsidP="003C3D08">
            <w:pPr>
              <w:spacing w:after="0"/>
              <w:jc w:val="center"/>
              <w:rPr>
                <w:sz w:val="18"/>
                <w:szCs w:val="18"/>
              </w:rPr>
            </w:pPr>
            <w:r w:rsidRPr="005D1119">
              <w:rPr>
                <w:sz w:val="18"/>
                <w:szCs w:val="18"/>
              </w:rPr>
              <w:t>15</w:t>
            </w:r>
            <w:r>
              <w:rPr>
                <w:sz w:val="18"/>
                <w:szCs w:val="18"/>
              </w:rPr>
              <w:t>.</w:t>
            </w:r>
            <w:r w:rsidRPr="005D1119">
              <w:rPr>
                <w:sz w:val="18"/>
                <w:szCs w:val="18"/>
              </w:rPr>
              <w:t>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2C47EFE9" w14:textId="77777777" w:rsidR="003C3D08" w:rsidRPr="005D1119" w:rsidRDefault="003C3D08" w:rsidP="003C3D08">
            <w:pPr>
              <w:spacing w:after="0"/>
              <w:jc w:val="center"/>
              <w:rPr>
                <w:color w:val="000000"/>
                <w:sz w:val="18"/>
                <w:szCs w:val="18"/>
              </w:rPr>
            </w:pPr>
            <w:r w:rsidRPr="005D1119">
              <w:rPr>
                <w:color w:val="000000"/>
                <w:sz w:val="18"/>
                <w:szCs w:val="18"/>
              </w:rPr>
              <w:t>23</w:t>
            </w:r>
            <w:r>
              <w:rPr>
                <w:color w:val="000000"/>
                <w:sz w:val="18"/>
                <w:szCs w:val="18"/>
              </w:rPr>
              <w:t>.</w:t>
            </w:r>
            <w:r w:rsidRPr="005D1119">
              <w:rPr>
                <w:color w:val="000000"/>
                <w:sz w:val="18"/>
                <w:szCs w:val="18"/>
              </w:rPr>
              <w:t>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ECB7AEF" w14:textId="77777777" w:rsidR="003C3D08" w:rsidRPr="005D1119" w:rsidRDefault="003C3D08" w:rsidP="003C3D08">
            <w:pPr>
              <w:spacing w:after="0"/>
              <w:jc w:val="center"/>
              <w:rPr>
                <w:color w:val="000000"/>
                <w:sz w:val="18"/>
                <w:szCs w:val="18"/>
              </w:rPr>
            </w:pPr>
            <w:r w:rsidRPr="005D1119">
              <w:rPr>
                <w:color w:val="000000"/>
                <w:sz w:val="18"/>
                <w:szCs w:val="18"/>
              </w:rPr>
              <w:t>60</w:t>
            </w:r>
          </w:p>
        </w:tc>
      </w:tr>
      <w:tr w:rsidR="003C3D08" w:rsidRPr="005D1119" w14:paraId="59C64F16" w14:textId="77777777" w:rsidTr="001B7765">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53D70E3" w14:textId="77777777" w:rsidR="003C3D08" w:rsidRPr="005D1119" w:rsidRDefault="003C3D08" w:rsidP="003C3D08">
            <w:pPr>
              <w:spacing w:after="0"/>
              <w:jc w:val="both"/>
              <w:rPr>
                <w:rFonts w:cs="Arial"/>
                <w:color w:val="000000"/>
                <w:sz w:val="18"/>
                <w:szCs w:val="18"/>
                <w:lang w:val="en-US"/>
              </w:rPr>
            </w:pPr>
            <w:r w:rsidRPr="005D1119">
              <w:rPr>
                <w:rFonts w:cs="Arial"/>
                <w:color w:val="000000"/>
                <w:sz w:val="18"/>
                <w:szCs w:val="18"/>
                <w:lang w:val="en-US"/>
              </w:rPr>
              <w:t>Exposure per application in mg a.s/kg b.w./day</w:t>
            </w:r>
          </w:p>
        </w:tc>
        <w:tc>
          <w:tcPr>
            <w:tcW w:w="1252" w:type="dxa"/>
            <w:tcBorders>
              <w:top w:val="nil"/>
              <w:left w:val="nil"/>
              <w:bottom w:val="single" w:sz="4" w:space="0" w:color="auto"/>
              <w:right w:val="single" w:sz="4" w:space="0" w:color="auto"/>
            </w:tcBorders>
            <w:shd w:val="clear" w:color="auto" w:fill="auto"/>
            <w:noWrap/>
            <w:vAlign w:val="center"/>
          </w:tcPr>
          <w:p w14:paraId="0120B3C6" w14:textId="77777777" w:rsidR="003C3D08" w:rsidRPr="009C453D" w:rsidRDefault="003C3D08" w:rsidP="003C3D08">
            <w:pPr>
              <w:spacing w:after="0"/>
              <w:jc w:val="center"/>
              <w:rPr>
                <w:color w:val="000000"/>
                <w:sz w:val="18"/>
                <w:szCs w:val="18"/>
              </w:rPr>
            </w:pPr>
            <w:r w:rsidRPr="009C453D">
              <w:rPr>
                <w:color w:val="000000"/>
                <w:sz w:val="18"/>
                <w:szCs w:val="18"/>
              </w:rPr>
              <w:t>1</w:t>
            </w:r>
            <w:r>
              <w:rPr>
                <w:color w:val="000000"/>
                <w:sz w:val="18"/>
                <w:szCs w:val="18"/>
              </w:rPr>
              <w:t>.</w:t>
            </w:r>
            <w:r w:rsidRPr="009C453D">
              <w:rPr>
                <w:color w:val="000000"/>
                <w:sz w:val="18"/>
                <w:szCs w:val="18"/>
              </w:rPr>
              <w:t>8</w:t>
            </w:r>
          </w:p>
        </w:tc>
        <w:tc>
          <w:tcPr>
            <w:tcW w:w="1252" w:type="dxa"/>
            <w:tcBorders>
              <w:top w:val="single" w:sz="4" w:space="0" w:color="auto"/>
              <w:left w:val="nil"/>
              <w:bottom w:val="single" w:sz="4" w:space="0" w:color="auto"/>
              <w:right w:val="single" w:sz="4" w:space="0" w:color="auto"/>
            </w:tcBorders>
            <w:shd w:val="clear" w:color="auto" w:fill="auto"/>
            <w:vAlign w:val="center"/>
          </w:tcPr>
          <w:p w14:paraId="5E9D5758" w14:textId="77777777" w:rsidR="003C3D08" w:rsidRPr="009C453D" w:rsidRDefault="003C3D08" w:rsidP="003C3D08">
            <w:pPr>
              <w:spacing w:after="0"/>
              <w:jc w:val="center"/>
              <w:rPr>
                <w:color w:val="000000"/>
                <w:sz w:val="18"/>
                <w:szCs w:val="18"/>
              </w:rPr>
            </w:pPr>
            <w:r w:rsidRPr="009C453D">
              <w:rPr>
                <w:color w:val="000000"/>
                <w:sz w:val="18"/>
                <w:szCs w:val="18"/>
              </w:rPr>
              <w:t>1</w:t>
            </w:r>
            <w:r>
              <w:rPr>
                <w:color w:val="000000"/>
                <w:sz w:val="18"/>
                <w:szCs w:val="18"/>
              </w:rPr>
              <w:t>.</w:t>
            </w:r>
            <w:r w:rsidRPr="009C453D">
              <w:rPr>
                <w:color w:val="000000"/>
                <w:sz w:val="18"/>
                <w:szCs w:val="18"/>
              </w:rPr>
              <w:t>7</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52CAF73" w14:textId="77777777" w:rsidR="003C3D08" w:rsidRPr="005D1119" w:rsidRDefault="003C3D08" w:rsidP="003C3D08">
            <w:pPr>
              <w:spacing w:after="0"/>
              <w:jc w:val="center"/>
              <w:rPr>
                <w:color w:val="000000"/>
                <w:sz w:val="18"/>
                <w:szCs w:val="18"/>
              </w:rPr>
            </w:pPr>
            <w:r w:rsidRPr="005D1119">
              <w:rPr>
                <w:color w:val="000000"/>
                <w:sz w:val="18"/>
                <w:szCs w:val="18"/>
              </w:rPr>
              <w:t>1</w:t>
            </w:r>
            <w:r>
              <w:rPr>
                <w:color w:val="000000"/>
                <w:sz w:val="18"/>
                <w:szCs w:val="18"/>
              </w:rPr>
              <w:t>.</w:t>
            </w:r>
            <w:r w:rsidRPr="005D1119">
              <w:rPr>
                <w:color w:val="000000"/>
                <w:sz w:val="18"/>
                <w:szCs w:val="18"/>
              </w:rPr>
              <w:t>4</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2E53A3F9" w14:textId="77777777" w:rsidR="003C3D08" w:rsidRPr="005D1119" w:rsidRDefault="003C3D08" w:rsidP="003C3D08">
            <w:pPr>
              <w:spacing w:after="0"/>
              <w:jc w:val="center"/>
              <w:rPr>
                <w:color w:val="000000"/>
                <w:sz w:val="18"/>
                <w:szCs w:val="18"/>
              </w:rPr>
            </w:pPr>
            <w:r w:rsidRPr="005D1119">
              <w:rPr>
                <w:color w:val="000000"/>
                <w:sz w:val="18"/>
                <w:szCs w:val="18"/>
              </w:rPr>
              <w:t>1</w:t>
            </w:r>
            <w:r>
              <w:rPr>
                <w:color w:val="000000"/>
                <w:sz w:val="18"/>
                <w:szCs w:val="18"/>
              </w:rPr>
              <w:t>.</w:t>
            </w:r>
            <w:r w:rsidRPr="005D1119">
              <w:rPr>
                <w:color w:val="000000"/>
                <w:sz w:val="18"/>
                <w:szCs w:val="18"/>
              </w:rPr>
              <w:t>1</w:t>
            </w:r>
          </w:p>
        </w:tc>
      </w:tr>
      <w:tr w:rsidR="003C3D08" w:rsidRPr="009C453D" w14:paraId="6709E322" w14:textId="77777777" w:rsidTr="001B7765">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4F1B6" w14:textId="77777777" w:rsidR="003C3D08" w:rsidRPr="009C453D" w:rsidRDefault="003C3D08" w:rsidP="003C3D08">
            <w:pPr>
              <w:spacing w:after="0"/>
              <w:jc w:val="both"/>
              <w:rPr>
                <w:rFonts w:cs="Arial"/>
                <w:color w:val="000000"/>
                <w:sz w:val="18"/>
                <w:szCs w:val="18"/>
                <w:lang w:val="en-US"/>
              </w:rPr>
            </w:pPr>
            <w:r w:rsidRPr="009C453D">
              <w:rPr>
                <w:rFonts w:cs="Arial"/>
                <w:color w:val="000000"/>
                <w:sz w:val="18"/>
                <w:szCs w:val="18"/>
                <w:lang w:val="en-US"/>
              </w:rPr>
              <w:t>Total exposure in mg a.s/kg b.w./day</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2F498A1E" w14:textId="77777777" w:rsidR="003C3D08" w:rsidRPr="009C453D" w:rsidRDefault="003C3D08" w:rsidP="003C3D08">
            <w:pPr>
              <w:spacing w:after="0"/>
              <w:jc w:val="center"/>
              <w:rPr>
                <w:color w:val="000000"/>
                <w:sz w:val="18"/>
                <w:szCs w:val="18"/>
              </w:rPr>
            </w:pPr>
            <w:r w:rsidRPr="009C453D">
              <w:rPr>
                <w:color w:val="000000"/>
                <w:sz w:val="18"/>
                <w:szCs w:val="18"/>
              </w:rPr>
              <w:t>1</w:t>
            </w:r>
            <w:r>
              <w:rPr>
                <w:color w:val="000000"/>
                <w:sz w:val="18"/>
                <w:szCs w:val="18"/>
              </w:rPr>
              <w:t>.</w:t>
            </w:r>
            <w:r w:rsidRPr="009C453D">
              <w:rPr>
                <w:color w:val="000000"/>
                <w:sz w:val="18"/>
                <w:szCs w:val="18"/>
              </w:rPr>
              <w:t>8</w:t>
            </w:r>
          </w:p>
        </w:tc>
        <w:tc>
          <w:tcPr>
            <w:tcW w:w="1252" w:type="dxa"/>
            <w:tcBorders>
              <w:top w:val="single" w:sz="4" w:space="0" w:color="auto"/>
              <w:left w:val="nil"/>
              <w:bottom w:val="single" w:sz="4" w:space="0" w:color="auto"/>
              <w:right w:val="single" w:sz="4" w:space="0" w:color="auto"/>
            </w:tcBorders>
            <w:shd w:val="clear" w:color="auto" w:fill="auto"/>
            <w:vAlign w:val="center"/>
          </w:tcPr>
          <w:p w14:paraId="334460D0" w14:textId="77777777" w:rsidR="003C3D08" w:rsidRPr="009C453D" w:rsidRDefault="003C3D08" w:rsidP="003C3D08">
            <w:pPr>
              <w:spacing w:after="0"/>
              <w:jc w:val="center"/>
              <w:rPr>
                <w:color w:val="000000"/>
                <w:sz w:val="18"/>
                <w:szCs w:val="18"/>
              </w:rPr>
            </w:pPr>
            <w:r w:rsidRPr="009C453D">
              <w:rPr>
                <w:color w:val="000000"/>
                <w:sz w:val="18"/>
                <w:szCs w:val="18"/>
              </w:rPr>
              <w:t>1</w:t>
            </w:r>
            <w:r>
              <w:rPr>
                <w:color w:val="000000"/>
                <w:sz w:val="18"/>
                <w:szCs w:val="18"/>
              </w:rPr>
              <w:t>.</w:t>
            </w:r>
            <w:r w:rsidRPr="009C453D">
              <w:rPr>
                <w:color w:val="000000"/>
                <w:sz w:val="18"/>
                <w:szCs w:val="18"/>
              </w:rPr>
              <w:t>7</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142E314" w14:textId="77777777" w:rsidR="003C3D08" w:rsidRPr="009C453D" w:rsidRDefault="003C3D08" w:rsidP="003C3D08">
            <w:pPr>
              <w:spacing w:after="0"/>
              <w:jc w:val="center"/>
              <w:rPr>
                <w:color w:val="000000"/>
                <w:sz w:val="18"/>
                <w:szCs w:val="18"/>
              </w:rPr>
            </w:pPr>
            <w:r w:rsidRPr="009C453D">
              <w:rPr>
                <w:color w:val="000000"/>
                <w:sz w:val="18"/>
                <w:szCs w:val="18"/>
              </w:rPr>
              <w:t>2</w:t>
            </w:r>
            <w:r>
              <w:rPr>
                <w:color w:val="000000"/>
                <w:sz w:val="18"/>
                <w:szCs w:val="18"/>
              </w:rPr>
              <w:t>.</w:t>
            </w:r>
            <w:r w:rsidRPr="009C453D">
              <w:rPr>
                <w:color w:val="000000"/>
                <w:sz w:val="18"/>
                <w:szCs w:val="18"/>
              </w:rPr>
              <w:t>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E0E5619" w14:textId="77777777" w:rsidR="003C3D08" w:rsidRPr="009C453D" w:rsidRDefault="003C3D08" w:rsidP="003C3D08">
            <w:pPr>
              <w:spacing w:after="0"/>
              <w:jc w:val="center"/>
              <w:rPr>
                <w:color w:val="000000"/>
                <w:sz w:val="18"/>
                <w:szCs w:val="18"/>
              </w:rPr>
            </w:pPr>
            <w:r w:rsidRPr="009C453D">
              <w:rPr>
                <w:color w:val="000000"/>
                <w:sz w:val="18"/>
                <w:szCs w:val="18"/>
              </w:rPr>
              <w:t>2</w:t>
            </w:r>
            <w:r>
              <w:rPr>
                <w:color w:val="000000"/>
                <w:sz w:val="18"/>
                <w:szCs w:val="18"/>
              </w:rPr>
              <w:t>.</w:t>
            </w:r>
            <w:r w:rsidRPr="009C453D">
              <w:rPr>
                <w:color w:val="000000"/>
                <w:sz w:val="18"/>
                <w:szCs w:val="18"/>
              </w:rPr>
              <w:t>2</w:t>
            </w:r>
          </w:p>
        </w:tc>
      </w:tr>
      <w:tr w:rsidR="003C3D08" w:rsidRPr="009C453D" w14:paraId="672B9F69" w14:textId="77777777" w:rsidTr="003C3D08">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15B7855" w14:textId="77777777" w:rsidR="003C3D08" w:rsidRDefault="003C3D08" w:rsidP="003C3D08">
            <w:pPr>
              <w:spacing w:after="0"/>
              <w:jc w:val="both"/>
              <w:rPr>
                <w:rFonts w:cs="Arial"/>
                <w:color w:val="000000"/>
                <w:sz w:val="18"/>
                <w:szCs w:val="18"/>
                <w:lang w:val="en-US"/>
              </w:rPr>
            </w:pPr>
            <w:r w:rsidRPr="009C453D">
              <w:rPr>
                <w:rFonts w:cs="Arial"/>
                <w:color w:val="000000"/>
                <w:sz w:val="18"/>
                <w:szCs w:val="18"/>
                <w:lang w:val="en-US"/>
              </w:rPr>
              <w:t xml:space="preserve">Proposed restriction : </w:t>
            </w:r>
            <w:r w:rsidRPr="009C453D">
              <w:rPr>
                <w:rFonts w:cs="Arial"/>
                <w:color w:val="000000"/>
                <w:sz w:val="18"/>
                <w:szCs w:val="18"/>
                <w:lang w:val="en-US"/>
              </w:rPr>
              <w:br/>
              <w:t xml:space="preserve">handwash after use  (i.e rinsing factor) </w:t>
            </w:r>
          </w:p>
          <w:p w14:paraId="2D23F45A" w14:textId="77777777" w:rsidR="003C3D08" w:rsidRPr="009C453D" w:rsidRDefault="003C3D08" w:rsidP="003C3D08">
            <w:pPr>
              <w:spacing w:after="0"/>
              <w:jc w:val="both"/>
              <w:rPr>
                <w:rFonts w:cs="Arial"/>
                <w:color w:val="000000"/>
                <w:sz w:val="18"/>
                <w:szCs w:val="18"/>
                <w:lang w:val="en-US"/>
              </w:rPr>
            </w:pPr>
            <w:r>
              <w:rPr>
                <w:rFonts w:cs="Arial"/>
                <w:color w:val="000000"/>
                <w:sz w:val="18"/>
                <w:szCs w:val="18"/>
                <w:lang w:val="en-US"/>
              </w:rPr>
              <w:t xml:space="preserve">Do </w:t>
            </w:r>
            <w:r w:rsidRPr="009C453D">
              <w:rPr>
                <w:rFonts w:cs="Arial"/>
                <w:color w:val="000000"/>
                <w:sz w:val="18"/>
                <w:szCs w:val="18"/>
                <w:lang w:val="en-US"/>
              </w:rPr>
              <w:t>not apply on the hands of child 6 years old</w:t>
            </w:r>
          </w:p>
        </w:tc>
        <w:tc>
          <w:tcPr>
            <w:tcW w:w="1252" w:type="dxa"/>
            <w:tcBorders>
              <w:top w:val="single" w:sz="4" w:space="0" w:color="auto"/>
              <w:left w:val="nil"/>
              <w:bottom w:val="single" w:sz="4" w:space="0" w:color="auto"/>
              <w:right w:val="single" w:sz="4" w:space="0" w:color="auto"/>
            </w:tcBorders>
            <w:shd w:val="clear" w:color="auto" w:fill="FFFF99"/>
            <w:noWrap/>
            <w:vAlign w:val="center"/>
          </w:tcPr>
          <w:p w14:paraId="5761DF43" w14:textId="77777777" w:rsidR="003C3D08" w:rsidRPr="009C453D" w:rsidRDefault="003C3D08" w:rsidP="003C3D08">
            <w:pPr>
              <w:spacing w:after="0"/>
              <w:jc w:val="center"/>
              <w:rPr>
                <w:color w:val="000000"/>
                <w:sz w:val="18"/>
                <w:szCs w:val="18"/>
              </w:rPr>
            </w:pPr>
            <w:r w:rsidRPr="009C453D">
              <w:rPr>
                <w:color w:val="000000"/>
                <w:sz w:val="18"/>
                <w:szCs w:val="18"/>
              </w:rPr>
              <w:t>n.r.</w:t>
            </w:r>
          </w:p>
        </w:tc>
        <w:tc>
          <w:tcPr>
            <w:tcW w:w="1252" w:type="dxa"/>
            <w:tcBorders>
              <w:top w:val="single" w:sz="4" w:space="0" w:color="auto"/>
              <w:left w:val="nil"/>
              <w:bottom w:val="single" w:sz="4" w:space="0" w:color="auto"/>
              <w:right w:val="single" w:sz="4" w:space="0" w:color="auto"/>
            </w:tcBorders>
            <w:shd w:val="clear" w:color="auto" w:fill="FFFF99"/>
            <w:vAlign w:val="center"/>
          </w:tcPr>
          <w:p w14:paraId="60BEE604" w14:textId="77777777" w:rsidR="003C3D08" w:rsidRPr="009C453D" w:rsidRDefault="003C3D08" w:rsidP="003C3D08">
            <w:pPr>
              <w:spacing w:after="0"/>
              <w:jc w:val="center"/>
              <w:rPr>
                <w:color w:val="000000"/>
                <w:sz w:val="18"/>
                <w:szCs w:val="18"/>
              </w:rPr>
            </w:pPr>
            <w:r w:rsidRPr="009C453D">
              <w:rPr>
                <w:color w:val="000000"/>
                <w:sz w:val="18"/>
                <w:szCs w:val="18"/>
              </w:rPr>
              <w:t>n.r.</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168B135A" w14:textId="77777777" w:rsidR="003C3D08" w:rsidRPr="009C453D" w:rsidRDefault="003C3D08" w:rsidP="003C3D08">
            <w:pPr>
              <w:spacing w:after="0"/>
              <w:jc w:val="center"/>
              <w:rPr>
                <w:color w:val="000000"/>
                <w:sz w:val="18"/>
                <w:szCs w:val="18"/>
              </w:rPr>
            </w:pPr>
            <w:r>
              <w:rPr>
                <w:color w:val="000000"/>
                <w:sz w:val="18"/>
                <w:szCs w:val="18"/>
              </w:rPr>
              <w:t>3</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70722CBF" w14:textId="77777777" w:rsidR="003C3D08" w:rsidRPr="009C453D" w:rsidRDefault="003C3D08" w:rsidP="003C3D08">
            <w:pPr>
              <w:spacing w:after="0"/>
              <w:jc w:val="center"/>
              <w:rPr>
                <w:color w:val="000000"/>
                <w:sz w:val="18"/>
                <w:szCs w:val="18"/>
              </w:rPr>
            </w:pPr>
            <w:r w:rsidRPr="009C453D">
              <w:rPr>
                <w:color w:val="000000"/>
                <w:sz w:val="18"/>
                <w:szCs w:val="18"/>
              </w:rPr>
              <w:t>3</w:t>
            </w:r>
          </w:p>
        </w:tc>
      </w:tr>
      <w:tr w:rsidR="003C3D08" w:rsidRPr="009C453D" w14:paraId="6CE1B7AE" w14:textId="77777777" w:rsidTr="001B7765">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F5B16" w14:textId="77777777" w:rsidR="003C3D08" w:rsidRPr="009C453D" w:rsidRDefault="003C3D08" w:rsidP="001B7765">
            <w:pPr>
              <w:spacing w:after="0"/>
              <w:jc w:val="both"/>
              <w:rPr>
                <w:rFonts w:cs="Arial"/>
                <w:color w:val="000000"/>
                <w:sz w:val="18"/>
                <w:szCs w:val="18"/>
                <w:lang w:val="en-US"/>
              </w:rPr>
            </w:pPr>
            <w:r w:rsidRPr="009C453D">
              <w:rPr>
                <w:rFonts w:cs="Arial"/>
                <w:color w:val="000000"/>
                <w:sz w:val="18"/>
                <w:szCs w:val="18"/>
                <w:lang w:val="en-US"/>
              </w:rPr>
              <w:t>Exposure per application in mg a.s/kg b.w./day including precautionary prop</w:t>
            </w:r>
            <w:r>
              <w:rPr>
                <w:rFonts w:cs="Arial"/>
                <w:color w:val="000000"/>
                <w:sz w:val="18"/>
                <w:szCs w:val="18"/>
                <w:lang w:val="en-US"/>
              </w:rPr>
              <w:t>osal</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09A6099A" w14:textId="77777777" w:rsidR="003C3D08" w:rsidRPr="009C453D" w:rsidRDefault="003C3D08" w:rsidP="001B7765">
            <w:pPr>
              <w:spacing w:after="0"/>
              <w:jc w:val="center"/>
              <w:rPr>
                <w:color w:val="000000"/>
                <w:sz w:val="18"/>
                <w:szCs w:val="18"/>
              </w:rPr>
            </w:pPr>
            <w:r w:rsidRPr="009C453D">
              <w:rPr>
                <w:color w:val="000000"/>
                <w:sz w:val="18"/>
                <w:szCs w:val="18"/>
              </w:rPr>
              <w:t>n.r.</w:t>
            </w:r>
          </w:p>
        </w:tc>
        <w:tc>
          <w:tcPr>
            <w:tcW w:w="1252" w:type="dxa"/>
            <w:tcBorders>
              <w:top w:val="single" w:sz="4" w:space="0" w:color="auto"/>
              <w:left w:val="nil"/>
              <w:bottom w:val="single" w:sz="4" w:space="0" w:color="auto"/>
              <w:right w:val="single" w:sz="4" w:space="0" w:color="auto"/>
            </w:tcBorders>
            <w:shd w:val="clear" w:color="auto" w:fill="auto"/>
            <w:vAlign w:val="center"/>
          </w:tcPr>
          <w:p w14:paraId="41CB0BAC" w14:textId="77777777" w:rsidR="003C3D08" w:rsidRPr="009C453D" w:rsidRDefault="003C3D08" w:rsidP="001B7765">
            <w:pPr>
              <w:spacing w:after="0"/>
              <w:jc w:val="center"/>
              <w:rPr>
                <w:color w:val="000000"/>
                <w:sz w:val="18"/>
                <w:szCs w:val="18"/>
              </w:rPr>
            </w:pPr>
            <w:r w:rsidRPr="009C453D">
              <w:rPr>
                <w:color w:val="000000"/>
                <w:sz w:val="18"/>
                <w:szCs w:val="18"/>
              </w:rPr>
              <w:t>n.r.</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258B9E34" w14:textId="77777777" w:rsidR="003C3D08" w:rsidRPr="009C453D" w:rsidRDefault="003C3D08" w:rsidP="001B7765">
            <w:pPr>
              <w:spacing w:after="0"/>
              <w:jc w:val="center"/>
              <w:rPr>
                <w:color w:val="000000"/>
                <w:sz w:val="18"/>
                <w:szCs w:val="18"/>
              </w:rPr>
            </w:pPr>
            <w:r>
              <w:rPr>
                <w:color w:val="000000"/>
                <w:sz w:val="18"/>
                <w:szCs w:val="18"/>
              </w:rPr>
              <w:t>0.48</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840E6C3" w14:textId="77777777" w:rsidR="003C3D08" w:rsidRPr="009C453D" w:rsidRDefault="003C3D08" w:rsidP="001B7765">
            <w:pPr>
              <w:spacing w:after="0"/>
              <w:jc w:val="center"/>
              <w:rPr>
                <w:color w:val="000000"/>
                <w:sz w:val="18"/>
                <w:szCs w:val="18"/>
              </w:rPr>
            </w:pPr>
            <w:r w:rsidRPr="009C453D">
              <w:rPr>
                <w:color w:val="000000"/>
                <w:sz w:val="18"/>
                <w:szCs w:val="18"/>
              </w:rPr>
              <w:t>0</w:t>
            </w:r>
            <w:r>
              <w:rPr>
                <w:color w:val="000000"/>
                <w:sz w:val="18"/>
                <w:szCs w:val="18"/>
              </w:rPr>
              <w:t>.</w:t>
            </w:r>
            <w:r w:rsidRPr="009C453D">
              <w:rPr>
                <w:color w:val="000000"/>
                <w:sz w:val="18"/>
                <w:szCs w:val="18"/>
              </w:rPr>
              <w:t>36</w:t>
            </w:r>
          </w:p>
        </w:tc>
      </w:tr>
      <w:tr w:rsidR="003C3D08" w:rsidRPr="009C453D" w14:paraId="50ABB9C5" w14:textId="77777777" w:rsidTr="001B7765">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07D55" w14:textId="77777777" w:rsidR="003C3D08" w:rsidRPr="009C453D" w:rsidRDefault="003C3D08" w:rsidP="001B7765">
            <w:pPr>
              <w:spacing w:after="0"/>
              <w:jc w:val="both"/>
              <w:rPr>
                <w:rFonts w:cs="Arial"/>
                <w:b/>
                <w:color w:val="000000"/>
                <w:sz w:val="18"/>
                <w:szCs w:val="18"/>
                <w:lang w:val="en-US"/>
              </w:rPr>
            </w:pPr>
            <w:r w:rsidRPr="009C453D">
              <w:rPr>
                <w:rFonts w:cs="Arial"/>
                <w:b/>
                <w:color w:val="000000"/>
                <w:sz w:val="18"/>
                <w:szCs w:val="18"/>
                <w:lang w:val="en-US"/>
              </w:rPr>
              <w:t>Total exposure in mg a.s/kg b.w./day including precautionary propos</w:t>
            </w:r>
            <w:r>
              <w:rPr>
                <w:rFonts w:cs="Arial"/>
                <w:b/>
                <w:color w:val="000000"/>
                <w:sz w:val="18"/>
                <w:szCs w:val="18"/>
                <w:lang w:val="en-US"/>
              </w:rPr>
              <w:t>al</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6CE4E7BD" w14:textId="77777777" w:rsidR="003C3D08" w:rsidRPr="009C453D" w:rsidRDefault="003C3D08" w:rsidP="001B7765">
            <w:pPr>
              <w:spacing w:after="0"/>
              <w:jc w:val="center"/>
              <w:rPr>
                <w:b/>
                <w:color w:val="000000"/>
                <w:sz w:val="18"/>
                <w:szCs w:val="18"/>
              </w:rPr>
            </w:pPr>
            <w:r w:rsidRPr="009C453D">
              <w:rPr>
                <w:b/>
                <w:color w:val="000000"/>
                <w:sz w:val="18"/>
                <w:szCs w:val="18"/>
              </w:rPr>
              <w:t>n.r.</w:t>
            </w:r>
          </w:p>
        </w:tc>
        <w:tc>
          <w:tcPr>
            <w:tcW w:w="1252" w:type="dxa"/>
            <w:tcBorders>
              <w:top w:val="single" w:sz="4" w:space="0" w:color="auto"/>
              <w:left w:val="nil"/>
              <w:bottom w:val="single" w:sz="4" w:space="0" w:color="auto"/>
              <w:right w:val="single" w:sz="4" w:space="0" w:color="auto"/>
            </w:tcBorders>
            <w:shd w:val="clear" w:color="auto" w:fill="auto"/>
            <w:vAlign w:val="center"/>
          </w:tcPr>
          <w:p w14:paraId="249B30E7" w14:textId="77777777" w:rsidR="003C3D08" w:rsidRPr="009C453D" w:rsidRDefault="003C3D08" w:rsidP="001B7765">
            <w:pPr>
              <w:spacing w:after="0"/>
              <w:jc w:val="center"/>
              <w:rPr>
                <w:b/>
                <w:color w:val="000000"/>
                <w:sz w:val="18"/>
                <w:szCs w:val="18"/>
              </w:rPr>
            </w:pPr>
            <w:r w:rsidRPr="009C453D">
              <w:rPr>
                <w:b/>
                <w:color w:val="000000"/>
                <w:sz w:val="18"/>
                <w:szCs w:val="18"/>
              </w:rPr>
              <w:t>n.r.</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0AFCF7A" w14:textId="77777777" w:rsidR="003C3D08" w:rsidRPr="009C453D" w:rsidRDefault="003C3D08" w:rsidP="001B7765">
            <w:pPr>
              <w:spacing w:after="0"/>
              <w:jc w:val="center"/>
              <w:rPr>
                <w:b/>
                <w:color w:val="000000"/>
                <w:sz w:val="18"/>
                <w:szCs w:val="18"/>
              </w:rPr>
            </w:pPr>
            <w:r w:rsidRPr="009C453D">
              <w:rPr>
                <w:b/>
                <w:color w:val="000000"/>
                <w:sz w:val="18"/>
                <w:szCs w:val="18"/>
              </w:rPr>
              <w:t>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23B7790D" w14:textId="77777777" w:rsidR="003C3D08" w:rsidRPr="009C453D" w:rsidRDefault="003C3D08" w:rsidP="001B7765">
            <w:pPr>
              <w:spacing w:after="0"/>
              <w:jc w:val="center"/>
              <w:rPr>
                <w:b/>
                <w:color w:val="000000"/>
                <w:sz w:val="18"/>
                <w:szCs w:val="18"/>
              </w:rPr>
            </w:pPr>
            <w:r w:rsidRPr="009C453D">
              <w:rPr>
                <w:b/>
                <w:color w:val="000000"/>
                <w:sz w:val="18"/>
                <w:szCs w:val="18"/>
              </w:rPr>
              <w:t>0</w:t>
            </w:r>
            <w:r>
              <w:rPr>
                <w:b/>
                <w:color w:val="000000"/>
                <w:sz w:val="18"/>
                <w:szCs w:val="18"/>
              </w:rPr>
              <w:t>.</w:t>
            </w:r>
            <w:r w:rsidRPr="009C453D">
              <w:rPr>
                <w:b/>
                <w:color w:val="000000"/>
                <w:sz w:val="18"/>
                <w:szCs w:val="18"/>
              </w:rPr>
              <w:t>73</w:t>
            </w:r>
          </w:p>
        </w:tc>
      </w:tr>
    </w:tbl>
    <w:p w14:paraId="6702906F" w14:textId="77777777" w:rsidR="003C3D08" w:rsidRPr="00C033C5" w:rsidRDefault="003C3D08" w:rsidP="001B7765">
      <w:pPr>
        <w:spacing w:after="0"/>
        <w:jc w:val="both"/>
        <w:rPr>
          <w:rFonts w:cs="Arial"/>
          <w:lang w:val="en-US"/>
        </w:rPr>
      </w:pPr>
      <w:r w:rsidRPr="00C033C5">
        <w:rPr>
          <w:rFonts w:cs="Arial"/>
          <w:lang w:val="en-US"/>
        </w:rPr>
        <w:t>in bold : results related to intended uses</w:t>
      </w:r>
      <w:r>
        <w:rPr>
          <w:rFonts w:cs="Arial"/>
          <w:lang w:val="en-US"/>
        </w:rPr>
        <w:t xml:space="preserve"> considering measures proposed</w:t>
      </w:r>
      <w:r w:rsidRPr="004A6277">
        <w:rPr>
          <w:rFonts w:cs="Arial"/>
          <w:lang w:val="en-US"/>
        </w:rPr>
        <w:t xml:space="preserve"> </w:t>
      </w:r>
      <w:r>
        <w:rPr>
          <w:rFonts w:cs="Arial"/>
          <w:lang w:val="en-US"/>
        </w:rPr>
        <w:t>by the applicant</w:t>
      </w:r>
    </w:p>
    <w:p w14:paraId="686BD24E" w14:textId="77777777" w:rsidR="003C3D08" w:rsidRPr="002B1086" w:rsidRDefault="003C3D08" w:rsidP="003C3D08">
      <w:pPr>
        <w:spacing w:after="0"/>
        <w:jc w:val="both"/>
        <w:rPr>
          <w:rFonts w:ascii="Arial" w:hAnsi="Arial" w:cs="Arial"/>
          <w:lang w:val="en-US"/>
        </w:rPr>
      </w:pPr>
    </w:p>
    <w:p w14:paraId="6016C6E2" w14:textId="789264AC" w:rsidR="003C3D08" w:rsidRPr="00F81118" w:rsidRDefault="003C3D08" w:rsidP="003C3D08">
      <w:pPr>
        <w:spacing w:after="0"/>
        <w:rPr>
          <w:i/>
          <w:iCs/>
          <w:lang w:val="en-US"/>
        </w:rPr>
      </w:pPr>
    </w:p>
    <w:p w14:paraId="64D8B90C" w14:textId="35CFD3A6" w:rsidR="003C3D08" w:rsidRDefault="003C3D08" w:rsidP="001B7765">
      <w:pPr>
        <w:spacing w:after="0"/>
        <w:rPr>
          <w:b/>
          <w:bCs/>
          <w:lang w:val="en-US"/>
        </w:rPr>
      </w:pPr>
      <w:r w:rsidRPr="00F81118">
        <w:rPr>
          <w:b/>
          <w:bCs/>
          <w:lang w:val="en-US"/>
        </w:rPr>
        <w:t>Conclusion</w:t>
      </w:r>
    </w:p>
    <w:p w14:paraId="00F74DD1" w14:textId="77777777" w:rsidR="00AE1B0E" w:rsidRPr="00F81118" w:rsidRDefault="00AE1B0E" w:rsidP="001B7765">
      <w:pPr>
        <w:spacing w:after="0"/>
        <w:rPr>
          <w:b/>
          <w:bCs/>
          <w:lang w:val="en-US"/>
        </w:rPr>
      </w:pPr>
    </w:p>
    <w:p w14:paraId="25F637C8" w14:textId="693FDF3E" w:rsidR="00FD3FF9" w:rsidRPr="00AE1B0E" w:rsidRDefault="003C3D08" w:rsidP="001B7765">
      <w:pPr>
        <w:jc w:val="both"/>
        <w:rPr>
          <w:b/>
          <w:lang w:eastAsia="en-US"/>
        </w:rPr>
      </w:pPr>
      <w:r w:rsidRPr="00AE1B0E">
        <w:rPr>
          <w:rFonts w:cs="Arial"/>
          <w:b/>
          <w:lang w:val="en-US"/>
        </w:rPr>
        <w:t xml:space="preserve">As regards the intended use of the product </w:t>
      </w:r>
      <w:r w:rsidRPr="00AE1B0E">
        <w:rPr>
          <w:rFonts w:cs="Arial"/>
          <w:b/>
          <w:lang w:val="en-US" w:eastAsia="fr-FR"/>
        </w:rPr>
        <w:t xml:space="preserve">SPRAY REPULSIF IR200 </w:t>
      </w:r>
      <w:r w:rsidRPr="00AE1B0E">
        <w:rPr>
          <w:rFonts w:cs="Arial"/>
          <w:b/>
          <w:lang w:val="en-US"/>
        </w:rPr>
        <w:t>on human skin, an estimation of indirect exposure via food for toddlers, children and adults was performed. These estimations are considered to be worst case using the assumption that all the active substance from the palm hands will be ingested. The calculated exposures via food range from 1.8 to 2.9 mg/kg bw/d for children and up to 2.2 mg/kg bw/d for adults.</w:t>
      </w:r>
    </w:p>
    <w:p w14:paraId="71C6B165" w14:textId="77777777" w:rsidR="00FD3FF9" w:rsidRDefault="00FD3FF9" w:rsidP="001B7765">
      <w:pPr>
        <w:spacing w:before="0" w:after="160" w:line="259" w:lineRule="auto"/>
        <w:rPr>
          <w:lang w:eastAsia="en-US"/>
        </w:rPr>
      </w:pPr>
      <w:r>
        <w:rPr>
          <w:lang w:eastAsia="en-US"/>
        </w:rPr>
        <w:br w:type="page"/>
      </w:r>
    </w:p>
    <w:p w14:paraId="6E90634E" w14:textId="16E38592" w:rsidR="00C442A7" w:rsidRDefault="001D31A4" w:rsidP="001D31A4">
      <w:pPr>
        <w:pStyle w:val="Titre5"/>
      </w:pPr>
      <w:bookmarkStart w:id="229" w:name="_Toc93326568"/>
      <w:r>
        <w:t>Exposure associated with production, formulation and disposal of the biocidal product</w:t>
      </w:r>
      <w:bookmarkEnd w:id="229"/>
    </w:p>
    <w:p w14:paraId="76ABDF7D" w14:textId="77777777" w:rsidR="00AE1B0E" w:rsidRPr="009461FB" w:rsidRDefault="00AE1B0E" w:rsidP="00AE1B0E">
      <w:pPr>
        <w:pStyle w:val="Paragraphedeliste"/>
        <w:numPr>
          <w:ilvl w:val="0"/>
          <w:numId w:val="68"/>
        </w:numPr>
        <w:rPr>
          <w:b/>
        </w:rPr>
      </w:pPr>
      <w:r w:rsidRPr="009461FB">
        <w:rPr>
          <w:b/>
        </w:rPr>
        <w:t>FIRST AUTHORISATION – 2017 (BE CA)</w:t>
      </w:r>
    </w:p>
    <w:p w14:paraId="3187F6F9" w14:textId="77777777" w:rsidR="00AE1B0E" w:rsidRPr="00AE1B0E" w:rsidRDefault="00AE1B0E" w:rsidP="00AE1B0E">
      <w:pPr>
        <w:rPr>
          <w:lang w:val="en-US" w:eastAsia="en-US"/>
        </w:rPr>
      </w:pPr>
    </w:p>
    <w:p w14:paraId="343E8BAA" w14:textId="77777777" w:rsidR="00CD178B" w:rsidRDefault="00CD178B" w:rsidP="00CD178B">
      <w:pPr>
        <w:rPr>
          <w:lang w:val="en-US" w:eastAsia="en-US"/>
        </w:rPr>
      </w:pPr>
      <w:bookmarkStart w:id="230" w:name="_Toc389729086"/>
      <w:bookmarkStart w:id="231" w:name="_Toc403472773"/>
      <w:r w:rsidRPr="00BF1D7C">
        <w:rPr>
          <w:lang w:val="en-US" w:eastAsia="en-US"/>
        </w:rPr>
        <w:t>In modern formulation plants typically automated equipment is used to add the formulation ingredients and to fill the formulated product into the respective vessels (closed systems). The workers (trained professionals) usually wear personal protective equipment (e.g. gloves).</w:t>
      </w:r>
      <w:r>
        <w:rPr>
          <w:lang w:val="en-US" w:eastAsia="en-US"/>
        </w:rPr>
        <w:t xml:space="preserve"> Thus</w:t>
      </w:r>
      <w:r w:rsidRPr="00BF1D7C">
        <w:rPr>
          <w:lang w:val="en-US" w:eastAsia="en-US"/>
        </w:rPr>
        <w:t xml:space="preserve"> </w:t>
      </w:r>
      <w:r>
        <w:rPr>
          <w:lang w:val="en-US" w:eastAsia="en-US"/>
        </w:rPr>
        <w:t>t</w:t>
      </w:r>
      <w:r w:rsidRPr="00BF1D7C">
        <w:rPr>
          <w:lang w:val="en-US" w:eastAsia="en-US"/>
        </w:rPr>
        <w:t>he exposure</w:t>
      </w:r>
      <w:r>
        <w:rPr>
          <w:lang w:val="en-US" w:eastAsia="en-US"/>
        </w:rPr>
        <w:t xml:space="preserve"> can occur</w:t>
      </w:r>
      <w:r w:rsidRPr="00BF1D7C">
        <w:rPr>
          <w:lang w:val="en-US" w:eastAsia="en-US"/>
        </w:rPr>
        <w:t xml:space="preserve"> during the </w:t>
      </w:r>
      <w:r>
        <w:rPr>
          <w:lang w:val="en-US" w:eastAsia="en-US"/>
        </w:rPr>
        <w:t xml:space="preserve">mixing and loading and have been calculated as a worst case. </w:t>
      </w:r>
    </w:p>
    <w:p w14:paraId="5E80DAFD" w14:textId="77777777" w:rsidR="00CD178B" w:rsidRDefault="00CD178B" w:rsidP="00CD178B">
      <w:pPr>
        <w:rPr>
          <w:lang w:val="en-US" w:eastAsia="en-US"/>
        </w:rPr>
      </w:pPr>
    </w:p>
    <w:p w14:paraId="105DFAC6" w14:textId="77777777" w:rsidR="00CD178B" w:rsidRPr="003F1174" w:rsidRDefault="00CD178B" w:rsidP="00CD178B">
      <w:pPr>
        <w:pStyle w:val="Titre6"/>
        <w:rPr>
          <w:lang w:val="en-US"/>
        </w:rPr>
      </w:pPr>
      <w:r w:rsidRPr="001D31A4">
        <w:rPr>
          <w:lang w:val="en-US"/>
        </w:rPr>
        <w:t>S</w:t>
      </w:r>
      <w:r>
        <w:rPr>
          <w:lang w:val="en-US"/>
        </w:rPr>
        <w:t>cenario 6</w:t>
      </w:r>
      <w:r w:rsidRPr="003F1174">
        <w:rPr>
          <w:lang w:val="en-US"/>
        </w:rPr>
        <w:t xml:space="preserve"> : Mixing and Loading model – worst </w:t>
      </w:r>
      <w:r>
        <w:rPr>
          <w:lang w:val="en-US"/>
        </w:rPr>
        <w:t xml:space="preserve">case for the production, </w:t>
      </w:r>
      <w:r w:rsidRPr="003F1174">
        <w:rPr>
          <w:lang w:val="en-US"/>
        </w:rPr>
        <w:t>formulation</w:t>
      </w:r>
      <w:r>
        <w:rPr>
          <w:lang w:val="en-US"/>
        </w:rPr>
        <w:t xml:space="preserve"> and disposal</w:t>
      </w:r>
      <w:r w:rsidRPr="003F1174">
        <w:rPr>
          <w:lang w:val="en-US"/>
        </w:rPr>
        <w:t xml:space="preserve"> of the biocidal product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93"/>
        <w:gridCol w:w="4119"/>
        <w:gridCol w:w="4484"/>
      </w:tblGrid>
      <w:tr w:rsidR="00CD178B" w:rsidRPr="001D31A4" w14:paraId="04B6F74D" w14:textId="77777777" w:rsidTr="00CD178B">
        <w:trPr>
          <w:tblHeader/>
        </w:trPr>
        <w:tc>
          <w:tcPr>
            <w:tcW w:w="5000" w:type="pct"/>
            <w:gridSpan w:val="3"/>
            <w:shd w:val="clear" w:color="auto" w:fill="FFFFCC"/>
            <w:tcMar>
              <w:top w:w="57" w:type="dxa"/>
              <w:bottom w:w="57" w:type="dxa"/>
            </w:tcMar>
          </w:tcPr>
          <w:p w14:paraId="006A2FC3" w14:textId="77777777" w:rsidR="00CD178B" w:rsidRPr="001D31A4" w:rsidRDefault="00CD178B" w:rsidP="00C41279">
            <w:pPr>
              <w:pStyle w:val="Standaard-Tabellen"/>
              <w:jc w:val="center"/>
              <w:rPr>
                <w:rFonts w:eastAsia="Calibri"/>
                <w:b/>
              </w:rPr>
            </w:pPr>
            <w:r>
              <w:rPr>
                <w:rFonts w:eastAsia="Calibri"/>
                <w:b/>
              </w:rPr>
              <w:t>Description of Scenario 6</w:t>
            </w:r>
          </w:p>
        </w:tc>
      </w:tr>
      <w:tr w:rsidR="00CD178B" w:rsidRPr="00FD2055" w14:paraId="7981DDB6" w14:textId="77777777" w:rsidTr="00CD178B">
        <w:trPr>
          <w:tblHeader/>
        </w:trPr>
        <w:tc>
          <w:tcPr>
            <w:tcW w:w="5000" w:type="pct"/>
            <w:gridSpan w:val="3"/>
            <w:shd w:val="clear" w:color="auto" w:fill="auto"/>
            <w:tcMar>
              <w:top w:w="57" w:type="dxa"/>
              <w:bottom w:w="57" w:type="dxa"/>
            </w:tcMar>
          </w:tcPr>
          <w:p w14:paraId="7A3A05EF" w14:textId="77777777" w:rsidR="00CD178B" w:rsidRDefault="00CD178B" w:rsidP="00C41279">
            <w:pPr>
              <w:pStyle w:val="Explanatorynotes"/>
              <w:rPr>
                <w:rFonts w:ascii="Verdana" w:eastAsia="Calibri" w:hAnsi="Verdana"/>
                <w:i w:val="0"/>
              </w:rPr>
            </w:pPr>
            <w:r>
              <w:rPr>
                <w:rFonts w:ascii="Verdana" w:eastAsia="Calibri" w:hAnsi="Verdana"/>
                <w:i w:val="0"/>
              </w:rPr>
              <w:t>For</w:t>
            </w:r>
            <w:r w:rsidRPr="00662AFD">
              <w:rPr>
                <w:rFonts w:ascii="Verdana" w:eastAsia="Calibri" w:hAnsi="Verdana"/>
                <w:i w:val="0"/>
              </w:rPr>
              <w:t xml:space="preserve"> a worst case</w:t>
            </w:r>
            <w:r>
              <w:rPr>
                <w:rFonts w:ascii="Verdana" w:eastAsia="Calibri" w:hAnsi="Verdana"/>
                <w:i w:val="0"/>
              </w:rPr>
              <w:t xml:space="preserve"> situation</w:t>
            </w:r>
            <w:r w:rsidRPr="00662AFD">
              <w:rPr>
                <w:rFonts w:ascii="Verdana" w:eastAsia="Calibri" w:hAnsi="Verdana"/>
                <w:i w:val="0"/>
              </w:rPr>
              <w:t xml:space="preserve">, </w:t>
            </w:r>
            <w:r>
              <w:rPr>
                <w:rFonts w:ascii="Verdana" w:eastAsia="Calibri" w:hAnsi="Verdana"/>
                <w:i w:val="0"/>
              </w:rPr>
              <w:t>it was estimated that</w:t>
            </w:r>
            <w:r w:rsidRPr="00662AFD">
              <w:rPr>
                <w:rFonts w:ascii="Verdana" w:eastAsia="Calibri" w:hAnsi="Verdana"/>
                <w:i w:val="0"/>
              </w:rPr>
              <w:t xml:space="preserve"> the more sustainable model for industrial exposure</w:t>
            </w:r>
            <w:r>
              <w:rPr>
                <w:rFonts w:ascii="Verdana" w:eastAsia="Calibri" w:hAnsi="Verdana"/>
                <w:i w:val="0"/>
              </w:rPr>
              <w:t xml:space="preserve"> production, formulation and disposal</w:t>
            </w:r>
            <w:r w:rsidRPr="00662AFD">
              <w:rPr>
                <w:rFonts w:ascii="Verdana" w:eastAsia="Calibri" w:hAnsi="Verdana"/>
                <w:i w:val="0"/>
              </w:rPr>
              <w:t xml:space="preserve"> is : RISKOFDERM Dermal model (loading liquid, automated or semi-automated) from HEEG opinion 1</w:t>
            </w:r>
            <w:r>
              <w:rPr>
                <w:rFonts w:ascii="Verdana" w:eastAsia="Calibri" w:hAnsi="Verdana"/>
                <w:i w:val="0"/>
              </w:rPr>
              <w:t xml:space="preserve"> (2008).</w:t>
            </w:r>
          </w:p>
          <w:p w14:paraId="1F0299AB" w14:textId="77777777" w:rsidR="00CD178B" w:rsidRDefault="00CD178B" w:rsidP="00C41279">
            <w:pPr>
              <w:pStyle w:val="Explanatorynotes"/>
              <w:rPr>
                <w:rFonts w:ascii="Verdana" w:eastAsia="Calibri" w:hAnsi="Verdana"/>
                <w:b/>
                <w:i w:val="0"/>
              </w:rPr>
            </w:pPr>
          </w:p>
          <w:p w14:paraId="41CE08AB" w14:textId="77777777" w:rsidR="00CD178B" w:rsidRPr="00F449E5" w:rsidRDefault="00CD178B" w:rsidP="00C41279">
            <w:pPr>
              <w:pStyle w:val="Explanatorynotes"/>
              <w:rPr>
                <w:rFonts w:ascii="Verdana" w:eastAsia="Calibri" w:hAnsi="Verdana"/>
                <w:b/>
                <w:i w:val="0"/>
              </w:rPr>
            </w:pPr>
            <w:r w:rsidRPr="00F449E5">
              <w:rPr>
                <w:rFonts w:ascii="Verdana" w:eastAsia="Calibri" w:hAnsi="Verdana"/>
                <w:b/>
                <w:i w:val="0"/>
              </w:rPr>
              <w:t>Dermal exposure</w:t>
            </w:r>
            <w:r>
              <w:rPr>
                <w:rFonts w:ascii="Verdana" w:eastAsia="Calibri" w:hAnsi="Verdana"/>
                <w:b/>
                <w:i w:val="0"/>
              </w:rPr>
              <w:t xml:space="preserve"> via clothing</w:t>
            </w:r>
            <w:r w:rsidRPr="00F449E5">
              <w:rPr>
                <w:rFonts w:ascii="Verdana" w:eastAsia="Calibri" w:hAnsi="Verdana"/>
                <w:b/>
                <w:i w:val="0"/>
              </w:rPr>
              <w:t xml:space="preserve">: </w:t>
            </w:r>
          </w:p>
          <w:p w14:paraId="182F4FE8" w14:textId="77777777" w:rsidR="00CD178B" w:rsidRDefault="00CD178B" w:rsidP="00C41279">
            <w:pPr>
              <w:pStyle w:val="Explanatorynotes"/>
              <w:ind w:left="348"/>
              <w:rPr>
                <w:rFonts w:ascii="Verdana" w:eastAsia="Calibri" w:hAnsi="Verdana"/>
                <w:i w:val="0"/>
              </w:rPr>
            </w:pPr>
            <w:r w:rsidRPr="00033C7C">
              <w:rPr>
                <w:rFonts w:ascii="Verdana" w:eastAsia="Calibri" w:hAnsi="Verdana"/>
                <w:i w:val="0"/>
              </w:rPr>
              <w:t>default poten</w:t>
            </w:r>
            <w:r>
              <w:rPr>
                <w:rFonts w:ascii="Verdana" w:eastAsia="Calibri" w:hAnsi="Verdana"/>
                <w:i w:val="0"/>
              </w:rPr>
              <w:t>tial exposure rates on clothing x Purity of the active substance</w:t>
            </w:r>
            <w:r w:rsidRPr="001812F0">
              <w:rPr>
                <w:rFonts w:ascii="Verdana" w:eastAsia="Calibri" w:hAnsi="Verdana"/>
                <w:i w:val="0"/>
              </w:rPr>
              <w:t xml:space="preserve"> </w:t>
            </w:r>
            <w:r>
              <w:rPr>
                <w:rFonts w:ascii="Verdana" w:eastAsia="Calibri" w:hAnsi="Verdana"/>
                <w:i w:val="0"/>
              </w:rPr>
              <w:t xml:space="preserve">x </w:t>
            </w:r>
            <w:r w:rsidRPr="00482718">
              <w:rPr>
                <w:rFonts w:ascii="Verdana" w:eastAsia="Calibri" w:hAnsi="Verdana"/>
                <w:i w:val="0"/>
              </w:rPr>
              <w:t>Duration of task</w:t>
            </w:r>
            <w:r>
              <w:rPr>
                <w:rFonts w:ascii="Verdana" w:eastAsia="Calibri" w:hAnsi="Verdana"/>
                <w:i w:val="0"/>
              </w:rPr>
              <w:t xml:space="preserve"> x </w:t>
            </w:r>
            <w:r w:rsidRPr="00482718">
              <w:rPr>
                <w:rFonts w:ascii="Verdana" w:eastAsia="Calibri" w:hAnsi="Verdana"/>
                <w:i w:val="0"/>
              </w:rPr>
              <w:t>Number of events per day</w:t>
            </w:r>
            <w:r>
              <w:rPr>
                <w:rFonts w:ascii="Verdana" w:eastAsia="Calibri" w:hAnsi="Verdana"/>
                <w:i w:val="0"/>
              </w:rPr>
              <w:t xml:space="preserve"> (x (1-Factor of protection for clothing))</w:t>
            </w:r>
          </w:p>
          <w:p w14:paraId="6A192B34" w14:textId="77777777" w:rsidR="00CD178B" w:rsidRPr="00F449E5" w:rsidRDefault="00CD178B" w:rsidP="00C41279">
            <w:pPr>
              <w:pStyle w:val="Explanatorynotes"/>
              <w:rPr>
                <w:rFonts w:ascii="Verdana" w:eastAsia="Calibri" w:hAnsi="Verdana"/>
                <w:b/>
                <w:i w:val="0"/>
              </w:rPr>
            </w:pPr>
            <w:r w:rsidRPr="00F449E5">
              <w:rPr>
                <w:rFonts w:ascii="Verdana" w:eastAsia="Calibri" w:hAnsi="Verdana"/>
                <w:b/>
                <w:i w:val="0"/>
              </w:rPr>
              <w:t>Dermal exposure</w:t>
            </w:r>
            <w:r>
              <w:rPr>
                <w:rFonts w:ascii="Verdana" w:eastAsia="Calibri" w:hAnsi="Verdana"/>
                <w:b/>
                <w:i w:val="0"/>
              </w:rPr>
              <w:t xml:space="preserve"> via hands</w:t>
            </w:r>
            <w:r w:rsidRPr="00F449E5">
              <w:rPr>
                <w:rFonts w:ascii="Verdana" w:eastAsia="Calibri" w:hAnsi="Verdana"/>
                <w:b/>
                <w:i w:val="0"/>
              </w:rPr>
              <w:t xml:space="preserve">: </w:t>
            </w:r>
          </w:p>
          <w:p w14:paraId="629B655F" w14:textId="77777777" w:rsidR="00CD178B" w:rsidRPr="00F449E5" w:rsidRDefault="00CD178B" w:rsidP="00C41279">
            <w:pPr>
              <w:pStyle w:val="Explanatorynotes"/>
              <w:ind w:left="348"/>
              <w:rPr>
                <w:rFonts w:ascii="Verdana" w:eastAsia="Calibri" w:hAnsi="Verdana"/>
                <w:i w:val="0"/>
              </w:rPr>
            </w:pPr>
            <w:r w:rsidRPr="00033C7C">
              <w:rPr>
                <w:rFonts w:ascii="Verdana" w:eastAsia="Calibri" w:hAnsi="Verdana"/>
                <w:i w:val="0"/>
              </w:rPr>
              <w:t>default poten</w:t>
            </w:r>
            <w:r>
              <w:rPr>
                <w:rFonts w:ascii="Verdana" w:eastAsia="Calibri" w:hAnsi="Verdana"/>
                <w:i w:val="0"/>
              </w:rPr>
              <w:t>tial exposure rates on hands x Purity of the active substance</w:t>
            </w:r>
            <w:r w:rsidRPr="001812F0">
              <w:rPr>
                <w:rFonts w:ascii="Verdana" w:eastAsia="Calibri" w:hAnsi="Verdana"/>
                <w:i w:val="0"/>
              </w:rPr>
              <w:t xml:space="preserve"> </w:t>
            </w:r>
            <w:r>
              <w:rPr>
                <w:rFonts w:ascii="Verdana" w:eastAsia="Calibri" w:hAnsi="Verdana"/>
                <w:i w:val="0"/>
              </w:rPr>
              <w:t xml:space="preserve">x </w:t>
            </w:r>
            <w:r w:rsidRPr="00482718">
              <w:rPr>
                <w:rFonts w:ascii="Verdana" w:eastAsia="Calibri" w:hAnsi="Verdana"/>
                <w:i w:val="0"/>
              </w:rPr>
              <w:t>Duration of task</w:t>
            </w:r>
            <w:r>
              <w:rPr>
                <w:rFonts w:ascii="Verdana" w:eastAsia="Calibri" w:hAnsi="Verdana"/>
                <w:i w:val="0"/>
              </w:rPr>
              <w:t xml:space="preserve"> x </w:t>
            </w:r>
            <w:r w:rsidRPr="00482718">
              <w:rPr>
                <w:rFonts w:ascii="Verdana" w:eastAsia="Calibri" w:hAnsi="Verdana"/>
                <w:i w:val="0"/>
              </w:rPr>
              <w:t>Number of events per day</w:t>
            </w:r>
            <w:r>
              <w:rPr>
                <w:rFonts w:ascii="Verdana" w:eastAsia="Calibri" w:hAnsi="Verdana"/>
                <w:i w:val="0"/>
              </w:rPr>
              <w:t xml:space="preserve"> </w:t>
            </w:r>
            <w:r w:rsidRPr="00997EC8">
              <w:rPr>
                <w:rFonts w:ascii="Verdana" w:eastAsia="Calibri" w:hAnsi="Verdana"/>
                <w:i w:val="0"/>
              </w:rPr>
              <w:t xml:space="preserve">(x </w:t>
            </w:r>
            <w:r>
              <w:rPr>
                <w:rFonts w:ascii="Verdana" w:eastAsia="Calibri" w:hAnsi="Verdana"/>
                <w:i w:val="0"/>
              </w:rPr>
              <w:t>(1-</w:t>
            </w:r>
            <w:r w:rsidRPr="00997EC8">
              <w:rPr>
                <w:rFonts w:ascii="Verdana" w:eastAsia="Calibri" w:hAnsi="Verdana"/>
                <w:i w:val="0"/>
              </w:rPr>
              <w:t xml:space="preserve">Factor of protection for </w:t>
            </w:r>
            <w:r>
              <w:rPr>
                <w:rFonts w:ascii="Verdana" w:eastAsia="Calibri" w:hAnsi="Verdana"/>
                <w:i w:val="0"/>
              </w:rPr>
              <w:t>gloves)</w:t>
            </w:r>
            <w:r w:rsidRPr="00997EC8">
              <w:rPr>
                <w:rFonts w:ascii="Verdana" w:eastAsia="Calibri" w:hAnsi="Verdana"/>
                <w:i w:val="0"/>
              </w:rPr>
              <w:t>)</w:t>
            </w:r>
          </w:p>
          <w:p w14:paraId="7E8CD489" w14:textId="77777777" w:rsidR="00CD178B" w:rsidRPr="00F449E5" w:rsidRDefault="00CD178B" w:rsidP="00C41279">
            <w:pPr>
              <w:pStyle w:val="Explanatorynotes"/>
              <w:rPr>
                <w:rFonts w:ascii="Verdana" w:eastAsia="Calibri" w:hAnsi="Verdana"/>
                <w:b/>
                <w:i w:val="0"/>
              </w:rPr>
            </w:pPr>
            <w:r>
              <w:rPr>
                <w:rFonts w:ascii="Verdana" w:eastAsia="Calibri" w:hAnsi="Verdana"/>
                <w:b/>
                <w:i w:val="0"/>
              </w:rPr>
              <w:t>Dermal s</w:t>
            </w:r>
            <w:r w:rsidRPr="00F449E5">
              <w:rPr>
                <w:rFonts w:ascii="Verdana" w:eastAsia="Calibri" w:hAnsi="Verdana"/>
                <w:b/>
                <w:i w:val="0"/>
              </w:rPr>
              <w:t>ystemic exposure:</w:t>
            </w:r>
          </w:p>
          <w:p w14:paraId="7BC2829A" w14:textId="77777777" w:rsidR="00CD178B" w:rsidRDefault="00CD178B" w:rsidP="00C41279">
            <w:pPr>
              <w:pStyle w:val="Explanatorynotes"/>
              <w:ind w:left="348"/>
              <w:rPr>
                <w:rFonts w:ascii="Verdana" w:eastAsia="Calibri" w:hAnsi="Verdana"/>
                <w:b/>
                <w:i w:val="0"/>
              </w:rPr>
            </w:pPr>
            <w:r>
              <w:rPr>
                <w:rFonts w:ascii="Verdana" w:eastAsia="Calibri" w:hAnsi="Verdana"/>
                <w:i w:val="0"/>
              </w:rPr>
              <w:t>(</w:t>
            </w:r>
            <w:r w:rsidRPr="00F449E5">
              <w:rPr>
                <w:rFonts w:ascii="Verdana" w:eastAsia="Calibri" w:hAnsi="Verdana"/>
                <w:i w:val="0"/>
              </w:rPr>
              <w:t>Dermal exposure</w:t>
            </w:r>
            <w:r>
              <w:t xml:space="preserve"> </w:t>
            </w:r>
            <w:r w:rsidRPr="00482718">
              <w:rPr>
                <w:rFonts w:ascii="Verdana" w:eastAsia="Calibri" w:hAnsi="Verdana"/>
                <w:i w:val="0"/>
              </w:rPr>
              <w:t>via clothing</w:t>
            </w:r>
            <w:r>
              <w:rPr>
                <w:rFonts w:ascii="Verdana" w:eastAsia="Calibri" w:hAnsi="Verdana"/>
                <w:i w:val="0"/>
              </w:rPr>
              <w:t xml:space="preserve"> + </w:t>
            </w:r>
            <w:r w:rsidRPr="00482718">
              <w:rPr>
                <w:rFonts w:ascii="Verdana" w:eastAsia="Calibri" w:hAnsi="Verdana"/>
                <w:i w:val="0"/>
              </w:rPr>
              <w:t>Dermal exposure via hands</w:t>
            </w:r>
            <w:r>
              <w:rPr>
                <w:rFonts w:ascii="Verdana" w:eastAsia="Calibri" w:hAnsi="Verdana"/>
                <w:i w:val="0"/>
              </w:rPr>
              <w:t>)</w:t>
            </w:r>
            <w:r w:rsidRPr="00F449E5">
              <w:rPr>
                <w:rFonts w:ascii="Verdana" w:eastAsia="Calibri" w:hAnsi="Verdana"/>
                <w:i w:val="0"/>
              </w:rPr>
              <w:t xml:space="preserve"> x percent of dermal absorption</w:t>
            </w:r>
            <w:r>
              <w:rPr>
                <w:rFonts w:ascii="Verdana" w:eastAsia="Calibri" w:hAnsi="Verdana"/>
                <w:i w:val="0"/>
              </w:rPr>
              <w:t xml:space="preserve"> / body weight</w:t>
            </w:r>
            <w:r>
              <w:rPr>
                <w:rFonts w:ascii="Verdana" w:eastAsia="Calibri" w:hAnsi="Verdana"/>
                <w:b/>
                <w:i w:val="0"/>
              </w:rPr>
              <w:t xml:space="preserve"> </w:t>
            </w:r>
          </w:p>
          <w:p w14:paraId="70195171" w14:textId="77777777" w:rsidR="00CD178B" w:rsidRDefault="00CD178B" w:rsidP="00C41279">
            <w:pPr>
              <w:pStyle w:val="Explanatorynotes"/>
              <w:rPr>
                <w:rFonts w:ascii="Verdana" w:eastAsia="Calibri" w:hAnsi="Verdana"/>
                <w:b/>
                <w:i w:val="0"/>
              </w:rPr>
            </w:pPr>
            <w:r>
              <w:rPr>
                <w:rFonts w:ascii="Verdana" w:eastAsia="Calibri" w:hAnsi="Verdana"/>
                <w:b/>
                <w:i w:val="0"/>
              </w:rPr>
              <w:t xml:space="preserve">Inhalation </w:t>
            </w:r>
            <w:r w:rsidRPr="00F449E5">
              <w:rPr>
                <w:rFonts w:ascii="Verdana" w:eastAsia="Calibri" w:hAnsi="Verdana"/>
                <w:b/>
                <w:i w:val="0"/>
              </w:rPr>
              <w:t>exposure:</w:t>
            </w:r>
          </w:p>
          <w:p w14:paraId="165653DD" w14:textId="77777777" w:rsidR="00CD178B" w:rsidRPr="00B41235" w:rsidRDefault="00CD178B" w:rsidP="00C41279">
            <w:pPr>
              <w:pStyle w:val="Explanatorynotes"/>
              <w:ind w:left="348"/>
              <w:rPr>
                <w:rFonts w:ascii="Verdana" w:eastAsia="Calibri" w:hAnsi="Verdana"/>
                <w:i w:val="0"/>
              </w:rPr>
            </w:pPr>
            <w:r>
              <w:rPr>
                <w:rFonts w:ascii="Verdana" w:eastAsia="Calibri" w:hAnsi="Verdana"/>
                <w:i w:val="0"/>
              </w:rPr>
              <w:t xml:space="preserve">Inhalation is no relevant for this model and is not taken into account </w:t>
            </w:r>
          </w:p>
          <w:p w14:paraId="08DC09D9" w14:textId="77777777" w:rsidR="00CD178B" w:rsidRPr="00940F75" w:rsidRDefault="00CD178B" w:rsidP="00C41279">
            <w:pPr>
              <w:pStyle w:val="Explanatorynotes"/>
              <w:rPr>
                <w:rFonts w:ascii="Verdana" w:eastAsia="Calibri" w:hAnsi="Verdana"/>
                <w:i w:val="0"/>
              </w:rPr>
            </w:pPr>
            <w:r>
              <w:rPr>
                <w:rFonts w:ascii="Verdana" w:eastAsia="Calibri" w:hAnsi="Verdana"/>
                <w:b/>
                <w:i w:val="0"/>
              </w:rPr>
              <w:t>S</w:t>
            </w:r>
            <w:r w:rsidRPr="00940F75">
              <w:rPr>
                <w:rFonts w:ascii="Verdana" w:eastAsia="Calibri" w:hAnsi="Verdana"/>
                <w:b/>
                <w:i w:val="0"/>
              </w:rPr>
              <w:t>ystemic exposure</w:t>
            </w:r>
            <w:r w:rsidRPr="00940F75">
              <w:rPr>
                <w:rFonts w:ascii="Verdana" w:eastAsia="Calibri" w:hAnsi="Verdana"/>
                <w:i w:val="0"/>
              </w:rPr>
              <w:t xml:space="preserve">: </w:t>
            </w:r>
          </w:p>
          <w:p w14:paraId="7C728506" w14:textId="77777777" w:rsidR="00CD178B" w:rsidRDefault="00CD178B" w:rsidP="00C41279">
            <w:pPr>
              <w:pStyle w:val="Explanatorynotes"/>
              <w:ind w:left="348"/>
              <w:rPr>
                <w:rFonts w:ascii="Verdana" w:eastAsia="Calibri" w:hAnsi="Verdana"/>
                <w:i w:val="0"/>
              </w:rPr>
            </w:pPr>
            <w:r>
              <w:rPr>
                <w:rFonts w:ascii="Verdana" w:eastAsia="Calibri" w:hAnsi="Verdana"/>
                <w:i w:val="0"/>
              </w:rPr>
              <w:t xml:space="preserve">Dermal systemic exposure + 0 (inhalation exposure n.r.) </w:t>
            </w:r>
          </w:p>
          <w:p w14:paraId="5066240D" w14:textId="77777777" w:rsidR="00CD178B" w:rsidRPr="00940F75" w:rsidRDefault="00CD178B" w:rsidP="00C41279">
            <w:pPr>
              <w:pStyle w:val="Explanatorynotes"/>
              <w:rPr>
                <w:rFonts w:ascii="Verdana" w:eastAsia="Calibri" w:hAnsi="Verdana"/>
                <w:i w:val="0"/>
              </w:rPr>
            </w:pPr>
          </w:p>
        </w:tc>
      </w:tr>
      <w:tr w:rsidR="00CD178B" w:rsidRPr="001D31A4" w14:paraId="72D69C3C" w14:textId="77777777" w:rsidTr="00CD178B">
        <w:trPr>
          <w:tblHeader/>
        </w:trPr>
        <w:tc>
          <w:tcPr>
            <w:tcW w:w="422" w:type="pct"/>
            <w:shd w:val="clear" w:color="auto" w:fill="BFBFBF" w:themeFill="background1" w:themeFillShade="BF"/>
            <w:tcMar>
              <w:top w:w="57" w:type="dxa"/>
              <w:bottom w:w="57" w:type="dxa"/>
            </w:tcMar>
          </w:tcPr>
          <w:p w14:paraId="06238AE7" w14:textId="77777777" w:rsidR="00CD178B" w:rsidRPr="001D31A4" w:rsidRDefault="00CD178B" w:rsidP="00C41279">
            <w:pPr>
              <w:pStyle w:val="Standaard-Tabellen"/>
              <w:rPr>
                <w:rFonts w:eastAsia="Calibri"/>
                <w:b/>
              </w:rPr>
            </w:pPr>
          </w:p>
        </w:tc>
        <w:tc>
          <w:tcPr>
            <w:tcW w:w="2192" w:type="pct"/>
            <w:shd w:val="clear" w:color="auto" w:fill="BFBFBF" w:themeFill="background1" w:themeFillShade="BF"/>
            <w:tcMar>
              <w:top w:w="57" w:type="dxa"/>
              <w:bottom w:w="57" w:type="dxa"/>
            </w:tcMar>
          </w:tcPr>
          <w:p w14:paraId="1C947618" w14:textId="77777777" w:rsidR="00CD178B" w:rsidRPr="001D31A4" w:rsidRDefault="00CD178B" w:rsidP="00C41279">
            <w:pPr>
              <w:pStyle w:val="Standaard-Tabellen"/>
              <w:rPr>
                <w:rFonts w:eastAsia="Calibri"/>
                <w:b/>
              </w:rPr>
            </w:pPr>
            <w:r w:rsidRPr="001D31A4">
              <w:rPr>
                <w:rFonts w:eastAsia="Calibri"/>
                <w:b/>
              </w:rPr>
              <w:t>Parameters</w:t>
            </w:r>
            <w:r w:rsidRPr="001D31A4">
              <w:rPr>
                <w:rFonts w:eastAsia="Calibri"/>
                <w:b/>
                <w:vertAlign w:val="superscript"/>
              </w:rPr>
              <w:t>1</w:t>
            </w:r>
          </w:p>
        </w:tc>
        <w:tc>
          <w:tcPr>
            <w:tcW w:w="2386" w:type="pct"/>
            <w:shd w:val="clear" w:color="auto" w:fill="BFBFBF" w:themeFill="background1" w:themeFillShade="BF"/>
            <w:tcMar>
              <w:top w:w="57" w:type="dxa"/>
              <w:bottom w:w="57" w:type="dxa"/>
            </w:tcMar>
          </w:tcPr>
          <w:p w14:paraId="068336B6" w14:textId="77777777" w:rsidR="00CD178B" w:rsidRPr="001D31A4" w:rsidRDefault="00CD178B" w:rsidP="00C41279">
            <w:pPr>
              <w:pStyle w:val="Standaard-Tabellen"/>
              <w:rPr>
                <w:rFonts w:eastAsia="Calibri"/>
                <w:b/>
              </w:rPr>
            </w:pPr>
            <w:r w:rsidRPr="001D31A4">
              <w:rPr>
                <w:rFonts w:eastAsia="Calibri"/>
                <w:b/>
              </w:rPr>
              <w:t>Value</w:t>
            </w:r>
          </w:p>
        </w:tc>
      </w:tr>
      <w:tr w:rsidR="00CD178B" w:rsidRPr="00FD2055" w14:paraId="6F6E20EC" w14:textId="77777777" w:rsidTr="00CD178B">
        <w:trPr>
          <w:tblHeader/>
        </w:trPr>
        <w:tc>
          <w:tcPr>
            <w:tcW w:w="422" w:type="pct"/>
            <w:vMerge w:val="restart"/>
            <w:tcMar>
              <w:top w:w="57" w:type="dxa"/>
              <w:bottom w:w="57" w:type="dxa"/>
            </w:tcMar>
          </w:tcPr>
          <w:p w14:paraId="2E34ABE0" w14:textId="77777777" w:rsidR="00CD178B" w:rsidRPr="00FD2055" w:rsidRDefault="00CD178B" w:rsidP="00C41279">
            <w:pPr>
              <w:pStyle w:val="Standaard-Tabellen"/>
              <w:rPr>
                <w:rFonts w:eastAsia="Calibri"/>
              </w:rPr>
            </w:pPr>
            <w:r w:rsidRPr="00FD2055">
              <w:rPr>
                <w:rFonts w:eastAsia="Calibri"/>
              </w:rPr>
              <w:t>Tier 1</w:t>
            </w:r>
          </w:p>
          <w:p w14:paraId="35B27071" w14:textId="77777777" w:rsidR="00CD178B" w:rsidRPr="00FD2055" w:rsidRDefault="00CD178B" w:rsidP="00C41279">
            <w:pPr>
              <w:pStyle w:val="Standaard-Tabellen"/>
              <w:rPr>
                <w:rFonts w:eastAsia="Calibri"/>
              </w:rPr>
            </w:pPr>
          </w:p>
        </w:tc>
        <w:tc>
          <w:tcPr>
            <w:tcW w:w="2192" w:type="pct"/>
            <w:shd w:val="clear" w:color="auto" w:fill="auto"/>
            <w:tcMar>
              <w:top w:w="57" w:type="dxa"/>
              <w:bottom w:w="57" w:type="dxa"/>
            </w:tcMar>
          </w:tcPr>
          <w:p w14:paraId="19905E25" w14:textId="77777777" w:rsidR="00CD178B" w:rsidRPr="005C5224" w:rsidRDefault="00CD178B" w:rsidP="00C41279">
            <w:pPr>
              <w:pStyle w:val="Standaard-Tabellen"/>
              <w:rPr>
                <w:rFonts w:eastAsia="Calibri"/>
              </w:rPr>
            </w:pPr>
            <w:r>
              <w:rPr>
                <w:rFonts w:eastAsia="Calibri"/>
              </w:rPr>
              <w:t>Purity of the active substance</w:t>
            </w:r>
            <w:r w:rsidRPr="009E12BD">
              <w:rPr>
                <w:rFonts w:eastAsia="Calibri"/>
                <w:vertAlign w:val="superscript"/>
              </w:rPr>
              <w:t xml:space="preserve">1 </w:t>
            </w:r>
          </w:p>
        </w:tc>
        <w:tc>
          <w:tcPr>
            <w:tcW w:w="2386" w:type="pct"/>
            <w:shd w:val="clear" w:color="auto" w:fill="auto"/>
            <w:tcMar>
              <w:top w:w="57" w:type="dxa"/>
              <w:bottom w:w="57" w:type="dxa"/>
            </w:tcMar>
          </w:tcPr>
          <w:p w14:paraId="527862AB" w14:textId="77777777" w:rsidR="00CD178B" w:rsidRPr="00BA50AA" w:rsidRDefault="00CD178B" w:rsidP="00C41279">
            <w:pPr>
              <w:pStyle w:val="Standaard-Tabellen"/>
              <w:rPr>
                <w:rFonts w:eastAsia="Calibri"/>
              </w:rPr>
            </w:pPr>
            <w:r>
              <w:rPr>
                <w:rFonts w:eastAsia="Calibri"/>
              </w:rPr>
              <w:t>99%</w:t>
            </w:r>
          </w:p>
        </w:tc>
      </w:tr>
      <w:tr w:rsidR="00CD178B" w:rsidRPr="00FD2055" w14:paraId="55F56921" w14:textId="77777777" w:rsidTr="00CD178B">
        <w:trPr>
          <w:tblHeader/>
        </w:trPr>
        <w:tc>
          <w:tcPr>
            <w:tcW w:w="422" w:type="pct"/>
            <w:vMerge/>
            <w:tcMar>
              <w:top w:w="57" w:type="dxa"/>
              <w:bottom w:w="57" w:type="dxa"/>
            </w:tcMar>
          </w:tcPr>
          <w:p w14:paraId="6EF1DFAA" w14:textId="77777777" w:rsidR="00CD178B" w:rsidRPr="00FD2055" w:rsidRDefault="00CD178B" w:rsidP="00C41279">
            <w:pPr>
              <w:pStyle w:val="Standaard-Tabellen"/>
              <w:rPr>
                <w:rFonts w:eastAsia="Calibri"/>
              </w:rPr>
            </w:pPr>
          </w:p>
        </w:tc>
        <w:tc>
          <w:tcPr>
            <w:tcW w:w="2192" w:type="pct"/>
            <w:shd w:val="clear" w:color="auto" w:fill="auto"/>
            <w:tcMar>
              <w:top w:w="57" w:type="dxa"/>
              <w:bottom w:w="57" w:type="dxa"/>
            </w:tcMar>
          </w:tcPr>
          <w:p w14:paraId="501E662E" w14:textId="77777777" w:rsidR="00CD178B" w:rsidRDefault="00CD178B" w:rsidP="00C41279">
            <w:pPr>
              <w:pStyle w:val="Standaard-Tabellen"/>
              <w:rPr>
                <w:rFonts w:eastAsia="Calibri"/>
              </w:rPr>
            </w:pPr>
            <w:r>
              <w:rPr>
                <w:rFonts w:eastAsia="Calibri"/>
              </w:rPr>
              <w:t>Dermal absorption</w:t>
            </w:r>
            <w:r w:rsidRPr="009E12BD">
              <w:rPr>
                <w:rFonts w:eastAsia="Calibri"/>
                <w:vertAlign w:val="superscript"/>
              </w:rPr>
              <w:t>1</w:t>
            </w:r>
          </w:p>
        </w:tc>
        <w:tc>
          <w:tcPr>
            <w:tcW w:w="2386" w:type="pct"/>
            <w:shd w:val="clear" w:color="auto" w:fill="auto"/>
            <w:tcMar>
              <w:top w:w="57" w:type="dxa"/>
              <w:bottom w:w="57" w:type="dxa"/>
            </w:tcMar>
          </w:tcPr>
          <w:p w14:paraId="3942E26E" w14:textId="77777777" w:rsidR="00CD178B" w:rsidRDefault="00CD178B" w:rsidP="00C41279">
            <w:pPr>
              <w:pStyle w:val="Standaard-Tabellen"/>
              <w:rPr>
                <w:rFonts w:eastAsia="Calibri"/>
              </w:rPr>
            </w:pPr>
            <w:r>
              <w:rPr>
                <w:rFonts w:eastAsia="Calibri"/>
              </w:rPr>
              <w:t xml:space="preserve">50% </w:t>
            </w:r>
          </w:p>
        </w:tc>
      </w:tr>
      <w:tr w:rsidR="00CD178B" w:rsidRPr="00FD2055" w14:paraId="57E53038" w14:textId="77777777" w:rsidTr="00CD178B">
        <w:trPr>
          <w:tblHeader/>
        </w:trPr>
        <w:tc>
          <w:tcPr>
            <w:tcW w:w="422" w:type="pct"/>
            <w:vMerge/>
            <w:tcMar>
              <w:top w:w="57" w:type="dxa"/>
              <w:bottom w:w="57" w:type="dxa"/>
            </w:tcMar>
          </w:tcPr>
          <w:p w14:paraId="42CF08A8" w14:textId="77777777" w:rsidR="00CD178B" w:rsidRPr="00FD2055" w:rsidRDefault="00CD178B" w:rsidP="00C41279">
            <w:pPr>
              <w:pStyle w:val="Standaard-Tabellen"/>
              <w:rPr>
                <w:rFonts w:eastAsia="Calibri"/>
              </w:rPr>
            </w:pPr>
          </w:p>
        </w:tc>
        <w:tc>
          <w:tcPr>
            <w:tcW w:w="2192" w:type="pct"/>
            <w:shd w:val="clear" w:color="auto" w:fill="auto"/>
            <w:tcMar>
              <w:top w:w="57" w:type="dxa"/>
              <w:bottom w:w="57" w:type="dxa"/>
            </w:tcMar>
          </w:tcPr>
          <w:p w14:paraId="1B8BDD90" w14:textId="77777777" w:rsidR="00CD178B" w:rsidRPr="00FD2055" w:rsidRDefault="00CD178B" w:rsidP="00C41279">
            <w:pPr>
              <w:pStyle w:val="Standaard-Tabellen"/>
              <w:rPr>
                <w:rFonts w:eastAsia="Calibri"/>
              </w:rPr>
            </w:pPr>
            <w:r w:rsidRPr="005C5224">
              <w:rPr>
                <w:rFonts w:eastAsia="Calibri"/>
              </w:rPr>
              <w:t xml:space="preserve">default potential exposure rates </w:t>
            </w:r>
            <w:r w:rsidRPr="00BA50AA">
              <w:rPr>
                <w:rFonts w:eastAsia="Calibri"/>
              </w:rPr>
              <w:t>on clothing</w:t>
            </w:r>
            <w:r>
              <w:rPr>
                <w:rFonts w:eastAsia="Calibri"/>
                <w:vertAlign w:val="superscript"/>
              </w:rPr>
              <w:t>2</w:t>
            </w:r>
          </w:p>
        </w:tc>
        <w:tc>
          <w:tcPr>
            <w:tcW w:w="2386" w:type="pct"/>
            <w:shd w:val="clear" w:color="auto" w:fill="auto"/>
            <w:tcMar>
              <w:top w:w="57" w:type="dxa"/>
              <w:bottom w:w="57" w:type="dxa"/>
            </w:tcMar>
          </w:tcPr>
          <w:p w14:paraId="5FBFB08E" w14:textId="77777777" w:rsidR="00CD178B" w:rsidRPr="00FD2055" w:rsidRDefault="00CD178B" w:rsidP="00C41279">
            <w:pPr>
              <w:pStyle w:val="Standaard-Tabellen"/>
              <w:rPr>
                <w:rFonts w:eastAsia="Calibri"/>
              </w:rPr>
            </w:pPr>
            <w:r w:rsidRPr="00BA50AA">
              <w:rPr>
                <w:rFonts w:eastAsia="Calibri"/>
              </w:rPr>
              <w:t>101 mg/min</w:t>
            </w:r>
          </w:p>
        </w:tc>
      </w:tr>
      <w:tr w:rsidR="00CD178B" w:rsidRPr="00FD2055" w14:paraId="4CB42858" w14:textId="77777777" w:rsidTr="00CD178B">
        <w:trPr>
          <w:tblHeader/>
        </w:trPr>
        <w:tc>
          <w:tcPr>
            <w:tcW w:w="422" w:type="pct"/>
            <w:vMerge/>
            <w:tcMar>
              <w:top w:w="57" w:type="dxa"/>
              <w:bottom w:w="57" w:type="dxa"/>
            </w:tcMar>
          </w:tcPr>
          <w:p w14:paraId="0E77BF1F" w14:textId="77777777" w:rsidR="00CD178B" w:rsidRPr="00FD2055" w:rsidRDefault="00CD178B" w:rsidP="00C41279">
            <w:pPr>
              <w:pStyle w:val="Standaard-Tabellen"/>
              <w:rPr>
                <w:rFonts w:eastAsia="Calibri"/>
              </w:rPr>
            </w:pPr>
          </w:p>
        </w:tc>
        <w:tc>
          <w:tcPr>
            <w:tcW w:w="2192" w:type="pct"/>
            <w:shd w:val="clear" w:color="auto" w:fill="auto"/>
            <w:tcMar>
              <w:top w:w="57" w:type="dxa"/>
              <w:bottom w:w="57" w:type="dxa"/>
            </w:tcMar>
          </w:tcPr>
          <w:p w14:paraId="22EBB585" w14:textId="77777777" w:rsidR="00CD178B" w:rsidRPr="00FD2055" w:rsidRDefault="00CD178B" w:rsidP="00C41279">
            <w:pPr>
              <w:pStyle w:val="Standaard-Tabellen"/>
              <w:rPr>
                <w:rFonts w:eastAsia="Calibri"/>
              </w:rPr>
            </w:pPr>
            <w:r w:rsidRPr="005C5224">
              <w:rPr>
                <w:rFonts w:eastAsia="Calibri"/>
              </w:rPr>
              <w:t xml:space="preserve">default potential exposure rates </w:t>
            </w:r>
            <w:r w:rsidRPr="00BA50AA">
              <w:rPr>
                <w:rFonts w:eastAsia="Calibri"/>
              </w:rPr>
              <w:t>on hand</w:t>
            </w:r>
            <w:r>
              <w:rPr>
                <w:rFonts w:eastAsia="Calibri"/>
                <w:vertAlign w:val="superscript"/>
              </w:rPr>
              <w:t>2</w:t>
            </w:r>
          </w:p>
        </w:tc>
        <w:tc>
          <w:tcPr>
            <w:tcW w:w="2386" w:type="pct"/>
            <w:shd w:val="clear" w:color="auto" w:fill="auto"/>
            <w:tcMar>
              <w:top w:w="57" w:type="dxa"/>
              <w:bottom w:w="57" w:type="dxa"/>
            </w:tcMar>
          </w:tcPr>
          <w:p w14:paraId="479F7E11" w14:textId="77777777" w:rsidR="00CD178B" w:rsidRPr="00FD2055" w:rsidRDefault="00CD178B" w:rsidP="00C41279">
            <w:pPr>
              <w:pStyle w:val="Standaard-Tabellen"/>
              <w:rPr>
                <w:rFonts w:eastAsia="Calibri"/>
              </w:rPr>
            </w:pPr>
            <w:r w:rsidRPr="00BA50AA">
              <w:rPr>
                <w:rFonts w:eastAsia="Calibri"/>
              </w:rPr>
              <w:t>2</w:t>
            </w:r>
            <w:r>
              <w:rPr>
                <w:rFonts w:eastAsia="Calibri"/>
              </w:rPr>
              <w:t>.</w:t>
            </w:r>
            <w:r w:rsidRPr="00BA50AA">
              <w:rPr>
                <w:rFonts w:eastAsia="Calibri"/>
              </w:rPr>
              <w:t>02 mg/ min</w:t>
            </w:r>
          </w:p>
        </w:tc>
      </w:tr>
      <w:tr w:rsidR="00CD178B" w:rsidRPr="00FD2055" w14:paraId="5AD8A0E2" w14:textId="77777777" w:rsidTr="00CD178B">
        <w:trPr>
          <w:tblHeader/>
        </w:trPr>
        <w:tc>
          <w:tcPr>
            <w:tcW w:w="422" w:type="pct"/>
            <w:vMerge/>
            <w:tcMar>
              <w:top w:w="57" w:type="dxa"/>
              <w:bottom w:w="57" w:type="dxa"/>
            </w:tcMar>
          </w:tcPr>
          <w:p w14:paraId="367C8D76" w14:textId="77777777" w:rsidR="00CD178B" w:rsidRPr="00FD2055" w:rsidRDefault="00CD178B" w:rsidP="00C41279">
            <w:pPr>
              <w:pStyle w:val="Standaard-Tabellen"/>
              <w:rPr>
                <w:rFonts w:eastAsia="Calibri"/>
              </w:rPr>
            </w:pPr>
          </w:p>
        </w:tc>
        <w:tc>
          <w:tcPr>
            <w:tcW w:w="2192" w:type="pct"/>
            <w:shd w:val="clear" w:color="auto" w:fill="auto"/>
            <w:tcMar>
              <w:top w:w="57" w:type="dxa"/>
              <w:bottom w:w="57" w:type="dxa"/>
            </w:tcMar>
          </w:tcPr>
          <w:p w14:paraId="634BCB5F" w14:textId="77777777" w:rsidR="00CD178B" w:rsidRPr="00FD2055" w:rsidRDefault="00CD178B" w:rsidP="00C41279">
            <w:pPr>
              <w:pStyle w:val="Standaard-Tabellen"/>
              <w:rPr>
                <w:rFonts w:eastAsia="Calibri"/>
              </w:rPr>
            </w:pPr>
            <w:r w:rsidRPr="00482718">
              <w:rPr>
                <w:rFonts w:eastAsia="Calibri"/>
              </w:rPr>
              <w:t xml:space="preserve">default potential exposure rates </w:t>
            </w:r>
            <w:r>
              <w:rPr>
                <w:rFonts w:eastAsia="Calibri"/>
              </w:rPr>
              <w:t>for inhalation</w:t>
            </w:r>
            <w:r w:rsidRPr="00482718">
              <w:rPr>
                <w:rFonts w:eastAsia="Calibri"/>
                <w:vertAlign w:val="superscript"/>
              </w:rPr>
              <w:t>2</w:t>
            </w:r>
          </w:p>
        </w:tc>
        <w:tc>
          <w:tcPr>
            <w:tcW w:w="2386" w:type="pct"/>
            <w:shd w:val="clear" w:color="auto" w:fill="auto"/>
            <w:tcMar>
              <w:top w:w="57" w:type="dxa"/>
              <w:bottom w:w="57" w:type="dxa"/>
            </w:tcMar>
          </w:tcPr>
          <w:p w14:paraId="6DC5DDBE" w14:textId="77777777" w:rsidR="00CD178B" w:rsidRPr="00FD2055" w:rsidRDefault="00CD178B" w:rsidP="00CD178B">
            <w:pPr>
              <w:pStyle w:val="Standaard-Tabellen"/>
              <w:rPr>
                <w:rFonts w:eastAsia="Calibri"/>
              </w:rPr>
            </w:pPr>
            <w:r>
              <w:rPr>
                <w:rFonts w:eastAsia="Calibri"/>
              </w:rPr>
              <w:t>n.r.</w:t>
            </w:r>
            <w:r w:rsidRPr="00BA50AA">
              <w:rPr>
                <w:rFonts w:eastAsia="Calibri"/>
              </w:rPr>
              <w:t xml:space="preserve"> mg/m</w:t>
            </w:r>
            <w:r>
              <w:rPr>
                <w:rFonts w:eastAsia="Calibri"/>
              </w:rPr>
              <w:t xml:space="preserve">³ (and the substance has a low vapour pressure) </w:t>
            </w:r>
          </w:p>
        </w:tc>
      </w:tr>
      <w:tr w:rsidR="00CD178B" w:rsidRPr="00FD2055" w14:paraId="56B27740" w14:textId="77777777" w:rsidTr="00CD178B">
        <w:trPr>
          <w:tblHeader/>
        </w:trPr>
        <w:tc>
          <w:tcPr>
            <w:tcW w:w="422" w:type="pct"/>
            <w:vMerge/>
            <w:tcMar>
              <w:top w:w="57" w:type="dxa"/>
              <w:bottom w:w="57" w:type="dxa"/>
            </w:tcMar>
          </w:tcPr>
          <w:p w14:paraId="43A0D671" w14:textId="77777777" w:rsidR="00CD178B" w:rsidRPr="00FD2055" w:rsidRDefault="00CD178B" w:rsidP="00C41279">
            <w:pPr>
              <w:pStyle w:val="Standaard-Tabellen"/>
              <w:rPr>
                <w:rFonts w:eastAsia="Calibri"/>
              </w:rPr>
            </w:pPr>
          </w:p>
        </w:tc>
        <w:tc>
          <w:tcPr>
            <w:tcW w:w="2192" w:type="pct"/>
            <w:shd w:val="clear" w:color="auto" w:fill="auto"/>
            <w:tcMar>
              <w:top w:w="57" w:type="dxa"/>
              <w:bottom w:w="57" w:type="dxa"/>
            </w:tcMar>
          </w:tcPr>
          <w:p w14:paraId="0C4F8CD0" w14:textId="77777777" w:rsidR="00CD178B" w:rsidRPr="00FD2055" w:rsidRDefault="00CD178B" w:rsidP="00C41279">
            <w:pPr>
              <w:pStyle w:val="Standaard-Tabellen"/>
              <w:rPr>
                <w:rFonts w:eastAsia="Calibri"/>
              </w:rPr>
            </w:pPr>
            <w:r w:rsidRPr="00BA50AA">
              <w:rPr>
                <w:rFonts w:eastAsia="Calibri"/>
              </w:rPr>
              <w:t>Bodyweight</w:t>
            </w:r>
            <w:r>
              <w:rPr>
                <w:rFonts w:eastAsia="Calibri"/>
                <w:vertAlign w:val="superscript"/>
              </w:rPr>
              <w:t>3</w:t>
            </w:r>
          </w:p>
        </w:tc>
        <w:tc>
          <w:tcPr>
            <w:tcW w:w="2386" w:type="pct"/>
            <w:shd w:val="clear" w:color="auto" w:fill="auto"/>
            <w:tcMar>
              <w:top w:w="57" w:type="dxa"/>
              <w:bottom w:w="57" w:type="dxa"/>
            </w:tcMar>
          </w:tcPr>
          <w:p w14:paraId="62D9C048" w14:textId="77777777" w:rsidR="00CD178B" w:rsidRPr="00FD2055" w:rsidRDefault="00CD178B" w:rsidP="00C41279">
            <w:pPr>
              <w:pStyle w:val="Standaard-Tabellen"/>
              <w:rPr>
                <w:rFonts w:eastAsia="Calibri"/>
              </w:rPr>
            </w:pPr>
            <w:r w:rsidRPr="00BA50AA">
              <w:rPr>
                <w:rFonts w:eastAsia="Calibri"/>
              </w:rPr>
              <w:t>60 kg</w:t>
            </w:r>
          </w:p>
        </w:tc>
      </w:tr>
      <w:tr w:rsidR="00CD178B" w:rsidRPr="00FD2055" w14:paraId="3D0BC0B7" w14:textId="77777777" w:rsidTr="00CD178B">
        <w:trPr>
          <w:tblHeader/>
        </w:trPr>
        <w:tc>
          <w:tcPr>
            <w:tcW w:w="422" w:type="pct"/>
            <w:vMerge/>
            <w:tcMar>
              <w:top w:w="57" w:type="dxa"/>
              <w:bottom w:w="57" w:type="dxa"/>
            </w:tcMar>
          </w:tcPr>
          <w:p w14:paraId="1795BE13" w14:textId="77777777" w:rsidR="00CD178B" w:rsidRPr="00FD2055" w:rsidRDefault="00CD178B" w:rsidP="00C41279">
            <w:pPr>
              <w:pStyle w:val="Standaard-Tabellen"/>
              <w:rPr>
                <w:rFonts w:eastAsia="Calibri"/>
              </w:rPr>
            </w:pPr>
          </w:p>
        </w:tc>
        <w:tc>
          <w:tcPr>
            <w:tcW w:w="2192" w:type="pct"/>
            <w:shd w:val="clear" w:color="auto" w:fill="auto"/>
            <w:tcMar>
              <w:top w:w="57" w:type="dxa"/>
              <w:bottom w:w="57" w:type="dxa"/>
            </w:tcMar>
          </w:tcPr>
          <w:p w14:paraId="66A9A0FD" w14:textId="77777777" w:rsidR="00CD178B" w:rsidRPr="00FD2055" w:rsidRDefault="00CD178B" w:rsidP="00C41279">
            <w:pPr>
              <w:pStyle w:val="Standaard-Tabellen"/>
              <w:rPr>
                <w:rFonts w:eastAsia="Calibri"/>
              </w:rPr>
            </w:pPr>
            <w:r w:rsidRPr="00BA50AA">
              <w:rPr>
                <w:rFonts w:eastAsia="Calibri"/>
              </w:rPr>
              <w:t>Number of events per day</w:t>
            </w:r>
          </w:p>
        </w:tc>
        <w:tc>
          <w:tcPr>
            <w:tcW w:w="2386" w:type="pct"/>
            <w:shd w:val="clear" w:color="auto" w:fill="auto"/>
            <w:tcMar>
              <w:top w:w="57" w:type="dxa"/>
              <w:bottom w:w="57" w:type="dxa"/>
            </w:tcMar>
          </w:tcPr>
          <w:p w14:paraId="1491EBB2" w14:textId="77777777" w:rsidR="00CD178B" w:rsidRPr="00FD2055" w:rsidRDefault="00CD178B" w:rsidP="00C41279">
            <w:pPr>
              <w:pStyle w:val="Standaard-Tabellen"/>
              <w:rPr>
                <w:rFonts w:eastAsia="Calibri"/>
              </w:rPr>
            </w:pPr>
            <w:r w:rsidRPr="00BA50AA">
              <w:rPr>
                <w:rFonts w:eastAsia="Calibri"/>
              </w:rPr>
              <w:t>1/day</w:t>
            </w:r>
          </w:p>
        </w:tc>
      </w:tr>
      <w:tr w:rsidR="00CD178B" w:rsidRPr="00FD2055" w14:paraId="128481D7" w14:textId="77777777" w:rsidTr="00CD178B">
        <w:trPr>
          <w:tblHeader/>
        </w:trPr>
        <w:tc>
          <w:tcPr>
            <w:tcW w:w="422" w:type="pct"/>
            <w:vMerge/>
            <w:tcMar>
              <w:top w:w="57" w:type="dxa"/>
              <w:bottom w:w="57" w:type="dxa"/>
            </w:tcMar>
          </w:tcPr>
          <w:p w14:paraId="06ECF70A" w14:textId="77777777" w:rsidR="00CD178B" w:rsidRPr="00FD2055" w:rsidRDefault="00CD178B" w:rsidP="00C41279">
            <w:pPr>
              <w:pStyle w:val="Standaard-Tabellen"/>
              <w:rPr>
                <w:rFonts w:eastAsia="Calibri"/>
              </w:rPr>
            </w:pPr>
          </w:p>
        </w:tc>
        <w:tc>
          <w:tcPr>
            <w:tcW w:w="2192" w:type="pct"/>
            <w:shd w:val="clear" w:color="auto" w:fill="auto"/>
            <w:tcMar>
              <w:top w:w="57" w:type="dxa"/>
              <w:bottom w:w="57" w:type="dxa"/>
            </w:tcMar>
          </w:tcPr>
          <w:p w14:paraId="4BCDE3D8" w14:textId="77777777" w:rsidR="00CD178B" w:rsidRPr="00FD2055" w:rsidRDefault="00CD178B" w:rsidP="00C41279">
            <w:pPr>
              <w:pStyle w:val="Standaard-Tabellen"/>
              <w:rPr>
                <w:rFonts w:eastAsia="Calibri"/>
              </w:rPr>
            </w:pPr>
            <w:r w:rsidRPr="00BA50AA">
              <w:rPr>
                <w:rFonts w:eastAsia="Calibri"/>
              </w:rPr>
              <w:t>Duration of task</w:t>
            </w:r>
          </w:p>
        </w:tc>
        <w:tc>
          <w:tcPr>
            <w:tcW w:w="2386" w:type="pct"/>
            <w:shd w:val="clear" w:color="auto" w:fill="auto"/>
            <w:tcMar>
              <w:top w:w="57" w:type="dxa"/>
              <w:bottom w:w="57" w:type="dxa"/>
            </w:tcMar>
          </w:tcPr>
          <w:p w14:paraId="34AAAB90" w14:textId="77777777" w:rsidR="00CD178B" w:rsidRPr="00FD2055" w:rsidRDefault="00CD178B" w:rsidP="00C41279">
            <w:pPr>
              <w:pStyle w:val="Standaard-Tabellen"/>
              <w:rPr>
                <w:rFonts w:eastAsia="Calibri"/>
              </w:rPr>
            </w:pPr>
            <w:r w:rsidRPr="00BA50AA">
              <w:rPr>
                <w:rFonts w:eastAsia="Calibri"/>
              </w:rPr>
              <w:t>10 min</w:t>
            </w:r>
          </w:p>
        </w:tc>
      </w:tr>
      <w:tr w:rsidR="00CD178B" w:rsidRPr="00FD2055" w14:paraId="0AD73F49" w14:textId="77777777" w:rsidTr="00CD178B">
        <w:trPr>
          <w:tblHeader/>
        </w:trPr>
        <w:tc>
          <w:tcPr>
            <w:tcW w:w="422" w:type="pct"/>
            <w:tcMar>
              <w:top w:w="57" w:type="dxa"/>
              <w:bottom w:w="57" w:type="dxa"/>
            </w:tcMar>
          </w:tcPr>
          <w:p w14:paraId="0075D65F" w14:textId="77777777" w:rsidR="00CD178B" w:rsidRPr="00FD2055" w:rsidRDefault="00CD178B" w:rsidP="00C41279">
            <w:pPr>
              <w:pStyle w:val="Standaard-Tabellen"/>
              <w:rPr>
                <w:rFonts w:eastAsia="Calibri"/>
              </w:rPr>
            </w:pPr>
            <w:r w:rsidRPr="00FD2055">
              <w:rPr>
                <w:rFonts w:eastAsia="Calibri"/>
              </w:rPr>
              <w:t>Tier</w:t>
            </w:r>
            <w:r>
              <w:rPr>
                <w:rFonts w:eastAsia="Calibri"/>
              </w:rPr>
              <w:t xml:space="preserve"> 2</w:t>
            </w:r>
          </w:p>
        </w:tc>
        <w:tc>
          <w:tcPr>
            <w:tcW w:w="2192" w:type="pct"/>
            <w:shd w:val="clear" w:color="auto" w:fill="auto"/>
            <w:tcMar>
              <w:top w:w="57" w:type="dxa"/>
              <w:bottom w:w="57" w:type="dxa"/>
            </w:tcMar>
          </w:tcPr>
          <w:p w14:paraId="43ADB601" w14:textId="77777777" w:rsidR="00CD178B" w:rsidRPr="00997FAC" w:rsidRDefault="00CD178B" w:rsidP="00C41279">
            <w:pPr>
              <w:pStyle w:val="Standaard-Tabellen"/>
              <w:rPr>
                <w:rFonts w:eastAsia="Calibri"/>
              </w:rPr>
            </w:pPr>
            <w:r w:rsidRPr="00EE0C25">
              <w:rPr>
                <w:rFonts w:eastAsia="Calibri"/>
              </w:rPr>
              <w:t>Factor of protection for Uncoated cotton coverall</w:t>
            </w:r>
            <w:r w:rsidRPr="00033C7C">
              <w:rPr>
                <w:rFonts w:eastAsia="Calibri"/>
                <w:vertAlign w:val="superscript"/>
              </w:rPr>
              <w:t>3</w:t>
            </w:r>
          </w:p>
        </w:tc>
        <w:tc>
          <w:tcPr>
            <w:tcW w:w="2386" w:type="pct"/>
            <w:shd w:val="clear" w:color="auto" w:fill="auto"/>
            <w:tcMar>
              <w:top w:w="57" w:type="dxa"/>
              <w:bottom w:w="57" w:type="dxa"/>
            </w:tcMar>
          </w:tcPr>
          <w:p w14:paraId="7A2C26BE" w14:textId="77777777" w:rsidR="00CD178B" w:rsidRDefault="00CD178B" w:rsidP="00C41279">
            <w:pPr>
              <w:pStyle w:val="Standaard-Tabellen"/>
              <w:rPr>
                <w:rFonts w:eastAsia="Calibri"/>
              </w:rPr>
            </w:pPr>
            <w:r w:rsidRPr="00EE0C25">
              <w:rPr>
                <w:rFonts w:eastAsia="Calibri"/>
              </w:rPr>
              <w:t>75%</w:t>
            </w:r>
          </w:p>
        </w:tc>
      </w:tr>
      <w:tr w:rsidR="00CD178B" w:rsidRPr="00FD2055" w14:paraId="50B0EE23" w14:textId="77777777" w:rsidTr="00CD178B">
        <w:trPr>
          <w:tblHeader/>
        </w:trPr>
        <w:tc>
          <w:tcPr>
            <w:tcW w:w="422" w:type="pct"/>
            <w:tcMar>
              <w:top w:w="57" w:type="dxa"/>
              <w:bottom w:w="57" w:type="dxa"/>
            </w:tcMar>
          </w:tcPr>
          <w:p w14:paraId="7EA39B86" w14:textId="77777777" w:rsidR="00CD178B" w:rsidRPr="00FD2055" w:rsidRDefault="00CD178B" w:rsidP="00C41279">
            <w:pPr>
              <w:pStyle w:val="Standaard-Tabellen"/>
              <w:rPr>
                <w:rFonts w:eastAsia="Calibri"/>
              </w:rPr>
            </w:pPr>
            <w:r>
              <w:rPr>
                <w:rFonts w:eastAsia="Calibri"/>
              </w:rPr>
              <w:t>Tier 3</w:t>
            </w:r>
          </w:p>
        </w:tc>
        <w:tc>
          <w:tcPr>
            <w:tcW w:w="2192" w:type="pct"/>
            <w:shd w:val="clear" w:color="auto" w:fill="auto"/>
            <w:tcMar>
              <w:top w:w="57" w:type="dxa"/>
              <w:bottom w:w="57" w:type="dxa"/>
            </w:tcMar>
          </w:tcPr>
          <w:p w14:paraId="659252DF" w14:textId="77777777" w:rsidR="00CD178B" w:rsidRPr="00997FAC" w:rsidRDefault="00CD178B" w:rsidP="00C41279">
            <w:pPr>
              <w:pStyle w:val="Standaard-Tabellen"/>
              <w:rPr>
                <w:rFonts w:eastAsia="Calibri"/>
              </w:rPr>
            </w:pPr>
            <w:r w:rsidRPr="00997FAC">
              <w:rPr>
                <w:rFonts w:eastAsia="Calibri"/>
              </w:rPr>
              <w:t xml:space="preserve">Factor of protection for </w:t>
            </w:r>
            <w:r>
              <w:rPr>
                <w:rFonts w:eastAsia="Calibri"/>
              </w:rPr>
              <w:t>gloves</w:t>
            </w:r>
            <w:r w:rsidRPr="00033C7C">
              <w:rPr>
                <w:rFonts w:eastAsia="Calibri"/>
                <w:vertAlign w:val="superscript"/>
              </w:rPr>
              <w:t>3</w:t>
            </w:r>
          </w:p>
        </w:tc>
        <w:tc>
          <w:tcPr>
            <w:tcW w:w="2386" w:type="pct"/>
            <w:shd w:val="clear" w:color="auto" w:fill="auto"/>
            <w:tcMar>
              <w:top w:w="57" w:type="dxa"/>
              <w:bottom w:w="57" w:type="dxa"/>
            </w:tcMar>
          </w:tcPr>
          <w:p w14:paraId="39822422" w14:textId="77777777" w:rsidR="00CD178B" w:rsidRDefault="00CD178B" w:rsidP="00C41279">
            <w:pPr>
              <w:pStyle w:val="Standaard-Tabellen"/>
              <w:rPr>
                <w:rFonts w:eastAsia="Calibri"/>
              </w:rPr>
            </w:pPr>
            <w:r>
              <w:rPr>
                <w:rFonts w:eastAsia="Calibri"/>
              </w:rPr>
              <w:t>90%</w:t>
            </w:r>
          </w:p>
        </w:tc>
      </w:tr>
    </w:tbl>
    <w:p w14:paraId="2EACA0FD" w14:textId="77777777" w:rsidR="00CD178B" w:rsidRDefault="00CD178B" w:rsidP="00CD178B">
      <w:pPr>
        <w:pStyle w:val="Voetnoot"/>
        <w:rPr>
          <w:rFonts w:eastAsia="Calibri"/>
          <w:lang w:eastAsia="en-US"/>
        </w:rPr>
      </w:pPr>
      <w:r w:rsidRPr="000D592B">
        <w:rPr>
          <w:rFonts w:eastAsia="Calibri"/>
          <w:vertAlign w:val="superscript"/>
          <w:lang w:eastAsia="en-US"/>
        </w:rPr>
        <w:t>1</w:t>
      </w:r>
      <w:r>
        <w:rPr>
          <w:rFonts w:eastAsia="Calibri"/>
          <w:vertAlign w:val="superscript"/>
          <w:lang w:eastAsia="en-US"/>
        </w:rPr>
        <w:t xml:space="preserve"> </w:t>
      </w:r>
      <w:r>
        <w:rPr>
          <w:rFonts w:eastAsia="Calibri"/>
          <w:lang w:eastAsia="en-US"/>
        </w:rPr>
        <w:t xml:space="preserve">CAR (doc IIA) </w:t>
      </w:r>
    </w:p>
    <w:p w14:paraId="2FA8CF72" w14:textId="77777777" w:rsidR="00CD178B" w:rsidRDefault="00CD178B" w:rsidP="00CD178B">
      <w:pPr>
        <w:pStyle w:val="Voetnoot"/>
        <w:rPr>
          <w:rFonts w:eastAsia="Calibri"/>
          <w:lang w:eastAsia="en-US"/>
        </w:rPr>
      </w:pPr>
      <w:r w:rsidRPr="00033C7C">
        <w:rPr>
          <w:rFonts w:eastAsia="Calibri"/>
          <w:lang w:eastAsia="en-US"/>
        </w:rPr>
        <w:t>General information, see justification above</w:t>
      </w:r>
    </w:p>
    <w:p w14:paraId="7A2B1177" w14:textId="77777777" w:rsidR="00CD178B" w:rsidRPr="000D592B" w:rsidRDefault="00CD178B" w:rsidP="00CD178B">
      <w:pPr>
        <w:pStyle w:val="Voetnoot"/>
        <w:rPr>
          <w:rFonts w:eastAsia="Calibri"/>
          <w:lang w:eastAsia="en-US"/>
        </w:rPr>
      </w:pPr>
      <w:r w:rsidRPr="00033C7C">
        <w:rPr>
          <w:rFonts w:eastAsia="Calibri"/>
          <w:vertAlign w:val="superscript"/>
          <w:lang w:eastAsia="en-US"/>
        </w:rPr>
        <w:t>2</w:t>
      </w:r>
      <w:r>
        <w:rPr>
          <w:rFonts w:eastAsia="Calibri"/>
          <w:lang w:eastAsia="en-US"/>
        </w:rPr>
        <w:t xml:space="preserve"> RISKOFDERM Dermal model: </w:t>
      </w:r>
      <w:r w:rsidRPr="00EE0C25">
        <w:rPr>
          <w:rFonts w:eastAsia="Calibri"/>
          <w:lang w:eastAsia="en-US"/>
        </w:rPr>
        <w:t xml:space="preserve">loading liquid, automated or semi-automated </w:t>
      </w:r>
      <w:r>
        <w:rPr>
          <w:rFonts w:eastAsia="Calibri"/>
          <w:lang w:eastAsia="en-US"/>
        </w:rPr>
        <w:t>(</w:t>
      </w:r>
      <w:r w:rsidRPr="00EE0C25">
        <w:rPr>
          <w:rFonts w:eastAsia="Calibri"/>
          <w:lang w:eastAsia="en-US"/>
        </w:rPr>
        <w:t>HEEG opinion 1</w:t>
      </w:r>
      <w:r>
        <w:rPr>
          <w:rFonts w:eastAsia="Calibri"/>
          <w:lang w:eastAsia="en-US"/>
        </w:rPr>
        <w:t xml:space="preserve">, </w:t>
      </w:r>
      <w:r w:rsidRPr="00EE0C25">
        <w:rPr>
          <w:rFonts w:eastAsia="Calibri"/>
          <w:lang w:eastAsia="en-US"/>
        </w:rPr>
        <w:t>2008</w:t>
      </w:r>
      <w:r>
        <w:rPr>
          <w:rFonts w:eastAsia="Calibri"/>
          <w:lang w:eastAsia="en-US"/>
        </w:rPr>
        <w:t>)</w:t>
      </w:r>
    </w:p>
    <w:p w14:paraId="614A0641" w14:textId="78BC876A" w:rsidR="00CD178B" w:rsidRDefault="00CD178B" w:rsidP="00CD178B">
      <w:pPr>
        <w:pStyle w:val="Voetnoot"/>
        <w:rPr>
          <w:rFonts w:eastAsia="Calibri"/>
          <w:lang w:eastAsia="en-US"/>
        </w:rPr>
      </w:pPr>
      <w:r>
        <w:rPr>
          <w:rFonts w:eastAsia="Calibri"/>
          <w:vertAlign w:val="superscript"/>
          <w:lang w:eastAsia="en-US"/>
        </w:rPr>
        <w:t>3</w:t>
      </w:r>
      <w:r w:rsidRPr="000D592B">
        <w:rPr>
          <w:rFonts w:eastAsia="Calibri"/>
          <w:lang w:eastAsia="en-US"/>
        </w:rPr>
        <w:t xml:space="preserve"> </w:t>
      </w:r>
      <w:r>
        <w:rPr>
          <w:rFonts w:eastAsia="Calibri"/>
          <w:lang w:eastAsia="en-US"/>
        </w:rPr>
        <w:t>Biocide Human Health Exposure Methodology (</w:t>
      </w:r>
      <w:r w:rsidR="00C53DE4">
        <w:rPr>
          <w:rFonts w:eastAsia="Calibri"/>
          <w:lang w:eastAsia="en-US"/>
        </w:rPr>
        <w:t>Oct</w:t>
      </w:r>
      <w:r>
        <w:rPr>
          <w:rFonts w:eastAsia="Calibri"/>
          <w:lang w:eastAsia="en-US"/>
        </w:rPr>
        <w:t xml:space="preserve"> 2015)</w:t>
      </w:r>
    </w:p>
    <w:p w14:paraId="6FDEC78C" w14:textId="77777777" w:rsidR="00CD178B" w:rsidRPr="00FD2055" w:rsidRDefault="00CD178B" w:rsidP="00CD178B">
      <w:pPr>
        <w:rPr>
          <w:rFonts w:eastAsia="Calibri"/>
          <w:lang w:eastAsia="en-US"/>
        </w:rPr>
      </w:pPr>
    </w:p>
    <w:p w14:paraId="509A4131" w14:textId="77777777" w:rsidR="00CD178B" w:rsidRPr="008A3D8E" w:rsidRDefault="00CD178B" w:rsidP="00CD178B">
      <w:pPr>
        <w:pStyle w:val="Titre7"/>
        <w:rPr>
          <w:lang w:val="en-US"/>
        </w:rPr>
      </w:pPr>
      <w:r>
        <w:rPr>
          <w:lang w:val="en-US"/>
        </w:rPr>
        <w:t>Calculations for Scenario 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54"/>
        <w:gridCol w:w="2520"/>
        <w:gridCol w:w="1156"/>
        <w:gridCol w:w="1457"/>
        <w:gridCol w:w="1152"/>
        <w:gridCol w:w="1457"/>
      </w:tblGrid>
      <w:tr w:rsidR="00CD178B" w:rsidRPr="001D31A4" w14:paraId="1AC43C4A" w14:textId="77777777" w:rsidTr="00CD178B">
        <w:trPr>
          <w:cantSplit/>
          <w:tblHeader/>
        </w:trPr>
        <w:tc>
          <w:tcPr>
            <w:tcW w:w="0" w:type="auto"/>
            <w:gridSpan w:val="6"/>
            <w:shd w:val="clear" w:color="auto" w:fill="FFFFCC"/>
          </w:tcPr>
          <w:p w14:paraId="48C3CE0A" w14:textId="77777777" w:rsidR="00CD178B" w:rsidRPr="001D31A4" w:rsidRDefault="00CD178B" w:rsidP="00C41279">
            <w:pPr>
              <w:pStyle w:val="Standaard-Tabellen"/>
              <w:jc w:val="center"/>
              <w:rPr>
                <w:rFonts w:eastAsia="Calibri"/>
                <w:b/>
              </w:rPr>
            </w:pPr>
            <w:r w:rsidRPr="001D31A4">
              <w:rPr>
                <w:rFonts w:eastAsia="Calibri"/>
                <w:b/>
              </w:rPr>
              <w:t>Summary table: systemic exposure associated with production, formulation, and disposal</w:t>
            </w:r>
          </w:p>
        </w:tc>
      </w:tr>
      <w:tr w:rsidR="00CD178B" w:rsidRPr="001D31A4" w14:paraId="02CDB9AB" w14:textId="77777777" w:rsidTr="00CD178B">
        <w:trPr>
          <w:cantSplit/>
          <w:tblHeader/>
        </w:trPr>
        <w:tc>
          <w:tcPr>
            <w:tcW w:w="0" w:type="auto"/>
            <w:shd w:val="clear" w:color="auto" w:fill="BFBFBF" w:themeFill="background1" w:themeFillShade="BF"/>
          </w:tcPr>
          <w:p w14:paraId="75499083" w14:textId="77777777" w:rsidR="00CD178B" w:rsidRPr="001D31A4" w:rsidRDefault="00CD178B" w:rsidP="00C41279">
            <w:pPr>
              <w:pStyle w:val="Standaard-Tabellen"/>
              <w:rPr>
                <w:rFonts w:eastAsia="Calibri"/>
                <w:b/>
              </w:rPr>
            </w:pPr>
            <w:r w:rsidRPr="001D31A4">
              <w:rPr>
                <w:rFonts w:eastAsia="Calibri"/>
                <w:b/>
              </w:rPr>
              <w:t>Exposure scenario</w:t>
            </w:r>
          </w:p>
        </w:tc>
        <w:tc>
          <w:tcPr>
            <w:tcW w:w="0" w:type="auto"/>
            <w:shd w:val="clear" w:color="auto" w:fill="BFBFBF" w:themeFill="background1" w:themeFillShade="BF"/>
          </w:tcPr>
          <w:p w14:paraId="2239E32F" w14:textId="77777777" w:rsidR="00CD178B" w:rsidRDefault="00CD178B" w:rsidP="00C41279">
            <w:pPr>
              <w:pStyle w:val="Standaard-Tabellen"/>
              <w:rPr>
                <w:rFonts w:eastAsia="Calibri"/>
                <w:b/>
              </w:rPr>
            </w:pPr>
            <w:r w:rsidRPr="001D31A4">
              <w:rPr>
                <w:rFonts w:eastAsia="Calibri"/>
                <w:b/>
              </w:rPr>
              <w:t>Tier/</w:t>
            </w:r>
          </w:p>
          <w:p w14:paraId="21CD43A3" w14:textId="77777777" w:rsidR="00CD178B" w:rsidRPr="001D31A4" w:rsidRDefault="00CD178B" w:rsidP="00C41279">
            <w:pPr>
              <w:pStyle w:val="Standaard-Tabellen"/>
              <w:rPr>
                <w:rFonts w:eastAsia="Calibri"/>
                <w:b/>
              </w:rPr>
            </w:pPr>
            <w:r w:rsidRPr="001D31A4">
              <w:rPr>
                <w:rFonts w:eastAsia="Calibri"/>
                <w:b/>
              </w:rPr>
              <w:t>PPE</w:t>
            </w:r>
          </w:p>
        </w:tc>
        <w:tc>
          <w:tcPr>
            <w:tcW w:w="0" w:type="auto"/>
            <w:shd w:val="clear" w:color="auto" w:fill="BFBFBF" w:themeFill="background1" w:themeFillShade="BF"/>
            <w:tcMar>
              <w:top w:w="57" w:type="dxa"/>
              <w:bottom w:w="57" w:type="dxa"/>
            </w:tcMar>
          </w:tcPr>
          <w:p w14:paraId="5AA89B94" w14:textId="77777777" w:rsidR="00CD178B" w:rsidRDefault="00CD178B" w:rsidP="00C41279">
            <w:pPr>
              <w:pStyle w:val="Standaard-Tabellen"/>
              <w:rPr>
                <w:rFonts w:eastAsia="Calibri"/>
                <w:b/>
              </w:rPr>
            </w:pPr>
            <w:r>
              <w:rPr>
                <w:rFonts w:eastAsia="Calibri"/>
                <w:b/>
              </w:rPr>
              <w:t>Estimated</w:t>
            </w:r>
          </w:p>
          <w:p w14:paraId="11657507" w14:textId="77777777" w:rsidR="00CD178B" w:rsidRDefault="00CD178B" w:rsidP="00C41279">
            <w:pPr>
              <w:pStyle w:val="Standaard-Tabellen"/>
              <w:rPr>
                <w:rFonts w:eastAsia="Calibri"/>
                <w:b/>
              </w:rPr>
            </w:pPr>
            <w:r>
              <w:rPr>
                <w:rFonts w:eastAsia="Calibri"/>
                <w:b/>
              </w:rPr>
              <w:t>inhalation</w:t>
            </w:r>
          </w:p>
          <w:p w14:paraId="7C475579" w14:textId="77777777" w:rsidR="00CD178B" w:rsidRPr="001D31A4" w:rsidRDefault="00CD178B" w:rsidP="00C41279">
            <w:pPr>
              <w:pStyle w:val="Standaard-Tabellen"/>
              <w:rPr>
                <w:rFonts w:eastAsia="Calibri"/>
                <w:b/>
              </w:rPr>
            </w:pPr>
            <w:r w:rsidRPr="001D31A4">
              <w:rPr>
                <w:rFonts w:eastAsia="Calibri"/>
                <w:b/>
              </w:rPr>
              <w:t>uptake</w:t>
            </w:r>
          </w:p>
        </w:tc>
        <w:tc>
          <w:tcPr>
            <w:tcW w:w="0" w:type="auto"/>
            <w:shd w:val="clear" w:color="auto" w:fill="BFBFBF" w:themeFill="background1" w:themeFillShade="BF"/>
            <w:tcMar>
              <w:top w:w="57" w:type="dxa"/>
              <w:bottom w:w="57" w:type="dxa"/>
            </w:tcMar>
          </w:tcPr>
          <w:p w14:paraId="57A6EB2E" w14:textId="77777777" w:rsidR="00CD178B" w:rsidRDefault="00CD178B" w:rsidP="00C41279">
            <w:pPr>
              <w:pStyle w:val="Standaard-Tabellen"/>
              <w:rPr>
                <w:rFonts w:eastAsia="Calibri"/>
                <w:b/>
              </w:rPr>
            </w:pPr>
            <w:r>
              <w:rPr>
                <w:rFonts w:eastAsia="Calibri"/>
                <w:b/>
              </w:rPr>
              <w:t>Estimated</w:t>
            </w:r>
          </w:p>
          <w:p w14:paraId="39993707" w14:textId="77777777" w:rsidR="00CD178B" w:rsidRDefault="00CD178B" w:rsidP="00C41279">
            <w:pPr>
              <w:pStyle w:val="Standaard-Tabellen"/>
              <w:rPr>
                <w:rFonts w:eastAsia="Calibri"/>
                <w:b/>
              </w:rPr>
            </w:pPr>
            <w:r>
              <w:rPr>
                <w:rFonts w:eastAsia="Calibri"/>
                <w:b/>
              </w:rPr>
              <w:t>dermal</w:t>
            </w:r>
          </w:p>
          <w:p w14:paraId="45E0CFEC" w14:textId="77777777" w:rsidR="00CD178B" w:rsidRDefault="00CD178B" w:rsidP="00C41279">
            <w:pPr>
              <w:pStyle w:val="Standaard-Tabellen"/>
              <w:rPr>
                <w:rFonts w:eastAsia="Calibri"/>
                <w:b/>
              </w:rPr>
            </w:pPr>
            <w:r w:rsidRPr="001D31A4">
              <w:rPr>
                <w:rFonts w:eastAsia="Calibri"/>
                <w:b/>
              </w:rPr>
              <w:t>uptake</w:t>
            </w:r>
          </w:p>
          <w:p w14:paraId="5C957C68" w14:textId="77777777" w:rsidR="00CD178B" w:rsidRPr="001D31A4" w:rsidRDefault="00CD178B" w:rsidP="00C41279">
            <w:pPr>
              <w:pStyle w:val="Standaard-Tabellen"/>
              <w:rPr>
                <w:rFonts w:eastAsia="Calibri"/>
                <w:b/>
              </w:rPr>
            </w:pPr>
            <w:r>
              <w:rPr>
                <w:rFonts w:eastAsia="Calibri"/>
                <w:b/>
              </w:rPr>
              <w:t>[mg/kg bw/d]</w:t>
            </w:r>
          </w:p>
        </w:tc>
        <w:tc>
          <w:tcPr>
            <w:tcW w:w="0" w:type="auto"/>
            <w:shd w:val="clear" w:color="auto" w:fill="BFBFBF" w:themeFill="background1" w:themeFillShade="BF"/>
            <w:tcMar>
              <w:top w:w="57" w:type="dxa"/>
              <w:bottom w:w="57" w:type="dxa"/>
            </w:tcMar>
          </w:tcPr>
          <w:p w14:paraId="6DD27C4B" w14:textId="77777777" w:rsidR="00CD178B" w:rsidRDefault="00CD178B" w:rsidP="00C41279">
            <w:pPr>
              <w:pStyle w:val="Standaard-Tabellen"/>
              <w:rPr>
                <w:rFonts w:eastAsia="Calibri"/>
                <w:b/>
              </w:rPr>
            </w:pPr>
            <w:r>
              <w:rPr>
                <w:rFonts w:eastAsia="Calibri"/>
                <w:b/>
              </w:rPr>
              <w:t>Estimated</w:t>
            </w:r>
          </w:p>
          <w:p w14:paraId="3EF73345" w14:textId="77777777" w:rsidR="00CD178B" w:rsidRDefault="00CD178B" w:rsidP="00C41279">
            <w:pPr>
              <w:pStyle w:val="Standaard-Tabellen"/>
              <w:rPr>
                <w:rFonts w:eastAsia="Calibri"/>
                <w:b/>
              </w:rPr>
            </w:pPr>
            <w:r>
              <w:rPr>
                <w:rFonts w:eastAsia="Calibri"/>
                <w:b/>
              </w:rPr>
              <w:t>oral</w:t>
            </w:r>
          </w:p>
          <w:p w14:paraId="2C76B8CE" w14:textId="77777777" w:rsidR="00CD178B" w:rsidRPr="001D31A4" w:rsidRDefault="00CD178B" w:rsidP="00C41279">
            <w:pPr>
              <w:pStyle w:val="Standaard-Tabellen"/>
              <w:rPr>
                <w:rFonts w:eastAsia="Calibri"/>
                <w:b/>
              </w:rPr>
            </w:pPr>
            <w:r w:rsidRPr="001D31A4">
              <w:rPr>
                <w:rFonts w:eastAsia="Calibri"/>
                <w:b/>
              </w:rPr>
              <w:t>uptake</w:t>
            </w:r>
          </w:p>
        </w:tc>
        <w:tc>
          <w:tcPr>
            <w:tcW w:w="0" w:type="auto"/>
            <w:shd w:val="clear" w:color="auto" w:fill="BFBFBF" w:themeFill="background1" w:themeFillShade="BF"/>
          </w:tcPr>
          <w:p w14:paraId="619C8F66" w14:textId="77777777" w:rsidR="00CD178B" w:rsidRDefault="00CD178B" w:rsidP="00C41279">
            <w:pPr>
              <w:pStyle w:val="Standaard-Tabellen"/>
              <w:rPr>
                <w:rFonts w:eastAsia="Calibri"/>
                <w:b/>
              </w:rPr>
            </w:pPr>
            <w:r>
              <w:rPr>
                <w:rFonts w:eastAsia="Calibri"/>
                <w:b/>
              </w:rPr>
              <w:t>Estimated</w:t>
            </w:r>
          </w:p>
          <w:p w14:paraId="4E3630B8" w14:textId="77777777" w:rsidR="00CD178B" w:rsidRDefault="00CD178B" w:rsidP="00C41279">
            <w:pPr>
              <w:pStyle w:val="Standaard-Tabellen"/>
              <w:rPr>
                <w:rFonts w:eastAsia="Calibri"/>
                <w:b/>
              </w:rPr>
            </w:pPr>
            <w:r>
              <w:rPr>
                <w:rFonts w:eastAsia="Calibri"/>
                <w:b/>
              </w:rPr>
              <w:t>total</w:t>
            </w:r>
          </w:p>
          <w:p w14:paraId="0FF7D591" w14:textId="77777777" w:rsidR="00CD178B" w:rsidRDefault="00CD178B" w:rsidP="00C41279">
            <w:pPr>
              <w:pStyle w:val="Standaard-Tabellen"/>
              <w:rPr>
                <w:rFonts w:eastAsia="Calibri"/>
                <w:b/>
              </w:rPr>
            </w:pPr>
            <w:r w:rsidRPr="001D31A4">
              <w:rPr>
                <w:rFonts w:eastAsia="Calibri"/>
                <w:b/>
              </w:rPr>
              <w:t>uptake</w:t>
            </w:r>
          </w:p>
          <w:p w14:paraId="31C8E389" w14:textId="77777777" w:rsidR="00CD178B" w:rsidRPr="001D31A4" w:rsidRDefault="00CD178B" w:rsidP="00C41279">
            <w:pPr>
              <w:pStyle w:val="Standaard-Tabellen"/>
              <w:rPr>
                <w:rFonts w:eastAsia="Calibri"/>
                <w:b/>
              </w:rPr>
            </w:pPr>
            <w:r>
              <w:rPr>
                <w:rFonts w:eastAsia="Calibri"/>
                <w:b/>
              </w:rPr>
              <w:t>[mg/kg bw/d]</w:t>
            </w:r>
          </w:p>
        </w:tc>
      </w:tr>
      <w:tr w:rsidR="00CD178B" w:rsidRPr="00FD2055" w14:paraId="17432076" w14:textId="77777777" w:rsidTr="00CD178B">
        <w:trPr>
          <w:cantSplit/>
          <w:tblHeader/>
        </w:trPr>
        <w:tc>
          <w:tcPr>
            <w:tcW w:w="0" w:type="auto"/>
            <w:shd w:val="clear" w:color="auto" w:fill="auto"/>
          </w:tcPr>
          <w:p w14:paraId="29587FC2" w14:textId="77777777" w:rsidR="00CD178B" w:rsidRPr="00FD2055" w:rsidRDefault="00CD178B" w:rsidP="00C41279">
            <w:pPr>
              <w:pStyle w:val="Standaard-Tabellen"/>
              <w:rPr>
                <w:rFonts w:eastAsia="Calibri"/>
              </w:rPr>
            </w:pPr>
            <w:r w:rsidRPr="00FD2055">
              <w:rPr>
                <w:rFonts w:eastAsia="Calibri"/>
              </w:rPr>
              <w:t xml:space="preserve">Scenario </w:t>
            </w:r>
            <w:r>
              <w:rPr>
                <w:rFonts w:eastAsia="Calibri"/>
              </w:rPr>
              <w:t>6</w:t>
            </w:r>
          </w:p>
        </w:tc>
        <w:tc>
          <w:tcPr>
            <w:tcW w:w="0" w:type="auto"/>
          </w:tcPr>
          <w:p w14:paraId="4329F684" w14:textId="77777777" w:rsidR="00CD178B" w:rsidRDefault="00CD178B" w:rsidP="00C41279">
            <w:pPr>
              <w:pStyle w:val="Standaard-Tabellen"/>
            </w:pPr>
            <w:r>
              <w:rPr>
                <w:rFonts w:eastAsia="Calibri"/>
              </w:rPr>
              <w:t>Tier 1/</w:t>
            </w:r>
            <w:r>
              <w:t xml:space="preserve"> </w:t>
            </w:r>
          </w:p>
          <w:p w14:paraId="3BE309E8" w14:textId="77777777" w:rsidR="00CD178B" w:rsidRPr="00FD2055" w:rsidRDefault="00CD178B" w:rsidP="00C41279">
            <w:pPr>
              <w:pStyle w:val="Standaard-Tabellen"/>
              <w:rPr>
                <w:rFonts w:eastAsia="Calibri"/>
              </w:rPr>
            </w:pPr>
            <w:r>
              <w:rPr>
                <w:rFonts w:eastAsia="Calibri"/>
              </w:rPr>
              <w:t>no PPE</w:t>
            </w:r>
          </w:p>
        </w:tc>
        <w:tc>
          <w:tcPr>
            <w:tcW w:w="0" w:type="auto"/>
            <w:shd w:val="clear" w:color="auto" w:fill="auto"/>
            <w:tcMar>
              <w:top w:w="57" w:type="dxa"/>
              <w:bottom w:w="57" w:type="dxa"/>
            </w:tcMar>
          </w:tcPr>
          <w:p w14:paraId="0FFFEEF6" w14:textId="77777777" w:rsidR="00CD178B" w:rsidRPr="00FD2055" w:rsidRDefault="00CD178B" w:rsidP="00C41279">
            <w:pPr>
              <w:pStyle w:val="Standaard-Tabellen"/>
              <w:rPr>
                <w:rFonts w:eastAsia="Calibri"/>
              </w:rPr>
            </w:pPr>
            <w:r>
              <w:rPr>
                <w:rFonts w:eastAsia="Calibri"/>
              </w:rPr>
              <w:t xml:space="preserve">n.r. </w:t>
            </w:r>
          </w:p>
        </w:tc>
        <w:tc>
          <w:tcPr>
            <w:tcW w:w="0" w:type="auto"/>
            <w:shd w:val="clear" w:color="auto" w:fill="auto"/>
            <w:tcMar>
              <w:top w:w="57" w:type="dxa"/>
              <w:bottom w:w="57" w:type="dxa"/>
            </w:tcMar>
          </w:tcPr>
          <w:p w14:paraId="687F197F" w14:textId="77777777" w:rsidR="00CD178B" w:rsidRPr="00FD2055" w:rsidRDefault="00CD178B" w:rsidP="00CD178B">
            <w:pPr>
              <w:pStyle w:val="Standaard-Tabellen"/>
              <w:rPr>
                <w:rFonts w:eastAsia="Calibri"/>
              </w:rPr>
            </w:pPr>
            <w:r>
              <w:rPr>
                <w:rFonts w:eastAsia="Calibri"/>
              </w:rPr>
              <w:t>8.5</w:t>
            </w:r>
          </w:p>
        </w:tc>
        <w:tc>
          <w:tcPr>
            <w:tcW w:w="0" w:type="auto"/>
            <w:shd w:val="clear" w:color="auto" w:fill="auto"/>
            <w:tcMar>
              <w:top w:w="57" w:type="dxa"/>
              <w:bottom w:w="57" w:type="dxa"/>
            </w:tcMar>
          </w:tcPr>
          <w:p w14:paraId="6F021DF0" w14:textId="77777777" w:rsidR="00CD178B" w:rsidRPr="00FD2055" w:rsidRDefault="00CD178B" w:rsidP="00C41279">
            <w:pPr>
              <w:pStyle w:val="Standaard-Tabellen"/>
              <w:rPr>
                <w:rFonts w:eastAsia="Calibri"/>
              </w:rPr>
            </w:pPr>
            <w:r>
              <w:rPr>
                <w:rFonts w:eastAsia="Calibri"/>
              </w:rPr>
              <w:t>n.r.</w:t>
            </w:r>
          </w:p>
        </w:tc>
        <w:tc>
          <w:tcPr>
            <w:tcW w:w="0" w:type="auto"/>
            <w:shd w:val="clear" w:color="auto" w:fill="auto"/>
          </w:tcPr>
          <w:p w14:paraId="3F43633E" w14:textId="77777777" w:rsidR="00CD178B" w:rsidRPr="00FD2055" w:rsidRDefault="00CD178B" w:rsidP="00CD178B">
            <w:pPr>
              <w:pStyle w:val="Standaard-Tabellen"/>
              <w:rPr>
                <w:rFonts w:eastAsia="Calibri"/>
              </w:rPr>
            </w:pPr>
            <w:r>
              <w:rPr>
                <w:rFonts w:eastAsia="Calibri"/>
              </w:rPr>
              <w:t>8.5</w:t>
            </w:r>
          </w:p>
        </w:tc>
      </w:tr>
      <w:tr w:rsidR="00CD178B" w:rsidRPr="00FD2055" w14:paraId="2BC878AD" w14:textId="77777777" w:rsidTr="00CD178B">
        <w:trPr>
          <w:cantSplit/>
          <w:tblHeader/>
        </w:trPr>
        <w:tc>
          <w:tcPr>
            <w:tcW w:w="0" w:type="auto"/>
            <w:shd w:val="clear" w:color="auto" w:fill="auto"/>
          </w:tcPr>
          <w:p w14:paraId="054107AB" w14:textId="77777777" w:rsidR="00CD178B" w:rsidRPr="00FD2055" w:rsidRDefault="00CD178B" w:rsidP="00C41279">
            <w:pPr>
              <w:pStyle w:val="Standaard-Tabellen"/>
              <w:rPr>
                <w:rFonts w:eastAsia="Calibri"/>
              </w:rPr>
            </w:pPr>
            <w:r w:rsidRPr="00D371B6">
              <w:rPr>
                <w:rFonts w:eastAsia="Calibri"/>
              </w:rPr>
              <w:t>Scenario 6</w:t>
            </w:r>
          </w:p>
        </w:tc>
        <w:tc>
          <w:tcPr>
            <w:tcW w:w="0" w:type="auto"/>
          </w:tcPr>
          <w:p w14:paraId="2ACFD276" w14:textId="77777777" w:rsidR="00CD178B" w:rsidRDefault="00CD178B" w:rsidP="00C41279">
            <w:pPr>
              <w:pStyle w:val="Standaard-Tabellen"/>
              <w:rPr>
                <w:rFonts w:eastAsia="Calibri"/>
              </w:rPr>
            </w:pPr>
            <w:r>
              <w:rPr>
                <w:rFonts w:eastAsia="Calibri"/>
              </w:rPr>
              <w:t xml:space="preserve">Tier 2/ </w:t>
            </w:r>
          </w:p>
          <w:p w14:paraId="01C9BA35" w14:textId="77777777" w:rsidR="00CD178B" w:rsidRDefault="00CD178B" w:rsidP="00C41279">
            <w:pPr>
              <w:pStyle w:val="Standaard-Tabellen"/>
              <w:rPr>
                <w:rFonts w:eastAsia="Calibri"/>
              </w:rPr>
            </w:pPr>
            <w:r w:rsidRPr="00D371B6">
              <w:rPr>
                <w:rFonts w:eastAsia="Calibri"/>
              </w:rPr>
              <w:t>Uncoated cotton coverall</w:t>
            </w:r>
          </w:p>
        </w:tc>
        <w:tc>
          <w:tcPr>
            <w:tcW w:w="0" w:type="auto"/>
            <w:shd w:val="clear" w:color="auto" w:fill="auto"/>
            <w:tcMar>
              <w:top w:w="57" w:type="dxa"/>
              <w:bottom w:w="57" w:type="dxa"/>
            </w:tcMar>
          </w:tcPr>
          <w:p w14:paraId="32F945B7" w14:textId="77777777" w:rsidR="00CD178B" w:rsidRDefault="00CD178B" w:rsidP="00C41279">
            <w:pPr>
              <w:pStyle w:val="Standaard-Tabellen"/>
              <w:rPr>
                <w:rFonts w:eastAsia="Calibri"/>
              </w:rPr>
            </w:pPr>
            <w:r w:rsidRPr="00D371B6">
              <w:rPr>
                <w:rFonts w:eastAsia="Calibri"/>
              </w:rPr>
              <w:t>n.r.</w:t>
            </w:r>
          </w:p>
        </w:tc>
        <w:tc>
          <w:tcPr>
            <w:tcW w:w="0" w:type="auto"/>
            <w:shd w:val="clear" w:color="auto" w:fill="auto"/>
            <w:tcMar>
              <w:top w:w="57" w:type="dxa"/>
              <w:bottom w:w="57" w:type="dxa"/>
            </w:tcMar>
          </w:tcPr>
          <w:p w14:paraId="1FF45BBF" w14:textId="77777777" w:rsidR="00CD178B" w:rsidRDefault="00CD178B" w:rsidP="00CD178B">
            <w:pPr>
              <w:pStyle w:val="Standaard-Tabellen"/>
              <w:rPr>
                <w:rFonts w:eastAsia="Calibri"/>
              </w:rPr>
            </w:pPr>
            <w:r>
              <w:rPr>
                <w:rFonts w:eastAsia="Calibri"/>
              </w:rPr>
              <w:t>2.25</w:t>
            </w:r>
          </w:p>
        </w:tc>
        <w:tc>
          <w:tcPr>
            <w:tcW w:w="0" w:type="auto"/>
            <w:shd w:val="clear" w:color="auto" w:fill="auto"/>
            <w:tcMar>
              <w:top w:w="57" w:type="dxa"/>
              <w:bottom w:w="57" w:type="dxa"/>
            </w:tcMar>
          </w:tcPr>
          <w:p w14:paraId="7C7065D5" w14:textId="77777777" w:rsidR="00CD178B" w:rsidRDefault="00CD178B" w:rsidP="00C41279">
            <w:pPr>
              <w:pStyle w:val="Standaard-Tabellen"/>
              <w:rPr>
                <w:rFonts w:eastAsia="Calibri"/>
              </w:rPr>
            </w:pPr>
            <w:r w:rsidRPr="00D371B6">
              <w:rPr>
                <w:rFonts w:eastAsia="Calibri"/>
              </w:rPr>
              <w:t>n.r.</w:t>
            </w:r>
          </w:p>
        </w:tc>
        <w:tc>
          <w:tcPr>
            <w:tcW w:w="0" w:type="auto"/>
            <w:shd w:val="clear" w:color="auto" w:fill="auto"/>
          </w:tcPr>
          <w:p w14:paraId="7EFF8619" w14:textId="77777777" w:rsidR="00CD178B" w:rsidRDefault="00CD178B" w:rsidP="00CD178B">
            <w:pPr>
              <w:pStyle w:val="Standaard-Tabellen"/>
              <w:rPr>
                <w:rFonts w:eastAsia="Calibri"/>
              </w:rPr>
            </w:pPr>
            <w:r w:rsidRPr="00D371B6">
              <w:rPr>
                <w:rFonts w:eastAsia="Calibri"/>
              </w:rPr>
              <w:t>2</w:t>
            </w:r>
            <w:r>
              <w:rPr>
                <w:rFonts w:eastAsia="Calibri"/>
              </w:rPr>
              <w:t>.25</w:t>
            </w:r>
          </w:p>
        </w:tc>
      </w:tr>
      <w:tr w:rsidR="00CD178B" w:rsidRPr="00FD2055" w14:paraId="2AE63587" w14:textId="77777777" w:rsidTr="00CD178B">
        <w:trPr>
          <w:cantSplit/>
          <w:tblHeader/>
        </w:trPr>
        <w:tc>
          <w:tcPr>
            <w:tcW w:w="0" w:type="auto"/>
            <w:shd w:val="clear" w:color="auto" w:fill="auto"/>
          </w:tcPr>
          <w:p w14:paraId="44CA479C" w14:textId="77777777" w:rsidR="00CD178B" w:rsidRPr="00FD2055" w:rsidRDefault="00CD178B" w:rsidP="00C41279">
            <w:pPr>
              <w:pStyle w:val="Standaard-Tabellen"/>
              <w:rPr>
                <w:rFonts w:eastAsia="Calibri"/>
              </w:rPr>
            </w:pPr>
            <w:r w:rsidRPr="00FD2055">
              <w:rPr>
                <w:rFonts w:eastAsia="Calibri"/>
              </w:rPr>
              <w:t xml:space="preserve">Scenario </w:t>
            </w:r>
            <w:r>
              <w:rPr>
                <w:rFonts w:eastAsia="Calibri"/>
              </w:rPr>
              <w:t>6</w:t>
            </w:r>
          </w:p>
        </w:tc>
        <w:tc>
          <w:tcPr>
            <w:tcW w:w="0" w:type="auto"/>
          </w:tcPr>
          <w:p w14:paraId="1F29FF72" w14:textId="77777777" w:rsidR="00CD178B" w:rsidRDefault="00CD178B" w:rsidP="00C41279">
            <w:pPr>
              <w:pStyle w:val="Standaard-Tabellen"/>
            </w:pPr>
            <w:r>
              <w:rPr>
                <w:rFonts w:eastAsia="Calibri"/>
              </w:rPr>
              <w:t>Tier 3/</w:t>
            </w:r>
            <w:r>
              <w:t xml:space="preserve"> </w:t>
            </w:r>
          </w:p>
          <w:p w14:paraId="29396EBD" w14:textId="77777777" w:rsidR="00CD178B" w:rsidRDefault="00CD178B" w:rsidP="00C41279">
            <w:pPr>
              <w:pStyle w:val="Standaard-Tabellen"/>
              <w:rPr>
                <w:rFonts w:eastAsia="Calibri"/>
              </w:rPr>
            </w:pPr>
            <w:r>
              <w:rPr>
                <w:rFonts w:eastAsia="Calibri"/>
              </w:rPr>
              <w:t>Uncoated cotton coverall and gloves</w:t>
            </w:r>
          </w:p>
        </w:tc>
        <w:tc>
          <w:tcPr>
            <w:tcW w:w="0" w:type="auto"/>
            <w:shd w:val="clear" w:color="auto" w:fill="auto"/>
            <w:tcMar>
              <w:top w:w="57" w:type="dxa"/>
              <w:bottom w:w="57" w:type="dxa"/>
            </w:tcMar>
          </w:tcPr>
          <w:p w14:paraId="1B5A1697" w14:textId="77777777" w:rsidR="00CD178B" w:rsidRDefault="00CD178B" w:rsidP="00C41279">
            <w:pPr>
              <w:pStyle w:val="Standaard-Tabellen"/>
              <w:rPr>
                <w:rFonts w:eastAsia="Calibri"/>
              </w:rPr>
            </w:pPr>
            <w:r>
              <w:rPr>
                <w:rFonts w:eastAsia="Calibri"/>
              </w:rPr>
              <w:t xml:space="preserve">n.r. </w:t>
            </w:r>
          </w:p>
        </w:tc>
        <w:tc>
          <w:tcPr>
            <w:tcW w:w="0" w:type="auto"/>
            <w:shd w:val="clear" w:color="auto" w:fill="auto"/>
            <w:tcMar>
              <w:top w:w="57" w:type="dxa"/>
              <w:bottom w:w="57" w:type="dxa"/>
            </w:tcMar>
          </w:tcPr>
          <w:p w14:paraId="6A214EBB" w14:textId="77777777" w:rsidR="00CD178B" w:rsidRDefault="00CD178B" w:rsidP="00CD178B">
            <w:pPr>
              <w:pStyle w:val="Standaard-Tabellen"/>
              <w:rPr>
                <w:rFonts w:eastAsia="Calibri"/>
              </w:rPr>
            </w:pPr>
            <w:r>
              <w:rPr>
                <w:rFonts w:eastAsia="Calibri"/>
              </w:rPr>
              <w:t>2.1</w:t>
            </w:r>
          </w:p>
        </w:tc>
        <w:tc>
          <w:tcPr>
            <w:tcW w:w="0" w:type="auto"/>
            <w:shd w:val="clear" w:color="auto" w:fill="auto"/>
            <w:tcMar>
              <w:top w:w="57" w:type="dxa"/>
              <w:bottom w:w="57" w:type="dxa"/>
            </w:tcMar>
          </w:tcPr>
          <w:p w14:paraId="1AD65EC3" w14:textId="77777777" w:rsidR="00CD178B" w:rsidRDefault="00CD178B" w:rsidP="00C41279">
            <w:pPr>
              <w:pStyle w:val="Standaard-Tabellen"/>
              <w:rPr>
                <w:rFonts w:eastAsia="Calibri"/>
              </w:rPr>
            </w:pPr>
            <w:r>
              <w:rPr>
                <w:rFonts w:eastAsia="Calibri"/>
              </w:rPr>
              <w:t>n.r.</w:t>
            </w:r>
          </w:p>
        </w:tc>
        <w:tc>
          <w:tcPr>
            <w:tcW w:w="0" w:type="auto"/>
            <w:shd w:val="clear" w:color="auto" w:fill="auto"/>
          </w:tcPr>
          <w:p w14:paraId="2CFE17DD" w14:textId="77777777" w:rsidR="00CD178B" w:rsidRPr="00FA4E1D" w:rsidRDefault="00CD178B" w:rsidP="00CD178B">
            <w:pPr>
              <w:pStyle w:val="Standaard-Tabellen"/>
              <w:rPr>
                <w:rFonts w:eastAsia="Calibri"/>
              </w:rPr>
            </w:pPr>
            <w:r>
              <w:rPr>
                <w:rFonts w:eastAsia="Calibri"/>
              </w:rPr>
              <w:t>2.1</w:t>
            </w:r>
          </w:p>
        </w:tc>
      </w:tr>
      <w:bookmarkEnd w:id="230"/>
      <w:bookmarkEnd w:id="231"/>
    </w:tbl>
    <w:p w14:paraId="54C8594D" w14:textId="12B8C218" w:rsidR="00E13339" w:rsidRPr="00E13339" w:rsidRDefault="00E13339" w:rsidP="00750927">
      <w:pPr>
        <w:rPr>
          <w:rFonts w:eastAsia="Calibri"/>
          <w:lang w:val="en-US" w:eastAsia="en-US"/>
        </w:rPr>
      </w:pPr>
    </w:p>
    <w:p w14:paraId="0BC2273D" w14:textId="77777777" w:rsidR="00E13339" w:rsidRPr="00FD2055" w:rsidRDefault="00E13339" w:rsidP="00E13339">
      <w:pPr>
        <w:pStyle w:val="Titre5"/>
      </w:pPr>
      <w:bookmarkStart w:id="232" w:name="_Toc93326569"/>
      <w:r w:rsidRPr="00FD2055">
        <w:t>Aggregated exposure</w:t>
      </w:r>
      <w:bookmarkEnd w:id="232"/>
    </w:p>
    <w:p w14:paraId="32680B1B" w14:textId="77777777" w:rsidR="00E13339" w:rsidRDefault="00E13339" w:rsidP="00E13339">
      <w:pPr>
        <w:rPr>
          <w:rFonts w:eastAsia="Calibri"/>
          <w:lang w:eastAsia="en-US"/>
        </w:rPr>
      </w:pPr>
      <w:r>
        <w:rPr>
          <w:rFonts w:eastAsia="Calibri"/>
          <w:lang w:eastAsia="en-US"/>
        </w:rPr>
        <w:t>Not applicable</w:t>
      </w:r>
    </w:p>
    <w:p w14:paraId="1E1608ED" w14:textId="77777777" w:rsidR="00E13339" w:rsidRPr="00FD2055" w:rsidRDefault="00E13339" w:rsidP="00750927">
      <w:pPr>
        <w:rPr>
          <w:rFonts w:eastAsia="Calibri"/>
          <w:lang w:eastAsia="en-US"/>
        </w:rPr>
      </w:pPr>
    </w:p>
    <w:p w14:paraId="0A3E1B23" w14:textId="77777777" w:rsidR="001D31A4" w:rsidRDefault="001D31A4" w:rsidP="00F41048">
      <w:pPr>
        <w:rPr>
          <w:rFonts w:eastAsia="Calibri"/>
          <w:lang w:eastAsia="en-US"/>
        </w:rPr>
      </w:pPr>
      <w:bookmarkStart w:id="233" w:name="_Toc389729087"/>
      <w:bookmarkStart w:id="234" w:name="_Toc403472774"/>
    </w:p>
    <w:p w14:paraId="0BA3BD13" w14:textId="04D5CAC2" w:rsidR="001D31A4" w:rsidRDefault="001D31A4" w:rsidP="00F41048">
      <w:pPr>
        <w:pStyle w:val="Titre5"/>
      </w:pPr>
      <w:bookmarkStart w:id="235" w:name="_Toc93326570"/>
      <w:r w:rsidRPr="00FD2055">
        <w:t>Summary of exposure assessment</w:t>
      </w:r>
      <w:bookmarkEnd w:id="233"/>
      <w:bookmarkEnd w:id="234"/>
      <w:bookmarkEnd w:id="235"/>
    </w:p>
    <w:p w14:paraId="223148CF" w14:textId="77777777" w:rsidR="00AE1B0E" w:rsidRPr="009461FB" w:rsidRDefault="00AE1B0E" w:rsidP="00AE1B0E">
      <w:pPr>
        <w:pStyle w:val="Paragraphedeliste"/>
        <w:numPr>
          <w:ilvl w:val="0"/>
          <w:numId w:val="68"/>
        </w:numPr>
        <w:rPr>
          <w:b/>
        </w:rPr>
      </w:pPr>
      <w:r w:rsidRPr="009461FB">
        <w:rPr>
          <w:b/>
        </w:rPr>
        <w:t>FIRST AUTHORISATION – 2017 (BE CA)</w:t>
      </w:r>
    </w:p>
    <w:p w14:paraId="18D0197E" w14:textId="77777777" w:rsidR="00AE1B0E" w:rsidRPr="00AE1B0E" w:rsidRDefault="00AE1B0E" w:rsidP="00AE1B0E">
      <w:pPr>
        <w:rPr>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5"/>
        <w:gridCol w:w="2817"/>
        <w:gridCol w:w="3648"/>
        <w:gridCol w:w="1686"/>
      </w:tblGrid>
      <w:tr w:rsidR="009E572A" w:rsidRPr="00FD2055" w14:paraId="4676A95C" w14:textId="77777777" w:rsidTr="009E572A">
        <w:trPr>
          <w:tblHeader/>
        </w:trPr>
        <w:tc>
          <w:tcPr>
            <w:tcW w:w="5000" w:type="pct"/>
            <w:gridSpan w:val="4"/>
            <w:shd w:val="clear" w:color="auto" w:fill="FFFFCC"/>
          </w:tcPr>
          <w:p w14:paraId="23992D96" w14:textId="77777777" w:rsidR="009E572A" w:rsidRPr="00FD2055" w:rsidRDefault="009E572A" w:rsidP="009E572A">
            <w:pPr>
              <w:pStyle w:val="Standaard-Tabellen"/>
              <w:rPr>
                <w:rFonts w:eastAsia="Calibri"/>
              </w:rPr>
            </w:pPr>
            <w:r w:rsidRPr="00FD2055">
              <w:rPr>
                <w:rFonts w:eastAsia="Calibri"/>
              </w:rPr>
              <w:t>Scenarios and values to be used in risk assessment</w:t>
            </w:r>
          </w:p>
        </w:tc>
      </w:tr>
      <w:tr w:rsidR="009E572A" w:rsidRPr="00FD2055" w14:paraId="3662A740" w14:textId="77777777" w:rsidTr="003B02D7">
        <w:trPr>
          <w:tblHeader/>
        </w:trPr>
        <w:tc>
          <w:tcPr>
            <w:tcW w:w="663" w:type="pct"/>
            <w:shd w:val="clear" w:color="auto" w:fill="auto"/>
            <w:tcMar>
              <w:top w:w="57" w:type="dxa"/>
              <w:bottom w:w="57" w:type="dxa"/>
            </w:tcMar>
          </w:tcPr>
          <w:p w14:paraId="514C0E67" w14:textId="77777777" w:rsidR="009E572A" w:rsidRPr="00FD2055" w:rsidRDefault="009E572A" w:rsidP="009E572A">
            <w:pPr>
              <w:pStyle w:val="Standaard-Tabellen"/>
              <w:rPr>
                <w:rFonts w:eastAsia="Calibri"/>
              </w:rPr>
            </w:pPr>
            <w:r w:rsidRPr="00FD2055">
              <w:rPr>
                <w:rFonts w:eastAsia="Calibri"/>
              </w:rPr>
              <w:t>Scenario number</w:t>
            </w:r>
          </w:p>
        </w:tc>
        <w:tc>
          <w:tcPr>
            <w:tcW w:w="1499" w:type="pct"/>
            <w:shd w:val="clear" w:color="auto" w:fill="auto"/>
            <w:tcMar>
              <w:top w:w="57" w:type="dxa"/>
              <w:bottom w:w="57" w:type="dxa"/>
            </w:tcMar>
          </w:tcPr>
          <w:p w14:paraId="6DD17968" w14:textId="77777777" w:rsidR="009E572A" w:rsidRPr="00FD2055" w:rsidRDefault="009E572A" w:rsidP="009E572A">
            <w:pPr>
              <w:pStyle w:val="Standaard-Tabellen"/>
              <w:rPr>
                <w:rFonts w:eastAsia="Calibri"/>
              </w:rPr>
            </w:pPr>
            <w:r w:rsidRPr="00FD2055">
              <w:rPr>
                <w:rFonts w:eastAsia="Calibri"/>
              </w:rPr>
              <w:t>Exposed group</w:t>
            </w:r>
          </w:p>
          <w:p w14:paraId="182B6B84" w14:textId="77777777" w:rsidR="009E572A" w:rsidRPr="00FD2055" w:rsidRDefault="009E572A" w:rsidP="009E572A">
            <w:pPr>
              <w:pStyle w:val="Standaard-Tabellen"/>
              <w:rPr>
                <w:rFonts w:eastAsia="Calibri"/>
              </w:rPr>
            </w:pPr>
            <w:r w:rsidRPr="00FD2055">
              <w:rPr>
                <w:rFonts w:eastAsia="Calibri"/>
              </w:rPr>
              <w:t>(e.g. professionals, non-professionals, bystanders)</w:t>
            </w:r>
          </w:p>
        </w:tc>
        <w:tc>
          <w:tcPr>
            <w:tcW w:w="1941" w:type="pct"/>
            <w:shd w:val="clear" w:color="auto" w:fill="auto"/>
            <w:tcMar>
              <w:top w:w="57" w:type="dxa"/>
              <w:bottom w:w="57" w:type="dxa"/>
            </w:tcMar>
          </w:tcPr>
          <w:p w14:paraId="54C86D9C" w14:textId="77777777" w:rsidR="009E572A" w:rsidRPr="00FD2055" w:rsidRDefault="009E572A" w:rsidP="009E572A">
            <w:pPr>
              <w:pStyle w:val="Standaard-Tabellen"/>
              <w:rPr>
                <w:rFonts w:eastAsia="Calibri"/>
              </w:rPr>
            </w:pPr>
            <w:r w:rsidRPr="00FD2055">
              <w:rPr>
                <w:rFonts w:eastAsia="Calibri"/>
              </w:rPr>
              <w:t>Tier/PPE</w:t>
            </w:r>
          </w:p>
        </w:tc>
        <w:tc>
          <w:tcPr>
            <w:tcW w:w="897" w:type="pct"/>
            <w:shd w:val="clear" w:color="auto" w:fill="auto"/>
            <w:tcMar>
              <w:top w:w="57" w:type="dxa"/>
              <w:bottom w:w="57" w:type="dxa"/>
            </w:tcMar>
          </w:tcPr>
          <w:p w14:paraId="2821DE87" w14:textId="77777777" w:rsidR="009E572A" w:rsidRPr="00FD2055" w:rsidRDefault="009E572A" w:rsidP="009E572A">
            <w:pPr>
              <w:pStyle w:val="Standaard-Tabellen"/>
              <w:rPr>
                <w:rFonts w:eastAsia="Calibri"/>
              </w:rPr>
            </w:pPr>
            <w:r w:rsidRPr="00FD2055">
              <w:rPr>
                <w:rFonts w:eastAsia="Calibri"/>
              </w:rPr>
              <w:t>Estimated total uptake</w:t>
            </w:r>
          </w:p>
        </w:tc>
      </w:tr>
      <w:tr w:rsidR="009E572A" w:rsidRPr="00FD2055" w14:paraId="0A66EF0B" w14:textId="77777777" w:rsidTr="003B02D7">
        <w:trPr>
          <w:tblHeader/>
        </w:trPr>
        <w:tc>
          <w:tcPr>
            <w:tcW w:w="663" w:type="pct"/>
            <w:tcMar>
              <w:top w:w="57" w:type="dxa"/>
              <w:bottom w:w="57" w:type="dxa"/>
            </w:tcMar>
          </w:tcPr>
          <w:p w14:paraId="01B723A9" w14:textId="77777777" w:rsidR="009E572A" w:rsidRPr="00FD2055" w:rsidRDefault="009E572A" w:rsidP="009E572A">
            <w:pPr>
              <w:pStyle w:val="Standaard-Tabellen"/>
              <w:rPr>
                <w:rFonts w:eastAsia="Calibri"/>
              </w:rPr>
            </w:pPr>
            <w:r w:rsidRPr="00FD2055">
              <w:rPr>
                <w:rFonts w:eastAsia="Calibri"/>
              </w:rPr>
              <w:t>1.</w:t>
            </w:r>
          </w:p>
        </w:tc>
        <w:tc>
          <w:tcPr>
            <w:tcW w:w="1499" w:type="pct"/>
            <w:shd w:val="clear" w:color="auto" w:fill="auto"/>
            <w:tcMar>
              <w:top w:w="57" w:type="dxa"/>
              <w:bottom w:w="57" w:type="dxa"/>
            </w:tcMar>
          </w:tcPr>
          <w:p w14:paraId="69DFC2F7" w14:textId="77777777" w:rsidR="009E572A" w:rsidRPr="00FD2055" w:rsidRDefault="009E572A" w:rsidP="009E572A">
            <w:pPr>
              <w:pStyle w:val="Standaard-Tabellen"/>
              <w:rPr>
                <w:rFonts w:eastAsia="Calibri"/>
              </w:rPr>
            </w:pPr>
            <w:r>
              <w:rPr>
                <w:rFonts w:eastAsia="Calibri"/>
              </w:rPr>
              <w:t>Non-professionals, adult</w:t>
            </w:r>
          </w:p>
        </w:tc>
        <w:tc>
          <w:tcPr>
            <w:tcW w:w="1941" w:type="pct"/>
            <w:tcMar>
              <w:top w:w="57" w:type="dxa"/>
              <w:bottom w:w="57" w:type="dxa"/>
            </w:tcMar>
          </w:tcPr>
          <w:p w14:paraId="48475CE4" w14:textId="77777777" w:rsidR="009E572A" w:rsidRPr="00FD2055" w:rsidRDefault="009E572A" w:rsidP="009E572A">
            <w:pPr>
              <w:pStyle w:val="Standaard-Tabellen"/>
              <w:rPr>
                <w:rFonts w:eastAsia="Calibri"/>
              </w:rPr>
            </w:pPr>
            <w:r>
              <w:rPr>
                <w:rFonts w:eastAsia="Calibri"/>
              </w:rPr>
              <w:t>Tier 1, no PPE, dermal, 3 applications/day</w:t>
            </w:r>
          </w:p>
        </w:tc>
        <w:tc>
          <w:tcPr>
            <w:tcW w:w="897" w:type="pct"/>
            <w:shd w:val="clear" w:color="auto" w:fill="auto"/>
            <w:tcMar>
              <w:top w:w="57" w:type="dxa"/>
              <w:bottom w:w="57" w:type="dxa"/>
            </w:tcMar>
            <w:vAlign w:val="center"/>
          </w:tcPr>
          <w:p w14:paraId="74C37B87" w14:textId="77777777" w:rsidR="009E572A" w:rsidRPr="00570A64" w:rsidRDefault="009E572A" w:rsidP="009E572A">
            <w:pPr>
              <w:pStyle w:val="Standaard-Tabellen"/>
              <w:rPr>
                <w:rFonts w:cs="Arial"/>
              </w:rPr>
            </w:pPr>
            <w:r w:rsidRPr="002100F6">
              <w:rPr>
                <w:rFonts w:cs="Arial"/>
              </w:rPr>
              <w:t>1</w:t>
            </w:r>
            <w:r>
              <w:rPr>
                <w:rFonts w:cs="Arial"/>
              </w:rPr>
              <w:t>.</w:t>
            </w:r>
            <w:r w:rsidRPr="002100F6">
              <w:rPr>
                <w:rFonts w:cs="Arial"/>
              </w:rPr>
              <w:t>47 mg/kg bw/day</w:t>
            </w:r>
          </w:p>
        </w:tc>
      </w:tr>
      <w:tr w:rsidR="009E572A" w:rsidRPr="00FD2055" w14:paraId="68ACA6B5" w14:textId="77777777" w:rsidTr="003B02D7">
        <w:trPr>
          <w:tblHeader/>
        </w:trPr>
        <w:tc>
          <w:tcPr>
            <w:tcW w:w="663" w:type="pct"/>
            <w:tcMar>
              <w:top w:w="57" w:type="dxa"/>
              <w:bottom w:w="57" w:type="dxa"/>
            </w:tcMar>
          </w:tcPr>
          <w:p w14:paraId="29ED3C5C" w14:textId="77777777" w:rsidR="009E572A" w:rsidRPr="00FD2055" w:rsidRDefault="009E572A" w:rsidP="009E572A">
            <w:pPr>
              <w:pStyle w:val="Standaard-Tabellen"/>
              <w:rPr>
                <w:rFonts w:eastAsia="Calibri"/>
              </w:rPr>
            </w:pPr>
          </w:p>
        </w:tc>
        <w:tc>
          <w:tcPr>
            <w:tcW w:w="1499" w:type="pct"/>
            <w:shd w:val="clear" w:color="auto" w:fill="auto"/>
            <w:tcMar>
              <w:top w:w="57" w:type="dxa"/>
              <w:bottom w:w="57" w:type="dxa"/>
            </w:tcMar>
          </w:tcPr>
          <w:p w14:paraId="0D315437" w14:textId="77777777" w:rsidR="009E572A" w:rsidRPr="00FD2055" w:rsidRDefault="009E572A" w:rsidP="009E572A">
            <w:pPr>
              <w:pStyle w:val="Standaard-Tabellen"/>
              <w:rPr>
                <w:rFonts w:eastAsia="Calibri"/>
              </w:rPr>
            </w:pPr>
            <w:r>
              <w:rPr>
                <w:rFonts w:eastAsia="Calibri"/>
              </w:rPr>
              <w:t>Non-professionals, child</w:t>
            </w:r>
          </w:p>
        </w:tc>
        <w:tc>
          <w:tcPr>
            <w:tcW w:w="1941" w:type="pct"/>
            <w:tcMar>
              <w:top w:w="57" w:type="dxa"/>
              <w:bottom w:w="57" w:type="dxa"/>
            </w:tcMar>
          </w:tcPr>
          <w:p w14:paraId="38787DB3" w14:textId="77777777" w:rsidR="009E572A" w:rsidRPr="00FD2055" w:rsidRDefault="009E572A" w:rsidP="009E572A">
            <w:pPr>
              <w:pStyle w:val="Standaard-Tabellen"/>
              <w:rPr>
                <w:rFonts w:eastAsia="Calibri"/>
              </w:rPr>
            </w:pPr>
            <w:r>
              <w:rPr>
                <w:rFonts w:eastAsia="Calibri"/>
              </w:rPr>
              <w:t>Tier 1, no PPE, dermal, 3 applications/day</w:t>
            </w:r>
          </w:p>
        </w:tc>
        <w:tc>
          <w:tcPr>
            <w:tcW w:w="897" w:type="pct"/>
            <w:shd w:val="clear" w:color="auto" w:fill="auto"/>
            <w:tcMar>
              <w:top w:w="57" w:type="dxa"/>
              <w:bottom w:w="57" w:type="dxa"/>
            </w:tcMar>
            <w:vAlign w:val="center"/>
          </w:tcPr>
          <w:p w14:paraId="017B0CF4" w14:textId="77777777" w:rsidR="009E572A" w:rsidRPr="00570A64" w:rsidRDefault="009E572A" w:rsidP="009E572A">
            <w:pPr>
              <w:pStyle w:val="Standaard-Tabellen"/>
              <w:rPr>
                <w:rFonts w:cs="Arial"/>
              </w:rPr>
            </w:pPr>
            <w:r>
              <w:rPr>
                <w:rFonts w:cs="Arial"/>
              </w:rPr>
              <w:t>1.</w:t>
            </w:r>
            <w:r w:rsidRPr="002100F6">
              <w:rPr>
                <w:rFonts w:cs="Arial"/>
              </w:rPr>
              <w:t>76 mg/kg bw/day</w:t>
            </w:r>
          </w:p>
        </w:tc>
      </w:tr>
      <w:tr w:rsidR="003B02D7" w:rsidRPr="00FD2055" w14:paraId="58EC0770" w14:textId="77777777" w:rsidTr="003B02D7">
        <w:trPr>
          <w:tblHeader/>
        </w:trPr>
        <w:tc>
          <w:tcPr>
            <w:tcW w:w="663" w:type="pct"/>
            <w:tcMar>
              <w:top w:w="57" w:type="dxa"/>
              <w:bottom w:w="57" w:type="dxa"/>
            </w:tcMar>
          </w:tcPr>
          <w:p w14:paraId="42846531"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6C2ADC45" w14:textId="77777777" w:rsidR="003B02D7" w:rsidRPr="00FD2055" w:rsidRDefault="003B02D7" w:rsidP="003B02D7">
            <w:pPr>
              <w:pStyle w:val="Standaard-Tabellen"/>
              <w:rPr>
                <w:rFonts w:eastAsia="Calibri"/>
              </w:rPr>
            </w:pPr>
            <w:r>
              <w:rPr>
                <w:rFonts w:eastAsia="Calibri"/>
              </w:rPr>
              <w:t>Non-professionals, toddler</w:t>
            </w:r>
          </w:p>
        </w:tc>
        <w:tc>
          <w:tcPr>
            <w:tcW w:w="1941" w:type="pct"/>
            <w:tcMar>
              <w:top w:w="57" w:type="dxa"/>
              <w:bottom w:w="57" w:type="dxa"/>
            </w:tcMar>
          </w:tcPr>
          <w:p w14:paraId="43512A3E" w14:textId="77777777" w:rsidR="003B02D7" w:rsidRPr="00FD2055" w:rsidRDefault="003B02D7" w:rsidP="003B02D7">
            <w:pPr>
              <w:pStyle w:val="Standaard-Tabellen"/>
              <w:rPr>
                <w:rFonts w:eastAsia="Calibri"/>
              </w:rPr>
            </w:pPr>
            <w:r>
              <w:rPr>
                <w:rFonts w:eastAsia="Calibri"/>
              </w:rPr>
              <w:t>Tier 1, no PPE, dermal, 3 applications/day</w:t>
            </w:r>
          </w:p>
        </w:tc>
        <w:tc>
          <w:tcPr>
            <w:tcW w:w="897" w:type="pct"/>
            <w:shd w:val="clear" w:color="auto" w:fill="auto"/>
            <w:tcMar>
              <w:top w:w="57" w:type="dxa"/>
              <w:bottom w:w="57" w:type="dxa"/>
            </w:tcMar>
            <w:vAlign w:val="center"/>
          </w:tcPr>
          <w:p w14:paraId="1BCE6B03" w14:textId="146C4687" w:rsidR="003B02D7" w:rsidRPr="00570A64" w:rsidRDefault="003B02D7" w:rsidP="003B02D7">
            <w:pPr>
              <w:pStyle w:val="Standaard-Tabellen"/>
              <w:rPr>
                <w:rFonts w:cs="Arial"/>
              </w:rPr>
            </w:pPr>
            <w:r w:rsidRPr="00570FB3">
              <w:rPr>
                <w:rFonts w:cs="Arial"/>
              </w:rPr>
              <w:t>4.2 mg/kg bw/day</w:t>
            </w:r>
          </w:p>
        </w:tc>
      </w:tr>
      <w:tr w:rsidR="003B02D7" w:rsidRPr="00FD2055" w14:paraId="0C0AF4B0" w14:textId="77777777" w:rsidTr="003B02D7">
        <w:trPr>
          <w:tblHeader/>
        </w:trPr>
        <w:tc>
          <w:tcPr>
            <w:tcW w:w="663" w:type="pct"/>
            <w:tcMar>
              <w:top w:w="57" w:type="dxa"/>
              <w:bottom w:w="57" w:type="dxa"/>
            </w:tcMar>
          </w:tcPr>
          <w:p w14:paraId="71E63A1D"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28504FFD" w14:textId="77777777" w:rsidR="003B02D7" w:rsidRPr="00FD2055" w:rsidRDefault="003B02D7" w:rsidP="003B02D7">
            <w:pPr>
              <w:pStyle w:val="Standaard-Tabellen"/>
              <w:rPr>
                <w:rFonts w:eastAsia="Calibri"/>
              </w:rPr>
            </w:pPr>
            <w:r>
              <w:rPr>
                <w:rFonts w:eastAsia="Calibri"/>
              </w:rPr>
              <w:t>Non-professionals, infant</w:t>
            </w:r>
          </w:p>
        </w:tc>
        <w:tc>
          <w:tcPr>
            <w:tcW w:w="1941" w:type="pct"/>
            <w:tcMar>
              <w:top w:w="57" w:type="dxa"/>
              <w:bottom w:w="57" w:type="dxa"/>
            </w:tcMar>
          </w:tcPr>
          <w:p w14:paraId="2C1974A7" w14:textId="77777777" w:rsidR="003B02D7" w:rsidRPr="00FD2055" w:rsidRDefault="003B02D7" w:rsidP="003B02D7">
            <w:pPr>
              <w:pStyle w:val="Standaard-Tabellen"/>
              <w:rPr>
                <w:rFonts w:eastAsia="Calibri"/>
              </w:rPr>
            </w:pPr>
            <w:r>
              <w:rPr>
                <w:rFonts w:eastAsia="Calibri"/>
              </w:rPr>
              <w:t>Tier 1, no PPE, dermal, 3 applications/day</w:t>
            </w:r>
          </w:p>
        </w:tc>
        <w:tc>
          <w:tcPr>
            <w:tcW w:w="897" w:type="pct"/>
            <w:shd w:val="clear" w:color="auto" w:fill="auto"/>
            <w:tcMar>
              <w:top w:w="57" w:type="dxa"/>
              <w:bottom w:w="57" w:type="dxa"/>
            </w:tcMar>
            <w:vAlign w:val="center"/>
          </w:tcPr>
          <w:p w14:paraId="679CF90A" w14:textId="10497BE2" w:rsidR="003B02D7" w:rsidRPr="00570A64" w:rsidRDefault="003B02D7" w:rsidP="003B02D7">
            <w:pPr>
              <w:pStyle w:val="Standaard-Tabellen"/>
              <w:rPr>
                <w:rFonts w:cs="Arial"/>
              </w:rPr>
            </w:pPr>
            <w:r w:rsidRPr="00570FB3">
              <w:rPr>
                <w:rFonts w:cs="Arial"/>
              </w:rPr>
              <w:t>5.25 mg/kg bw/day</w:t>
            </w:r>
          </w:p>
        </w:tc>
      </w:tr>
      <w:tr w:rsidR="003B02D7" w:rsidRPr="00FD2055" w14:paraId="630ADDCF" w14:textId="77777777" w:rsidTr="003B02D7">
        <w:trPr>
          <w:tblHeader/>
        </w:trPr>
        <w:tc>
          <w:tcPr>
            <w:tcW w:w="663" w:type="pct"/>
            <w:tcMar>
              <w:top w:w="57" w:type="dxa"/>
              <w:bottom w:w="57" w:type="dxa"/>
            </w:tcMar>
          </w:tcPr>
          <w:p w14:paraId="44854971"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485F4CB1" w14:textId="14458C2B" w:rsidR="003B02D7" w:rsidRDefault="003B02D7" w:rsidP="003B02D7">
            <w:pPr>
              <w:pStyle w:val="Standaard-Tabellen"/>
              <w:rPr>
                <w:rFonts w:eastAsia="Calibri"/>
              </w:rPr>
            </w:pPr>
            <w:r>
              <w:rPr>
                <w:rFonts w:eastAsia="Calibri"/>
              </w:rPr>
              <w:t>Non-professionals, infant</w:t>
            </w:r>
          </w:p>
        </w:tc>
        <w:tc>
          <w:tcPr>
            <w:tcW w:w="1941" w:type="pct"/>
            <w:tcMar>
              <w:top w:w="57" w:type="dxa"/>
              <w:bottom w:w="57" w:type="dxa"/>
            </w:tcMar>
          </w:tcPr>
          <w:p w14:paraId="0B0DF793" w14:textId="4B1EFF73" w:rsidR="003B02D7" w:rsidRDefault="003B02D7" w:rsidP="003B02D7">
            <w:pPr>
              <w:pStyle w:val="Standaard-Tabellen"/>
              <w:rPr>
                <w:rFonts w:eastAsia="Calibri"/>
              </w:rPr>
            </w:pPr>
            <w:r>
              <w:rPr>
                <w:rFonts w:eastAsia="Calibri"/>
              </w:rPr>
              <w:t>Tier 2, no PPE, dermal, 2 applications/day</w:t>
            </w:r>
          </w:p>
        </w:tc>
        <w:tc>
          <w:tcPr>
            <w:tcW w:w="897" w:type="pct"/>
            <w:shd w:val="clear" w:color="auto" w:fill="auto"/>
            <w:tcMar>
              <w:top w:w="57" w:type="dxa"/>
              <w:bottom w:w="57" w:type="dxa"/>
            </w:tcMar>
            <w:vAlign w:val="center"/>
          </w:tcPr>
          <w:p w14:paraId="31DF6AA4" w14:textId="7F3AB098" w:rsidR="003B02D7" w:rsidRPr="00D8534C" w:rsidRDefault="003B02D7" w:rsidP="003B02D7">
            <w:pPr>
              <w:pStyle w:val="Standaard-Tabellen"/>
              <w:rPr>
                <w:rFonts w:cs="Arial"/>
              </w:rPr>
            </w:pPr>
            <w:r w:rsidRPr="00570FB3">
              <w:rPr>
                <w:rFonts w:cs="Arial"/>
              </w:rPr>
              <w:t>3.5 mg/kg bw/day</w:t>
            </w:r>
          </w:p>
        </w:tc>
      </w:tr>
      <w:tr w:rsidR="003B02D7" w:rsidRPr="00FD2055" w14:paraId="3DF54162" w14:textId="77777777" w:rsidTr="003B02D7">
        <w:trPr>
          <w:tblHeader/>
        </w:trPr>
        <w:tc>
          <w:tcPr>
            <w:tcW w:w="663" w:type="pct"/>
            <w:tcMar>
              <w:top w:w="57" w:type="dxa"/>
              <w:bottom w:w="57" w:type="dxa"/>
            </w:tcMar>
          </w:tcPr>
          <w:p w14:paraId="1B59C7AD" w14:textId="77777777" w:rsidR="003B02D7" w:rsidRPr="00FD2055" w:rsidRDefault="003B02D7" w:rsidP="003B02D7">
            <w:pPr>
              <w:pStyle w:val="Standaard-Tabellen"/>
              <w:rPr>
                <w:rFonts w:eastAsia="Calibri"/>
              </w:rPr>
            </w:pPr>
            <w:r w:rsidRPr="00FD2055">
              <w:rPr>
                <w:rFonts w:eastAsia="Calibri"/>
              </w:rPr>
              <w:t>2.</w:t>
            </w:r>
          </w:p>
        </w:tc>
        <w:tc>
          <w:tcPr>
            <w:tcW w:w="1499" w:type="pct"/>
            <w:shd w:val="clear" w:color="auto" w:fill="auto"/>
            <w:tcMar>
              <w:top w:w="57" w:type="dxa"/>
              <w:bottom w:w="57" w:type="dxa"/>
            </w:tcMar>
          </w:tcPr>
          <w:p w14:paraId="5E4DF31D" w14:textId="77777777" w:rsidR="003B02D7" w:rsidRPr="00FD2055" w:rsidRDefault="003B02D7" w:rsidP="003B02D7">
            <w:pPr>
              <w:pStyle w:val="Standaard-Tabellen"/>
              <w:rPr>
                <w:rFonts w:eastAsia="Calibri"/>
              </w:rPr>
            </w:pPr>
            <w:r>
              <w:rPr>
                <w:rFonts w:eastAsia="Calibri"/>
              </w:rPr>
              <w:t>Non-professionals, adult</w:t>
            </w:r>
          </w:p>
        </w:tc>
        <w:tc>
          <w:tcPr>
            <w:tcW w:w="1941" w:type="pct"/>
            <w:tcMar>
              <w:top w:w="57" w:type="dxa"/>
              <w:bottom w:w="57" w:type="dxa"/>
            </w:tcMar>
          </w:tcPr>
          <w:p w14:paraId="6F74935F" w14:textId="77777777" w:rsidR="003B02D7" w:rsidRPr="00FD2055" w:rsidRDefault="003B02D7" w:rsidP="003B02D7">
            <w:pPr>
              <w:pStyle w:val="Standaard-Tabellen"/>
              <w:rPr>
                <w:rFonts w:eastAsia="Calibri"/>
              </w:rPr>
            </w:pPr>
            <w:r>
              <w:rPr>
                <w:rFonts w:eastAsia="Calibri"/>
              </w:rPr>
              <w:t>Tier 1, no PPE, inhal+oral, 3 applications/day</w:t>
            </w:r>
          </w:p>
        </w:tc>
        <w:tc>
          <w:tcPr>
            <w:tcW w:w="897" w:type="pct"/>
            <w:shd w:val="clear" w:color="auto" w:fill="auto"/>
            <w:tcMar>
              <w:top w:w="57" w:type="dxa"/>
              <w:bottom w:w="57" w:type="dxa"/>
            </w:tcMar>
          </w:tcPr>
          <w:p w14:paraId="66469CAB" w14:textId="6E2241A0" w:rsidR="003B02D7" w:rsidRPr="00FD2055" w:rsidRDefault="003B02D7" w:rsidP="003B02D7">
            <w:pPr>
              <w:pStyle w:val="Standaard-Tabellen"/>
              <w:rPr>
                <w:rFonts w:eastAsia="Calibri"/>
              </w:rPr>
            </w:pPr>
            <w:r w:rsidRPr="00570FB3">
              <w:rPr>
                <w:rFonts w:cs="Arial"/>
              </w:rPr>
              <w:t>0.00875 mg/kg bw</w:t>
            </w:r>
          </w:p>
        </w:tc>
      </w:tr>
      <w:tr w:rsidR="003B02D7" w:rsidRPr="00FD2055" w14:paraId="06986982" w14:textId="77777777" w:rsidTr="003B02D7">
        <w:trPr>
          <w:tblHeader/>
        </w:trPr>
        <w:tc>
          <w:tcPr>
            <w:tcW w:w="663" w:type="pct"/>
            <w:tcMar>
              <w:top w:w="57" w:type="dxa"/>
              <w:bottom w:w="57" w:type="dxa"/>
            </w:tcMar>
          </w:tcPr>
          <w:p w14:paraId="04DA30B6"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418B5D01" w14:textId="77777777" w:rsidR="003B02D7" w:rsidRPr="00FD2055" w:rsidRDefault="003B02D7" w:rsidP="003B02D7">
            <w:pPr>
              <w:pStyle w:val="Standaard-Tabellen"/>
              <w:rPr>
                <w:rFonts w:eastAsia="Calibri"/>
              </w:rPr>
            </w:pPr>
            <w:r>
              <w:rPr>
                <w:rFonts w:eastAsia="Calibri"/>
              </w:rPr>
              <w:t>Non-professionals, child</w:t>
            </w:r>
          </w:p>
        </w:tc>
        <w:tc>
          <w:tcPr>
            <w:tcW w:w="1941" w:type="pct"/>
            <w:tcMar>
              <w:top w:w="57" w:type="dxa"/>
              <w:bottom w:w="57" w:type="dxa"/>
            </w:tcMar>
          </w:tcPr>
          <w:p w14:paraId="1A7BD39F" w14:textId="77777777" w:rsidR="003B02D7" w:rsidRPr="00FD2055" w:rsidRDefault="003B02D7" w:rsidP="003B02D7">
            <w:pPr>
              <w:pStyle w:val="Standaard-Tabellen"/>
              <w:rPr>
                <w:rFonts w:eastAsia="Calibri"/>
              </w:rPr>
            </w:pPr>
            <w:r>
              <w:rPr>
                <w:rFonts w:eastAsia="Calibri"/>
              </w:rPr>
              <w:t>Tier 1, no PPE, inhal+oral, 3 applications/day</w:t>
            </w:r>
          </w:p>
        </w:tc>
        <w:tc>
          <w:tcPr>
            <w:tcW w:w="897" w:type="pct"/>
            <w:shd w:val="clear" w:color="auto" w:fill="auto"/>
            <w:tcMar>
              <w:top w:w="57" w:type="dxa"/>
              <w:bottom w:w="57" w:type="dxa"/>
            </w:tcMar>
          </w:tcPr>
          <w:p w14:paraId="1B722F97" w14:textId="32AC4F8C" w:rsidR="003B02D7" w:rsidRPr="00FD2055" w:rsidRDefault="003B02D7" w:rsidP="003B02D7">
            <w:pPr>
              <w:pStyle w:val="Standaard-Tabellen"/>
              <w:rPr>
                <w:rFonts w:eastAsia="Calibri"/>
              </w:rPr>
            </w:pPr>
            <w:r w:rsidRPr="00570FB3">
              <w:rPr>
                <w:rFonts w:cs="Arial"/>
              </w:rPr>
              <w:t>0.023</w:t>
            </w:r>
            <w:r w:rsidRPr="00F84A66">
              <w:rPr>
                <w:rFonts w:cs="Arial"/>
              </w:rPr>
              <w:t>2</w:t>
            </w:r>
            <w:r w:rsidRPr="00570FB3">
              <w:rPr>
                <w:rFonts w:cs="Arial"/>
              </w:rPr>
              <w:t xml:space="preserve"> mg/kg bw</w:t>
            </w:r>
          </w:p>
        </w:tc>
      </w:tr>
      <w:tr w:rsidR="003B02D7" w:rsidRPr="00FD2055" w14:paraId="68B19EFB" w14:textId="77777777" w:rsidTr="003B02D7">
        <w:trPr>
          <w:tblHeader/>
        </w:trPr>
        <w:tc>
          <w:tcPr>
            <w:tcW w:w="663" w:type="pct"/>
            <w:tcMar>
              <w:top w:w="57" w:type="dxa"/>
              <w:bottom w:w="57" w:type="dxa"/>
            </w:tcMar>
          </w:tcPr>
          <w:p w14:paraId="201455CD"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472C6E71" w14:textId="77777777" w:rsidR="003B02D7" w:rsidRPr="00FD2055" w:rsidRDefault="003B02D7" w:rsidP="003B02D7">
            <w:pPr>
              <w:pStyle w:val="Standaard-Tabellen"/>
              <w:rPr>
                <w:rFonts w:eastAsia="Calibri"/>
              </w:rPr>
            </w:pPr>
            <w:r>
              <w:rPr>
                <w:rFonts w:eastAsia="Calibri"/>
              </w:rPr>
              <w:t>Non-professionals, toddler</w:t>
            </w:r>
          </w:p>
        </w:tc>
        <w:tc>
          <w:tcPr>
            <w:tcW w:w="1941" w:type="pct"/>
            <w:tcMar>
              <w:top w:w="57" w:type="dxa"/>
              <w:bottom w:w="57" w:type="dxa"/>
            </w:tcMar>
          </w:tcPr>
          <w:p w14:paraId="0E95BE25" w14:textId="77777777" w:rsidR="003B02D7" w:rsidRPr="00FD2055" w:rsidRDefault="003B02D7" w:rsidP="003B02D7">
            <w:pPr>
              <w:pStyle w:val="Standaard-Tabellen"/>
              <w:rPr>
                <w:rFonts w:eastAsia="Calibri"/>
              </w:rPr>
            </w:pPr>
            <w:r>
              <w:rPr>
                <w:rFonts w:eastAsia="Calibri"/>
              </w:rPr>
              <w:t>Tier 1, no PPE, inhal+oral, 3 applications/day</w:t>
            </w:r>
          </w:p>
        </w:tc>
        <w:tc>
          <w:tcPr>
            <w:tcW w:w="897" w:type="pct"/>
            <w:shd w:val="clear" w:color="auto" w:fill="auto"/>
            <w:tcMar>
              <w:top w:w="57" w:type="dxa"/>
              <w:bottom w:w="57" w:type="dxa"/>
            </w:tcMar>
          </w:tcPr>
          <w:p w14:paraId="21AC43CC" w14:textId="6B925AB1" w:rsidR="003B02D7" w:rsidRPr="00FD2055" w:rsidRDefault="003B02D7" w:rsidP="003B02D7">
            <w:pPr>
              <w:pStyle w:val="Standaard-Tabellen"/>
              <w:rPr>
                <w:rFonts w:eastAsia="Calibri"/>
              </w:rPr>
            </w:pPr>
            <w:r w:rsidRPr="00570FB3">
              <w:rPr>
                <w:rFonts w:cs="Arial"/>
              </w:rPr>
              <w:t>0.0529 mg/kg bw</w:t>
            </w:r>
          </w:p>
        </w:tc>
      </w:tr>
      <w:tr w:rsidR="003B02D7" w:rsidRPr="00FD2055" w14:paraId="4B3DAD07" w14:textId="77777777" w:rsidTr="003B02D7">
        <w:trPr>
          <w:tblHeader/>
        </w:trPr>
        <w:tc>
          <w:tcPr>
            <w:tcW w:w="663" w:type="pct"/>
            <w:tcMar>
              <w:top w:w="57" w:type="dxa"/>
              <w:bottom w:w="57" w:type="dxa"/>
            </w:tcMar>
          </w:tcPr>
          <w:p w14:paraId="012CF408"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349A7926" w14:textId="77777777" w:rsidR="003B02D7" w:rsidRPr="00FD2055" w:rsidRDefault="003B02D7" w:rsidP="003B02D7">
            <w:pPr>
              <w:pStyle w:val="Standaard-Tabellen"/>
              <w:rPr>
                <w:rFonts w:eastAsia="Calibri"/>
              </w:rPr>
            </w:pPr>
            <w:r>
              <w:rPr>
                <w:rFonts w:eastAsia="Calibri"/>
              </w:rPr>
              <w:t>Non-professionals, infant</w:t>
            </w:r>
          </w:p>
        </w:tc>
        <w:tc>
          <w:tcPr>
            <w:tcW w:w="1941" w:type="pct"/>
            <w:tcMar>
              <w:top w:w="57" w:type="dxa"/>
              <w:bottom w:w="57" w:type="dxa"/>
            </w:tcMar>
          </w:tcPr>
          <w:p w14:paraId="25268106" w14:textId="77777777" w:rsidR="003B02D7" w:rsidRPr="00FD2055" w:rsidRDefault="003B02D7" w:rsidP="003B02D7">
            <w:pPr>
              <w:pStyle w:val="Standaard-Tabellen"/>
              <w:rPr>
                <w:rFonts w:eastAsia="Calibri"/>
              </w:rPr>
            </w:pPr>
            <w:r>
              <w:rPr>
                <w:rFonts w:eastAsia="Calibri"/>
              </w:rPr>
              <w:t>Tier 1, no PPE, inhal+oral, 3 applications/day</w:t>
            </w:r>
          </w:p>
        </w:tc>
        <w:tc>
          <w:tcPr>
            <w:tcW w:w="897" w:type="pct"/>
            <w:shd w:val="clear" w:color="auto" w:fill="auto"/>
            <w:tcMar>
              <w:top w:w="57" w:type="dxa"/>
              <w:bottom w:w="57" w:type="dxa"/>
            </w:tcMar>
          </w:tcPr>
          <w:p w14:paraId="51307678" w14:textId="79AA18DC" w:rsidR="003B02D7" w:rsidRPr="00FD2055" w:rsidRDefault="003B02D7" w:rsidP="003B02D7">
            <w:pPr>
              <w:pStyle w:val="Standaard-Tabellen"/>
              <w:rPr>
                <w:rFonts w:eastAsia="Calibri"/>
              </w:rPr>
            </w:pPr>
            <w:r w:rsidRPr="00570FB3">
              <w:rPr>
                <w:rFonts w:cs="Arial"/>
              </w:rPr>
              <w:t>0.0441 mg/kg bw</w:t>
            </w:r>
          </w:p>
        </w:tc>
      </w:tr>
      <w:tr w:rsidR="003B02D7" w:rsidRPr="00FD2055" w14:paraId="34A294E4" w14:textId="77777777" w:rsidTr="003B02D7">
        <w:trPr>
          <w:tblHeader/>
        </w:trPr>
        <w:tc>
          <w:tcPr>
            <w:tcW w:w="663" w:type="pct"/>
            <w:tcMar>
              <w:top w:w="57" w:type="dxa"/>
              <w:bottom w:w="57" w:type="dxa"/>
            </w:tcMar>
          </w:tcPr>
          <w:p w14:paraId="17516430"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287D553D" w14:textId="4F687514" w:rsidR="003B02D7" w:rsidRDefault="003B02D7" w:rsidP="003B02D7">
            <w:pPr>
              <w:pStyle w:val="Standaard-Tabellen"/>
              <w:rPr>
                <w:rFonts w:eastAsia="Calibri"/>
              </w:rPr>
            </w:pPr>
            <w:r>
              <w:rPr>
                <w:rFonts w:eastAsia="Calibri"/>
              </w:rPr>
              <w:t>Non-professionals, infant</w:t>
            </w:r>
          </w:p>
        </w:tc>
        <w:tc>
          <w:tcPr>
            <w:tcW w:w="1941" w:type="pct"/>
            <w:tcMar>
              <w:top w:w="57" w:type="dxa"/>
              <w:bottom w:w="57" w:type="dxa"/>
            </w:tcMar>
          </w:tcPr>
          <w:p w14:paraId="6B3BC9CB" w14:textId="756069E9" w:rsidR="003B02D7" w:rsidRDefault="003B02D7" w:rsidP="003B02D7">
            <w:pPr>
              <w:pStyle w:val="Standaard-Tabellen"/>
              <w:rPr>
                <w:rFonts w:eastAsia="Calibri"/>
              </w:rPr>
            </w:pPr>
            <w:r>
              <w:rPr>
                <w:rFonts w:eastAsia="Calibri"/>
              </w:rPr>
              <w:t>Tier 2, no PPE, inhal+oral, 2 applications/day</w:t>
            </w:r>
          </w:p>
        </w:tc>
        <w:tc>
          <w:tcPr>
            <w:tcW w:w="897" w:type="pct"/>
            <w:shd w:val="clear" w:color="auto" w:fill="auto"/>
            <w:tcMar>
              <w:top w:w="57" w:type="dxa"/>
              <w:bottom w:w="57" w:type="dxa"/>
            </w:tcMar>
          </w:tcPr>
          <w:p w14:paraId="6FB95945" w14:textId="0ECC1432" w:rsidR="003B02D7" w:rsidRPr="00570FB3" w:rsidRDefault="003B02D7" w:rsidP="003B02D7">
            <w:pPr>
              <w:pStyle w:val="Standaard-Tabellen"/>
              <w:rPr>
                <w:rFonts w:cs="Arial"/>
              </w:rPr>
            </w:pPr>
            <w:r w:rsidRPr="00570FB3">
              <w:rPr>
                <w:rFonts w:cs="Arial"/>
              </w:rPr>
              <w:t>0.0</w:t>
            </w:r>
            <w:r w:rsidRPr="00F84A66">
              <w:rPr>
                <w:rFonts w:cs="Arial"/>
              </w:rPr>
              <w:t>294</w:t>
            </w:r>
            <w:r w:rsidRPr="00570FB3">
              <w:rPr>
                <w:rFonts w:cs="Arial"/>
              </w:rPr>
              <w:t xml:space="preserve"> mg/kg bw</w:t>
            </w:r>
          </w:p>
        </w:tc>
      </w:tr>
      <w:tr w:rsidR="003B02D7" w:rsidRPr="00FD2055" w14:paraId="483AD295" w14:textId="77777777" w:rsidTr="003B02D7">
        <w:trPr>
          <w:tblHeader/>
        </w:trPr>
        <w:tc>
          <w:tcPr>
            <w:tcW w:w="663" w:type="pct"/>
            <w:tcMar>
              <w:top w:w="57" w:type="dxa"/>
              <w:bottom w:w="57" w:type="dxa"/>
            </w:tcMar>
          </w:tcPr>
          <w:p w14:paraId="1823B605" w14:textId="77777777" w:rsidR="003B02D7" w:rsidRPr="00FD2055" w:rsidRDefault="003B02D7" w:rsidP="003B02D7">
            <w:pPr>
              <w:pStyle w:val="Standaard-Tabellen"/>
              <w:rPr>
                <w:rFonts w:eastAsia="Calibri"/>
              </w:rPr>
            </w:pPr>
            <w:r>
              <w:rPr>
                <w:rFonts w:eastAsia="Calibri"/>
              </w:rPr>
              <w:t>3.</w:t>
            </w:r>
          </w:p>
        </w:tc>
        <w:tc>
          <w:tcPr>
            <w:tcW w:w="1499" w:type="pct"/>
            <w:shd w:val="clear" w:color="auto" w:fill="auto"/>
            <w:tcMar>
              <w:top w:w="57" w:type="dxa"/>
              <w:bottom w:w="57" w:type="dxa"/>
            </w:tcMar>
          </w:tcPr>
          <w:p w14:paraId="2D0A9471" w14:textId="77777777" w:rsidR="003B02D7" w:rsidRPr="00FD2055" w:rsidRDefault="003B02D7" w:rsidP="003B02D7">
            <w:pPr>
              <w:pStyle w:val="Standaard-Tabellen"/>
              <w:rPr>
                <w:rFonts w:eastAsia="Calibri"/>
              </w:rPr>
            </w:pPr>
            <w:r>
              <w:rPr>
                <w:rFonts w:eastAsia="Calibri"/>
              </w:rPr>
              <w:t>Non-professionals, adult</w:t>
            </w:r>
          </w:p>
        </w:tc>
        <w:tc>
          <w:tcPr>
            <w:tcW w:w="1941" w:type="pct"/>
            <w:tcMar>
              <w:top w:w="57" w:type="dxa"/>
              <w:bottom w:w="57" w:type="dxa"/>
            </w:tcMar>
          </w:tcPr>
          <w:p w14:paraId="09ED767D" w14:textId="77777777" w:rsidR="003B02D7" w:rsidRPr="00FD2055" w:rsidRDefault="003B02D7" w:rsidP="003B02D7">
            <w:pPr>
              <w:pStyle w:val="Standaard-Tabellen"/>
              <w:rPr>
                <w:rFonts w:eastAsia="Calibri"/>
              </w:rPr>
            </w:pPr>
            <w:r>
              <w:rPr>
                <w:rFonts w:eastAsia="Calibri"/>
              </w:rPr>
              <w:t>Tier 1, no PPE,</w:t>
            </w:r>
            <w:r w:rsidRPr="00FC31C2">
              <w:rPr>
                <w:rFonts w:eastAsia="Calibri"/>
              </w:rPr>
              <w:t xml:space="preserve"> Hand-mouth transfer reverse reference scenario</w:t>
            </w:r>
            <w:r>
              <w:rPr>
                <w:rFonts w:eastAsia="Calibri"/>
              </w:rPr>
              <w:t>, oral</w:t>
            </w:r>
          </w:p>
        </w:tc>
        <w:tc>
          <w:tcPr>
            <w:tcW w:w="897" w:type="pct"/>
            <w:shd w:val="clear" w:color="auto" w:fill="auto"/>
            <w:tcMar>
              <w:top w:w="57" w:type="dxa"/>
              <w:bottom w:w="57" w:type="dxa"/>
            </w:tcMar>
          </w:tcPr>
          <w:p w14:paraId="75E75F2A" w14:textId="6A96AB56" w:rsidR="003B02D7" w:rsidRPr="00FC31C2" w:rsidRDefault="003B02D7" w:rsidP="003B02D7">
            <w:pPr>
              <w:pStyle w:val="Standaard-Tabellen"/>
              <w:rPr>
                <w:rFonts w:eastAsia="Calibri"/>
                <w:szCs w:val="18"/>
              </w:rPr>
            </w:pPr>
            <w:r w:rsidRPr="00FC31C2">
              <w:rPr>
                <w:rFonts w:eastAsia="Calibri"/>
                <w:szCs w:val="18"/>
              </w:rPr>
              <w:t xml:space="preserve">up to </w:t>
            </w:r>
            <w:r>
              <w:rPr>
                <w:rFonts w:eastAsia="Calibri"/>
                <w:szCs w:val="18"/>
              </w:rPr>
              <w:t>3.57</w:t>
            </w:r>
            <w:r w:rsidRPr="00FC31C2">
              <w:rPr>
                <w:rFonts w:eastAsia="Calibri"/>
                <w:szCs w:val="18"/>
              </w:rPr>
              <w:t xml:space="preserve"> applications</w:t>
            </w:r>
          </w:p>
        </w:tc>
      </w:tr>
      <w:tr w:rsidR="003B02D7" w:rsidRPr="00FD2055" w14:paraId="50DCAEC9" w14:textId="77777777" w:rsidTr="003B02D7">
        <w:trPr>
          <w:tblHeader/>
        </w:trPr>
        <w:tc>
          <w:tcPr>
            <w:tcW w:w="663" w:type="pct"/>
            <w:tcMar>
              <w:top w:w="57" w:type="dxa"/>
              <w:bottom w:w="57" w:type="dxa"/>
            </w:tcMar>
          </w:tcPr>
          <w:p w14:paraId="13AD6F94"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7F9E453F" w14:textId="77777777" w:rsidR="003B02D7" w:rsidRPr="00FD2055" w:rsidRDefault="003B02D7" w:rsidP="003B02D7">
            <w:pPr>
              <w:pStyle w:val="Standaard-Tabellen"/>
              <w:rPr>
                <w:rFonts w:eastAsia="Calibri"/>
              </w:rPr>
            </w:pPr>
            <w:r>
              <w:rPr>
                <w:rFonts w:eastAsia="Calibri"/>
              </w:rPr>
              <w:t>Non-professionals, child</w:t>
            </w:r>
          </w:p>
        </w:tc>
        <w:tc>
          <w:tcPr>
            <w:tcW w:w="1941" w:type="pct"/>
            <w:tcMar>
              <w:top w:w="57" w:type="dxa"/>
              <w:bottom w:w="57" w:type="dxa"/>
            </w:tcMar>
          </w:tcPr>
          <w:p w14:paraId="75D382D6" w14:textId="77777777" w:rsidR="003B02D7" w:rsidRPr="00FD2055" w:rsidRDefault="003B02D7" w:rsidP="003B02D7">
            <w:pPr>
              <w:pStyle w:val="Standaard-Tabellen"/>
              <w:rPr>
                <w:rFonts w:eastAsia="Calibri"/>
              </w:rPr>
            </w:pPr>
            <w:r>
              <w:rPr>
                <w:rFonts w:eastAsia="Calibri"/>
              </w:rPr>
              <w:t>Tier 1, no PPE,</w:t>
            </w:r>
            <w:r w:rsidRPr="00FC31C2">
              <w:rPr>
                <w:rFonts w:eastAsia="Calibri"/>
              </w:rPr>
              <w:t xml:space="preserve"> Hand-mouth transfer reverse reference scenario</w:t>
            </w:r>
            <w:r>
              <w:rPr>
                <w:rFonts w:eastAsia="Calibri"/>
              </w:rPr>
              <w:t>, oral</w:t>
            </w:r>
          </w:p>
        </w:tc>
        <w:tc>
          <w:tcPr>
            <w:tcW w:w="897" w:type="pct"/>
            <w:shd w:val="clear" w:color="auto" w:fill="auto"/>
            <w:tcMar>
              <w:top w:w="57" w:type="dxa"/>
              <w:bottom w:w="57" w:type="dxa"/>
            </w:tcMar>
          </w:tcPr>
          <w:p w14:paraId="4E4F3CCF" w14:textId="6DCEA967" w:rsidR="003B02D7" w:rsidRPr="00FC31C2" w:rsidRDefault="003B02D7" w:rsidP="003B02D7">
            <w:pPr>
              <w:pStyle w:val="Standaard-Tabellen"/>
              <w:rPr>
                <w:rFonts w:eastAsia="Calibri"/>
                <w:szCs w:val="18"/>
              </w:rPr>
            </w:pPr>
            <w:r w:rsidRPr="00FC31C2">
              <w:rPr>
                <w:rFonts w:eastAsia="Calibri"/>
                <w:szCs w:val="18"/>
              </w:rPr>
              <w:t xml:space="preserve">up to </w:t>
            </w:r>
            <w:r>
              <w:rPr>
                <w:rFonts w:eastAsia="Calibri"/>
                <w:szCs w:val="18"/>
              </w:rPr>
              <w:t>2.99</w:t>
            </w:r>
            <w:r w:rsidRPr="00FC31C2">
              <w:rPr>
                <w:rFonts w:eastAsia="Calibri"/>
                <w:szCs w:val="18"/>
              </w:rPr>
              <w:t xml:space="preserve"> applications</w:t>
            </w:r>
          </w:p>
        </w:tc>
      </w:tr>
      <w:tr w:rsidR="003B02D7" w:rsidRPr="00FD2055" w14:paraId="3606B696" w14:textId="77777777" w:rsidTr="003B02D7">
        <w:trPr>
          <w:tblHeader/>
        </w:trPr>
        <w:tc>
          <w:tcPr>
            <w:tcW w:w="663" w:type="pct"/>
            <w:tcMar>
              <w:top w:w="57" w:type="dxa"/>
              <w:bottom w:w="57" w:type="dxa"/>
            </w:tcMar>
          </w:tcPr>
          <w:p w14:paraId="3D2A29D7"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1593E843" w14:textId="77777777" w:rsidR="003B02D7" w:rsidRPr="00FD2055" w:rsidRDefault="003B02D7" w:rsidP="003B02D7">
            <w:pPr>
              <w:pStyle w:val="Standaard-Tabellen"/>
              <w:rPr>
                <w:rFonts w:eastAsia="Calibri"/>
              </w:rPr>
            </w:pPr>
            <w:r>
              <w:rPr>
                <w:rFonts w:eastAsia="Calibri"/>
              </w:rPr>
              <w:t>Non-professionals, toddler</w:t>
            </w:r>
          </w:p>
        </w:tc>
        <w:tc>
          <w:tcPr>
            <w:tcW w:w="1941" w:type="pct"/>
            <w:tcMar>
              <w:top w:w="57" w:type="dxa"/>
              <w:bottom w:w="57" w:type="dxa"/>
            </w:tcMar>
          </w:tcPr>
          <w:p w14:paraId="66420CEF" w14:textId="77777777" w:rsidR="003B02D7" w:rsidRPr="00FD2055" w:rsidRDefault="003B02D7" w:rsidP="003B02D7">
            <w:pPr>
              <w:pStyle w:val="Standaard-Tabellen"/>
              <w:rPr>
                <w:rFonts w:eastAsia="Calibri"/>
              </w:rPr>
            </w:pPr>
            <w:r>
              <w:rPr>
                <w:rFonts w:eastAsia="Calibri"/>
              </w:rPr>
              <w:t>Tier 1, no PPE,</w:t>
            </w:r>
            <w:r w:rsidRPr="00FC31C2">
              <w:rPr>
                <w:rFonts w:eastAsia="Calibri"/>
              </w:rPr>
              <w:t xml:space="preserve"> Hand-mouth transfer reverse reference scenario</w:t>
            </w:r>
            <w:r>
              <w:rPr>
                <w:rFonts w:eastAsia="Calibri"/>
              </w:rPr>
              <w:t>, oral</w:t>
            </w:r>
          </w:p>
        </w:tc>
        <w:tc>
          <w:tcPr>
            <w:tcW w:w="897" w:type="pct"/>
            <w:shd w:val="clear" w:color="auto" w:fill="auto"/>
            <w:tcMar>
              <w:top w:w="57" w:type="dxa"/>
              <w:bottom w:w="57" w:type="dxa"/>
            </w:tcMar>
          </w:tcPr>
          <w:p w14:paraId="0EF70851" w14:textId="76023690" w:rsidR="003B02D7" w:rsidRPr="00FC31C2" w:rsidRDefault="003B02D7" w:rsidP="003B02D7">
            <w:pPr>
              <w:pStyle w:val="Standaard-Tabellen"/>
              <w:rPr>
                <w:rFonts w:eastAsia="Calibri"/>
                <w:szCs w:val="18"/>
              </w:rPr>
            </w:pPr>
            <w:r w:rsidRPr="00FC31C2">
              <w:rPr>
                <w:rFonts w:eastAsia="Calibri"/>
                <w:szCs w:val="18"/>
              </w:rPr>
              <w:t xml:space="preserve">up to </w:t>
            </w:r>
            <w:r>
              <w:rPr>
                <w:rFonts w:eastAsia="Calibri"/>
                <w:szCs w:val="18"/>
              </w:rPr>
              <w:t xml:space="preserve">1.72 </w:t>
            </w:r>
            <w:r w:rsidRPr="00FC31C2">
              <w:rPr>
                <w:rFonts w:eastAsia="Calibri"/>
                <w:szCs w:val="18"/>
              </w:rPr>
              <w:t>applications</w:t>
            </w:r>
          </w:p>
        </w:tc>
      </w:tr>
      <w:tr w:rsidR="003B02D7" w:rsidRPr="00FD2055" w14:paraId="5977523E" w14:textId="77777777" w:rsidTr="003B02D7">
        <w:trPr>
          <w:tblHeader/>
        </w:trPr>
        <w:tc>
          <w:tcPr>
            <w:tcW w:w="663" w:type="pct"/>
            <w:tcMar>
              <w:top w:w="57" w:type="dxa"/>
              <w:bottom w:w="57" w:type="dxa"/>
            </w:tcMar>
          </w:tcPr>
          <w:p w14:paraId="3A9763F2"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5CE21161" w14:textId="77777777" w:rsidR="003B02D7" w:rsidRPr="00FD2055" w:rsidRDefault="003B02D7" w:rsidP="003B02D7">
            <w:pPr>
              <w:pStyle w:val="Standaard-Tabellen"/>
              <w:rPr>
                <w:rFonts w:eastAsia="Calibri"/>
              </w:rPr>
            </w:pPr>
            <w:r>
              <w:rPr>
                <w:rFonts w:eastAsia="Calibri"/>
              </w:rPr>
              <w:t>Non-professionals, infant</w:t>
            </w:r>
          </w:p>
        </w:tc>
        <w:tc>
          <w:tcPr>
            <w:tcW w:w="1941" w:type="pct"/>
            <w:tcMar>
              <w:top w:w="57" w:type="dxa"/>
              <w:bottom w:w="57" w:type="dxa"/>
            </w:tcMar>
          </w:tcPr>
          <w:p w14:paraId="67C1A79A" w14:textId="77777777" w:rsidR="003B02D7" w:rsidRPr="00FD2055" w:rsidRDefault="003B02D7" w:rsidP="003B02D7">
            <w:pPr>
              <w:pStyle w:val="Standaard-Tabellen"/>
              <w:rPr>
                <w:rFonts w:eastAsia="Calibri"/>
              </w:rPr>
            </w:pPr>
            <w:r>
              <w:rPr>
                <w:rFonts w:eastAsia="Calibri"/>
              </w:rPr>
              <w:t>Tier 1, no PPE,</w:t>
            </w:r>
            <w:r w:rsidRPr="00FC31C2">
              <w:rPr>
                <w:rFonts w:eastAsia="Calibri"/>
              </w:rPr>
              <w:t xml:space="preserve"> Hand-mouth transfer reverse reference scenario</w:t>
            </w:r>
            <w:r>
              <w:rPr>
                <w:rFonts w:eastAsia="Calibri"/>
              </w:rPr>
              <w:t>, oral</w:t>
            </w:r>
          </w:p>
        </w:tc>
        <w:tc>
          <w:tcPr>
            <w:tcW w:w="897" w:type="pct"/>
            <w:shd w:val="clear" w:color="auto" w:fill="auto"/>
            <w:tcMar>
              <w:top w:w="57" w:type="dxa"/>
              <w:bottom w:w="57" w:type="dxa"/>
            </w:tcMar>
          </w:tcPr>
          <w:p w14:paraId="0B47B855" w14:textId="4A16DBE8" w:rsidR="003B02D7" w:rsidRPr="00FC31C2" w:rsidRDefault="003B02D7" w:rsidP="003B02D7">
            <w:pPr>
              <w:pStyle w:val="Standaard-Tabellen"/>
              <w:rPr>
                <w:rFonts w:eastAsia="Calibri"/>
                <w:szCs w:val="18"/>
              </w:rPr>
            </w:pPr>
            <w:r w:rsidRPr="00FC31C2">
              <w:rPr>
                <w:rFonts w:eastAsia="Calibri"/>
                <w:szCs w:val="18"/>
              </w:rPr>
              <w:t xml:space="preserve">up to </w:t>
            </w:r>
            <w:r>
              <w:rPr>
                <w:rFonts w:eastAsia="Calibri"/>
                <w:szCs w:val="18"/>
              </w:rPr>
              <w:t>1.38</w:t>
            </w:r>
            <w:r w:rsidRPr="00FC31C2">
              <w:rPr>
                <w:rFonts w:eastAsia="Calibri"/>
                <w:szCs w:val="18"/>
              </w:rPr>
              <w:t xml:space="preserve"> applications</w:t>
            </w:r>
          </w:p>
        </w:tc>
      </w:tr>
      <w:tr w:rsidR="009E572A" w:rsidRPr="00FD2055" w14:paraId="678144E6" w14:textId="77777777" w:rsidTr="003B02D7">
        <w:trPr>
          <w:tblHeader/>
        </w:trPr>
        <w:tc>
          <w:tcPr>
            <w:tcW w:w="663" w:type="pct"/>
            <w:tcMar>
              <w:top w:w="57" w:type="dxa"/>
              <w:bottom w:w="57" w:type="dxa"/>
            </w:tcMar>
          </w:tcPr>
          <w:p w14:paraId="519B0BA9" w14:textId="77777777" w:rsidR="009E572A" w:rsidRPr="00FD2055" w:rsidRDefault="009E572A" w:rsidP="009E572A">
            <w:pPr>
              <w:pStyle w:val="Standaard-Tabellen"/>
              <w:rPr>
                <w:rFonts w:eastAsia="Calibri"/>
              </w:rPr>
            </w:pPr>
            <w:r>
              <w:rPr>
                <w:rFonts w:eastAsia="Calibri"/>
              </w:rPr>
              <w:t>4.</w:t>
            </w:r>
          </w:p>
        </w:tc>
        <w:tc>
          <w:tcPr>
            <w:tcW w:w="1499" w:type="pct"/>
            <w:shd w:val="clear" w:color="auto" w:fill="auto"/>
            <w:tcMar>
              <w:top w:w="57" w:type="dxa"/>
              <w:bottom w:w="57" w:type="dxa"/>
            </w:tcMar>
          </w:tcPr>
          <w:p w14:paraId="441B24E4" w14:textId="77777777" w:rsidR="009E572A" w:rsidRPr="00FD2055" w:rsidRDefault="009E572A" w:rsidP="009E572A">
            <w:pPr>
              <w:pStyle w:val="Standaard-Tabellen"/>
              <w:rPr>
                <w:rFonts w:eastAsia="Calibri"/>
              </w:rPr>
            </w:pPr>
            <w:r>
              <w:rPr>
                <w:rFonts w:eastAsia="Calibri"/>
              </w:rPr>
              <w:t>Non-professionals, adult</w:t>
            </w:r>
          </w:p>
        </w:tc>
        <w:tc>
          <w:tcPr>
            <w:tcW w:w="1941" w:type="pct"/>
            <w:tcMar>
              <w:top w:w="57" w:type="dxa"/>
              <w:bottom w:w="57" w:type="dxa"/>
            </w:tcMar>
          </w:tcPr>
          <w:p w14:paraId="60631824" w14:textId="77777777" w:rsidR="009E572A" w:rsidRPr="00FD2055" w:rsidRDefault="009E572A" w:rsidP="009E572A">
            <w:pPr>
              <w:pStyle w:val="Standaard-Tabellen"/>
              <w:rPr>
                <w:rFonts w:eastAsia="Calibri"/>
              </w:rPr>
            </w:pPr>
            <w:r>
              <w:rPr>
                <w:rFonts w:eastAsia="Calibri"/>
              </w:rPr>
              <w:t>Tier 1, no PPE, inhal+oral, 9 appl/d</w:t>
            </w:r>
          </w:p>
        </w:tc>
        <w:tc>
          <w:tcPr>
            <w:tcW w:w="897" w:type="pct"/>
            <w:shd w:val="clear" w:color="auto" w:fill="auto"/>
            <w:tcMar>
              <w:top w:w="57" w:type="dxa"/>
              <w:bottom w:w="57" w:type="dxa"/>
            </w:tcMar>
          </w:tcPr>
          <w:p w14:paraId="54A20AB3" w14:textId="77777777" w:rsidR="009E572A" w:rsidRPr="0085669D" w:rsidRDefault="009E572A" w:rsidP="009E572A">
            <w:pPr>
              <w:pStyle w:val="Standaard-Tabellen"/>
              <w:rPr>
                <w:rFonts w:eastAsia="Calibri"/>
              </w:rPr>
            </w:pPr>
            <w:r>
              <w:rPr>
                <w:rFonts w:eastAsia="Calibri"/>
              </w:rPr>
              <w:t>0.</w:t>
            </w:r>
            <w:r w:rsidRPr="007A3D69">
              <w:rPr>
                <w:rFonts w:eastAsia="Calibri"/>
              </w:rPr>
              <w:t>02</w:t>
            </w:r>
            <w:r>
              <w:rPr>
                <w:rFonts w:eastAsia="Calibri"/>
              </w:rPr>
              <w:t>62</w:t>
            </w:r>
            <w:r w:rsidRPr="007A3D69">
              <w:rPr>
                <w:rFonts w:eastAsia="Calibri"/>
              </w:rPr>
              <w:t xml:space="preserve"> mg/kg bw</w:t>
            </w:r>
          </w:p>
        </w:tc>
      </w:tr>
      <w:tr w:rsidR="003B02D7" w:rsidRPr="00FD2055" w14:paraId="01C31DD9" w14:textId="77777777" w:rsidTr="003B02D7">
        <w:trPr>
          <w:tblHeader/>
        </w:trPr>
        <w:tc>
          <w:tcPr>
            <w:tcW w:w="663" w:type="pct"/>
            <w:tcMar>
              <w:top w:w="57" w:type="dxa"/>
              <w:bottom w:w="57" w:type="dxa"/>
            </w:tcMar>
          </w:tcPr>
          <w:p w14:paraId="653D1D85" w14:textId="77777777" w:rsidR="003B02D7" w:rsidRPr="00FD2055" w:rsidRDefault="003B02D7" w:rsidP="003B02D7">
            <w:pPr>
              <w:pStyle w:val="Standaard-Tabellen"/>
              <w:rPr>
                <w:rFonts w:eastAsia="Calibri"/>
              </w:rPr>
            </w:pPr>
            <w:r>
              <w:rPr>
                <w:rFonts w:eastAsia="Calibri"/>
              </w:rPr>
              <w:t>5.</w:t>
            </w:r>
          </w:p>
        </w:tc>
        <w:tc>
          <w:tcPr>
            <w:tcW w:w="1499" w:type="pct"/>
            <w:shd w:val="clear" w:color="auto" w:fill="auto"/>
            <w:tcMar>
              <w:top w:w="57" w:type="dxa"/>
              <w:bottom w:w="57" w:type="dxa"/>
            </w:tcMar>
          </w:tcPr>
          <w:p w14:paraId="74A25BB8" w14:textId="77777777" w:rsidR="003B02D7" w:rsidRPr="00FD2055" w:rsidRDefault="003B02D7" w:rsidP="003B02D7">
            <w:pPr>
              <w:pStyle w:val="Standaard-Tabellen"/>
              <w:rPr>
                <w:rFonts w:eastAsia="Calibri"/>
              </w:rPr>
            </w:pPr>
            <w:r>
              <w:rPr>
                <w:rFonts w:eastAsia="Calibri"/>
              </w:rPr>
              <w:t>Non-professionals, adult</w:t>
            </w:r>
          </w:p>
        </w:tc>
        <w:tc>
          <w:tcPr>
            <w:tcW w:w="1941" w:type="pct"/>
            <w:tcMar>
              <w:top w:w="57" w:type="dxa"/>
              <w:bottom w:w="57" w:type="dxa"/>
            </w:tcMar>
          </w:tcPr>
          <w:p w14:paraId="13A58AF9" w14:textId="77777777" w:rsidR="003B02D7" w:rsidRPr="00FD2055" w:rsidRDefault="003B02D7" w:rsidP="003B02D7">
            <w:pPr>
              <w:pStyle w:val="Standaard-Tabellen"/>
              <w:rPr>
                <w:rFonts w:eastAsia="Calibri"/>
              </w:rPr>
            </w:pPr>
            <w:r>
              <w:rPr>
                <w:rFonts w:eastAsia="Calibri"/>
              </w:rPr>
              <w:t xml:space="preserve">Tier 1 / no PPE </w:t>
            </w:r>
          </w:p>
        </w:tc>
        <w:tc>
          <w:tcPr>
            <w:tcW w:w="897" w:type="pct"/>
            <w:shd w:val="clear" w:color="auto" w:fill="auto"/>
            <w:tcMar>
              <w:top w:w="57" w:type="dxa"/>
              <w:bottom w:w="57" w:type="dxa"/>
            </w:tcMar>
          </w:tcPr>
          <w:p w14:paraId="50D11FF0" w14:textId="7D2DD309" w:rsidR="003B02D7" w:rsidRPr="00FD2055" w:rsidRDefault="003B02D7" w:rsidP="003B02D7">
            <w:pPr>
              <w:pStyle w:val="Standaard-Tabellen"/>
              <w:rPr>
                <w:rFonts w:eastAsia="Calibri"/>
              </w:rPr>
            </w:pPr>
            <w:r>
              <w:rPr>
                <w:rFonts w:eastAsia="Calibri"/>
              </w:rPr>
              <w:t>1.1</w:t>
            </w:r>
            <w:r w:rsidRPr="00B42BEF">
              <w:rPr>
                <w:rFonts w:eastAsia="Calibri"/>
              </w:rPr>
              <w:t xml:space="preserve"> mg/kg bw/day</w:t>
            </w:r>
          </w:p>
        </w:tc>
      </w:tr>
      <w:tr w:rsidR="003B02D7" w:rsidRPr="00FD2055" w14:paraId="7031DCA9" w14:textId="77777777" w:rsidTr="003B02D7">
        <w:trPr>
          <w:tblHeader/>
        </w:trPr>
        <w:tc>
          <w:tcPr>
            <w:tcW w:w="663" w:type="pct"/>
            <w:tcMar>
              <w:top w:w="57" w:type="dxa"/>
              <w:bottom w:w="57" w:type="dxa"/>
            </w:tcMar>
          </w:tcPr>
          <w:p w14:paraId="355CB146"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4009A10D" w14:textId="77777777" w:rsidR="003B02D7" w:rsidRPr="00FD2055" w:rsidRDefault="003B02D7" w:rsidP="003B02D7">
            <w:pPr>
              <w:pStyle w:val="Standaard-Tabellen"/>
              <w:rPr>
                <w:rFonts w:eastAsia="Calibri"/>
              </w:rPr>
            </w:pPr>
            <w:r>
              <w:rPr>
                <w:rFonts w:eastAsia="Calibri"/>
              </w:rPr>
              <w:t>Non-professionals, child</w:t>
            </w:r>
          </w:p>
        </w:tc>
        <w:tc>
          <w:tcPr>
            <w:tcW w:w="1941" w:type="pct"/>
            <w:tcMar>
              <w:top w:w="57" w:type="dxa"/>
              <w:bottom w:w="57" w:type="dxa"/>
            </w:tcMar>
          </w:tcPr>
          <w:p w14:paraId="4C74394D" w14:textId="77777777" w:rsidR="003B02D7" w:rsidRPr="00FD2055" w:rsidRDefault="003B02D7" w:rsidP="003B02D7">
            <w:pPr>
              <w:pStyle w:val="Standaard-Tabellen"/>
              <w:rPr>
                <w:rFonts w:eastAsia="Calibri"/>
              </w:rPr>
            </w:pPr>
            <w:r>
              <w:rPr>
                <w:rFonts w:eastAsia="Calibri"/>
              </w:rPr>
              <w:t xml:space="preserve">Tier 1 / </w:t>
            </w:r>
            <w:r w:rsidRPr="00B41694">
              <w:rPr>
                <w:rFonts w:eastAsia="Calibri"/>
              </w:rPr>
              <w:t>no PPE</w:t>
            </w:r>
          </w:p>
        </w:tc>
        <w:tc>
          <w:tcPr>
            <w:tcW w:w="897" w:type="pct"/>
            <w:shd w:val="clear" w:color="auto" w:fill="auto"/>
            <w:tcMar>
              <w:top w:w="57" w:type="dxa"/>
              <w:bottom w:w="57" w:type="dxa"/>
            </w:tcMar>
          </w:tcPr>
          <w:p w14:paraId="21C7270D" w14:textId="18CED06B" w:rsidR="003B02D7" w:rsidRPr="00FD2055" w:rsidRDefault="003B02D7" w:rsidP="003B02D7">
            <w:pPr>
              <w:pStyle w:val="Standaard-Tabellen"/>
              <w:rPr>
                <w:rFonts w:eastAsia="Calibri"/>
              </w:rPr>
            </w:pPr>
            <w:r>
              <w:rPr>
                <w:rFonts w:eastAsia="Calibri"/>
              </w:rPr>
              <w:t>1.4</w:t>
            </w:r>
            <w:r w:rsidRPr="00B42BEF">
              <w:rPr>
                <w:rFonts w:eastAsia="Calibri"/>
              </w:rPr>
              <w:t xml:space="preserve"> mg/kg bw/day</w:t>
            </w:r>
          </w:p>
        </w:tc>
      </w:tr>
      <w:tr w:rsidR="003B02D7" w:rsidRPr="00FD2055" w14:paraId="3D30621C" w14:textId="77777777" w:rsidTr="003B02D7">
        <w:trPr>
          <w:tblHeader/>
        </w:trPr>
        <w:tc>
          <w:tcPr>
            <w:tcW w:w="663" w:type="pct"/>
            <w:tcMar>
              <w:top w:w="57" w:type="dxa"/>
              <w:bottom w:w="57" w:type="dxa"/>
            </w:tcMar>
          </w:tcPr>
          <w:p w14:paraId="43EB2F6A"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3086BE44" w14:textId="77777777" w:rsidR="003B02D7" w:rsidRPr="00FD2055" w:rsidRDefault="003B02D7" w:rsidP="003B02D7">
            <w:pPr>
              <w:pStyle w:val="Standaard-Tabellen"/>
              <w:rPr>
                <w:rFonts w:eastAsia="Calibri"/>
              </w:rPr>
            </w:pPr>
            <w:r>
              <w:rPr>
                <w:rFonts w:eastAsia="Calibri"/>
              </w:rPr>
              <w:t>Non-professionals, toddler</w:t>
            </w:r>
          </w:p>
        </w:tc>
        <w:tc>
          <w:tcPr>
            <w:tcW w:w="1941" w:type="pct"/>
            <w:tcMar>
              <w:top w:w="57" w:type="dxa"/>
              <w:bottom w:w="57" w:type="dxa"/>
            </w:tcMar>
          </w:tcPr>
          <w:p w14:paraId="3C3DF87E" w14:textId="77777777" w:rsidR="003B02D7" w:rsidRPr="00FD2055" w:rsidRDefault="003B02D7" w:rsidP="003B02D7">
            <w:pPr>
              <w:pStyle w:val="Standaard-Tabellen"/>
              <w:rPr>
                <w:rFonts w:eastAsia="Calibri"/>
              </w:rPr>
            </w:pPr>
            <w:r>
              <w:rPr>
                <w:rFonts w:eastAsia="Calibri"/>
              </w:rPr>
              <w:t xml:space="preserve">Tier 1 / </w:t>
            </w:r>
            <w:r w:rsidRPr="00B41694">
              <w:rPr>
                <w:rFonts w:eastAsia="Calibri"/>
              </w:rPr>
              <w:t>no PPE</w:t>
            </w:r>
          </w:p>
        </w:tc>
        <w:tc>
          <w:tcPr>
            <w:tcW w:w="897" w:type="pct"/>
            <w:shd w:val="clear" w:color="auto" w:fill="auto"/>
            <w:tcMar>
              <w:top w:w="57" w:type="dxa"/>
              <w:bottom w:w="57" w:type="dxa"/>
            </w:tcMar>
          </w:tcPr>
          <w:p w14:paraId="3072BFAF" w14:textId="127DA2D8" w:rsidR="003B02D7" w:rsidRPr="00FD2055" w:rsidRDefault="003B02D7" w:rsidP="003B02D7">
            <w:pPr>
              <w:pStyle w:val="Standaard-Tabellen"/>
              <w:rPr>
                <w:rFonts w:eastAsia="Calibri"/>
              </w:rPr>
            </w:pPr>
            <w:r>
              <w:rPr>
                <w:rFonts w:eastAsia="Calibri"/>
              </w:rPr>
              <w:t>3.1</w:t>
            </w:r>
            <w:r w:rsidRPr="00B42BEF">
              <w:rPr>
                <w:rFonts w:eastAsia="Calibri"/>
              </w:rPr>
              <w:t xml:space="preserve"> mg/kg bw/day</w:t>
            </w:r>
          </w:p>
        </w:tc>
      </w:tr>
      <w:tr w:rsidR="003B02D7" w:rsidRPr="00FD2055" w14:paraId="5BFA997E" w14:textId="77777777" w:rsidTr="003B02D7">
        <w:trPr>
          <w:tblHeader/>
        </w:trPr>
        <w:tc>
          <w:tcPr>
            <w:tcW w:w="663" w:type="pct"/>
            <w:tcMar>
              <w:top w:w="57" w:type="dxa"/>
              <w:bottom w:w="57" w:type="dxa"/>
            </w:tcMar>
          </w:tcPr>
          <w:p w14:paraId="0430953B" w14:textId="77777777" w:rsidR="003B02D7" w:rsidRPr="00FD2055" w:rsidRDefault="003B02D7" w:rsidP="003B02D7">
            <w:pPr>
              <w:pStyle w:val="Standaard-Tabellen"/>
              <w:rPr>
                <w:rFonts w:eastAsia="Calibri"/>
              </w:rPr>
            </w:pPr>
          </w:p>
        </w:tc>
        <w:tc>
          <w:tcPr>
            <w:tcW w:w="1499" w:type="pct"/>
            <w:shd w:val="clear" w:color="auto" w:fill="auto"/>
            <w:tcMar>
              <w:top w:w="57" w:type="dxa"/>
              <w:bottom w:w="57" w:type="dxa"/>
            </w:tcMar>
          </w:tcPr>
          <w:p w14:paraId="56D9AFBB" w14:textId="77777777" w:rsidR="003B02D7" w:rsidRPr="00FD2055" w:rsidRDefault="003B02D7" w:rsidP="003B02D7">
            <w:pPr>
              <w:pStyle w:val="Standaard-Tabellen"/>
              <w:rPr>
                <w:rFonts w:eastAsia="Calibri"/>
              </w:rPr>
            </w:pPr>
            <w:r>
              <w:rPr>
                <w:rFonts w:eastAsia="Calibri"/>
              </w:rPr>
              <w:t>Non-professionals, infant</w:t>
            </w:r>
          </w:p>
        </w:tc>
        <w:tc>
          <w:tcPr>
            <w:tcW w:w="1941" w:type="pct"/>
            <w:tcMar>
              <w:top w:w="57" w:type="dxa"/>
              <w:bottom w:w="57" w:type="dxa"/>
            </w:tcMar>
          </w:tcPr>
          <w:p w14:paraId="783774B8" w14:textId="77777777" w:rsidR="003B02D7" w:rsidRPr="00FD2055" w:rsidRDefault="003B02D7" w:rsidP="003B02D7">
            <w:pPr>
              <w:pStyle w:val="Standaard-Tabellen"/>
              <w:rPr>
                <w:rFonts w:eastAsia="Calibri"/>
              </w:rPr>
            </w:pPr>
            <w:r>
              <w:rPr>
                <w:rFonts w:eastAsia="Calibri"/>
              </w:rPr>
              <w:t xml:space="preserve">Tier 1 / </w:t>
            </w:r>
            <w:r w:rsidRPr="00B41694">
              <w:rPr>
                <w:rFonts w:eastAsia="Calibri"/>
              </w:rPr>
              <w:t>no PPE</w:t>
            </w:r>
          </w:p>
        </w:tc>
        <w:tc>
          <w:tcPr>
            <w:tcW w:w="897" w:type="pct"/>
            <w:shd w:val="clear" w:color="auto" w:fill="auto"/>
            <w:tcMar>
              <w:top w:w="57" w:type="dxa"/>
              <w:bottom w:w="57" w:type="dxa"/>
            </w:tcMar>
          </w:tcPr>
          <w:p w14:paraId="0285A43E" w14:textId="4E74132A" w:rsidR="003B02D7" w:rsidRPr="00FD2055" w:rsidRDefault="003B02D7" w:rsidP="003B02D7">
            <w:pPr>
              <w:pStyle w:val="Standaard-Tabellen"/>
              <w:rPr>
                <w:rFonts w:eastAsia="Calibri"/>
              </w:rPr>
            </w:pPr>
            <w:r>
              <w:rPr>
                <w:rFonts w:eastAsia="Calibri"/>
              </w:rPr>
              <w:t>2.6</w:t>
            </w:r>
            <w:r w:rsidRPr="00B42BEF">
              <w:rPr>
                <w:rFonts w:eastAsia="Calibri"/>
              </w:rPr>
              <w:t xml:space="preserve"> mg/kg bw/day</w:t>
            </w:r>
          </w:p>
        </w:tc>
      </w:tr>
      <w:tr w:rsidR="009E572A" w:rsidRPr="00FD2055" w14:paraId="00036FE7" w14:textId="77777777" w:rsidTr="003B02D7">
        <w:trPr>
          <w:tblHeader/>
        </w:trPr>
        <w:tc>
          <w:tcPr>
            <w:tcW w:w="663" w:type="pct"/>
            <w:tcMar>
              <w:top w:w="57" w:type="dxa"/>
              <w:bottom w:w="57" w:type="dxa"/>
            </w:tcMar>
          </w:tcPr>
          <w:p w14:paraId="37DF4EBE" w14:textId="77777777" w:rsidR="009E572A" w:rsidRPr="00FD2055" w:rsidRDefault="009E572A" w:rsidP="009E572A">
            <w:pPr>
              <w:pStyle w:val="Standaard-Tabellen"/>
              <w:rPr>
                <w:rFonts w:eastAsia="Calibri"/>
              </w:rPr>
            </w:pPr>
            <w:r>
              <w:rPr>
                <w:rFonts w:eastAsia="Calibri"/>
              </w:rPr>
              <w:t>6.</w:t>
            </w:r>
          </w:p>
        </w:tc>
        <w:tc>
          <w:tcPr>
            <w:tcW w:w="1499" w:type="pct"/>
            <w:shd w:val="clear" w:color="auto" w:fill="auto"/>
            <w:tcMar>
              <w:top w:w="57" w:type="dxa"/>
              <w:bottom w:w="57" w:type="dxa"/>
            </w:tcMar>
          </w:tcPr>
          <w:p w14:paraId="0CDCA2F2" w14:textId="77777777" w:rsidR="009E572A" w:rsidRDefault="009E572A" w:rsidP="009E572A">
            <w:pPr>
              <w:pStyle w:val="Standaard-Tabellen"/>
              <w:rPr>
                <w:rFonts w:eastAsia="Calibri"/>
              </w:rPr>
            </w:pPr>
            <w:r>
              <w:rPr>
                <w:rFonts w:eastAsia="Calibri"/>
              </w:rPr>
              <w:t>Professionals</w:t>
            </w:r>
          </w:p>
        </w:tc>
        <w:tc>
          <w:tcPr>
            <w:tcW w:w="1941" w:type="pct"/>
            <w:tcMar>
              <w:top w:w="57" w:type="dxa"/>
              <w:bottom w:w="57" w:type="dxa"/>
            </w:tcMar>
          </w:tcPr>
          <w:p w14:paraId="0763E22D" w14:textId="77777777" w:rsidR="009E572A" w:rsidRDefault="009E572A" w:rsidP="009E572A">
            <w:pPr>
              <w:pStyle w:val="Standaard-Tabellen"/>
              <w:rPr>
                <w:rFonts w:eastAsia="Calibri"/>
              </w:rPr>
            </w:pPr>
            <w:r>
              <w:rPr>
                <w:rFonts w:eastAsia="Calibri"/>
              </w:rPr>
              <w:t xml:space="preserve">Tier 1 / </w:t>
            </w:r>
            <w:r w:rsidRPr="00B41694">
              <w:rPr>
                <w:rFonts w:eastAsia="Calibri"/>
              </w:rPr>
              <w:t>no PPE</w:t>
            </w:r>
          </w:p>
        </w:tc>
        <w:tc>
          <w:tcPr>
            <w:tcW w:w="897" w:type="pct"/>
            <w:shd w:val="clear" w:color="auto" w:fill="auto"/>
            <w:tcMar>
              <w:top w:w="57" w:type="dxa"/>
              <w:bottom w:w="57" w:type="dxa"/>
            </w:tcMar>
          </w:tcPr>
          <w:p w14:paraId="1DE89E09" w14:textId="77777777" w:rsidR="009E572A" w:rsidRPr="00FD2055" w:rsidRDefault="009E572A" w:rsidP="009E572A">
            <w:pPr>
              <w:pStyle w:val="Standaard-Tabellen"/>
              <w:rPr>
                <w:rFonts w:eastAsia="Calibri"/>
              </w:rPr>
            </w:pPr>
            <w:r>
              <w:rPr>
                <w:rFonts w:eastAsia="Calibri"/>
              </w:rPr>
              <w:t>8.5 mg/kg bw/d</w:t>
            </w:r>
          </w:p>
        </w:tc>
      </w:tr>
      <w:tr w:rsidR="009E572A" w:rsidRPr="00FD2055" w14:paraId="20364626" w14:textId="77777777" w:rsidTr="003B02D7">
        <w:trPr>
          <w:tblHeader/>
        </w:trPr>
        <w:tc>
          <w:tcPr>
            <w:tcW w:w="663" w:type="pct"/>
            <w:tcMar>
              <w:top w:w="57" w:type="dxa"/>
              <w:bottom w:w="57" w:type="dxa"/>
            </w:tcMar>
          </w:tcPr>
          <w:p w14:paraId="1EE89FFA" w14:textId="77777777" w:rsidR="009E572A" w:rsidRDefault="009E572A" w:rsidP="009E572A">
            <w:pPr>
              <w:pStyle w:val="Standaard-Tabellen"/>
              <w:rPr>
                <w:rFonts w:eastAsia="Calibri"/>
              </w:rPr>
            </w:pPr>
          </w:p>
        </w:tc>
        <w:tc>
          <w:tcPr>
            <w:tcW w:w="1499" w:type="pct"/>
            <w:shd w:val="clear" w:color="auto" w:fill="auto"/>
            <w:tcMar>
              <w:top w:w="57" w:type="dxa"/>
              <w:bottom w:w="57" w:type="dxa"/>
            </w:tcMar>
          </w:tcPr>
          <w:p w14:paraId="5D4DEFFE" w14:textId="77777777" w:rsidR="009E572A" w:rsidRDefault="009E572A" w:rsidP="009E572A">
            <w:pPr>
              <w:pStyle w:val="Standaard-Tabellen"/>
              <w:rPr>
                <w:rFonts w:eastAsia="Calibri"/>
              </w:rPr>
            </w:pPr>
            <w:r>
              <w:rPr>
                <w:rFonts w:eastAsia="Calibri"/>
              </w:rPr>
              <w:t>Professionals</w:t>
            </w:r>
          </w:p>
        </w:tc>
        <w:tc>
          <w:tcPr>
            <w:tcW w:w="1941" w:type="pct"/>
            <w:tcMar>
              <w:top w:w="57" w:type="dxa"/>
              <w:bottom w:w="57" w:type="dxa"/>
            </w:tcMar>
          </w:tcPr>
          <w:p w14:paraId="11FCD774" w14:textId="77777777" w:rsidR="009E572A" w:rsidRDefault="009E572A" w:rsidP="009E572A">
            <w:pPr>
              <w:pStyle w:val="Standaard-Tabellen"/>
              <w:rPr>
                <w:rFonts w:eastAsia="Calibri"/>
              </w:rPr>
            </w:pPr>
            <w:r>
              <w:rPr>
                <w:rFonts w:eastAsia="Calibri"/>
              </w:rPr>
              <w:t xml:space="preserve">Tier 2/ </w:t>
            </w:r>
            <w:r w:rsidRPr="00D371B6">
              <w:rPr>
                <w:rFonts w:eastAsia="Calibri"/>
              </w:rPr>
              <w:t>Uncoated cotton coverall</w:t>
            </w:r>
          </w:p>
        </w:tc>
        <w:tc>
          <w:tcPr>
            <w:tcW w:w="897" w:type="pct"/>
            <w:shd w:val="clear" w:color="auto" w:fill="auto"/>
            <w:tcMar>
              <w:top w:w="57" w:type="dxa"/>
              <w:bottom w:w="57" w:type="dxa"/>
            </w:tcMar>
          </w:tcPr>
          <w:p w14:paraId="2BE235CA" w14:textId="77777777" w:rsidR="009E572A" w:rsidRDefault="009E572A" w:rsidP="009E572A">
            <w:pPr>
              <w:pStyle w:val="Standaard-Tabellen"/>
              <w:rPr>
                <w:rFonts w:eastAsia="Calibri"/>
              </w:rPr>
            </w:pPr>
            <w:r>
              <w:rPr>
                <w:rFonts w:eastAsia="Calibri"/>
              </w:rPr>
              <w:t>2.</w:t>
            </w:r>
            <w:r w:rsidRPr="00D371B6">
              <w:rPr>
                <w:rFonts w:eastAsia="Calibri"/>
              </w:rPr>
              <w:t>25 mg/kg bw/d</w:t>
            </w:r>
          </w:p>
        </w:tc>
      </w:tr>
      <w:tr w:rsidR="009E572A" w:rsidRPr="00FD2055" w14:paraId="1317F269" w14:textId="77777777" w:rsidTr="003B02D7">
        <w:trPr>
          <w:tblHeader/>
        </w:trPr>
        <w:tc>
          <w:tcPr>
            <w:tcW w:w="663" w:type="pct"/>
            <w:tcMar>
              <w:top w:w="57" w:type="dxa"/>
              <w:bottom w:w="57" w:type="dxa"/>
            </w:tcMar>
          </w:tcPr>
          <w:p w14:paraId="5D2DE962" w14:textId="77777777" w:rsidR="009E572A" w:rsidRDefault="009E572A" w:rsidP="009E572A">
            <w:pPr>
              <w:pStyle w:val="Standaard-Tabellen"/>
              <w:rPr>
                <w:rFonts w:eastAsia="Calibri"/>
              </w:rPr>
            </w:pPr>
          </w:p>
        </w:tc>
        <w:tc>
          <w:tcPr>
            <w:tcW w:w="1499" w:type="pct"/>
            <w:shd w:val="clear" w:color="auto" w:fill="auto"/>
            <w:tcMar>
              <w:top w:w="57" w:type="dxa"/>
              <w:bottom w:w="57" w:type="dxa"/>
            </w:tcMar>
          </w:tcPr>
          <w:p w14:paraId="455F3CAD" w14:textId="77777777" w:rsidR="009E572A" w:rsidRDefault="009E572A" w:rsidP="009E572A">
            <w:pPr>
              <w:pStyle w:val="Standaard-Tabellen"/>
              <w:rPr>
                <w:rFonts w:eastAsia="Calibri"/>
              </w:rPr>
            </w:pPr>
            <w:r>
              <w:rPr>
                <w:rFonts w:eastAsia="Calibri"/>
              </w:rPr>
              <w:t>Professionals</w:t>
            </w:r>
          </w:p>
        </w:tc>
        <w:tc>
          <w:tcPr>
            <w:tcW w:w="1941" w:type="pct"/>
            <w:tcMar>
              <w:top w:w="57" w:type="dxa"/>
              <w:bottom w:w="57" w:type="dxa"/>
            </w:tcMar>
          </w:tcPr>
          <w:p w14:paraId="71A79E26" w14:textId="77777777" w:rsidR="009E572A" w:rsidRDefault="009E572A" w:rsidP="009E572A">
            <w:pPr>
              <w:pStyle w:val="Standaard-Tabellen"/>
              <w:rPr>
                <w:rFonts w:eastAsia="Calibri"/>
              </w:rPr>
            </w:pPr>
            <w:r>
              <w:rPr>
                <w:rFonts w:eastAsia="Calibri"/>
              </w:rPr>
              <w:t>Tier 3/</w:t>
            </w:r>
            <w:r>
              <w:t xml:space="preserve"> </w:t>
            </w:r>
            <w:r>
              <w:rPr>
                <w:rFonts w:eastAsia="Calibri"/>
              </w:rPr>
              <w:t>Uncoated cotton coverall and gloves</w:t>
            </w:r>
          </w:p>
        </w:tc>
        <w:tc>
          <w:tcPr>
            <w:tcW w:w="897" w:type="pct"/>
            <w:shd w:val="clear" w:color="auto" w:fill="auto"/>
            <w:tcMar>
              <w:top w:w="57" w:type="dxa"/>
              <w:bottom w:w="57" w:type="dxa"/>
            </w:tcMar>
          </w:tcPr>
          <w:p w14:paraId="466B07D3" w14:textId="77777777" w:rsidR="009E572A" w:rsidRPr="00FA4E1D" w:rsidRDefault="009E572A" w:rsidP="009E572A">
            <w:pPr>
              <w:pStyle w:val="Standaard-Tabellen"/>
              <w:rPr>
                <w:rFonts w:eastAsia="Calibri"/>
              </w:rPr>
            </w:pPr>
            <w:r>
              <w:rPr>
                <w:rFonts w:eastAsia="Calibri"/>
              </w:rPr>
              <w:t>2.1 mg/kg bw/d</w:t>
            </w:r>
          </w:p>
        </w:tc>
      </w:tr>
    </w:tbl>
    <w:p w14:paraId="18BB67EF" w14:textId="77777777" w:rsidR="009E572A" w:rsidRDefault="009E572A" w:rsidP="009E572A">
      <w:pPr>
        <w:rPr>
          <w:lang w:val="en-US" w:eastAsia="en-US"/>
        </w:rPr>
      </w:pPr>
    </w:p>
    <w:p w14:paraId="20250AE4" w14:textId="77777777" w:rsidR="00AE1B0E" w:rsidRPr="001B7765" w:rsidRDefault="00AE1B0E" w:rsidP="001B776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1B7765">
        <w:rPr>
          <w:rFonts w:eastAsia="Calibri"/>
          <w:b/>
          <w:lang w:eastAsia="en-US"/>
        </w:rPr>
        <w:t>MAJOR CHANGE FOR SPRAY REPULSIF IR200 – 2019 (FR CA)</w:t>
      </w:r>
    </w:p>
    <w:p w14:paraId="40DA541D" w14:textId="5440960F" w:rsidR="0000733D" w:rsidRPr="00AE1B0E" w:rsidRDefault="0000733D" w:rsidP="001B7765">
      <w:pPr>
        <w:widowControl w:val="0"/>
        <w:kinsoku w:val="0"/>
        <w:overflowPunct w:val="0"/>
        <w:autoSpaceDE w:val="0"/>
        <w:autoSpaceDN w:val="0"/>
        <w:adjustRightInd w:val="0"/>
        <w:spacing w:before="0" w:after="0"/>
        <w:ind w:right="216"/>
        <w:jc w:val="both"/>
        <w:textAlignment w:val="baseline"/>
        <w:rPr>
          <w:rFonts w:cs="Arial"/>
          <w:spacing w:val="1"/>
          <w:lang w:eastAsia="fr-FR"/>
        </w:rPr>
      </w:pPr>
    </w:p>
    <w:tbl>
      <w:tblPr>
        <w:tblW w:w="58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7"/>
        <w:gridCol w:w="2896"/>
        <w:gridCol w:w="2317"/>
        <w:gridCol w:w="2023"/>
      </w:tblGrid>
      <w:tr w:rsidR="00AE1B0E" w:rsidRPr="007E29F8" w14:paraId="290203E8" w14:textId="77777777" w:rsidTr="001B7765">
        <w:trPr>
          <w:tblHeader/>
          <w:jc w:val="center"/>
        </w:trPr>
        <w:tc>
          <w:tcPr>
            <w:tcW w:w="1709" w:type="pct"/>
            <w:shd w:val="clear" w:color="auto" w:fill="auto"/>
          </w:tcPr>
          <w:p w14:paraId="0890153B" w14:textId="77777777" w:rsidR="00AE1B0E" w:rsidRPr="007E29F8" w:rsidRDefault="00AE1B0E" w:rsidP="00AE1B0E">
            <w:pPr>
              <w:pStyle w:val="Standaard-Tabellen"/>
              <w:rPr>
                <w:rFonts w:eastAsia="Calibri"/>
                <w:b/>
              </w:rPr>
            </w:pPr>
            <w:r w:rsidRPr="007E29F8">
              <w:rPr>
                <w:rFonts w:eastAsia="Calibri"/>
                <w:b/>
              </w:rPr>
              <w:t>Scenario number</w:t>
            </w:r>
          </w:p>
        </w:tc>
        <w:tc>
          <w:tcPr>
            <w:tcW w:w="1317" w:type="pct"/>
            <w:shd w:val="clear" w:color="auto" w:fill="auto"/>
          </w:tcPr>
          <w:p w14:paraId="1A8B34D4" w14:textId="77777777" w:rsidR="00AE1B0E" w:rsidRPr="007E29F8" w:rsidRDefault="00AE1B0E" w:rsidP="00AE1B0E">
            <w:pPr>
              <w:pStyle w:val="Standaard-Tabellen"/>
              <w:rPr>
                <w:rFonts w:eastAsia="Calibri"/>
                <w:b/>
              </w:rPr>
            </w:pPr>
            <w:r w:rsidRPr="007E29F8">
              <w:rPr>
                <w:rFonts w:eastAsia="Calibri"/>
                <w:b/>
              </w:rPr>
              <w:t>Exposed group</w:t>
            </w:r>
          </w:p>
          <w:p w14:paraId="69766BED" w14:textId="77777777" w:rsidR="00AE1B0E" w:rsidRPr="007E29F8" w:rsidRDefault="00AE1B0E" w:rsidP="00AE1B0E">
            <w:pPr>
              <w:pStyle w:val="Standaard-Tabellen"/>
              <w:rPr>
                <w:rFonts w:eastAsia="Calibri"/>
                <w:b/>
              </w:rPr>
            </w:pPr>
          </w:p>
        </w:tc>
        <w:tc>
          <w:tcPr>
            <w:tcW w:w="1054" w:type="pct"/>
            <w:shd w:val="clear" w:color="auto" w:fill="auto"/>
          </w:tcPr>
          <w:p w14:paraId="7F1744CD" w14:textId="77777777" w:rsidR="00AE1B0E" w:rsidRPr="007E29F8" w:rsidRDefault="00AE1B0E" w:rsidP="00AE1B0E">
            <w:pPr>
              <w:pStyle w:val="Standaard-Tabellen"/>
              <w:rPr>
                <w:rFonts w:eastAsia="Calibri"/>
                <w:b/>
              </w:rPr>
            </w:pPr>
            <w:r w:rsidRPr="007E29F8">
              <w:rPr>
                <w:rFonts w:eastAsia="Calibri"/>
                <w:b/>
              </w:rPr>
              <w:t>Tier (number of applications)</w:t>
            </w:r>
          </w:p>
        </w:tc>
        <w:tc>
          <w:tcPr>
            <w:tcW w:w="920" w:type="pct"/>
            <w:shd w:val="clear" w:color="auto" w:fill="auto"/>
          </w:tcPr>
          <w:p w14:paraId="3AB76748" w14:textId="77777777" w:rsidR="00AE1B0E" w:rsidRPr="007E29F8" w:rsidRDefault="00AE1B0E" w:rsidP="00AE1B0E">
            <w:pPr>
              <w:pStyle w:val="Standaard-Tabellen"/>
              <w:rPr>
                <w:rFonts w:eastAsia="Calibri"/>
                <w:b/>
              </w:rPr>
            </w:pPr>
            <w:r w:rsidRPr="007E29F8">
              <w:rPr>
                <w:rFonts w:eastAsia="Calibri"/>
                <w:b/>
              </w:rPr>
              <w:t>Estimated total uptake (mg/kg bw/day)</w:t>
            </w:r>
          </w:p>
        </w:tc>
      </w:tr>
      <w:tr w:rsidR="00AE1B0E" w:rsidRPr="007E29F8" w14:paraId="6C7A6CEC" w14:textId="77777777" w:rsidTr="001B7765">
        <w:trPr>
          <w:tblHeader/>
          <w:jc w:val="center"/>
        </w:trPr>
        <w:tc>
          <w:tcPr>
            <w:tcW w:w="1709" w:type="pct"/>
            <w:shd w:val="clear" w:color="auto" w:fill="auto"/>
            <w:tcMar>
              <w:top w:w="57" w:type="dxa"/>
              <w:bottom w:w="57" w:type="dxa"/>
            </w:tcMar>
          </w:tcPr>
          <w:p w14:paraId="4D5CB173" w14:textId="77777777" w:rsidR="00AE1B0E" w:rsidRPr="007E29F8" w:rsidRDefault="00AE1B0E" w:rsidP="001B7765">
            <w:pPr>
              <w:pStyle w:val="Standaard-Tabellen"/>
              <w:ind w:right="-67"/>
              <w:rPr>
                <w:rFonts w:eastAsia="Calibri"/>
                <w:bCs w:val="0"/>
                <w:szCs w:val="18"/>
              </w:rPr>
            </w:pPr>
            <w:r w:rsidRPr="007E29F8">
              <w:rPr>
                <w:rFonts w:eastAsia="Calibri"/>
                <w:bCs w:val="0"/>
                <w:szCs w:val="18"/>
              </w:rPr>
              <w:t>1a: skin (mosquitoes, ticks)</w:t>
            </w:r>
          </w:p>
        </w:tc>
        <w:tc>
          <w:tcPr>
            <w:tcW w:w="1317" w:type="pct"/>
            <w:shd w:val="clear" w:color="auto" w:fill="auto"/>
            <w:tcMar>
              <w:top w:w="57" w:type="dxa"/>
              <w:bottom w:w="57" w:type="dxa"/>
            </w:tcMar>
            <w:vAlign w:val="center"/>
          </w:tcPr>
          <w:p w14:paraId="78105E44" w14:textId="77777777" w:rsidR="00AE1B0E" w:rsidRPr="007E29F8" w:rsidRDefault="00AE1B0E" w:rsidP="001B7765">
            <w:pPr>
              <w:pStyle w:val="Standaard-Tabellen"/>
              <w:rPr>
                <w:rFonts w:eastAsia="Calibri"/>
                <w:bCs w:val="0"/>
                <w:szCs w:val="18"/>
              </w:rPr>
            </w:pPr>
            <w:r w:rsidRPr="007E29F8">
              <w:rPr>
                <w:rFonts w:cs="Arial"/>
                <w:color w:val="000000"/>
                <w:szCs w:val="18"/>
                <w:lang w:eastAsia="fr-FR"/>
              </w:rPr>
              <w:t>Adult</w:t>
            </w:r>
          </w:p>
        </w:tc>
        <w:tc>
          <w:tcPr>
            <w:tcW w:w="1054" w:type="pct"/>
            <w:shd w:val="clear" w:color="auto" w:fill="auto"/>
            <w:tcMar>
              <w:top w:w="57" w:type="dxa"/>
              <w:bottom w:w="57" w:type="dxa"/>
            </w:tcMar>
            <w:vAlign w:val="center"/>
          </w:tcPr>
          <w:p w14:paraId="26FD6093" w14:textId="77777777" w:rsidR="00AE1B0E" w:rsidRPr="007E29F8" w:rsidRDefault="00AE1B0E" w:rsidP="001B7765">
            <w:pPr>
              <w:pStyle w:val="Standaard-Tabellen"/>
              <w:rPr>
                <w:rFonts w:eastAsia="Calibri"/>
                <w:bCs w:val="0"/>
                <w:szCs w:val="18"/>
              </w:rPr>
            </w:pPr>
            <w:r w:rsidRPr="007E29F8">
              <w:rPr>
                <w:rFonts w:cs="Arial"/>
                <w:bCs w:val="0"/>
                <w:spacing w:val="1"/>
                <w:szCs w:val="18"/>
                <w:lang w:eastAsia="fr-FR"/>
              </w:rPr>
              <w:t>Tier 1 (2 applications)</w:t>
            </w:r>
          </w:p>
        </w:tc>
        <w:tc>
          <w:tcPr>
            <w:tcW w:w="920" w:type="pct"/>
            <w:shd w:val="clear" w:color="auto" w:fill="auto"/>
            <w:tcMar>
              <w:top w:w="57" w:type="dxa"/>
              <w:bottom w:w="57" w:type="dxa"/>
            </w:tcMar>
            <w:vAlign w:val="center"/>
          </w:tcPr>
          <w:p w14:paraId="616EA345" w14:textId="7109260A" w:rsidR="00AE1B0E" w:rsidRPr="007E29F8" w:rsidRDefault="00AE1B0E" w:rsidP="001B7765">
            <w:pPr>
              <w:pStyle w:val="Standaard-Tabellen"/>
              <w:ind w:right="-65"/>
              <w:jc w:val="center"/>
              <w:rPr>
                <w:rFonts w:eastAsia="Calibri"/>
                <w:bCs w:val="0"/>
                <w:sz w:val="20"/>
                <w:szCs w:val="20"/>
              </w:rPr>
            </w:pPr>
            <w:r w:rsidRPr="007E29F8">
              <w:rPr>
                <w:rFonts w:cs="Calibri"/>
                <w:color w:val="000000"/>
              </w:rPr>
              <w:t>5.37</w:t>
            </w:r>
          </w:p>
        </w:tc>
      </w:tr>
      <w:tr w:rsidR="00AE1B0E" w:rsidRPr="007E29F8" w14:paraId="2CBC59CC" w14:textId="77777777" w:rsidTr="001B7765">
        <w:trPr>
          <w:tblHeader/>
          <w:jc w:val="center"/>
        </w:trPr>
        <w:tc>
          <w:tcPr>
            <w:tcW w:w="1709" w:type="pct"/>
            <w:shd w:val="clear" w:color="auto" w:fill="auto"/>
            <w:tcMar>
              <w:top w:w="57" w:type="dxa"/>
              <w:bottom w:w="57" w:type="dxa"/>
            </w:tcMar>
          </w:tcPr>
          <w:p w14:paraId="2FB1984A" w14:textId="77777777" w:rsidR="00AE1B0E" w:rsidRPr="007E29F8" w:rsidRDefault="00AE1B0E" w:rsidP="001B7765">
            <w:pPr>
              <w:widowControl w:val="0"/>
              <w:kinsoku w:val="0"/>
              <w:overflowPunct w:val="0"/>
              <w:autoSpaceDE w:val="0"/>
              <w:autoSpaceDN w:val="0"/>
              <w:adjustRightInd w:val="0"/>
              <w:spacing w:before="0" w:after="0"/>
              <w:ind w:right="-67"/>
              <w:textAlignment w:val="baseline"/>
              <w:rPr>
                <w:rFonts w:cs="Arial"/>
                <w:bCs/>
                <w:spacing w:val="1"/>
                <w:sz w:val="18"/>
                <w:szCs w:val="18"/>
                <w:lang w:eastAsia="fr-FR"/>
              </w:rPr>
            </w:pPr>
            <w:r w:rsidRPr="007E29F8">
              <w:rPr>
                <w:rFonts w:eastAsia="Calibri"/>
                <w:bCs/>
                <w:sz w:val="18"/>
                <w:szCs w:val="18"/>
              </w:rPr>
              <w:t>1a</w:t>
            </w:r>
            <w:r w:rsidRPr="007E29F8">
              <w:rPr>
                <w:rFonts w:eastAsia="Calibri"/>
                <w:bCs/>
                <w:szCs w:val="18"/>
              </w:rPr>
              <w:t xml:space="preserve">: </w:t>
            </w:r>
            <w:r w:rsidRPr="007E29F8">
              <w:rPr>
                <w:rFonts w:eastAsia="Calibri"/>
                <w:bCs/>
                <w:sz w:val="18"/>
                <w:szCs w:val="18"/>
              </w:rPr>
              <w:t>skin (mosquitoes, ticks)</w:t>
            </w:r>
          </w:p>
        </w:tc>
        <w:tc>
          <w:tcPr>
            <w:tcW w:w="1317" w:type="pct"/>
            <w:shd w:val="clear" w:color="auto" w:fill="auto"/>
            <w:tcMar>
              <w:top w:w="57" w:type="dxa"/>
              <w:bottom w:w="57" w:type="dxa"/>
            </w:tcMar>
            <w:vAlign w:val="center"/>
          </w:tcPr>
          <w:p w14:paraId="4B2C20C7"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color w:val="000000"/>
                <w:sz w:val="18"/>
                <w:szCs w:val="18"/>
                <w:lang w:eastAsia="fr-FR"/>
              </w:rPr>
              <w:t>Adult</w:t>
            </w:r>
          </w:p>
        </w:tc>
        <w:tc>
          <w:tcPr>
            <w:tcW w:w="1054" w:type="pct"/>
            <w:shd w:val="clear" w:color="auto" w:fill="auto"/>
            <w:tcMar>
              <w:top w:w="57" w:type="dxa"/>
              <w:bottom w:w="57" w:type="dxa"/>
            </w:tcMar>
            <w:vAlign w:val="center"/>
          </w:tcPr>
          <w:p w14:paraId="76F26096" w14:textId="77777777" w:rsidR="00AE1B0E" w:rsidRPr="007E29F8" w:rsidRDefault="00AE1B0E" w:rsidP="001B7765">
            <w:pPr>
              <w:widowControl w:val="0"/>
              <w:kinsoku w:val="0"/>
              <w:overflowPunct w:val="0"/>
              <w:autoSpaceDE w:val="0"/>
              <w:autoSpaceDN w:val="0"/>
              <w:adjustRightInd w:val="0"/>
              <w:spacing w:before="0" w:after="0"/>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shd w:val="clear" w:color="auto" w:fill="auto"/>
            <w:tcMar>
              <w:top w:w="57" w:type="dxa"/>
              <w:bottom w:w="57" w:type="dxa"/>
            </w:tcMar>
            <w:vAlign w:val="center"/>
          </w:tcPr>
          <w:p w14:paraId="4B7042B8" w14:textId="6E7CDF75"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rPr>
                <w:rFonts w:cs="Calibri"/>
                <w:color w:val="000000"/>
              </w:rPr>
              <w:t>2.68</w:t>
            </w:r>
          </w:p>
        </w:tc>
      </w:tr>
      <w:tr w:rsidR="00AE1B0E" w:rsidRPr="007E29F8" w14:paraId="386C951C" w14:textId="77777777" w:rsidTr="001B7765">
        <w:trPr>
          <w:tblHeader/>
          <w:jc w:val="center"/>
        </w:trPr>
        <w:tc>
          <w:tcPr>
            <w:tcW w:w="1709" w:type="pct"/>
            <w:shd w:val="clear" w:color="auto" w:fill="auto"/>
            <w:tcMar>
              <w:top w:w="57" w:type="dxa"/>
              <w:bottom w:w="57" w:type="dxa"/>
            </w:tcMar>
          </w:tcPr>
          <w:p w14:paraId="50CDAF7D" w14:textId="77777777" w:rsidR="00AE1B0E" w:rsidRPr="007E29F8" w:rsidRDefault="00AE1B0E" w:rsidP="001B7765">
            <w:pPr>
              <w:widowControl w:val="0"/>
              <w:kinsoku w:val="0"/>
              <w:overflowPunct w:val="0"/>
              <w:autoSpaceDE w:val="0"/>
              <w:autoSpaceDN w:val="0"/>
              <w:adjustRightInd w:val="0"/>
              <w:spacing w:before="0" w:after="0"/>
              <w:ind w:right="-67"/>
              <w:textAlignment w:val="baseline"/>
              <w:rPr>
                <w:rFonts w:cs="Arial"/>
                <w:bCs/>
                <w:spacing w:val="1"/>
                <w:sz w:val="18"/>
                <w:szCs w:val="18"/>
                <w:lang w:eastAsia="fr-FR"/>
              </w:rPr>
            </w:pPr>
            <w:r w:rsidRPr="007E29F8">
              <w:rPr>
                <w:rFonts w:eastAsia="Calibri"/>
                <w:bCs/>
                <w:sz w:val="18"/>
                <w:szCs w:val="18"/>
              </w:rPr>
              <w:t>1a</w:t>
            </w:r>
            <w:r w:rsidRPr="007E29F8">
              <w:rPr>
                <w:rFonts w:eastAsia="Calibri"/>
                <w:bCs/>
                <w:szCs w:val="18"/>
              </w:rPr>
              <w:t xml:space="preserve">: </w:t>
            </w:r>
            <w:r w:rsidRPr="007E29F8">
              <w:rPr>
                <w:rFonts w:eastAsia="Calibri"/>
                <w:bCs/>
                <w:sz w:val="18"/>
                <w:szCs w:val="18"/>
              </w:rPr>
              <w:t>skin (mosquitoes, ticks)</w:t>
            </w:r>
          </w:p>
        </w:tc>
        <w:tc>
          <w:tcPr>
            <w:tcW w:w="1317" w:type="pct"/>
            <w:shd w:val="clear" w:color="auto" w:fill="auto"/>
            <w:tcMar>
              <w:top w:w="57" w:type="dxa"/>
              <w:bottom w:w="57" w:type="dxa"/>
            </w:tcMar>
            <w:vAlign w:val="center"/>
          </w:tcPr>
          <w:p w14:paraId="7DD23A14"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color w:val="000000"/>
                <w:sz w:val="18"/>
                <w:szCs w:val="18"/>
                <w:lang w:eastAsia="fr-FR"/>
              </w:rPr>
              <w:t>Child (6 to &lt;12 years old)</w:t>
            </w:r>
          </w:p>
        </w:tc>
        <w:tc>
          <w:tcPr>
            <w:tcW w:w="1054" w:type="pct"/>
            <w:shd w:val="clear" w:color="auto" w:fill="auto"/>
            <w:tcMar>
              <w:top w:w="57" w:type="dxa"/>
              <w:bottom w:w="57" w:type="dxa"/>
            </w:tcMar>
            <w:vAlign w:val="center"/>
          </w:tcPr>
          <w:p w14:paraId="050B1225" w14:textId="77777777" w:rsidR="00AE1B0E" w:rsidRPr="007E29F8" w:rsidRDefault="00AE1B0E" w:rsidP="001B7765">
            <w:pPr>
              <w:widowControl w:val="0"/>
              <w:kinsoku w:val="0"/>
              <w:overflowPunct w:val="0"/>
              <w:autoSpaceDE w:val="0"/>
              <w:autoSpaceDN w:val="0"/>
              <w:adjustRightInd w:val="0"/>
              <w:spacing w:before="0" w:after="0"/>
              <w:textAlignment w:val="baseline"/>
              <w:rPr>
                <w:rFonts w:cs="Arial"/>
                <w:bCs/>
                <w:spacing w:val="1"/>
                <w:sz w:val="18"/>
                <w:szCs w:val="18"/>
                <w:lang w:eastAsia="fr-FR"/>
              </w:rPr>
            </w:pPr>
            <w:r w:rsidRPr="007E29F8">
              <w:rPr>
                <w:rFonts w:cs="Arial"/>
                <w:bCs/>
                <w:spacing w:val="1"/>
                <w:sz w:val="18"/>
                <w:szCs w:val="18"/>
                <w:lang w:eastAsia="fr-FR"/>
              </w:rPr>
              <w:t>Tier 1 (2 applications)</w:t>
            </w:r>
          </w:p>
        </w:tc>
        <w:tc>
          <w:tcPr>
            <w:tcW w:w="920" w:type="pct"/>
            <w:shd w:val="clear" w:color="auto" w:fill="auto"/>
            <w:tcMar>
              <w:top w:w="57" w:type="dxa"/>
              <w:bottom w:w="57" w:type="dxa"/>
            </w:tcMar>
            <w:vAlign w:val="center"/>
          </w:tcPr>
          <w:p w14:paraId="14C3D91B" w14:textId="4FB009FB"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rPr>
                <w:rFonts w:cs="Calibri"/>
                <w:color w:val="000000"/>
              </w:rPr>
              <w:t>7.16</w:t>
            </w:r>
          </w:p>
        </w:tc>
      </w:tr>
      <w:tr w:rsidR="00AE1B0E" w:rsidRPr="007E29F8" w14:paraId="45C9B88F" w14:textId="77777777" w:rsidTr="001B7765">
        <w:trPr>
          <w:tblHeader/>
          <w:jc w:val="center"/>
        </w:trPr>
        <w:tc>
          <w:tcPr>
            <w:tcW w:w="1709" w:type="pct"/>
            <w:shd w:val="clear" w:color="auto" w:fill="auto"/>
            <w:tcMar>
              <w:top w:w="57" w:type="dxa"/>
              <w:bottom w:w="57" w:type="dxa"/>
            </w:tcMar>
          </w:tcPr>
          <w:p w14:paraId="38A124C5" w14:textId="77777777" w:rsidR="00AE1B0E" w:rsidRPr="007E29F8" w:rsidRDefault="00AE1B0E" w:rsidP="001B7765">
            <w:pPr>
              <w:widowControl w:val="0"/>
              <w:kinsoku w:val="0"/>
              <w:overflowPunct w:val="0"/>
              <w:autoSpaceDE w:val="0"/>
              <w:autoSpaceDN w:val="0"/>
              <w:adjustRightInd w:val="0"/>
              <w:spacing w:before="0" w:after="0"/>
              <w:ind w:right="-67"/>
              <w:textAlignment w:val="baseline"/>
              <w:rPr>
                <w:rFonts w:cs="Arial"/>
                <w:bCs/>
                <w:spacing w:val="1"/>
                <w:sz w:val="18"/>
                <w:szCs w:val="18"/>
                <w:lang w:eastAsia="fr-FR"/>
              </w:rPr>
            </w:pPr>
            <w:r w:rsidRPr="007E29F8">
              <w:rPr>
                <w:rFonts w:eastAsia="Calibri"/>
                <w:bCs/>
                <w:sz w:val="18"/>
                <w:szCs w:val="18"/>
              </w:rPr>
              <w:t>1a</w:t>
            </w:r>
            <w:r w:rsidRPr="007E29F8">
              <w:rPr>
                <w:rFonts w:eastAsia="Calibri"/>
                <w:bCs/>
                <w:szCs w:val="18"/>
              </w:rPr>
              <w:t xml:space="preserve">: </w:t>
            </w:r>
            <w:r w:rsidRPr="007E29F8">
              <w:rPr>
                <w:rFonts w:eastAsia="Calibri"/>
                <w:bCs/>
                <w:sz w:val="18"/>
                <w:szCs w:val="18"/>
              </w:rPr>
              <w:t>skin (mosquitoes, ticks)</w:t>
            </w:r>
          </w:p>
        </w:tc>
        <w:tc>
          <w:tcPr>
            <w:tcW w:w="1317" w:type="pct"/>
            <w:shd w:val="clear" w:color="auto" w:fill="auto"/>
            <w:tcMar>
              <w:top w:w="57" w:type="dxa"/>
              <w:bottom w:w="57" w:type="dxa"/>
            </w:tcMar>
            <w:vAlign w:val="center"/>
          </w:tcPr>
          <w:p w14:paraId="190C6BFD"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color w:val="000000"/>
                <w:sz w:val="18"/>
                <w:szCs w:val="18"/>
                <w:lang w:eastAsia="fr-FR"/>
              </w:rPr>
              <w:t>Child (6 to &lt;12 years old)</w:t>
            </w:r>
          </w:p>
        </w:tc>
        <w:tc>
          <w:tcPr>
            <w:tcW w:w="1054" w:type="pct"/>
            <w:shd w:val="clear" w:color="auto" w:fill="auto"/>
            <w:tcMar>
              <w:top w:w="57" w:type="dxa"/>
              <w:bottom w:w="57" w:type="dxa"/>
            </w:tcMar>
            <w:vAlign w:val="center"/>
          </w:tcPr>
          <w:p w14:paraId="0C979B43" w14:textId="77777777" w:rsidR="00AE1B0E" w:rsidRPr="007E29F8" w:rsidRDefault="00AE1B0E" w:rsidP="001B7765">
            <w:pPr>
              <w:widowControl w:val="0"/>
              <w:kinsoku w:val="0"/>
              <w:overflowPunct w:val="0"/>
              <w:autoSpaceDE w:val="0"/>
              <w:autoSpaceDN w:val="0"/>
              <w:adjustRightInd w:val="0"/>
              <w:spacing w:before="0" w:after="0"/>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shd w:val="clear" w:color="auto" w:fill="auto"/>
            <w:tcMar>
              <w:top w:w="57" w:type="dxa"/>
              <w:bottom w:w="57" w:type="dxa"/>
            </w:tcMar>
            <w:vAlign w:val="center"/>
          </w:tcPr>
          <w:p w14:paraId="2F2BFE5B" w14:textId="382E2C42"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rPr>
                <w:rFonts w:cs="Calibri"/>
                <w:color w:val="000000"/>
              </w:rPr>
              <w:t>3.58</w:t>
            </w:r>
          </w:p>
        </w:tc>
      </w:tr>
      <w:tr w:rsidR="00AE1B0E" w:rsidRPr="007E29F8" w14:paraId="7B7A3AEB" w14:textId="77777777" w:rsidTr="001B7765">
        <w:trPr>
          <w:tblHeader/>
          <w:jc w:val="center"/>
        </w:trPr>
        <w:tc>
          <w:tcPr>
            <w:tcW w:w="1709" w:type="pct"/>
            <w:shd w:val="clear" w:color="auto" w:fill="auto"/>
            <w:tcMar>
              <w:top w:w="57" w:type="dxa"/>
              <w:bottom w:w="57" w:type="dxa"/>
            </w:tcMar>
          </w:tcPr>
          <w:p w14:paraId="66BA1512" w14:textId="77777777" w:rsidR="00AE1B0E" w:rsidRPr="007E29F8" w:rsidRDefault="00AE1B0E" w:rsidP="001B7765">
            <w:pPr>
              <w:widowControl w:val="0"/>
              <w:kinsoku w:val="0"/>
              <w:overflowPunct w:val="0"/>
              <w:autoSpaceDE w:val="0"/>
              <w:autoSpaceDN w:val="0"/>
              <w:adjustRightInd w:val="0"/>
              <w:spacing w:before="0" w:after="0"/>
              <w:ind w:right="-67"/>
              <w:textAlignment w:val="baseline"/>
              <w:rPr>
                <w:rFonts w:cs="Arial"/>
                <w:bCs/>
                <w:spacing w:val="1"/>
                <w:sz w:val="18"/>
                <w:szCs w:val="18"/>
                <w:lang w:eastAsia="fr-FR"/>
              </w:rPr>
            </w:pPr>
            <w:r w:rsidRPr="007E29F8">
              <w:rPr>
                <w:rFonts w:eastAsia="Calibri"/>
                <w:bCs/>
                <w:sz w:val="18"/>
                <w:szCs w:val="18"/>
              </w:rPr>
              <w:t>1a</w:t>
            </w:r>
            <w:r w:rsidRPr="007E29F8">
              <w:rPr>
                <w:rFonts w:eastAsia="Calibri"/>
                <w:bCs/>
                <w:szCs w:val="18"/>
              </w:rPr>
              <w:t xml:space="preserve">: </w:t>
            </w:r>
            <w:r w:rsidRPr="007E29F8">
              <w:rPr>
                <w:rFonts w:eastAsia="Calibri"/>
                <w:bCs/>
                <w:sz w:val="18"/>
                <w:szCs w:val="18"/>
              </w:rPr>
              <w:t>skin (mosquitoes, ticks)</w:t>
            </w:r>
          </w:p>
        </w:tc>
        <w:tc>
          <w:tcPr>
            <w:tcW w:w="1317" w:type="pct"/>
            <w:shd w:val="clear" w:color="auto" w:fill="auto"/>
            <w:tcMar>
              <w:top w:w="57" w:type="dxa"/>
              <w:bottom w:w="57" w:type="dxa"/>
            </w:tcMar>
            <w:vAlign w:val="center"/>
          </w:tcPr>
          <w:p w14:paraId="0BC74C8D"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color w:val="000000"/>
                <w:sz w:val="18"/>
                <w:szCs w:val="18"/>
                <w:lang w:eastAsia="fr-FR"/>
              </w:rPr>
              <w:t>Child (2 to &lt;6 years old)</w:t>
            </w:r>
          </w:p>
        </w:tc>
        <w:tc>
          <w:tcPr>
            <w:tcW w:w="1054" w:type="pct"/>
            <w:shd w:val="clear" w:color="auto" w:fill="auto"/>
            <w:tcMar>
              <w:top w:w="57" w:type="dxa"/>
              <w:bottom w:w="57" w:type="dxa"/>
            </w:tcMar>
            <w:vAlign w:val="center"/>
          </w:tcPr>
          <w:p w14:paraId="77D07E1C" w14:textId="77777777" w:rsidR="00AE1B0E" w:rsidRPr="007E29F8" w:rsidRDefault="00AE1B0E" w:rsidP="001B7765">
            <w:pPr>
              <w:widowControl w:val="0"/>
              <w:kinsoku w:val="0"/>
              <w:overflowPunct w:val="0"/>
              <w:autoSpaceDE w:val="0"/>
              <w:autoSpaceDN w:val="0"/>
              <w:adjustRightInd w:val="0"/>
              <w:spacing w:before="0" w:after="0"/>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shd w:val="clear" w:color="auto" w:fill="auto"/>
            <w:tcMar>
              <w:top w:w="57" w:type="dxa"/>
              <w:bottom w:w="57" w:type="dxa"/>
            </w:tcMar>
            <w:vAlign w:val="center"/>
          </w:tcPr>
          <w:p w14:paraId="1482DD8E" w14:textId="590E3A89"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rPr>
                <w:rFonts w:cs="Calibri"/>
                <w:color w:val="000000"/>
              </w:rPr>
              <w:t>4.07</w:t>
            </w:r>
          </w:p>
        </w:tc>
      </w:tr>
      <w:tr w:rsidR="00AE1B0E" w:rsidRPr="007E29F8" w14:paraId="49ACD53B" w14:textId="77777777" w:rsidTr="001B7765">
        <w:trPr>
          <w:tblHeader/>
          <w:jc w:val="center"/>
        </w:trPr>
        <w:tc>
          <w:tcPr>
            <w:tcW w:w="1709" w:type="pct"/>
            <w:shd w:val="clear" w:color="auto" w:fill="auto"/>
            <w:tcMar>
              <w:top w:w="57" w:type="dxa"/>
              <w:bottom w:w="57" w:type="dxa"/>
            </w:tcMar>
          </w:tcPr>
          <w:p w14:paraId="1B333B44" w14:textId="77777777" w:rsidR="00AE1B0E" w:rsidRPr="007E29F8" w:rsidRDefault="00AE1B0E" w:rsidP="001B7765">
            <w:pPr>
              <w:widowControl w:val="0"/>
              <w:kinsoku w:val="0"/>
              <w:overflowPunct w:val="0"/>
              <w:autoSpaceDE w:val="0"/>
              <w:autoSpaceDN w:val="0"/>
              <w:adjustRightInd w:val="0"/>
              <w:spacing w:before="0" w:after="0"/>
              <w:ind w:right="-67"/>
              <w:textAlignment w:val="baseline"/>
              <w:rPr>
                <w:rFonts w:cs="Arial"/>
                <w:bCs/>
                <w:spacing w:val="1"/>
                <w:sz w:val="18"/>
                <w:szCs w:val="18"/>
                <w:lang w:eastAsia="fr-FR"/>
              </w:rPr>
            </w:pPr>
            <w:r w:rsidRPr="007E29F8">
              <w:rPr>
                <w:rFonts w:eastAsia="Calibri"/>
                <w:bCs/>
                <w:sz w:val="18"/>
                <w:szCs w:val="18"/>
              </w:rPr>
              <w:t>1a</w:t>
            </w:r>
            <w:r w:rsidRPr="007E29F8">
              <w:rPr>
                <w:rFonts w:eastAsia="Calibri"/>
                <w:bCs/>
                <w:szCs w:val="18"/>
              </w:rPr>
              <w:t xml:space="preserve">: </w:t>
            </w:r>
            <w:r w:rsidRPr="007E29F8">
              <w:rPr>
                <w:rFonts w:eastAsia="Calibri"/>
                <w:bCs/>
                <w:sz w:val="18"/>
                <w:szCs w:val="18"/>
              </w:rPr>
              <w:t>skin (mosquitoes, ticks)</w:t>
            </w:r>
          </w:p>
        </w:tc>
        <w:tc>
          <w:tcPr>
            <w:tcW w:w="1317" w:type="pct"/>
            <w:shd w:val="clear" w:color="auto" w:fill="auto"/>
            <w:tcMar>
              <w:top w:w="57" w:type="dxa"/>
              <w:bottom w:w="57" w:type="dxa"/>
            </w:tcMar>
            <w:vAlign w:val="center"/>
          </w:tcPr>
          <w:p w14:paraId="177556C7"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color w:val="000000"/>
                <w:sz w:val="18"/>
                <w:szCs w:val="18"/>
                <w:lang w:eastAsia="fr-FR"/>
              </w:rPr>
              <w:t>Toddler (1 to &lt;2 years old)</w:t>
            </w:r>
          </w:p>
        </w:tc>
        <w:tc>
          <w:tcPr>
            <w:tcW w:w="1054" w:type="pct"/>
            <w:shd w:val="clear" w:color="auto" w:fill="auto"/>
            <w:tcMar>
              <w:top w:w="57" w:type="dxa"/>
              <w:bottom w:w="57" w:type="dxa"/>
            </w:tcMar>
            <w:vAlign w:val="center"/>
          </w:tcPr>
          <w:p w14:paraId="0B8ED72E" w14:textId="77777777" w:rsidR="00AE1B0E" w:rsidRPr="007E29F8" w:rsidRDefault="00AE1B0E" w:rsidP="001B7765">
            <w:pPr>
              <w:widowControl w:val="0"/>
              <w:kinsoku w:val="0"/>
              <w:overflowPunct w:val="0"/>
              <w:autoSpaceDE w:val="0"/>
              <w:autoSpaceDN w:val="0"/>
              <w:adjustRightInd w:val="0"/>
              <w:spacing w:before="0" w:after="0"/>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shd w:val="clear" w:color="auto" w:fill="auto"/>
            <w:tcMar>
              <w:top w:w="57" w:type="dxa"/>
              <w:bottom w:w="57" w:type="dxa"/>
            </w:tcMar>
            <w:vAlign w:val="center"/>
          </w:tcPr>
          <w:p w14:paraId="01E1ACBF" w14:textId="211A71A5"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rPr>
                <w:rFonts w:cs="Calibri"/>
                <w:color w:val="000000"/>
              </w:rPr>
              <w:t>4.50</w:t>
            </w:r>
          </w:p>
        </w:tc>
      </w:tr>
      <w:tr w:rsidR="00AE1B0E" w:rsidRPr="007E29F8" w14:paraId="2FF028E6" w14:textId="77777777" w:rsidTr="001B7765">
        <w:trPr>
          <w:tblHeader/>
          <w:jc w:val="center"/>
        </w:trPr>
        <w:tc>
          <w:tcPr>
            <w:tcW w:w="1709" w:type="pct"/>
            <w:tcBorders>
              <w:bottom w:val="double" w:sz="4" w:space="0" w:color="auto"/>
            </w:tcBorders>
            <w:shd w:val="clear" w:color="auto" w:fill="auto"/>
            <w:tcMar>
              <w:top w:w="57" w:type="dxa"/>
              <w:bottom w:w="57" w:type="dxa"/>
            </w:tcMar>
          </w:tcPr>
          <w:p w14:paraId="067D1AF8" w14:textId="77777777" w:rsidR="00AE1B0E" w:rsidRPr="007E29F8" w:rsidRDefault="00AE1B0E" w:rsidP="001B7765">
            <w:pPr>
              <w:widowControl w:val="0"/>
              <w:kinsoku w:val="0"/>
              <w:overflowPunct w:val="0"/>
              <w:autoSpaceDE w:val="0"/>
              <w:autoSpaceDN w:val="0"/>
              <w:adjustRightInd w:val="0"/>
              <w:spacing w:before="0" w:after="0"/>
              <w:ind w:right="-67"/>
              <w:textAlignment w:val="baseline"/>
              <w:rPr>
                <w:rFonts w:cs="Arial"/>
                <w:bCs/>
                <w:spacing w:val="1"/>
                <w:sz w:val="18"/>
                <w:szCs w:val="18"/>
                <w:lang w:eastAsia="fr-FR"/>
              </w:rPr>
            </w:pPr>
            <w:r w:rsidRPr="007E29F8">
              <w:rPr>
                <w:rFonts w:eastAsia="Calibri"/>
                <w:bCs/>
                <w:sz w:val="18"/>
                <w:szCs w:val="18"/>
              </w:rPr>
              <w:t>1a</w:t>
            </w:r>
            <w:r w:rsidRPr="007E29F8">
              <w:rPr>
                <w:rFonts w:eastAsia="Calibri"/>
                <w:bCs/>
                <w:szCs w:val="18"/>
              </w:rPr>
              <w:t xml:space="preserve">: </w:t>
            </w:r>
            <w:r w:rsidRPr="007E29F8">
              <w:rPr>
                <w:rFonts w:eastAsia="Calibri"/>
                <w:bCs/>
                <w:sz w:val="18"/>
                <w:szCs w:val="18"/>
              </w:rPr>
              <w:t>skin (mosquitoes, ticks)</w:t>
            </w:r>
          </w:p>
        </w:tc>
        <w:tc>
          <w:tcPr>
            <w:tcW w:w="1317" w:type="pct"/>
            <w:tcBorders>
              <w:bottom w:val="double" w:sz="4" w:space="0" w:color="auto"/>
            </w:tcBorders>
            <w:shd w:val="clear" w:color="auto" w:fill="auto"/>
            <w:tcMar>
              <w:top w:w="57" w:type="dxa"/>
              <w:bottom w:w="57" w:type="dxa"/>
            </w:tcMar>
            <w:vAlign w:val="center"/>
          </w:tcPr>
          <w:p w14:paraId="0880611B"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color w:val="000000"/>
                <w:sz w:val="18"/>
                <w:szCs w:val="18"/>
                <w:lang w:eastAsia="fr-FR"/>
              </w:rPr>
              <w:t>Infant (&lt;1 year old)</w:t>
            </w:r>
          </w:p>
        </w:tc>
        <w:tc>
          <w:tcPr>
            <w:tcW w:w="1054" w:type="pct"/>
            <w:tcBorders>
              <w:bottom w:val="double" w:sz="4" w:space="0" w:color="auto"/>
            </w:tcBorders>
            <w:shd w:val="clear" w:color="auto" w:fill="auto"/>
            <w:tcMar>
              <w:top w:w="57" w:type="dxa"/>
              <w:bottom w:w="57" w:type="dxa"/>
            </w:tcMar>
            <w:vAlign w:val="center"/>
          </w:tcPr>
          <w:p w14:paraId="401A0773" w14:textId="77777777" w:rsidR="00AE1B0E" w:rsidRPr="007E29F8" w:rsidRDefault="00AE1B0E" w:rsidP="001B7765">
            <w:pPr>
              <w:widowControl w:val="0"/>
              <w:kinsoku w:val="0"/>
              <w:overflowPunct w:val="0"/>
              <w:autoSpaceDE w:val="0"/>
              <w:autoSpaceDN w:val="0"/>
              <w:adjustRightInd w:val="0"/>
              <w:spacing w:before="0" w:after="0"/>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tcBorders>
              <w:bottom w:val="double" w:sz="4" w:space="0" w:color="auto"/>
            </w:tcBorders>
            <w:shd w:val="clear" w:color="auto" w:fill="auto"/>
            <w:tcMar>
              <w:top w:w="57" w:type="dxa"/>
              <w:bottom w:w="57" w:type="dxa"/>
            </w:tcMar>
            <w:vAlign w:val="center"/>
          </w:tcPr>
          <w:p w14:paraId="419C9AEC" w14:textId="58218BE5"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rPr>
                <w:rFonts w:cs="Calibri"/>
                <w:color w:val="000000"/>
              </w:rPr>
              <w:t>4.80</w:t>
            </w:r>
          </w:p>
        </w:tc>
      </w:tr>
      <w:tr w:rsidR="00AE1B0E" w:rsidRPr="007E29F8" w14:paraId="0AAAB202" w14:textId="77777777" w:rsidTr="001B7765">
        <w:trPr>
          <w:tblHeader/>
          <w:jc w:val="center"/>
        </w:trPr>
        <w:tc>
          <w:tcPr>
            <w:tcW w:w="1709" w:type="pct"/>
            <w:tcBorders>
              <w:top w:val="double" w:sz="4" w:space="0" w:color="auto"/>
            </w:tcBorders>
            <w:shd w:val="clear" w:color="auto" w:fill="auto"/>
            <w:tcMar>
              <w:top w:w="57" w:type="dxa"/>
              <w:bottom w:w="57" w:type="dxa"/>
            </w:tcMar>
          </w:tcPr>
          <w:p w14:paraId="428AE3D8"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lang w:eastAsia="fr-FR"/>
              </w:rPr>
            </w:pPr>
            <w:r w:rsidRPr="007E29F8">
              <w:rPr>
                <w:rFonts w:cs="Arial"/>
                <w:bCs/>
                <w:spacing w:val="1"/>
                <w:sz w:val="18"/>
                <w:lang w:eastAsia="fr-FR"/>
              </w:rPr>
              <w:t>1b: skin (mosquitoes)</w:t>
            </w:r>
          </w:p>
        </w:tc>
        <w:tc>
          <w:tcPr>
            <w:tcW w:w="1317" w:type="pct"/>
            <w:tcBorders>
              <w:top w:val="double" w:sz="4" w:space="0" w:color="auto"/>
            </w:tcBorders>
            <w:shd w:val="clear" w:color="auto" w:fill="auto"/>
            <w:tcMar>
              <w:top w:w="57" w:type="dxa"/>
              <w:bottom w:w="57" w:type="dxa"/>
            </w:tcMar>
            <w:vAlign w:val="center"/>
          </w:tcPr>
          <w:p w14:paraId="6553BBD2"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bCs/>
                <w:spacing w:val="1"/>
                <w:sz w:val="18"/>
                <w:szCs w:val="18"/>
                <w:lang w:eastAsia="fr-FR"/>
              </w:rPr>
            </w:pPr>
            <w:r w:rsidRPr="007E29F8">
              <w:rPr>
                <w:rFonts w:cs="Arial"/>
                <w:color w:val="000000"/>
                <w:sz w:val="18"/>
                <w:szCs w:val="18"/>
                <w:lang w:eastAsia="fr-FR"/>
              </w:rPr>
              <w:t>Adult</w:t>
            </w:r>
          </w:p>
        </w:tc>
        <w:tc>
          <w:tcPr>
            <w:tcW w:w="1054" w:type="pct"/>
            <w:tcBorders>
              <w:top w:val="double" w:sz="4" w:space="0" w:color="auto"/>
            </w:tcBorders>
            <w:shd w:val="clear" w:color="auto" w:fill="auto"/>
            <w:tcMar>
              <w:top w:w="57" w:type="dxa"/>
              <w:bottom w:w="57" w:type="dxa"/>
            </w:tcMar>
            <w:vAlign w:val="center"/>
          </w:tcPr>
          <w:p w14:paraId="585945C6"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(2 applications)</w:t>
            </w:r>
          </w:p>
        </w:tc>
        <w:tc>
          <w:tcPr>
            <w:tcW w:w="920" w:type="pct"/>
            <w:tcBorders>
              <w:top w:val="double" w:sz="4" w:space="0" w:color="auto"/>
            </w:tcBorders>
            <w:shd w:val="clear" w:color="auto" w:fill="auto"/>
            <w:tcMar>
              <w:top w:w="57" w:type="dxa"/>
              <w:bottom w:w="57" w:type="dxa"/>
            </w:tcMar>
            <w:vAlign w:val="center"/>
          </w:tcPr>
          <w:p w14:paraId="73D698A4"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t>7.16</w:t>
            </w:r>
          </w:p>
        </w:tc>
      </w:tr>
      <w:tr w:rsidR="00AE1B0E" w:rsidRPr="007E29F8" w14:paraId="32486CB7" w14:textId="77777777" w:rsidTr="001B7765">
        <w:trPr>
          <w:tblHeader/>
          <w:jc w:val="center"/>
        </w:trPr>
        <w:tc>
          <w:tcPr>
            <w:tcW w:w="1709" w:type="pct"/>
            <w:shd w:val="clear" w:color="auto" w:fill="auto"/>
            <w:tcMar>
              <w:top w:w="57" w:type="dxa"/>
              <w:bottom w:w="57" w:type="dxa"/>
            </w:tcMar>
          </w:tcPr>
          <w:p w14:paraId="517BB5E4"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1b: skin (mosquitoes)</w:t>
            </w:r>
          </w:p>
        </w:tc>
        <w:tc>
          <w:tcPr>
            <w:tcW w:w="1317" w:type="pct"/>
            <w:shd w:val="clear" w:color="auto" w:fill="auto"/>
            <w:tcMar>
              <w:top w:w="57" w:type="dxa"/>
              <w:bottom w:w="57" w:type="dxa"/>
            </w:tcMar>
            <w:vAlign w:val="center"/>
          </w:tcPr>
          <w:p w14:paraId="11FDCA64"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bCs/>
                <w:spacing w:val="1"/>
                <w:sz w:val="18"/>
                <w:szCs w:val="18"/>
                <w:lang w:eastAsia="fr-FR"/>
              </w:rPr>
            </w:pPr>
            <w:r w:rsidRPr="007E29F8">
              <w:rPr>
                <w:rFonts w:cs="Arial"/>
                <w:color w:val="000000"/>
                <w:sz w:val="18"/>
                <w:szCs w:val="18"/>
                <w:lang w:eastAsia="fr-FR"/>
              </w:rPr>
              <w:t>Adult</w:t>
            </w:r>
          </w:p>
        </w:tc>
        <w:tc>
          <w:tcPr>
            <w:tcW w:w="1054" w:type="pct"/>
            <w:shd w:val="clear" w:color="auto" w:fill="auto"/>
            <w:tcMar>
              <w:top w:w="57" w:type="dxa"/>
              <w:bottom w:w="57" w:type="dxa"/>
            </w:tcMar>
            <w:vAlign w:val="center"/>
          </w:tcPr>
          <w:p w14:paraId="504A1AA5"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shd w:val="clear" w:color="auto" w:fill="auto"/>
            <w:tcMar>
              <w:top w:w="57" w:type="dxa"/>
              <w:bottom w:w="57" w:type="dxa"/>
            </w:tcMar>
            <w:vAlign w:val="center"/>
          </w:tcPr>
          <w:p w14:paraId="45ED0E3F"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t>3.58</w:t>
            </w:r>
          </w:p>
        </w:tc>
      </w:tr>
      <w:tr w:rsidR="00AE1B0E" w:rsidRPr="007E29F8" w14:paraId="49BBEA3B" w14:textId="77777777" w:rsidTr="001B7765">
        <w:trPr>
          <w:tblHeader/>
          <w:jc w:val="center"/>
        </w:trPr>
        <w:tc>
          <w:tcPr>
            <w:tcW w:w="1709" w:type="pct"/>
            <w:shd w:val="clear" w:color="auto" w:fill="auto"/>
            <w:tcMar>
              <w:top w:w="57" w:type="dxa"/>
              <w:bottom w:w="57" w:type="dxa"/>
            </w:tcMar>
          </w:tcPr>
          <w:p w14:paraId="1F7F7C8D"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1b: skin (mosquitoes)</w:t>
            </w:r>
          </w:p>
        </w:tc>
        <w:tc>
          <w:tcPr>
            <w:tcW w:w="1317" w:type="pct"/>
            <w:shd w:val="clear" w:color="auto" w:fill="auto"/>
            <w:tcMar>
              <w:top w:w="57" w:type="dxa"/>
              <w:bottom w:w="57" w:type="dxa"/>
            </w:tcMar>
            <w:vAlign w:val="center"/>
          </w:tcPr>
          <w:p w14:paraId="78D9FF6A"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bCs/>
                <w:spacing w:val="1"/>
                <w:sz w:val="18"/>
                <w:szCs w:val="18"/>
                <w:lang w:eastAsia="fr-FR"/>
              </w:rPr>
            </w:pPr>
            <w:r w:rsidRPr="007E29F8">
              <w:rPr>
                <w:rFonts w:cs="Arial"/>
                <w:color w:val="000000"/>
                <w:sz w:val="18"/>
                <w:szCs w:val="18"/>
                <w:lang w:eastAsia="fr-FR"/>
              </w:rPr>
              <w:t>Child (6 to &lt;12 years old)</w:t>
            </w:r>
          </w:p>
        </w:tc>
        <w:tc>
          <w:tcPr>
            <w:tcW w:w="1054" w:type="pct"/>
            <w:shd w:val="clear" w:color="auto" w:fill="auto"/>
            <w:tcMar>
              <w:top w:w="57" w:type="dxa"/>
              <w:bottom w:w="57" w:type="dxa"/>
            </w:tcMar>
            <w:vAlign w:val="center"/>
          </w:tcPr>
          <w:p w14:paraId="5E288FAD"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shd w:val="clear" w:color="auto" w:fill="auto"/>
            <w:tcMar>
              <w:top w:w="57" w:type="dxa"/>
              <w:bottom w:w="57" w:type="dxa"/>
            </w:tcMar>
            <w:vAlign w:val="center"/>
          </w:tcPr>
          <w:p w14:paraId="551CB796"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t>4.78</w:t>
            </w:r>
          </w:p>
        </w:tc>
      </w:tr>
      <w:tr w:rsidR="00AE1B0E" w:rsidRPr="007E29F8" w14:paraId="14AB2643" w14:textId="77777777" w:rsidTr="001B7765">
        <w:trPr>
          <w:tblHeader/>
          <w:jc w:val="center"/>
        </w:trPr>
        <w:tc>
          <w:tcPr>
            <w:tcW w:w="1709" w:type="pct"/>
            <w:shd w:val="clear" w:color="auto" w:fill="auto"/>
            <w:tcMar>
              <w:top w:w="57" w:type="dxa"/>
              <w:bottom w:w="57" w:type="dxa"/>
            </w:tcMar>
          </w:tcPr>
          <w:p w14:paraId="4915B31F"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1b: skin (mosquitoes)</w:t>
            </w:r>
          </w:p>
        </w:tc>
        <w:tc>
          <w:tcPr>
            <w:tcW w:w="1317" w:type="pct"/>
            <w:shd w:val="clear" w:color="auto" w:fill="auto"/>
            <w:tcMar>
              <w:top w:w="57" w:type="dxa"/>
              <w:bottom w:w="57" w:type="dxa"/>
            </w:tcMar>
            <w:vAlign w:val="center"/>
          </w:tcPr>
          <w:p w14:paraId="6085965C"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bCs/>
                <w:spacing w:val="1"/>
                <w:sz w:val="18"/>
                <w:szCs w:val="18"/>
                <w:lang w:eastAsia="fr-FR"/>
              </w:rPr>
            </w:pPr>
            <w:r w:rsidRPr="007E29F8">
              <w:rPr>
                <w:rFonts w:cs="Arial"/>
                <w:color w:val="000000"/>
                <w:sz w:val="18"/>
                <w:szCs w:val="18"/>
                <w:lang w:eastAsia="fr-FR"/>
              </w:rPr>
              <w:t>Child (2 to &lt;6 years old)</w:t>
            </w:r>
          </w:p>
        </w:tc>
        <w:tc>
          <w:tcPr>
            <w:tcW w:w="1054" w:type="pct"/>
            <w:shd w:val="clear" w:color="auto" w:fill="auto"/>
            <w:tcMar>
              <w:top w:w="57" w:type="dxa"/>
              <w:bottom w:w="57" w:type="dxa"/>
            </w:tcMar>
            <w:vAlign w:val="center"/>
          </w:tcPr>
          <w:p w14:paraId="7FE6290D"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shd w:val="clear" w:color="auto" w:fill="auto"/>
            <w:tcMar>
              <w:top w:w="57" w:type="dxa"/>
              <w:bottom w:w="57" w:type="dxa"/>
            </w:tcMar>
            <w:vAlign w:val="center"/>
          </w:tcPr>
          <w:p w14:paraId="3BC1CB90"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t>5.43</w:t>
            </w:r>
          </w:p>
        </w:tc>
      </w:tr>
      <w:tr w:rsidR="00AE1B0E" w:rsidRPr="007E29F8" w14:paraId="47BF5AB8" w14:textId="77777777" w:rsidTr="001B7765">
        <w:trPr>
          <w:tblHeader/>
          <w:jc w:val="center"/>
        </w:trPr>
        <w:tc>
          <w:tcPr>
            <w:tcW w:w="1709" w:type="pct"/>
            <w:shd w:val="clear" w:color="auto" w:fill="auto"/>
            <w:tcMar>
              <w:top w:w="57" w:type="dxa"/>
              <w:bottom w:w="57" w:type="dxa"/>
            </w:tcMar>
          </w:tcPr>
          <w:p w14:paraId="04E78EBE"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1b: skin (mosquitoes)</w:t>
            </w:r>
          </w:p>
        </w:tc>
        <w:tc>
          <w:tcPr>
            <w:tcW w:w="1317" w:type="pct"/>
            <w:shd w:val="clear" w:color="auto" w:fill="auto"/>
            <w:tcMar>
              <w:top w:w="57" w:type="dxa"/>
              <w:bottom w:w="57" w:type="dxa"/>
            </w:tcMar>
            <w:vAlign w:val="center"/>
          </w:tcPr>
          <w:p w14:paraId="425BBD8E"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bCs/>
                <w:spacing w:val="1"/>
                <w:sz w:val="18"/>
                <w:szCs w:val="18"/>
                <w:lang w:eastAsia="fr-FR"/>
              </w:rPr>
            </w:pPr>
            <w:r w:rsidRPr="007E29F8">
              <w:rPr>
                <w:rFonts w:cs="Arial"/>
                <w:color w:val="000000"/>
                <w:sz w:val="18"/>
                <w:szCs w:val="18"/>
                <w:lang w:eastAsia="fr-FR"/>
              </w:rPr>
              <w:t>Toddler (1 to &lt;2 years old)</w:t>
            </w:r>
          </w:p>
        </w:tc>
        <w:tc>
          <w:tcPr>
            <w:tcW w:w="1054" w:type="pct"/>
            <w:shd w:val="clear" w:color="auto" w:fill="auto"/>
            <w:tcMar>
              <w:top w:w="57" w:type="dxa"/>
              <w:bottom w:w="57" w:type="dxa"/>
            </w:tcMar>
            <w:vAlign w:val="center"/>
          </w:tcPr>
          <w:p w14:paraId="5483C2B5"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shd w:val="clear" w:color="auto" w:fill="auto"/>
            <w:tcMar>
              <w:top w:w="57" w:type="dxa"/>
              <w:bottom w:w="57" w:type="dxa"/>
            </w:tcMar>
            <w:vAlign w:val="center"/>
          </w:tcPr>
          <w:p w14:paraId="5DD17697"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t>6.00</w:t>
            </w:r>
          </w:p>
        </w:tc>
      </w:tr>
      <w:tr w:rsidR="00AE1B0E" w:rsidRPr="007E29F8" w14:paraId="6C68D844" w14:textId="77777777" w:rsidTr="001B7765">
        <w:trPr>
          <w:tblHeader/>
          <w:jc w:val="center"/>
        </w:trPr>
        <w:tc>
          <w:tcPr>
            <w:tcW w:w="1709" w:type="pct"/>
            <w:tcBorders>
              <w:bottom w:val="double" w:sz="4" w:space="0" w:color="auto"/>
            </w:tcBorders>
            <w:shd w:val="clear" w:color="auto" w:fill="auto"/>
            <w:tcMar>
              <w:top w:w="57" w:type="dxa"/>
              <w:bottom w:w="57" w:type="dxa"/>
            </w:tcMar>
          </w:tcPr>
          <w:p w14:paraId="130812D9"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1b: skin (mosquitoes)</w:t>
            </w:r>
          </w:p>
        </w:tc>
        <w:tc>
          <w:tcPr>
            <w:tcW w:w="1317" w:type="pct"/>
            <w:tcBorders>
              <w:bottom w:val="double" w:sz="4" w:space="0" w:color="auto"/>
            </w:tcBorders>
            <w:shd w:val="clear" w:color="auto" w:fill="auto"/>
            <w:tcMar>
              <w:top w:w="57" w:type="dxa"/>
              <w:bottom w:w="57" w:type="dxa"/>
            </w:tcMar>
            <w:vAlign w:val="center"/>
          </w:tcPr>
          <w:p w14:paraId="37C7C5AE"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bCs/>
                <w:spacing w:val="1"/>
                <w:sz w:val="18"/>
                <w:szCs w:val="18"/>
                <w:lang w:eastAsia="fr-FR"/>
              </w:rPr>
            </w:pPr>
            <w:r w:rsidRPr="007E29F8">
              <w:rPr>
                <w:rFonts w:cs="Arial"/>
                <w:color w:val="000000"/>
                <w:sz w:val="18"/>
                <w:szCs w:val="18"/>
                <w:lang w:eastAsia="fr-FR"/>
              </w:rPr>
              <w:t>Infant (&lt;1 year old)</w:t>
            </w:r>
          </w:p>
        </w:tc>
        <w:tc>
          <w:tcPr>
            <w:tcW w:w="1054" w:type="pct"/>
            <w:tcBorders>
              <w:bottom w:val="double" w:sz="4" w:space="0" w:color="auto"/>
            </w:tcBorders>
            <w:shd w:val="clear" w:color="auto" w:fill="auto"/>
            <w:tcMar>
              <w:top w:w="57" w:type="dxa"/>
              <w:bottom w:w="57" w:type="dxa"/>
            </w:tcMar>
            <w:vAlign w:val="center"/>
          </w:tcPr>
          <w:p w14:paraId="05F77C8E"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tcBorders>
              <w:bottom w:val="double" w:sz="4" w:space="0" w:color="auto"/>
            </w:tcBorders>
            <w:shd w:val="clear" w:color="auto" w:fill="auto"/>
            <w:tcMar>
              <w:top w:w="57" w:type="dxa"/>
              <w:bottom w:w="57" w:type="dxa"/>
            </w:tcMar>
            <w:vAlign w:val="center"/>
          </w:tcPr>
          <w:p w14:paraId="02720CFC"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Arial"/>
                <w:bCs/>
                <w:spacing w:val="1"/>
                <w:lang w:eastAsia="fr-FR"/>
              </w:rPr>
            </w:pPr>
            <w:r w:rsidRPr="007E29F8">
              <w:t>6.40</w:t>
            </w:r>
          </w:p>
        </w:tc>
      </w:tr>
      <w:tr w:rsidR="00AE1B0E" w:rsidRPr="007E29F8" w14:paraId="217B5D32" w14:textId="77777777" w:rsidTr="001B7765">
        <w:trPr>
          <w:trHeight w:val="16"/>
          <w:tblHeader/>
          <w:jc w:val="center"/>
        </w:trPr>
        <w:tc>
          <w:tcPr>
            <w:tcW w:w="1709" w:type="pct"/>
            <w:tcBorders>
              <w:top w:val="double" w:sz="4" w:space="0" w:color="auto"/>
              <w:left w:val="single" w:sz="4" w:space="0" w:color="auto"/>
              <w:bottom w:val="single" w:sz="4" w:space="0" w:color="auto"/>
            </w:tcBorders>
            <w:shd w:val="clear" w:color="auto" w:fill="auto"/>
            <w:tcMar>
              <w:top w:w="57" w:type="dxa"/>
              <w:bottom w:w="57" w:type="dxa"/>
            </w:tcMar>
          </w:tcPr>
          <w:p w14:paraId="3DB548B8"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1c: head (lice)</w:t>
            </w:r>
          </w:p>
        </w:tc>
        <w:tc>
          <w:tcPr>
            <w:tcW w:w="1317" w:type="pct"/>
            <w:tcBorders>
              <w:top w:val="double" w:sz="4" w:space="0" w:color="auto"/>
              <w:bottom w:val="single" w:sz="4" w:space="0" w:color="auto"/>
            </w:tcBorders>
            <w:shd w:val="clear" w:color="auto" w:fill="auto"/>
            <w:tcMar>
              <w:top w:w="57" w:type="dxa"/>
              <w:bottom w:w="57" w:type="dxa"/>
            </w:tcMar>
            <w:vAlign w:val="center"/>
          </w:tcPr>
          <w:p w14:paraId="6EB37DE7"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Adult</w:t>
            </w:r>
          </w:p>
        </w:tc>
        <w:tc>
          <w:tcPr>
            <w:tcW w:w="1054" w:type="pct"/>
            <w:tcBorders>
              <w:top w:val="double" w:sz="4" w:space="0" w:color="auto"/>
              <w:bottom w:val="single" w:sz="4" w:space="0" w:color="auto"/>
            </w:tcBorders>
            <w:shd w:val="clear" w:color="auto" w:fill="auto"/>
            <w:tcMar>
              <w:top w:w="57" w:type="dxa"/>
              <w:bottom w:w="57" w:type="dxa"/>
            </w:tcMar>
            <w:vAlign w:val="center"/>
          </w:tcPr>
          <w:p w14:paraId="76F1F68F"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(3 applications)</w:t>
            </w:r>
          </w:p>
        </w:tc>
        <w:tc>
          <w:tcPr>
            <w:tcW w:w="920" w:type="pct"/>
            <w:shd w:val="clear" w:color="auto" w:fill="auto"/>
            <w:tcMar>
              <w:top w:w="57" w:type="dxa"/>
              <w:bottom w:w="57" w:type="dxa"/>
            </w:tcMar>
            <w:vAlign w:val="center"/>
          </w:tcPr>
          <w:p w14:paraId="3B8CBEAA"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1.4</w:t>
            </w:r>
            <w:r>
              <w:rPr>
                <w:rFonts w:cs="Calibri"/>
                <w:color w:val="000000"/>
              </w:rPr>
              <w:t>7</w:t>
            </w:r>
          </w:p>
        </w:tc>
      </w:tr>
      <w:tr w:rsidR="00AE1B0E" w:rsidRPr="007E29F8" w14:paraId="4484CF3C" w14:textId="77777777" w:rsidTr="001B7765">
        <w:trPr>
          <w:trHeight w:val="16"/>
          <w:tblHeader/>
          <w:jc w:val="center"/>
        </w:trPr>
        <w:tc>
          <w:tcPr>
            <w:tcW w:w="1709" w:type="pct"/>
            <w:tcBorders>
              <w:top w:val="single" w:sz="4" w:space="0" w:color="auto"/>
              <w:left w:val="single" w:sz="4" w:space="0" w:color="auto"/>
              <w:bottom w:val="single" w:sz="4" w:space="0" w:color="auto"/>
            </w:tcBorders>
            <w:shd w:val="clear" w:color="auto" w:fill="auto"/>
            <w:tcMar>
              <w:top w:w="57" w:type="dxa"/>
              <w:bottom w:w="57" w:type="dxa"/>
            </w:tcMar>
          </w:tcPr>
          <w:p w14:paraId="14B30E0D"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1c: head (lice)</w:t>
            </w:r>
          </w:p>
        </w:tc>
        <w:tc>
          <w:tcPr>
            <w:tcW w:w="1317" w:type="pct"/>
            <w:tcBorders>
              <w:top w:val="single" w:sz="4" w:space="0" w:color="auto"/>
              <w:bottom w:val="single" w:sz="4" w:space="0" w:color="auto"/>
            </w:tcBorders>
            <w:shd w:val="clear" w:color="auto" w:fill="auto"/>
            <w:tcMar>
              <w:top w:w="57" w:type="dxa"/>
              <w:bottom w:w="57" w:type="dxa"/>
            </w:tcMar>
            <w:vAlign w:val="center"/>
          </w:tcPr>
          <w:p w14:paraId="342EB5C1"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(6 to &lt;12 years old)</w:t>
            </w:r>
          </w:p>
        </w:tc>
        <w:tc>
          <w:tcPr>
            <w:tcW w:w="1054" w:type="pct"/>
            <w:tcBorders>
              <w:top w:val="single" w:sz="4" w:space="0" w:color="auto"/>
              <w:bottom w:val="single" w:sz="4" w:space="0" w:color="auto"/>
            </w:tcBorders>
            <w:shd w:val="clear" w:color="auto" w:fill="auto"/>
            <w:tcMar>
              <w:top w:w="57" w:type="dxa"/>
              <w:bottom w:w="57" w:type="dxa"/>
            </w:tcMar>
          </w:tcPr>
          <w:p w14:paraId="7EFF8D51"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(3 applications)</w:t>
            </w:r>
          </w:p>
        </w:tc>
        <w:tc>
          <w:tcPr>
            <w:tcW w:w="920" w:type="pct"/>
            <w:shd w:val="clear" w:color="auto" w:fill="auto"/>
            <w:tcMar>
              <w:top w:w="57" w:type="dxa"/>
              <w:bottom w:w="57" w:type="dxa"/>
            </w:tcMar>
            <w:vAlign w:val="center"/>
          </w:tcPr>
          <w:p w14:paraId="2CDD6552"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1.7</w:t>
            </w:r>
            <w:r>
              <w:rPr>
                <w:rFonts w:cs="Calibri"/>
                <w:color w:val="000000"/>
              </w:rPr>
              <w:t>5</w:t>
            </w:r>
          </w:p>
        </w:tc>
      </w:tr>
      <w:tr w:rsidR="00AE1B0E" w:rsidRPr="007E29F8" w14:paraId="622638CA" w14:textId="77777777" w:rsidTr="001B7765">
        <w:trPr>
          <w:trHeight w:val="16"/>
          <w:tblHeader/>
          <w:jc w:val="center"/>
        </w:trPr>
        <w:tc>
          <w:tcPr>
            <w:tcW w:w="1709" w:type="pct"/>
            <w:tcBorders>
              <w:top w:val="single" w:sz="4" w:space="0" w:color="auto"/>
              <w:left w:val="single" w:sz="4" w:space="0" w:color="auto"/>
              <w:bottom w:val="single" w:sz="4" w:space="0" w:color="auto"/>
            </w:tcBorders>
            <w:shd w:val="clear" w:color="auto" w:fill="auto"/>
            <w:tcMar>
              <w:top w:w="57" w:type="dxa"/>
              <w:bottom w:w="57" w:type="dxa"/>
            </w:tcMar>
          </w:tcPr>
          <w:p w14:paraId="360EFF79"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1c: head (lice)</w:t>
            </w:r>
          </w:p>
        </w:tc>
        <w:tc>
          <w:tcPr>
            <w:tcW w:w="1317" w:type="pct"/>
            <w:tcBorders>
              <w:top w:val="single" w:sz="4" w:space="0" w:color="auto"/>
              <w:bottom w:val="single" w:sz="4" w:space="0" w:color="auto"/>
            </w:tcBorders>
            <w:shd w:val="clear" w:color="auto" w:fill="auto"/>
            <w:tcMar>
              <w:top w:w="57" w:type="dxa"/>
              <w:bottom w:w="57" w:type="dxa"/>
            </w:tcMar>
            <w:vAlign w:val="center"/>
          </w:tcPr>
          <w:p w14:paraId="786B9427"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(2 to &lt;6 years old)</w:t>
            </w:r>
          </w:p>
        </w:tc>
        <w:tc>
          <w:tcPr>
            <w:tcW w:w="1054" w:type="pct"/>
            <w:tcBorders>
              <w:top w:val="single" w:sz="4" w:space="0" w:color="auto"/>
              <w:bottom w:val="single" w:sz="4" w:space="0" w:color="auto"/>
            </w:tcBorders>
            <w:shd w:val="clear" w:color="auto" w:fill="auto"/>
            <w:tcMar>
              <w:top w:w="57" w:type="dxa"/>
              <w:bottom w:w="57" w:type="dxa"/>
            </w:tcMar>
          </w:tcPr>
          <w:p w14:paraId="521F9C25"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(3 applications)</w:t>
            </w:r>
          </w:p>
        </w:tc>
        <w:tc>
          <w:tcPr>
            <w:tcW w:w="920" w:type="pct"/>
            <w:shd w:val="clear" w:color="auto" w:fill="auto"/>
            <w:tcMar>
              <w:top w:w="57" w:type="dxa"/>
              <w:bottom w:w="57" w:type="dxa"/>
            </w:tcMar>
            <w:vAlign w:val="center"/>
          </w:tcPr>
          <w:p w14:paraId="21B61A93"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2.6</w:t>
            </w:r>
            <w:r>
              <w:rPr>
                <w:rFonts w:cs="Calibri"/>
                <w:color w:val="000000"/>
              </w:rPr>
              <w:t>9</w:t>
            </w:r>
          </w:p>
        </w:tc>
      </w:tr>
      <w:tr w:rsidR="00AE1B0E" w:rsidRPr="007E29F8" w14:paraId="5D1D2B4C" w14:textId="77777777" w:rsidTr="001B7765">
        <w:trPr>
          <w:trHeight w:val="16"/>
          <w:tblHeader/>
          <w:jc w:val="center"/>
        </w:trPr>
        <w:tc>
          <w:tcPr>
            <w:tcW w:w="1709" w:type="pct"/>
            <w:tcBorders>
              <w:top w:val="single" w:sz="4" w:space="0" w:color="auto"/>
              <w:left w:val="single" w:sz="4" w:space="0" w:color="auto"/>
              <w:bottom w:val="single" w:sz="4" w:space="0" w:color="auto"/>
            </w:tcBorders>
            <w:shd w:val="clear" w:color="auto" w:fill="auto"/>
            <w:tcMar>
              <w:top w:w="57" w:type="dxa"/>
              <w:bottom w:w="57" w:type="dxa"/>
            </w:tcMar>
          </w:tcPr>
          <w:p w14:paraId="6F5D90D8"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1c: head (lice)</w:t>
            </w:r>
          </w:p>
        </w:tc>
        <w:tc>
          <w:tcPr>
            <w:tcW w:w="1317" w:type="pct"/>
            <w:tcBorders>
              <w:top w:val="single" w:sz="4" w:space="0" w:color="auto"/>
              <w:bottom w:val="single" w:sz="4" w:space="0" w:color="auto"/>
            </w:tcBorders>
            <w:shd w:val="clear" w:color="auto" w:fill="auto"/>
            <w:tcMar>
              <w:top w:w="57" w:type="dxa"/>
              <w:bottom w:w="57" w:type="dxa"/>
            </w:tcMar>
            <w:vAlign w:val="center"/>
          </w:tcPr>
          <w:p w14:paraId="738AAB26"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Toddler (1 to &lt;2 years old)</w:t>
            </w:r>
          </w:p>
        </w:tc>
        <w:tc>
          <w:tcPr>
            <w:tcW w:w="1054" w:type="pct"/>
            <w:tcBorders>
              <w:top w:val="single" w:sz="4" w:space="0" w:color="auto"/>
              <w:bottom w:val="single" w:sz="4" w:space="0" w:color="auto"/>
            </w:tcBorders>
            <w:shd w:val="clear" w:color="auto" w:fill="auto"/>
            <w:tcMar>
              <w:top w:w="57" w:type="dxa"/>
              <w:bottom w:w="57" w:type="dxa"/>
            </w:tcMar>
          </w:tcPr>
          <w:p w14:paraId="29D4B43C"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(3 applications)</w:t>
            </w:r>
          </w:p>
        </w:tc>
        <w:tc>
          <w:tcPr>
            <w:tcW w:w="920" w:type="pct"/>
            <w:shd w:val="clear" w:color="auto" w:fill="auto"/>
            <w:tcMar>
              <w:top w:w="57" w:type="dxa"/>
              <w:bottom w:w="57" w:type="dxa"/>
            </w:tcMar>
            <w:vAlign w:val="center"/>
          </w:tcPr>
          <w:p w14:paraId="60133D22"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Pr>
                <w:rFonts w:cs="Calibri"/>
                <w:color w:val="000000"/>
              </w:rPr>
              <w:t>4.2</w:t>
            </w:r>
          </w:p>
        </w:tc>
      </w:tr>
      <w:tr w:rsidR="00AE1B0E" w:rsidRPr="007E29F8" w14:paraId="2B764E41" w14:textId="77777777" w:rsidTr="001B7765">
        <w:trPr>
          <w:trHeight w:val="16"/>
          <w:tblHeader/>
          <w:jc w:val="center"/>
        </w:trPr>
        <w:tc>
          <w:tcPr>
            <w:tcW w:w="1709" w:type="pct"/>
            <w:tcBorders>
              <w:top w:val="single" w:sz="4" w:space="0" w:color="auto"/>
              <w:left w:val="single" w:sz="4" w:space="0" w:color="auto"/>
              <w:bottom w:val="double" w:sz="4" w:space="0" w:color="auto"/>
            </w:tcBorders>
            <w:shd w:val="clear" w:color="auto" w:fill="auto"/>
            <w:tcMar>
              <w:top w:w="57" w:type="dxa"/>
              <w:bottom w:w="57" w:type="dxa"/>
            </w:tcMar>
          </w:tcPr>
          <w:p w14:paraId="4312FCAB"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1c: head (lice)</w:t>
            </w:r>
          </w:p>
        </w:tc>
        <w:tc>
          <w:tcPr>
            <w:tcW w:w="1317" w:type="pct"/>
            <w:tcBorders>
              <w:top w:val="single" w:sz="4" w:space="0" w:color="auto"/>
              <w:bottom w:val="double" w:sz="4" w:space="0" w:color="auto"/>
            </w:tcBorders>
            <w:shd w:val="clear" w:color="auto" w:fill="auto"/>
            <w:tcMar>
              <w:top w:w="57" w:type="dxa"/>
              <w:bottom w:w="57" w:type="dxa"/>
            </w:tcMar>
            <w:vAlign w:val="center"/>
          </w:tcPr>
          <w:p w14:paraId="4A7401D7"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Infant (&lt;1 year old)</w:t>
            </w:r>
          </w:p>
        </w:tc>
        <w:tc>
          <w:tcPr>
            <w:tcW w:w="1054" w:type="pct"/>
            <w:tcBorders>
              <w:top w:val="single" w:sz="4" w:space="0" w:color="auto"/>
              <w:bottom w:val="double" w:sz="4" w:space="0" w:color="auto"/>
            </w:tcBorders>
            <w:shd w:val="clear" w:color="auto" w:fill="auto"/>
            <w:tcMar>
              <w:top w:w="57" w:type="dxa"/>
              <w:bottom w:w="57" w:type="dxa"/>
            </w:tcMar>
          </w:tcPr>
          <w:p w14:paraId="5F776726"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Tier 1 (3 applications)</w:t>
            </w:r>
          </w:p>
        </w:tc>
        <w:tc>
          <w:tcPr>
            <w:tcW w:w="920" w:type="pct"/>
            <w:tcBorders>
              <w:bottom w:val="double" w:sz="4" w:space="0" w:color="auto"/>
            </w:tcBorders>
            <w:shd w:val="clear" w:color="auto" w:fill="auto"/>
            <w:tcMar>
              <w:top w:w="57" w:type="dxa"/>
              <w:bottom w:w="57" w:type="dxa"/>
            </w:tcMar>
            <w:vAlign w:val="center"/>
          </w:tcPr>
          <w:p w14:paraId="02BD190A"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3.</w:t>
            </w:r>
            <w:r>
              <w:rPr>
                <w:rFonts w:cs="Calibri"/>
                <w:color w:val="000000"/>
              </w:rPr>
              <w:t>5</w:t>
            </w:r>
          </w:p>
        </w:tc>
      </w:tr>
      <w:tr w:rsidR="00AE1B0E" w:rsidRPr="007E29F8" w14:paraId="17AE9729" w14:textId="77777777" w:rsidTr="001B7765">
        <w:trPr>
          <w:trHeight w:val="23"/>
          <w:tblHeader/>
          <w:jc w:val="center"/>
        </w:trPr>
        <w:tc>
          <w:tcPr>
            <w:tcW w:w="1709" w:type="pct"/>
            <w:tcBorders>
              <w:top w:val="double" w:sz="4" w:space="0" w:color="auto"/>
              <w:left w:val="single" w:sz="4" w:space="0" w:color="auto"/>
              <w:bottom w:val="single" w:sz="4" w:space="0" w:color="auto"/>
            </w:tcBorders>
            <w:shd w:val="clear" w:color="auto" w:fill="auto"/>
            <w:tcMar>
              <w:top w:w="57" w:type="dxa"/>
              <w:bottom w:w="57" w:type="dxa"/>
            </w:tcMar>
          </w:tcPr>
          <w:p w14:paraId="74A4E13D"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2: application (bed linen)</w:t>
            </w:r>
          </w:p>
        </w:tc>
        <w:tc>
          <w:tcPr>
            <w:tcW w:w="1317" w:type="pct"/>
            <w:tcBorders>
              <w:top w:val="double" w:sz="4" w:space="0" w:color="auto"/>
              <w:bottom w:val="single" w:sz="4" w:space="0" w:color="auto"/>
            </w:tcBorders>
            <w:shd w:val="clear" w:color="auto" w:fill="auto"/>
            <w:tcMar>
              <w:top w:w="57" w:type="dxa"/>
              <w:bottom w:w="57" w:type="dxa"/>
            </w:tcMar>
            <w:vAlign w:val="center"/>
          </w:tcPr>
          <w:p w14:paraId="7461D8E5"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Adult</w:t>
            </w:r>
          </w:p>
        </w:tc>
        <w:tc>
          <w:tcPr>
            <w:tcW w:w="1054" w:type="pct"/>
            <w:tcBorders>
              <w:top w:val="double" w:sz="4" w:space="0" w:color="auto"/>
              <w:bottom w:val="single" w:sz="4" w:space="0" w:color="auto"/>
            </w:tcBorders>
            <w:shd w:val="clear" w:color="auto" w:fill="auto"/>
            <w:tcMar>
              <w:top w:w="57" w:type="dxa"/>
              <w:bottom w:w="57" w:type="dxa"/>
            </w:tcMar>
            <w:vAlign w:val="center"/>
          </w:tcPr>
          <w:p w14:paraId="68CAAD38" w14:textId="77777777" w:rsidR="00AE1B0E" w:rsidRPr="007E29F8" w:rsidRDefault="00AE1B0E" w:rsidP="001B7765">
            <w:pPr>
              <w:widowControl w:val="0"/>
              <w:kinsoku w:val="0"/>
              <w:overflowPunct w:val="0"/>
              <w:autoSpaceDE w:val="0"/>
              <w:autoSpaceDN w:val="0"/>
              <w:adjustRightInd w:val="0"/>
              <w:spacing w:before="0" w:after="0"/>
              <w:ind w:right="-70"/>
              <w:jc w:val="center"/>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tcBorders>
              <w:top w:val="double" w:sz="4" w:space="0" w:color="auto"/>
              <w:bottom w:val="single" w:sz="4" w:space="0" w:color="auto"/>
            </w:tcBorders>
            <w:shd w:val="clear" w:color="auto" w:fill="auto"/>
            <w:tcMar>
              <w:top w:w="57" w:type="dxa"/>
              <w:bottom w:w="57" w:type="dxa"/>
            </w:tcMar>
            <w:vAlign w:val="center"/>
          </w:tcPr>
          <w:p w14:paraId="42642A11"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E29F8">
              <w:rPr>
                <w:rFonts w:cs="Calibri"/>
                <w:color w:val="000000"/>
              </w:rPr>
              <w:t>2.21E-01</w:t>
            </w:r>
          </w:p>
        </w:tc>
      </w:tr>
      <w:tr w:rsidR="00AE1B0E" w:rsidRPr="007E29F8" w14:paraId="2247A2C3" w14:textId="77777777" w:rsidTr="001B7765">
        <w:trPr>
          <w:trHeight w:val="16"/>
          <w:tblHeader/>
          <w:jc w:val="center"/>
        </w:trPr>
        <w:tc>
          <w:tcPr>
            <w:tcW w:w="1709" w:type="pct"/>
            <w:tcBorders>
              <w:top w:val="double" w:sz="4" w:space="0" w:color="auto"/>
              <w:left w:val="single" w:sz="4" w:space="0" w:color="auto"/>
              <w:bottom w:val="single" w:sz="4" w:space="0" w:color="auto"/>
            </w:tcBorders>
            <w:shd w:val="clear" w:color="auto" w:fill="auto"/>
            <w:tcMar>
              <w:top w:w="57" w:type="dxa"/>
              <w:bottom w:w="57" w:type="dxa"/>
            </w:tcMar>
          </w:tcPr>
          <w:p w14:paraId="1FE9B03A" w14:textId="77777777" w:rsidR="00AE1B0E" w:rsidRPr="007E29F8" w:rsidRDefault="00AE1B0E" w:rsidP="001B7765">
            <w:pPr>
              <w:widowControl w:val="0"/>
              <w:kinsoku w:val="0"/>
              <w:overflowPunct w:val="0"/>
              <w:autoSpaceDE w:val="0"/>
              <w:autoSpaceDN w:val="0"/>
              <w:adjustRightInd w:val="0"/>
              <w:spacing w:before="0" w:after="0" w:line="290" w:lineRule="exact"/>
              <w:ind w:right="215"/>
              <w:textAlignment w:val="baseline"/>
              <w:rPr>
                <w:rFonts w:cs="Arial"/>
                <w:i/>
                <w:spacing w:val="1"/>
                <w:sz w:val="18"/>
                <w:szCs w:val="18"/>
                <w:u w:val="single"/>
                <w:lang w:eastAsia="fr-FR"/>
              </w:rPr>
            </w:pPr>
            <w:r w:rsidRPr="007E29F8">
              <w:rPr>
                <w:rFonts w:cs="Arial"/>
                <w:bCs/>
                <w:spacing w:val="1"/>
                <w:sz w:val="18"/>
                <w:szCs w:val="18"/>
                <w:lang w:eastAsia="fr-FR"/>
              </w:rPr>
              <w:t xml:space="preserve">5: </w:t>
            </w:r>
            <w:r w:rsidRPr="007E29F8">
              <w:rPr>
                <w:rFonts w:cs="Arial"/>
                <w:spacing w:val="1"/>
                <w:sz w:val="18"/>
                <w:szCs w:val="18"/>
                <w:lang w:eastAsia="fr-FR"/>
              </w:rPr>
              <w:t>inhalation (volatilised residues)</w:t>
            </w:r>
          </w:p>
        </w:tc>
        <w:tc>
          <w:tcPr>
            <w:tcW w:w="1317" w:type="pct"/>
            <w:tcBorders>
              <w:top w:val="double" w:sz="4" w:space="0" w:color="auto"/>
              <w:bottom w:val="single" w:sz="4" w:space="0" w:color="auto"/>
            </w:tcBorders>
            <w:shd w:val="clear" w:color="auto" w:fill="auto"/>
            <w:tcMar>
              <w:top w:w="57" w:type="dxa"/>
              <w:bottom w:w="57" w:type="dxa"/>
            </w:tcMar>
            <w:vAlign w:val="center"/>
          </w:tcPr>
          <w:p w14:paraId="631A5A9D"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Adult</w:t>
            </w:r>
          </w:p>
        </w:tc>
        <w:tc>
          <w:tcPr>
            <w:tcW w:w="1054" w:type="pct"/>
            <w:tcBorders>
              <w:top w:val="double" w:sz="4" w:space="0" w:color="auto"/>
              <w:bottom w:val="single" w:sz="4" w:space="0" w:color="auto"/>
            </w:tcBorders>
            <w:shd w:val="clear" w:color="auto" w:fill="auto"/>
            <w:tcMar>
              <w:top w:w="57" w:type="dxa"/>
              <w:bottom w:w="57" w:type="dxa"/>
            </w:tcMar>
            <w:vAlign w:val="center"/>
          </w:tcPr>
          <w:p w14:paraId="0513260F" w14:textId="77777777" w:rsidR="00AE1B0E" w:rsidRPr="007E29F8" w:rsidRDefault="00AE1B0E" w:rsidP="001B7765">
            <w:pPr>
              <w:widowControl w:val="0"/>
              <w:kinsoku w:val="0"/>
              <w:overflowPunct w:val="0"/>
              <w:autoSpaceDE w:val="0"/>
              <w:autoSpaceDN w:val="0"/>
              <w:adjustRightInd w:val="0"/>
              <w:spacing w:before="0" w:after="0"/>
              <w:ind w:right="-70"/>
              <w:jc w:val="center"/>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tcBorders>
              <w:top w:val="double" w:sz="4" w:space="0" w:color="auto"/>
              <w:bottom w:val="single" w:sz="4" w:space="0" w:color="auto"/>
            </w:tcBorders>
            <w:shd w:val="clear" w:color="auto" w:fill="auto"/>
            <w:tcMar>
              <w:top w:w="57" w:type="dxa"/>
              <w:bottom w:w="57" w:type="dxa"/>
            </w:tcMar>
            <w:vAlign w:val="center"/>
          </w:tcPr>
          <w:p w14:paraId="4AA7CBF0"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E29F8">
              <w:rPr>
                <w:rFonts w:ascii="Calibri" w:hAnsi="Calibri" w:cs="Calibri"/>
                <w:color w:val="000000"/>
                <w:sz w:val="22"/>
                <w:szCs w:val="22"/>
              </w:rPr>
              <w:t>3.53E-02</w:t>
            </w:r>
          </w:p>
        </w:tc>
      </w:tr>
      <w:tr w:rsidR="00AE1B0E" w:rsidRPr="007E29F8" w14:paraId="0700C619" w14:textId="77777777" w:rsidTr="001B7765">
        <w:trPr>
          <w:trHeight w:val="16"/>
          <w:tblHeader/>
          <w:jc w:val="center"/>
        </w:trPr>
        <w:tc>
          <w:tcPr>
            <w:tcW w:w="1709" w:type="pct"/>
            <w:tcBorders>
              <w:top w:val="single" w:sz="4" w:space="0" w:color="auto"/>
              <w:left w:val="single" w:sz="4" w:space="0" w:color="auto"/>
              <w:bottom w:val="single" w:sz="4" w:space="0" w:color="auto"/>
            </w:tcBorders>
            <w:shd w:val="clear" w:color="auto" w:fill="auto"/>
            <w:tcMar>
              <w:top w:w="57" w:type="dxa"/>
              <w:bottom w:w="57" w:type="dxa"/>
            </w:tcMar>
          </w:tcPr>
          <w:p w14:paraId="313BCDE2" w14:textId="77777777" w:rsidR="00AE1B0E" w:rsidRPr="007E29F8" w:rsidRDefault="00AE1B0E" w:rsidP="001B7765">
            <w:pPr>
              <w:widowControl w:val="0"/>
              <w:kinsoku w:val="0"/>
              <w:overflowPunct w:val="0"/>
              <w:autoSpaceDE w:val="0"/>
              <w:autoSpaceDN w:val="0"/>
              <w:adjustRightInd w:val="0"/>
              <w:spacing w:before="0" w:after="0"/>
              <w:ind w:right="216"/>
              <w:textAlignment w:val="baseline"/>
              <w:rPr>
                <w:rFonts w:cs="Arial"/>
                <w:bCs/>
                <w:spacing w:val="1"/>
                <w:sz w:val="18"/>
                <w:szCs w:val="18"/>
                <w:lang w:eastAsia="fr-FR"/>
              </w:rPr>
            </w:pPr>
            <w:r w:rsidRPr="007E29F8">
              <w:rPr>
                <w:rFonts w:cs="Arial"/>
                <w:bCs/>
                <w:spacing w:val="1"/>
                <w:sz w:val="18"/>
                <w:szCs w:val="18"/>
                <w:lang w:eastAsia="fr-FR"/>
              </w:rPr>
              <w:t xml:space="preserve">5: </w:t>
            </w:r>
            <w:r w:rsidRPr="007E29F8">
              <w:rPr>
                <w:rFonts w:cs="Arial"/>
                <w:spacing w:val="1"/>
                <w:sz w:val="18"/>
                <w:szCs w:val="18"/>
                <w:lang w:eastAsia="fr-FR"/>
              </w:rPr>
              <w:t>inhalation (volatilised residues)</w:t>
            </w:r>
          </w:p>
        </w:tc>
        <w:tc>
          <w:tcPr>
            <w:tcW w:w="1317" w:type="pct"/>
            <w:tcBorders>
              <w:top w:val="single" w:sz="4" w:space="0" w:color="auto"/>
              <w:bottom w:val="single" w:sz="4" w:space="0" w:color="auto"/>
            </w:tcBorders>
            <w:shd w:val="clear" w:color="auto" w:fill="auto"/>
            <w:tcMar>
              <w:top w:w="57" w:type="dxa"/>
              <w:bottom w:w="57" w:type="dxa"/>
            </w:tcMar>
            <w:vAlign w:val="center"/>
          </w:tcPr>
          <w:p w14:paraId="5E563609"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(6 to &lt;12 years old)</w:t>
            </w:r>
          </w:p>
        </w:tc>
        <w:tc>
          <w:tcPr>
            <w:tcW w:w="1054" w:type="pct"/>
            <w:tcBorders>
              <w:top w:val="single" w:sz="4" w:space="0" w:color="auto"/>
              <w:bottom w:val="single" w:sz="4" w:space="0" w:color="auto"/>
            </w:tcBorders>
            <w:shd w:val="clear" w:color="auto" w:fill="auto"/>
            <w:tcMar>
              <w:top w:w="57" w:type="dxa"/>
              <w:bottom w:w="57" w:type="dxa"/>
            </w:tcMar>
            <w:vAlign w:val="center"/>
          </w:tcPr>
          <w:p w14:paraId="2C63D66E" w14:textId="77777777" w:rsidR="00AE1B0E" w:rsidRPr="007E29F8" w:rsidRDefault="00AE1B0E" w:rsidP="001B7765">
            <w:pPr>
              <w:widowControl w:val="0"/>
              <w:kinsoku w:val="0"/>
              <w:overflowPunct w:val="0"/>
              <w:autoSpaceDE w:val="0"/>
              <w:autoSpaceDN w:val="0"/>
              <w:adjustRightInd w:val="0"/>
              <w:spacing w:before="0" w:after="0"/>
              <w:ind w:right="-70"/>
              <w:jc w:val="center"/>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tcBorders>
              <w:top w:val="single" w:sz="4" w:space="0" w:color="auto"/>
              <w:bottom w:val="single" w:sz="4" w:space="0" w:color="auto"/>
            </w:tcBorders>
            <w:shd w:val="clear" w:color="auto" w:fill="auto"/>
            <w:tcMar>
              <w:top w:w="57" w:type="dxa"/>
              <w:bottom w:w="57" w:type="dxa"/>
            </w:tcMar>
            <w:vAlign w:val="center"/>
          </w:tcPr>
          <w:p w14:paraId="0D2607AA"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E29F8">
              <w:rPr>
                <w:rFonts w:ascii="Calibri" w:hAnsi="Calibri" w:cs="Calibri"/>
                <w:color w:val="000000"/>
                <w:sz w:val="22"/>
                <w:szCs w:val="22"/>
              </w:rPr>
              <w:t>6.66E-02</w:t>
            </w:r>
          </w:p>
        </w:tc>
      </w:tr>
      <w:tr w:rsidR="00AE1B0E" w:rsidRPr="007E29F8" w14:paraId="2700EE3F" w14:textId="77777777" w:rsidTr="001B7765">
        <w:trPr>
          <w:trHeight w:val="16"/>
          <w:tblHeader/>
          <w:jc w:val="center"/>
        </w:trPr>
        <w:tc>
          <w:tcPr>
            <w:tcW w:w="1709" w:type="pct"/>
            <w:tcBorders>
              <w:top w:val="single" w:sz="4" w:space="0" w:color="auto"/>
              <w:left w:val="single" w:sz="4" w:space="0" w:color="auto"/>
              <w:bottom w:val="single" w:sz="4" w:space="0" w:color="auto"/>
            </w:tcBorders>
            <w:shd w:val="clear" w:color="auto" w:fill="auto"/>
            <w:tcMar>
              <w:top w:w="57" w:type="dxa"/>
              <w:bottom w:w="57" w:type="dxa"/>
            </w:tcMar>
          </w:tcPr>
          <w:p w14:paraId="43BC6F8B" w14:textId="77777777" w:rsidR="00AE1B0E" w:rsidRPr="007E29F8" w:rsidRDefault="00AE1B0E" w:rsidP="001B7765">
            <w:pPr>
              <w:widowControl w:val="0"/>
              <w:kinsoku w:val="0"/>
              <w:overflowPunct w:val="0"/>
              <w:autoSpaceDE w:val="0"/>
              <w:autoSpaceDN w:val="0"/>
              <w:adjustRightInd w:val="0"/>
              <w:spacing w:before="0" w:after="0"/>
              <w:ind w:right="216"/>
              <w:textAlignment w:val="baseline"/>
              <w:rPr>
                <w:rFonts w:cs="Arial"/>
                <w:bCs/>
                <w:spacing w:val="1"/>
                <w:sz w:val="18"/>
                <w:szCs w:val="18"/>
                <w:lang w:eastAsia="fr-FR"/>
              </w:rPr>
            </w:pPr>
            <w:r w:rsidRPr="007E29F8">
              <w:rPr>
                <w:rFonts w:cs="Arial"/>
                <w:bCs/>
                <w:spacing w:val="1"/>
                <w:sz w:val="18"/>
                <w:szCs w:val="18"/>
                <w:lang w:eastAsia="fr-FR"/>
              </w:rPr>
              <w:t xml:space="preserve">5: </w:t>
            </w:r>
            <w:r w:rsidRPr="007E29F8">
              <w:rPr>
                <w:rFonts w:cs="Arial"/>
                <w:spacing w:val="1"/>
                <w:sz w:val="18"/>
                <w:szCs w:val="18"/>
                <w:lang w:eastAsia="fr-FR"/>
              </w:rPr>
              <w:t>inhalation (volatilised residues)</w:t>
            </w:r>
          </w:p>
        </w:tc>
        <w:tc>
          <w:tcPr>
            <w:tcW w:w="1317" w:type="pct"/>
            <w:tcBorders>
              <w:top w:val="single" w:sz="4" w:space="0" w:color="auto"/>
              <w:bottom w:val="single" w:sz="4" w:space="0" w:color="auto"/>
            </w:tcBorders>
            <w:shd w:val="clear" w:color="auto" w:fill="auto"/>
            <w:tcMar>
              <w:top w:w="57" w:type="dxa"/>
              <w:bottom w:w="57" w:type="dxa"/>
            </w:tcMar>
            <w:vAlign w:val="center"/>
          </w:tcPr>
          <w:p w14:paraId="2F1005C2"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(2 to &lt;6 years old)</w:t>
            </w:r>
          </w:p>
        </w:tc>
        <w:tc>
          <w:tcPr>
            <w:tcW w:w="1054" w:type="pct"/>
            <w:tcBorders>
              <w:top w:val="single" w:sz="4" w:space="0" w:color="auto"/>
              <w:bottom w:val="single" w:sz="4" w:space="0" w:color="auto"/>
            </w:tcBorders>
            <w:shd w:val="clear" w:color="auto" w:fill="auto"/>
            <w:tcMar>
              <w:top w:w="57" w:type="dxa"/>
              <w:bottom w:w="57" w:type="dxa"/>
            </w:tcMar>
            <w:vAlign w:val="center"/>
          </w:tcPr>
          <w:p w14:paraId="14B9AA49" w14:textId="77777777" w:rsidR="00AE1B0E" w:rsidRPr="007E29F8" w:rsidRDefault="00AE1B0E" w:rsidP="001B7765">
            <w:pPr>
              <w:widowControl w:val="0"/>
              <w:kinsoku w:val="0"/>
              <w:overflowPunct w:val="0"/>
              <w:autoSpaceDE w:val="0"/>
              <w:autoSpaceDN w:val="0"/>
              <w:adjustRightInd w:val="0"/>
              <w:spacing w:before="0" w:after="0"/>
              <w:ind w:right="-70"/>
              <w:jc w:val="center"/>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tcBorders>
              <w:top w:val="single" w:sz="4" w:space="0" w:color="auto"/>
              <w:bottom w:val="single" w:sz="4" w:space="0" w:color="auto"/>
            </w:tcBorders>
            <w:shd w:val="clear" w:color="auto" w:fill="auto"/>
            <w:tcMar>
              <w:top w:w="57" w:type="dxa"/>
              <w:bottom w:w="57" w:type="dxa"/>
            </w:tcMar>
            <w:vAlign w:val="center"/>
          </w:tcPr>
          <w:p w14:paraId="31C67EF3"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E29F8">
              <w:rPr>
                <w:rFonts w:ascii="Calibri" w:hAnsi="Calibri" w:cs="Calibri"/>
                <w:color w:val="000000"/>
                <w:sz w:val="22"/>
                <w:szCs w:val="22"/>
              </w:rPr>
              <w:t>8.58E-02</w:t>
            </w:r>
          </w:p>
        </w:tc>
      </w:tr>
      <w:tr w:rsidR="00AE1B0E" w:rsidRPr="007E29F8" w14:paraId="068B2196" w14:textId="77777777" w:rsidTr="001B7765">
        <w:trPr>
          <w:trHeight w:val="16"/>
          <w:tblHeader/>
          <w:jc w:val="center"/>
        </w:trPr>
        <w:tc>
          <w:tcPr>
            <w:tcW w:w="1709" w:type="pct"/>
            <w:tcBorders>
              <w:top w:val="single" w:sz="4" w:space="0" w:color="auto"/>
              <w:left w:val="single" w:sz="4" w:space="0" w:color="auto"/>
              <w:bottom w:val="single" w:sz="4" w:space="0" w:color="auto"/>
            </w:tcBorders>
            <w:shd w:val="clear" w:color="auto" w:fill="auto"/>
            <w:tcMar>
              <w:top w:w="57" w:type="dxa"/>
              <w:bottom w:w="57" w:type="dxa"/>
            </w:tcMar>
          </w:tcPr>
          <w:p w14:paraId="69C0A2AD" w14:textId="77777777" w:rsidR="00AE1B0E" w:rsidRPr="007E29F8" w:rsidRDefault="00AE1B0E" w:rsidP="001B7765">
            <w:pPr>
              <w:widowControl w:val="0"/>
              <w:kinsoku w:val="0"/>
              <w:overflowPunct w:val="0"/>
              <w:autoSpaceDE w:val="0"/>
              <w:autoSpaceDN w:val="0"/>
              <w:adjustRightInd w:val="0"/>
              <w:spacing w:before="0" w:after="0"/>
              <w:ind w:right="216"/>
              <w:textAlignment w:val="baseline"/>
              <w:rPr>
                <w:rFonts w:cs="Arial"/>
                <w:bCs/>
                <w:spacing w:val="1"/>
                <w:sz w:val="18"/>
                <w:szCs w:val="18"/>
                <w:lang w:eastAsia="fr-FR"/>
              </w:rPr>
            </w:pPr>
            <w:r w:rsidRPr="007E29F8">
              <w:rPr>
                <w:rFonts w:cs="Arial"/>
                <w:bCs/>
                <w:spacing w:val="1"/>
                <w:sz w:val="18"/>
                <w:szCs w:val="18"/>
                <w:lang w:eastAsia="fr-FR"/>
              </w:rPr>
              <w:t xml:space="preserve">5: </w:t>
            </w:r>
            <w:r w:rsidRPr="007E29F8">
              <w:rPr>
                <w:rFonts w:cs="Arial"/>
                <w:spacing w:val="1"/>
                <w:sz w:val="18"/>
                <w:szCs w:val="18"/>
                <w:lang w:eastAsia="fr-FR"/>
              </w:rPr>
              <w:t>inhalation (volatilised residues)</w:t>
            </w:r>
          </w:p>
        </w:tc>
        <w:tc>
          <w:tcPr>
            <w:tcW w:w="1317" w:type="pct"/>
            <w:tcBorders>
              <w:top w:val="single" w:sz="4" w:space="0" w:color="auto"/>
              <w:bottom w:val="single" w:sz="4" w:space="0" w:color="auto"/>
            </w:tcBorders>
            <w:shd w:val="clear" w:color="auto" w:fill="auto"/>
            <w:tcMar>
              <w:top w:w="57" w:type="dxa"/>
              <w:bottom w:w="57" w:type="dxa"/>
            </w:tcMar>
            <w:vAlign w:val="center"/>
          </w:tcPr>
          <w:p w14:paraId="1E2DC51B"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Toddler (1 to &lt;2 years old)</w:t>
            </w:r>
          </w:p>
        </w:tc>
        <w:tc>
          <w:tcPr>
            <w:tcW w:w="1054" w:type="pct"/>
            <w:tcBorders>
              <w:top w:val="single" w:sz="4" w:space="0" w:color="auto"/>
              <w:bottom w:val="single" w:sz="4" w:space="0" w:color="auto"/>
            </w:tcBorders>
            <w:shd w:val="clear" w:color="auto" w:fill="auto"/>
            <w:tcMar>
              <w:top w:w="57" w:type="dxa"/>
              <w:bottom w:w="57" w:type="dxa"/>
            </w:tcMar>
            <w:vAlign w:val="center"/>
          </w:tcPr>
          <w:p w14:paraId="5CEF52C1" w14:textId="77777777" w:rsidR="00AE1B0E" w:rsidRPr="007E29F8" w:rsidRDefault="00AE1B0E" w:rsidP="001B7765">
            <w:pPr>
              <w:widowControl w:val="0"/>
              <w:kinsoku w:val="0"/>
              <w:overflowPunct w:val="0"/>
              <w:autoSpaceDE w:val="0"/>
              <w:autoSpaceDN w:val="0"/>
              <w:adjustRightInd w:val="0"/>
              <w:spacing w:before="0" w:after="0"/>
              <w:ind w:right="-70"/>
              <w:jc w:val="center"/>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tcBorders>
              <w:top w:val="single" w:sz="4" w:space="0" w:color="auto"/>
              <w:bottom w:val="single" w:sz="4" w:space="0" w:color="auto"/>
            </w:tcBorders>
            <w:shd w:val="clear" w:color="auto" w:fill="auto"/>
            <w:tcMar>
              <w:top w:w="57" w:type="dxa"/>
              <w:bottom w:w="57" w:type="dxa"/>
            </w:tcMar>
            <w:vAlign w:val="center"/>
          </w:tcPr>
          <w:p w14:paraId="6446ADEC"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E29F8">
              <w:rPr>
                <w:rFonts w:ascii="Calibri" w:hAnsi="Calibri" w:cs="Calibri"/>
                <w:color w:val="000000"/>
                <w:sz w:val="22"/>
                <w:szCs w:val="22"/>
              </w:rPr>
              <w:t>1.06E-01</w:t>
            </w:r>
          </w:p>
        </w:tc>
      </w:tr>
      <w:tr w:rsidR="00AE1B0E" w:rsidRPr="007E29F8" w14:paraId="55DD94DB" w14:textId="77777777" w:rsidTr="001B7765">
        <w:trPr>
          <w:trHeight w:val="16"/>
          <w:tblHeader/>
          <w:jc w:val="center"/>
        </w:trPr>
        <w:tc>
          <w:tcPr>
            <w:tcW w:w="1709" w:type="pct"/>
            <w:tcBorders>
              <w:top w:val="single" w:sz="4" w:space="0" w:color="auto"/>
              <w:left w:val="single" w:sz="4" w:space="0" w:color="auto"/>
              <w:bottom w:val="double" w:sz="4" w:space="0" w:color="auto"/>
            </w:tcBorders>
            <w:shd w:val="clear" w:color="auto" w:fill="auto"/>
            <w:tcMar>
              <w:top w:w="57" w:type="dxa"/>
              <w:bottom w:w="57" w:type="dxa"/>
            </w:tcMar>
          </w:tcPr>
          <w:p w14:paraId="22942BB8" w14:textId="77777777" w:rsidR="00AE1B0E" w:rsidRPr="007E29F8" w:rsidRDefault="00AE1B0E" w:rsidP="001B7765">
            <w:pPr>
              <w:widowControl w:val="0"/>
              <w:kinsoku w:val="0"/>
              <w:overflowPunct w:val="0"/>
              <w:autoSpaceDE w:val="0"/>
              <w:autoSpaceDN w:val="0"/>
              <w:adjustRightInd w:val="0"/>
              <w:spacing w:before="0" w:after="0"/>
              <w:ind w:right="216"/>
              <w:textAlignment w:val="baseline"/>
              <w:rPr>
                <w:rFonts w:cs="Arial"/>
                <w:bCs/>
                <w:spacing w:val="1"/>
                <w:sz w:val="18"/>
                <w:szCs w:val="18"/>
                <w:lang w:eastAsia="fr-FR"/>
              </w:rPr>
            </w:pPr>
            <w:r w:rsidRPr="007E29F8">
              <w:rPr>
                <w:rFonts w:cs="Arial"/>
                <w:bCs/>
                <w:spacing w:val="1"/>
                <w:sz w:val="18"/>
                <w:szCs w:val="18"/>
                <w:lang w:eastAsia="fr-FR"/>
              </w:rPr>
              <w:t xml:space="preserve">5: </w:t>
            </w:r>
            <w:r w:rsidRPr="007E29F8">
              <w:rPr>
                <w:rFonts w:cs="Arial"/>
                <w:spacing w:val="1"/>
                <w:sz w:val="18"/>
                <w:szCs w:val="18"/>
                <w:lang w:eastAsia="fr-FR"/>
              </w:rPr>
              <w:t>inhalation (volatilised residues)</w:t>
            </w:r>
          </w:p>
        </w:tc>
        <w:tc>
          <w:tcPr>
            <w:tcW w:w="1317" w:type="pct"/>
            <w:tcBorders>
              <w:top w:val="single" w:sz="4" w:space="0" w:color="auto"/>
              <w:bottom w:val="double" w:sz="4" w:space="0" w:color="auto"/>
            </w:tcBorders>
            <w:shd w:val="clear" w:color="auto" w:fill="auto"/>
            <w:tcMar>
              <w:top w:w="57" w:type="dxa"/>
              <w:bottom w:w="57" w:type="dxa"/>
            </w:tcMar>
            <w:vAlign w:val="center"/>
          </w:tcPr>
          <w:p w14:paraId="295DFC79"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Infant (&lt;1 year old)</w:t>
            </w:r>
          </w:p>
        </w:tc>
        <w:tc>
          <w:tcPr>
            <w:tcW w:w="1054" w:type="pct"/>
            <w:tcBorders>
              <w:top w:val="single" w:sz="4" w:space="0" w:color="auto"/>
              <w:bottom w:val="double" w:sz="4" w:space="0" w:color="auto"/>
            </w:tcBorders>
            <w:shd w:val="clear" w:color="auto" w:fill="auto"/>
            <w:tcMar>
              <w:top w:w="57" w:type="dxa"/>
              <w:bottom w:w="57" w:type="dxa"/>
            </w:tcMar>
            <w:vAlign w:val="center"/>
          </w:tcPr>
          <w:p w14:paraId="15AB8481" w14:textId="77777777" w:rsidR="00AE1B0E" w:rsidRPr="007E29F8" w:rsidRDefault="00AE1B0E" w:rsidP="001B7765">
            <w:pPr>
              <w:widowControl w:val="0"/>
              <w:kinsoku w:val="0"/>
              <w:overflowPunct w:val="0"/>
              <w:autoSpaceDE w:val="0"/>
              <w:autoSpaceDN w:val="0"/>
              <w:adjustRightInd w:val="0"/>
              <w:spacing w:before="0" w:after="0"/>
              <w:ind w:right="-70"/>
              <w:jc w:val="center"/>
              <w:textAlignment w:val="baseline"/>
              <w:rPr>
                <w:rFonts w:cs="Arial"/>
                <w:bCs/>
                <w:spacing w:val="1"/>
                <w:sz w:val="18"/>
                <w:szCs w:val="18"/>
                <w:lang w:eastAsia="fr-FR"/>
              </w:rPr>
            </w:pPr>
            <w:r w:rsidRPr="007E29F8">
              <w:rPr>
                <w:rFonts w:cs="Arial"/>
                <w:bCs/>
                <w:spacing w:val="1"/>
                <w:sz w:val="18"/>
                <w:szCs w:val="18"/>
                <w:lang w:eastAsia="fr-FR"/>
              </w:rPr>
              <w:t>Tier 1 (1 application)</w:t>
            </w:r>
          </w:p>
        </w:tc>
        <w:tc>
          <w:tcPr>
            <w:tcW w:w="920" w:type="pct"/>
            <w:tcBorders>
              <w:top w:val="single" w:sz="4" w:space="0" w:color="auto"/>
              <w:bottom w:val="double" w:sz="4" w:space="0" w:color="auto"/>
            </w:tcBorders>
            <w:shd w:val="clear" w:color="auto" w:fill="auto"/>
            <w:tcMar>
              <w:top w:w="57" w:type="dxa"/>
              <w:bottom w:w="57" w:type="dxa"/>
            </w:tcMar>
            <w:vAlign w:val="center"/>
          </w:tcPr>
          <w:p w14:paraId="7006F478" w14:textId="6C6EFE81"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E29F8">
              <w:rPr>
                <w:rFonts w:ascii="Calibri" w:hAnsi="Calibri" w:cs="Calibri"/>
                <w:color w:val="000000"/>
                <w:sz w:val="22"/>
                <w:szCs w:val="22"/>
              </w:rPr>
              <w:t>8.95</w:t>
            </w:r>
            <w:r w:rsidR="00937BBF">
              <w:rPr>
                <w:rFonts w:ascii="Calibri" w:hAnsi="Calibri" w:cs="Calibri"/>
                <w:color w:val="000000"/>
                <w:sz w:val="22"/>
                <w:szCs w:val="22"/>
              </w:rPr>
              <w:t>E</w:t>
            </w:r>
            <w:r w:rsidRPr="007E29F8">
              <w:rPr>
                <w:rFonts w:ascii="Calibri" w:hAnsi="Calibri" w:cs="Calibri"/>
                <w:color w:val="000000"/>
                <w:sz w:val="22"/>
                <w:szCs w:val="22"/>
              </w:rPr>
              <w:t>-02</w:t>
            </w:r>
          </w:p>
        </w:tc>
      </w:tr>
      <w:tr w:rsidR="00AE1B0E" w:rsidRPr="007E29F8" w14:paraId="41D9640B" w14:textId="77777777" w:rsidTr="001B7765">
        <w:trPr>
          <w:trHeight w:val="16"/>
          <w:tblHeader/>
          <w:jc w:val="center"/>
        </w:trPr>
        <w:tc>
          <w:tcPr>
            <w:tcW w:w="1709" w:type="pct"/>
            <w:tcBorders>
              <w:top w:val="double" w:sz="4" w:space="0" w:color="auto"/>
            </w:tcBorders>
            <w:shd w:val="clear" w:color="auto" w:fill="auto"/>
            <w:tcMar>
              <w:top w:w="57" w:type="dxa"/>
              <w:bottom w:w="57" w:type="dxa"/>
            </w:tcMar>
          </w:tcPr>
          <w:p w14:paraId="30A479BD"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6a: treated clothes (ticks)</w:t>
            </w:r>
          </w:p>
        </w:tc>
        <w:tc>
          <w:tcPr>
            <w:tcW w:w="1317" w:type="pct"/>
            <w:tcBorders>
              <w:top w:val="double" w:sz="4" w:space="0" w:color="auto"/>
            </w:tcBorders>
            <w:shd w:val="clear" w:color="auto" w:fill="auto"/>
            <w:tcMar>
              <w:top w:w="57" w:type="dxa"/>
              <w:bottom w:w="57" w:type="dxa"/>
            </w:tcMar>
            <w:vAlign w:val="center"/>
          </w:tcPr>
          <w:p w14:paraId="30DF1BE1"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Adult</w:t>
            </w:r>
          </w:p>
        </w:tc>
        <w:tc>
          <w:tcPr>
            <w:tcW w:w="1054" w:type="pct"/>
            <w:tcBorders>
              <w:top w:val="double" w:sz="4" w:space="0" w:color="auto"/>
            </w:tcBorders>
            <w:shd w:val="clear" w:color="auto" w:fill="auto"/>
            <w:tcMar>
              <w:top w:w="57" w:type="dxa"/>
              <w:bottom w:w="57" w:type="dxa"/>
            </w:tcMar>
            <w:vAlign w:val="center"/>
          </w:tcPr>
          <w:p w14:paraId="7A3D66DE"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top w:val="double" w:sz="4" w:space="0" w:color="auto"/>
            </w:tcBorders>
            <w:shd w:val="clear" w:color="auto" w:fill="auto"/>
            <w:tcMar>
              <w:top w:w="57" w:type="dxa"/>
              <w:bottom w:w="57" w:type="dxa"/>
            </w:tcMar>
            <w:vAlign w:val="center"/>
          </w:tcPr>
          <w:p w14:paraId="20A05494"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2.86</w:t>
            </w:r>
          </w:p>
        </w:tc>
      </w:tr>
      <w:tr w:rsidR="00AE1B0E" w:rsidRPr="007E29F8" w14:paraId="01B808E7" w14:textId="77777777" w:rsidTr="001B7765">
        <w:trPr>
          <w:trHeight w:val="16"/>
          <w:tblHeader/>
          <w:jc w:val="center"/>
        </w:trPr>
        <w:tc>
          <w:tcPr>
            <w:tcW w:w="1709" w:type="pct"/>
            <w:shd w:val="clear" w:color="auto" w:fill="auto"/>
            <w:tcMar>
              <w:top w:w="57" w:type="dxa"/>
              <w:bottom w:w="57" w:type="dxa"/>
            </w:tcMar>
          </w:tcPr>
          <w:p w14:paraId="4BDFCF44"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6a: treated clothes (ticks)</w:t>
            </w:r>
          </w:p>
        </w:tc>
        <w:tc>
          <w:tcPr>
            <w:tcW w:w="1317" w:type="pct"/>
            <w:shd w:val="clear" w:color="auto" w:fill="auto"/>
            <w:tcMar>
              <w:top w:w="57" w:type="dxa"/>
              <w:bottom w:w="57" w:type="dxa"/>
            </w:tcMar>
            <w:vAlign w:val="center"/>
          </w:tcPr>
          <w:p w14:paraId="641F324D"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(6 to &lt;12 years old)</w:t>
            </w:r>
          </w:p>
        </w:tc>
        <w:tc>
          <w:tcPr>
            <w:tcW w:w="1054" w:type="pct"/>
            <w:shd w:val="clear" w:color="auto" w:fill="auto"/>
            <w:tcMar>
              <w:top w:w="57" w:type="dxa"/>
              <w:bottom w:w="57" w:type="dxa"/>
            </w:tcMar>
            <w:vAlign w:val="center"/>
          </w:tcPr>
          <w:p w14:paraId="1BD9A292"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073E726A"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3.98</w:t>
            </w:r>
          </w:p>
        </w:tc>
      </w:tr>
      <w:tr w:rsidR="00AE1B0E" w:rsidRPr="007E29F8" w14:paraId="662AA662" w14:textId="77777777" w:rsidTr="001B7765">
        <w:trPr>
          <w:trHeight w:val="16"/>
          <w:tblHeader/>
          <w:jc w:val="center"/>
        </w:trPr>
        <w:tc>
          <w:tcPr>
            <w:tcW w:w="1709" w:type="pct"/>
            <w:shd w:val="clear" w:color="auto" w:fill="auto"/>
            <w:tcMar>
              <w:top w:w="57" w:type="dxa"/>
              <w:bottom w:w="57" w:type="dxa"/>
            </w:tcMar>
          </w:tcPr>
          <w:p w14:paraId="0C3A48D5"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6a: treated clothes (ticks)</w:t>
            </w:r>
          </w:p>
        </w:tc>
        <w:tc>
          <w:tcPr>
            <w:tcW w:w="1317" w:type="pct"/>
            <w:shd w:val="clear" w:color="auto" w:fill="auto"/>
            <w:tcMar>
              <w:top w:w="57" w:type="dxa"/>
              <w:bottom w:w="57" w:type="dxa"/>
            </w:tcMar>
            <w:vAlign w:val="center"/>
          </w:tcPr>
          <w:p w14:paraId="3308CEBA"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(2 to &lt;6 years old)</w:t>
            </w:r>
          </w:p>
        </w:tc>
        <w:tc>
          <w:tcPr>
            <w:tcW w:w="1054" w:type="pct"/>
            <w:shd w:val="clear" w:color="auto" w:fill="auto"/>
            <w:tcMar>
              <w:top w:w="57" w:type="dxa"/>
              <w:bottom w:w="57" w:type="dxa"/>
            </w:tcMar>
            <w:vAlign w:val="center"/>
          </w:tcPr>
          <w:p w14:paraId="73EF7AA4"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4540E8AA"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4.35</w:t>
            </w:r>
          </w:p>
        </w:tc>
      </w:tr>
      <w:tr w:rsidR="00AE1B0E" w:rsidRPr="007E29F8" w14:paraId="1196002E" w14:textId="77777777" w:rsidTr="001B7765">
        <w:trPr>
          <w:trHeight w:val="16"/>
          <w:tblHeader/>
          <w:jc w:val="center"/>
        </w:trPr>
        <w:tc>
          <w:tcPr>
            <w:tcW w:w="1709" w:type="pct"/>
            <w:shd w:val="clear" w:color="auto" w:fill="auto"/>
            <w:tcMar>
              <w:top w:w="57" w:type="dxa"/>
              <w:bottom w:w="57" w:type="dxa"/>
            </w:tcMar>
          </w:tcPr>
          <w:p w14:paraId="0D3DFBA2"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6a: treated clothes (ticks)</w:t>
            </w:r>
          </w:p>
        </w:tc>
        <w:tc>
          <w:tcPr>
            <w:tcW w:w="1317" w:type="pct"/>
            <w:shd w:val="clear" w:color="auto" w:fill="auto"/>
            <w:tcMar>
              <w:top w:w="57" w:type="dxa"/>
              <w:bottom w:w="57" w:type="dxa"/>
            </w:tcMar>
            <w:vAlign w:val="center"/>
          </w:tcPr>
          <w:p w14:paraId="1DEB3D43"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Toddler (1 to &lt;2 years old)</w:t>
            </w:r>
          </w:p>
        </w:tc>
        <w:tc>
          <w:tcPr>
            <w:tcW w:w="1054" w:type="pct"/>
            <w:shd w:val="clear" w:color="auto" w:fill="auto"/>
            <w:tcMar>
              <w:top w:w="57" w:type="dxa"/>
              <w:bottom w:w="57" w:type="dxa"/>
            </w:tcMar>
            <w:vAlign w:val="center"/>
          </w:tcPr>
          <w:p w14:paraId="6499EAC9"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7FD10ABD"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4.74</w:t>
            </w:r>
          </w:p>
        </w:tc>
      </w:tr>
      <w:tr w:rsidR="00AE1B0E" w:rsidRPr="007E29F8" w14:paraId="11CB1737" w14:textId="77777777" w:rsidTr="001B7765">
        <w:trPr>
          <w:trHeight w:val="16"/>
          <w:tblHeader/>
          <w:jc w:val="center"/>
        </w:trPr>
        <w:tc>
          <w:tcPr>
            <w:tcW w:w="1709" w:type="pct"/>
            <w:tcBorders>
              <w:bottom w:val="double" w:sz="4" w:space="0" w:color="auto"/>
            </w:tcBorders>
            <w:shd w:val="clear" w:color="auto" w:fill="auto"/>
            <w:tcMar>
              <w:top w:w="57" w:type="dxa"/>
              <w:bottom w:w="57" w:type="dxa"/>
            </w:tcMar>
          </w:tcPr>
          <w:p w14:paraId="4291A094"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6a: treated clothes (ticks)</w:t>
            </w:r>
          </w:p>
        </w:tc>
        <w:tc>
          <w:tcPr>
            <w:tcW w:w="1317" w:type="pct"/>
            <w:tcBorders>
              <w:bottom w:val="double" w:sz="4" w:space="0" w:color="auto"/>
            </w:tcBorders>
            <w:shd w:val="clear" w:color="auto" w:fill="auto"/>
            <w:tcMar>
              <w:top w:w="57" w:type="dxa"/>
              <w:bottom w:w="57" w:type="dxa"/>
            </w:tcMar>
            <w:vAlign w:val="center"/>
          </w:tcPr>
          <w:p w14:paraId="67CA2C9F"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Infant (&lt;1 year old)</w:t>
            </w:r>
          </w:p>
        </w:tc>
        <w:tc>
          <w:tcPr>
            <w:tcW w:w="1054" w:type="pct"/>
            <w:tcBorders>
              <w:bottom w:val="double" w:sz="4" w:space="0" w:color="auto"/>
            </w:tcBorders>
            <w:shd w:val="clear" w:color="auto" w:fill="auto"/>
            <w:tcMar>
              <w:top w:w="57" w:type="dxa"/>
              <w:bottom w:w="57" w:type="dxa"/>
            </w:tcMar>
            <w:vAlign w:val="center"/>
          </w:tcPr>
          <w:p w14:paraId="521ECE51"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bottom w:val="double" w:sz="4" w:space="0" w:color="auto"/>
            </w:tcBorders>
            <w:shd w:val="clear" w:color="auto" w:fill="auto"/>
            <w:tcMar>
              <w:top w:w="57" w:type="dxa"/>
              <w:bottom w:w="57" w:type="dxa"/>
            </w:tcMar>
            <w:vAlign w:val="center"/>
          </w:tcPr>
          <w:p w14:paraId="02DDCB40"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5.06</w:t>
            </w:r>
          </w:p>
        </w:tc>
      </w:tr>
      <w:tr w:rsidR="00AE1B0E" w:rsidRPr="007E29F8" w14:paraId="244FC79C" w14:textId="77777777" w:rsidTr="001B7765">
        <w:trPr>
          <w:trHeight w:val="16"/>
          <w:tblHeader/>
          <w:jc w:val="center"/>
        </w:trPr>
        <w:tc>
          <w:tcPr>
            <w:tcW w:w="1709" w:type="pct"/>
            <w:tcBorders>
              <w:top w:val="double" w:sz="4" w:space="0" w:color="auto"/>
            </w:tcBorders>
            <w:shd w:val="clear" w:color="auto" w:fill="auto"/>
            <w:tcMar>
              <w:top w:w="57" w:type="dxa"/>
              <w:bottom w:w="57" w:type="dxa"/>
            </w:tcMar>
          </w:tcPr>
          <w:p w14:paraId="37465EF7"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6b: treated clothes (mosquitoes)</w:t>
            </w:r>
          </w:p>
        </w:tc>
        <w:tc>
          <w:tcPr>
            <w:tcW w:w="1317" w:type="pct"/>
            <w:tcBorders>
              <w:top w:val="double" w:sz="4" w:space="0" w:color="auto"/>
            </w:tcBorders>
            <w:shd w:val="clear" w:color="auto" w:fill="auto"/>
            <w:tcMar>
              <w:top w:w="57" w:type="dxa"/>
              <w:bottom w:w="57" w:type="dxa"/>
            </w:tcMar>
            <w:vAlign w:val="center"/>
          </w:tcPr>
          <w:p w14:paraId="21B60D3D"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Adult</w:t>
            </w:r>
          </w:p>
        </w:tc>
        <w:tc>
          <w:tcPr>
            <w:tcW w:w="1054" w:type="pct"/>
            <w:tcBorders>
              <w:top w:val="double" w:sz="4" w:space="0" w:color="auto"/>
            </w:tcBorders>
            <w:shd w:val="clear" w:color="auto" w:fill="auto"/>
            <w:tcMar>
              <w:top w:w="57" w:type="dxa"/>
              <w:bottom w:w="57" w:type="dxa"/>
            </w:tcMar>
            <w:vAlign w:val="center"/>
          </w:tcPr>
          <w:p w14:paraId="60269907"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top w:val="double" w:sz="4" w:space="0" w:color="auto"/>
            </w:tcBorders>
            <w:shd w:val="clear" w:color="auto" w:fill="auto"/>
            <w:tcMar>
              <w:top w:w="57" w:type="dxa"/>
              <w:bottom w:w="57" w:type="dxa"/>
            </w:tcMar>
            <w:vAlign w:val="center"/>
          </w:tcPr>
          <w:p w14:paraId="43C98067"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2.02</w:t>
            </w:r>
          </w:p>
        </w:tc>
      </w:tr>
      <w:tr w:rsidR="00AE1B0E" w:rsidRPr="007E29F8" w14:paraId="6717FF2A" w14:textId="77777777" w:rsidTr="001B7765">
        <w:trPr>
          <w:trHeight w:val="16"/>
          <w:tblHeader/>
          <w:jc w:val="center"/>
        </w:trPr>
        <w:tc>
          <w:tcPr>
            <w:tcW w:w="1709" w:type="pct"/>
            <w:shd w:val="clear" w:color="auto" w:fill="auto"/>
            <w:tcMar>
              <w:top w:w="57" w:type="dxa"/>
              <w:bottom w:w="57" w:type="dxa"/>
            </w:tcMar>
          </w:tcPr>
          <w:p w14:paraId="23A97D7F"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6b: treated clothes (mosquitoes)</w:t>
            </w:r>
          </w:p>
        </w:tc>
        <w:tc>
          <w:tcPr>
            <w:tcW w:w="1317" w:type="pct"/>
            <w:shd w:val="clear" w:color="auto" w:fill="auto"/>
            <w:tcMar>
              <w:top w:w="57" w:type="dxa"/>
              <w:bottom w:w="57" w:type="dxa"/>
            </w:tcMar>
            <w:vAlign w:val="center"/>
          </w:tcPr>
          <w:p w14:paraId="3840321A"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(6 to &lt;12 years old)</w:t>
            </w:r>
          </w:p>
        </w:tc>
        <w:tc>
          <w:tcPr>
            <w:tcW w:w="1054" w:type="pct"/>
            <w:shd w:val="clear" w:color="auto" w:fill="auto"/>
            <w:tcMar>
              <w:top w:w="57" w:type="dxa"/>
              <w:bottom w:w="57" w:type="dxa"/>
            </w:tcMar>
            <w:vAlign w:val="center"/>
          </w:tcPr>
          <w:p w14:paraId="11CED56E"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46DEA976"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2.81</w:t>
            </w:r>
          </w:p>
        </w:tc>
      </w:tr>
      <w:tr w:rsidR="00AE1B0E" w:rsidRPr="007E29F8" w14:paraId="4C2CD6C5" w14:textId="77777777" w:rsidTr="001B7765">
        <w:trPr>
          <w:trHeight w:val="16"/>
          <w:tblHeader/>
          <w:jc w:val="center"/>
        </w:trPr>
        <w:tc>
          <w:tcPr>
            <w:tcW w:w="1709" w:type="pct"/>
            <w:shd w:val="clear" w:color="auto" w:fill="auto"/>
            <w:tcMar>
              <w:top w:w="57" w:type="dxa"/>
              <w:bottom w:w="57" w:type="dxa"/>
            </w:tcMar>
          </w:tcPr>
          <w:p w14:paraId="1EA4CC4C"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6b: treated clothes (mosquitoes)</w:t>
            </w:r>
          </w:p>
        </w:tc>
        <w:tc>
          <w:tcPr>
            <w:tcW w:w="1317" w:type="pct"/>
            <w:shd w:val="clear" w:color="auto" w:fill="auto"/>
            <w:tcMar>
              <w:top w:w="57" w:type="dxa"/>
              <w:bottom w:w="57" w:type="dxa"/>
            </w:tcMar>
            <w:vAlign w:val="center"/>
          </w:tcPr>
          <w:p w14:paraId="333E3183"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(2 to &lt;6 years old)</w:t>
            </w:r>
          </w:p>
        </w:tc>
        <w:tc>
          <w:tcPr>
            <w:tcW w:w="1054" w:type="pct"/>
            <w:shd w:val="clear" w:color="auto" w:fill="auto"/>
            <w:tcMar>
              <w:top w:w="57" w:type="dxa"/>
              <w:bottom w:w="57" w:type="dxa"/>
            </w:tcMar>
            <w:vAlign w:val="center"/>
          </w:tcPr>
          <w:p w14:paraId="73FE4761"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7D053771"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3.07</w:t>
            </w:r>
          </w:p>
        </w:tc>
      </w:tr>
      <w:tr w:rsidR="00AE1B0E" w:rsidRPr="007E29F8" w14:paraId="737846A7" w14:textId="77777777" w:rsidTr="001B7765">
        <w:trPr>
          <w:trHeight w:val="16"/>
          <w:tblHeader/>
          <w:jc w:val="center"/>
        </w:trPr>
        <w:tc>
          <w:tcPr>
            <w:tcW w:w="1709" w:type="pct"/>
            <w:shd w:val="clear" w:color="auto" w:fill="auto"/>
            <w:tcMar>
              <w:top w:w="57" w:type="dxa"/>
              <w:bottom w:w="57" w:type="dxa"/>
            </w:tcMar>
          </w:tcPr>
          <w:p w14:paraId="6F3832FB"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6b: treated clothes (mosquitoes)</w:t>
            </w:r>
          </w:p>
        </w:tc>
        <w:tc>
          <w:tcPr>
            <w:tcW w:w="1317" w:type="pct"/>
            <w:shd w:val="clear" w:color="auto" w:fill="auto"/>
            <w:tcMar>
              <w:top w:w="57" w:type="dxa"/>
              <w:bottom w:w="57" w:type="dxa"/>
            </w:tcMar>
            <w:vAlign w:val="center"/>
          </w:tcPr>
          <w:p w14:paraId="5A08CB35"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Toddler (1 to &lt;2 years old)</w:t>
            </w:r>
          </w:p>
        </w:tc>
        <w:tc>
          <w:tcPr>
            <w:tcW w:w="1054" w:type="pct"/>
            <w:shd w:val="clear" w:color="auto" w:fill="auto"/>
            <w:tcMar>
              <w:top w:w="57" w:type="dxa"/>
              <w:bottom w:w="57" w:type="dxa"/>
            </w:tcMar>
            <w:vAlign w:val="center"/>
          </w:tcPr>
          <w:p w14:paraId="1E688C31"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2BD708C5"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3.35</w:t>
            </w:r>
          </w:p>
        </w:tc>
      </w:tr>
      <w:tr w:rsidR="00AE1B0E" w:rsidRPr="007E29F8" w14:paraId="34D7D339" w14:textId="77777777" w:rsidTr="001B7765">
        <w:trPr>
          <w:trHeight w:val="16"/>
          <w:tblHeader/>
          <w:jc w:val="center"/>
        </w:trPr>
        <w:tc>
          <w:tcPr>
            <w:tcW w:w="1709" w:type="pct"/>
            <w:tcBorders>
              <w:bottom w:val="double" w:sz="4" w:space="0" w:color="auto"/>
            </w:tcBorders>
            <w:shd w:val="clear" w:color="auto" w:fill="auto"/>
            <w:tcMar>
              <w:top w:w="57" w:type="dxa"/>
              <w:bottom w:w="57" w:type="dxa"/>
            </w:tcMar>
          </w:tcPr>
          <w:p w14:paraId="683B73BF"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6b: treated clothes (mosquitoes)</w:t>
            </w:r>
          </w:p>
        </w:tc>
        <w:tc>
          <w:tcPr>
            <w:tcW w:w="1317" w:type="pct"/>
            <w:tcBorders>
              <w:bottom w:val="double" w:sz="4" w:space="0" w:color="auto"/>
            </w:tcBorders>
            <w:shd w:val="clear" w:color="auto" w:fill="auto"/>
            <w:tcMar>
              <w:top w:w="57" w:type="dxa"/>
              <w:bottom w:w="57" w:type="dxa"/>
            </w:tcMar>
            <w:vAlign w:val="center"/>
          </w:tcPr>
          <w:p w14:paraId="4BD442A0"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Infant (&lt;1 year old)</w:t>
            </w:r>
          </w:p>
        </w:tc>
        <w:tc>
          <w:tcPr>
            <w:tcW w:w="1054" w:type="pct"/>
            <w:tcBorders>
              <w:bottom w:val="double" w:sz="4" w:space="0" w:color="auto"/>
            </w:tcBorders>
            <w:shd w:val="clear" w:color="auto" w:fill="auto"/>
            <w:tcMar>
              <w:top w:w="57" w:type="dxa"/>
              <w:bottom w:w="57" w:type="dxa"/>
            </w:tcMar>
            <w:vAlign w:val="center"/>
          </w:tcPr>
          <w:p w14:paraId="290CBE9B"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bottom w:val="double" w:sz="4" w:space="0" w:color="auto"/>
            </w:tcBorders>
            <w:shd w:val="clear" w:color="auto" w:fill="auto"/>
            <w:tcMar>
              <w:top w:w="57" w:type="dxa"/>
              <w:bottom w:w="57" w:type="dxa"/>
            </w:tcMar>
            <w:vAlign w:val="center"/>
          </w:tcPr>
          <w:p w14:paraId="68F908E9" w14:textId="77777777" w:rsidR="00AE1B0E" w:rsidRPr="007E29F8"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E29F8">
              <w:rPr>
                <w:rFonts w:cs="Calibri"/>
                <w:color w:val="000000"/>
              </w:rPr>
              <w:t>3.57</w:t>
            </w:r>
          </w:p>
        </w:tc>
      </w:tr>
      <w:tr w:rsidR="00AE1B0E" w:rsidRPr="007E29F8" w14:paraId="1A7ED26F" w14:textId="77777777" w:rsidTr="001B7765">
        <w:trPr>
          <w:trHeight w:val="16"/>
          <w:tblHeader/>
          <w:jc w:val="center"/>
        </w:trPr>
        <w:tc>
          <w:tcPr>
            <w:tcW w:w="1709" w:type="pct"/>
            <w:tcBorders>
              <w:top w:val="double" w:sz="4" w:space="0" w:color="auto"/>
            </w:tcBorders>
            <w:shd w:val="clear" w:color="auto" w:fill="auto"/>
            <w:tcMar>
              <w:top w:w="57" w:type="dxa"/>
              <w:bottom w:w="57" w:type="dxa"/>
            </w:tcMar>
          </w:tcPr>
          <w:p w14:paraId="56CEFFDB"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6c</w:t>
            </w:r>
            <w:r w:rsidRPr="007E29F8">
              <w:rPr>
                <w:rFonts w:cs="Arial"/>
                <w:bCs/>
                <w:spacing w:val="1"/>
                <w:sz w:val="18"/>
                <w:szCs w:val="18"/>
                <w:lang w:eastAsia="fr-FR"/>
              </w:rPr>
              <w:t>: treated clothes</w:t>
            </w:r>
            <w:r>
              <w:rPr>
                <w:rFonts w:cs="Arial"/>
                <w:bCs/>
                <w:spacing w:val="1"/>
                <w:sz w:val="18"/>
                <w:szCs w:val="18"/>
                <w:lang w:eastAsia="fr-FR"/>
              </w:rPr>
              <w:t xml:space="preserve"> combined </w:t>
            </w:r>
            <w:r w:rsidRPr="007E29F8">
              <w:rPr>
                <w:rFonts w:cs="Arial"/>
                <w:bCs/>
                <w:spacing w:val="1"/>
                <w:sz w:val="18"/>
                <w:szCs w:val="18"/>
                <w:lang w:eastAsia="fr-FR"/>
              </w:rPr>
              <w:t xml:space="preserve"> (ticks)</w:t>
            </w:r>
          </w:p>
        </w:tc>
        <w:tc>
          <w:tcPr>
            <w:tcW w:w="1317" w:type="pct"/>
            <w:tcBorders>
              <w:top w:val="double" w:sz="4" w:space="0" w:color="auto"/>
            </w:tcBorders>
            <w:shd w:val="clear" w:color="auto" w:fill="auto"/>
            <w:tcMar>
              <w:top w:w="57" w:type="dxa"/>
              <w:bottom w:w="57" w:type="dxa"/>
            </w:tcMar>
            <w:vAlign w:val="center"/>
          </w:tcPr>
          <w:p w14:paraId="5E3A5FB4"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Adult</w:t>
            </w:r>
          </w:p>
        </w:tc>
        <w:tc>
          <w:tcPr>
            <w:tcW w:w="1054" w:type="pct"/>
            <w:tcBorders>
              <w:top w:val="double" w:sz="4" w:space="0" w:color="auto"/>
            </w:tcBorders>
            <w:shd w:val="clear" w:color="auto" w:fill="auto"/>
            <w:tcMar>
              <w:top w:w="57" w:type="dxa"/>
              <w:bottom w:w="57" w:type="dxa"/>
            </w:tcMar>
            <w:vAlign w:val="center"/>
          </w:tcPr>
          <w:p w14:paraId="007672DB"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5B20F5B4"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Arial"/>
                <w:spacing w:val="1"/>
                <w:lang w:eastAsia="fr-FR"/>
              </w:rPr>
              <w:t>2.78</w:t>
            </w:r>
          </w:p>
        </w:tc>
      </w:tr>
      <w:tr w:rsidR="00AE1B0E" w:rsidRPr="007E29F8" w14:paraId="70491532" w14:textId="77777777" w:rsidTr="001B7765">
        <w:trPr>
          <w:trHeight w:val="16"/>
          <w:tblHeader/>
          <w:jc w:val="center"/>
        </w:trPr>
        <w:tc>
          <w:tcPr>
            <w:tcW w:w="1709" w:type="pct"/>
            <w:shd w:val="clear" w:color="auto" w:fill="auto"/>
            <w:tcMar>
              <w:top w:w="57" w:type="dxa"/>
              <w:bottom w:w="57" w:type="dxa"/>
            </w:tcMar>
          </w:tcPr>
          <w:p w14:paraId="0E5BBBAD"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w:t>
            </w:r>
            <w:r>
              <w:rPr>
                <w:rFonts w:cs="Arial"/>
                <w:bCs/>
                <w:spacing w:val="1"/>
                <w:sz w:val="18"/>
                <w:szCs w:val="18"/>
                <w:lang w:eastAsia="fr-FR"/>
              </w:rPr>
              <w:t>c</w:t>
            </w:r>
            <w:r w:rsidRPr="007E29F8">
              <w:rPr>
                <w:rFonts w:cs="Arial"/>
                <w:bCs/>
                <w:spacing w:val="1"/>
                <w:sz w:val="18"/>
                <w:szCs w:val="18"/>
                <w:lang w:eastAsia="fr-FR"/>
              </w:rPr>
              <w:t xml:space="preserve">: treated clothes </w:t>
            </w:r>
            <w:r>
              <w:rPr>
                <w:rFonts w:cs="Arial"/>
                <w:bCs/>
                <w:spacing w:val="1"/>
                <w:sz w:val="18"/>
                <w:szCs w:val="18"/>
                <w:lang w:eastAsia="fr-FR"/>
              </w:rPr>
              <w:t xml:space="preserve">combined </w:t>
            </w:r>
            <w:r w:rsidRPr="007E29F8">
              <w:rPr>
                <w:rFonts w:cs="Arial"/>
                <w:bCs/>
                <w:spacing w:val="1"/>
                <w:sz w:val="18"/>
                <w:szCs w:val="18"/>
                <w:lang w:eastAsia="fr-FR"/>
              </w:rPr>
              <w:t>(ticks)</w:t>
            </w:r>
          </w:p>
        </w:tc>
        <w:tc>
          <w:tcPr>
            <w:tcW w:w="1317" w:type="pct"/>
            <w:shd w:val="clear" w:color="auto" w:fill="auto"/>
            <w:tcMar>
              <w:top w:w="57" w:type="dxa"/>
              <w:bottom w:w="57" w:type="dxa"/>
            </w:tcMar>
            <w:vAlign w:val="center"/>
          </w:tcPr>
          <w:p w14:paraId="703B9D08"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(6 to &lt;12 years old)</w:t>
            </w:r>
          </w:p>
        </w:tc>
        <w:tc>
          <w:tcPr>
            <w:tcW w:w="1054" w:type="pct"/>
            <w:shd w:val="clear" w:color="auto" w:fill="auto"/>
            <w:tcMar>
              <w:top w:w="57" w:type="dxa"/>
              <w:bottom w:w="57" w:type="dxa"/>
            </w:tcMar>
            <w:vAlign w:val="center"/>
          </w:tcPr>
          <w:p w14:paraId="3A043D29"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4FAB0E1C"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Arial"/>
                <w:spacing w:val="1"/>
                <w:lang w:eastAsia="fr-FR"/>
              </w:rPr>
              <w:t>2.04</w:t>
            </w:r>
          </w:p>
        </w:tc>
      </w:tr>
      <w:tr w:rsidR="00AE1B0E" w:rsidRPr="007E29F8" w14:paraId="0E1244FD" w14:textId="77777777" w:rsidTr="001B7765">
        <w:trPr>
          <w:trHeight w:val="16"/>
          <w:tblHeader/>
          <w:jc w:val="center"/>
        </w:trPr>
        <w:tc>
          <w:tcPr>
            <w:tcW w:w="1709" w:type="pct"/>
            <w:shd w:val="clear" w:color="auto" w:fill="auto"/>
            <w:tcMar>
              <w:top w:w="57" w:type="dxa"/>
              <w:bottom w:w="57" w:type="dxa"/>
            </w:tcMar>
          </w:tcPr>
          <w:p w14:paraId="3EBF14E0"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6c</w:t>
            </w:r>
            <w:r w:rsidRPr="007E29F8">
              <w:rPr>
                <w:rFonts w:cs="Arial"/>
                <w:bCs/>
                <w:spacing w:val="1"/>
                <w:sz w:val="18"/>
                <w:szCs w:val="18"/>
                <w:lang w:eastAsia="fr-FR"/>
              </w:rPr>
              <w:t xml:space="preserve">: treated clothes </w:t>
            </w:r>
            <w:r>
              <w:rPr>
                <w:rFonts w:cs="Arial"/>
                <w:bCs/>
                <w:spacing w:val="1"/>
                <w:sz w:val="18"/>
                <w:szCs w:val="18"/>
                <w:lang w:eastAsia="fr-FR"/>
              </w:rPr>
              <w:t xml:space="preserve">combined </w:t>
            </w:r>
            <w:r w:rsidRPr="007E29F8">
              <w:rPr>
                <w:rFonts w:cs="Arial"/>
                <w:bCs/>
                <w:spacing w:val="1"/>
                <w:sz w:val="18"/>
                <w:szCs w:val="18"/>
                <w:lang w:eastAsia="fr-FR"/>
              </w:rPr>
              <w:t>(ticks)</w:t>
            </w:r>
          </w:p>
        </w:tc>
        <w:tc>
          <w:tcPr>
            <w:tcW w:w="1317" w:type="pct"/>
            <w:shd w:val="clear" w:color="auto" w:fill="auto"/>
            <w:tcMar>
              <w:top w:w="57" w:type="dxa"/>
              <w:bottom w:w="57" w:type="dxa"/>
            </w:tcMar>
            <w:vAlign w:val="center"/>
          </w:tcPr>
          <w:p w14:paraId="4390BD00"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(2 to &lt;6 years old)</w:t>
            </w:r>
          </w:p>
        </w:tc>
        <w:tc>
          <w:tcPr>
            <w:tcW w:w="1054" w:type="pct"/>
            <w:shd w:val="clear" w:color="auto" w:fill="auto"/>
            <w:tcMar>
              <w:top w:w="57" w:type="dxa"/>
              <w:bottom w:w="57" w:type="dxa"/>
            </w:tcMar>
            <w:vAlign w:val="center"/>
          </w:tcPr>
          <w:p w14:paraId="22AF8ADC"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436ED5F1"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Arial"/>
                <w:spacing w:val="1"/>
                <w:lang w:eastAsia="fr-FR"/>
              </w:rPr>
              <w:t>2.30</w:t>
            </w:r>
          </w:p>
        </w:tc>
      </w:tr>
      <w:tr w:rsidR="00AE1B0E" w:rsidRPr="007E29F8" w14:paraId="72505C98" w14:textId="77777777" w:rsidTr="001B7765">
        <w:trPr>
          <w:trHeight w:val="16"/>
          <w:tblHeader/>
          <w:jc w:val="center"/>
        </w:trPr>
        <w:tc>
          <w:tcPr>
            <w:tcW w:w="1709" w:type="pct"/>
            <w:shd w:val="clear" w:color="auto" w:fill="auto"/>
            <w:tcMar>
              <w:top w:w="57" w:type="dxa"/>
              <w:bottom w:w="57" w:type="dxa"/>
            </w:tcMar>
          </w:tcPr>
          <w:p w14:paraId="6DED477E"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w:t>
            </w:r>
            <w:r>
              <w:rPr>
                <w:rFonts w:cs="Arial"/>
                <w:bCs/>
                <w:spacing w:val="1"/>
                <w:sz w:val="18"/>
                <w:szCs w:val="18"/>
                <w:lang w:eastAsia="fr-FR"/>
              </w:rPr>
              <w:t>c</w:t>
            </w:r>
            <w:r w:rsidRPr="007E29F8">
              <w:rPr>
                <w:rFonts w:cs="Arial"/>
                <w:bCs/>
                <w:spacing w:val="1"/>
                <w:sz w:val="18"/>
                <w:szCs w:val="18"/>
                <w:lang w:eastAsia="fr-FR"/>
              </w:rPr>
              <w:t xml:space="preserve">: treated clothes </w:t>
            </w:r>
            <w:r>
              <w:rPr>
                <w:rFonts w:cs="Arial"/>
                <w:bCs/>
                <w:spacing w:val="1"/>
                <w:sz w:val="18"/>
                <w:szCs w:val="18"/>
                <w:lang w:eastAsia="fr-FR"/>
              </w:rPr>
              <w:t xml:space="preserve">combined </w:t>
            </w:r>
            <w:r w:rsidRPr="007E29F8">
              <w:rPr>
                <w:rFonts w:cs="Arial"/>
                <w:bCs/>
                <w:spacing w:val="1"/>
                <w:sz w:val="18"/>
                <w:szCs w:val="18"/>
                <w:lang w:eastAsia="fr-FR"/>
              </w:rPr>
              <w:t>(ticks)</w:t>
            </w:r>
          </w:p>
        </w:tc>
        <w:tc>
          <w:tcPr>
            <w:tcW w:w="1317" w:type="pct"/>
            <w:shd w:val="clear" w:color="auto" w:fill="auto"/>
            <w:tcMar>
              <w:top w:w="57" w:type="dxa"/>
              <w:bottom w:w="57" w:type="dxa"/>
            </w:tcMar>
            <w:vAlign w:val="center"/>
          </w:tcPr>
          <w:p w14:paraId="42DCA5B5"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Toddler (1 to &lt;2 years old)</w:t>
            </w:r>
          </w:p>
        </w:tc>
        <w:tc>
          <w:tcPr>
            <w:tcW w:w="1054" w:type="pct"/>
            <w:shd w:val="clear" w:color="auto" w:fill="auto"/>
            <w:tcMar>
              <w:top w:w="57" w:type="dxa"/>
              <w:bottom w:w="57" w:type="dxa"/>
            </w:tcMar>
            <w:vAlign w:val="center"/>
          </w:tcPr>
          <w:p w14:paraId="25CDF130"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68AA8F82"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Arial"/>
                <w:spacing w:val="1"/>
                <w:lang w:eastAsia="fr-FR"/>
              </w:rPr>
              <w:t>2.53</w:t>
            </w:r>
          </w:p>
        </w:tc>
      </w:tr>
      <w:tr w:rsidR="00AE1B0E" w:rsidRPr="007E29F8" w14:paraId="70A284D9" w14:textId="77777777" w:rsidTr="001B7765">
        <w:trPr>
          <w:trHeight w:val="16"/>
          <w:tblHeader/>
          <w:jc w:val="center"/>
        </w:trPr>
        <w:tc>
          <w:tcPr>
            <w:tcW w:w="1709" w:type="pct"/>
            <w:tcBorders>
              <w:bottom w:val="double" w:sz="4" w:space="0" w:color="auto"/>
            </w:tcBorders>
            <w:shd w:val="clear" w:color="auto" w:fill="auto"/>
            <w:tcMar>
              <w:top w:w="57" w:type="dxa"/>
              <w:bottom w:w="57" w:type="dxa"/>
            </w:tcMar>
          </w:tcPr>
          <w:p w14:paraId="0FFD226A"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6</w:t>
            </w:r>
            <w:r>
              <w:rPr>
                <w:rFonts w:cs="Arial"/>
                <w:bCs/>
                <w:spacing w:val="1"/>
                <w:sz w:val="18"/>
                <w:szCs w:val="18"/>
                <w:lang w:eastAsia="fr-FR"/>
              </w:rPr>
              <w:t>c</w:t>
            </w:r>
            <w:r w:rsidRPr="007E29F8">
              <w:rPr>
                <w:rFonts w:cs="Arial"/>
                <w:bCs/>
                <w:spacing w:val="1"/>
                <w:sz w:val="18"/>
                <w:szCs w:val="18"/>
                <w:lang w:eastAsia="fr-FR"/>
              </w:rPr>
              <w:t xml:space="preserve">: treated clothes </w:t>
            </w:r>
            <w:r>
              <w:rPr>
                <w:rFonts w:cs="Arial"/>
                <w:bCs/>
                <w:spacing w:val="1"/>
                <w:sz w:val="18"/>
                <w:szCs w:val="18"/>
                <w:lang w:eastAsia="fr-FR"/>
              </w:rPr>
              <w:t xml:space="preserve">combined </w:t>
            </w:r>
            <w:r w:rsidRPr="007E29F8">
              <w:rPr>
                <w:rFonts w:cs="Arial"/>
                <w:bCs/>
                <w:spacing w:val="1"/>
                <w:sz w:val="18"/>
                <w:szCs w:val="18"/>
                <w:lang w:eastAsia="fr-FR"/>
              </w:rPr>
              <w:t>(ticks)</w:t>
            </w:r>
          </w:p>
        </w:tc>
        <w:tc>
          <w:tcPr>
            <w:tcW w:w="1317" w:type="pct"/>
            <w:tcBorders>
              <w:bottom w:val="double" w:sz="4" w:space="0" w:color="auto"/>
            </w:tcBorders>
            <w:shd w:val="clear" w:color="auto" w:fill="auto"/>
            <w:tcMar>
              <w:top w:w="57" w:type="dxa"/>
              <w:bottom w:w="57" w:type="dxa"/>
            </w:tcMar>
            <w:vAlign w:val="center"/>
          </w:tcPr>
          <w:p w14:paraId="7D1E0543"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Infant (&lt;1 year old)</w:t>
            </w:r>
          </w:p>
        </w:tc>
        <w:tc>
          <w:tcPr>
            <w:tcW w:w="1054" w:type="pct"/>
            <w:tcBorders>
              <w:bottom w:val="double" w:sz="4" w:space="0" w:color="auto"/>
            </w:tcBorders>
            <w:shd w:val="clear" w:color="auto" w:fill="auto"/>
            <w:tcMar>
              <w:top w:w="57" w:type="dxa"/>
              <w:bottom w:w="57" w:type="dxa"/>
            </w:tcMar>
            <w:vAlign w:val="center"/>
          </w:tcPr>
          <w:p w14:paraId="03BCC37F"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bottom w:val="double" w:sz="4" w:space="0" w:color="auto"/>
            </w:tcBorders>
            <w:shd w:val="clear" w:color="auto" w:fill="auto"/>
            <w:tcMar>
              <w:top w:w="57" w:type="dxa"/>
              <w:bottom w:w="57" w:type="dxa"/>
            </w:tcMar>
            <w:vAlign w:val="center"/>
          </w:tcPr>
          <w:p w14:paraId="7BA47ED4"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Arial"/>
                <w:spacing w:val="1"/>
                <w:lang w:eastAsia="fr-FR"/>
              </w:rPr>
              <w:t>2.70</w:t>
            </w:r>
          </w:p>
        </w:tc>
      </w:tr>
      <w:tr w:rsidR="00AE1B0E" w:rsidRPr="007E29F8" w14:paraId="60BDBFBD" w14:textId="77777777" w:rsidTr="001B7765">
        <w:trPr>
          <w:trHeight w:val="16"/>
          <w:tblHeader/>
          <w:jc w:val="center"/>
        </w:trPr>
        <w:tc>
          <w:tcPr>
            <w:tcW w:w="1709" w:type="pct"/>
            <w:tcBorders>
              <w:top w:val="double" w:sz="4" w:space="0" w:color="auto"/>
            </w:tcBorders>
            <w:shd w:val="clear" w:color="auto" w:fill="auto"/>
            <w:tcMar>
              <w:top w:w="57" w:type="dxa"/>
              <w:bottom w:w="57" w:type="dxa"/>
            </w:tcMar>
          </w:tcPr>
          <w:p w14:paraId="25CF6029"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6d</w:t>
            </w:r>
            <w:r w:rsidRPr="007E29F8">
              <w:rPr>
                <w:rFonts w:cs="Arial"/>
                <w:bCs/>
                <w:spacing w:val="1"/>
                <w:sz w:val="18"/>
                <w:szCs w:val="18"/>
                <w:lang w:eastAsia="fr-FR"/>
              </w:rPr>
              <w:t>: treated clothes</w:t>
            </w:r>
            <w:r>
              <w:rPr>
                <w:rFonts w:cs="Arial"/>
                <w:bCs/>
                <w:spacing w:val="1"/>
                <w:sz w:val="18"/>
                <w:szCs w:val="18"/>
                <w:lang w:eastAsia="fr-FR"/>
              </w:rPr>
              <w:t xml:space="preserve"> combined</w:t>
            </w:r>
            <w:r w:rsidRPr="007E29F8">
              <w:rPr>
                <w:rFonts w:cs="Arial"/>
                <w:bCs/>
                <w:spacing w:val="1"/>
                <w:sz w:val="18"/>
                <w:szCs w:val="18"/>
                <w:lang w:eastAsia="fr-FR"/>
              </w:rPr>
              <w:t xml:space="preserve"> (mosquitoes)</w:t>
            </w:r>
          </w:p>
        </w:tc>
        <w:tc>
          <w:tcPr>
            <w:tcW w:w="1317" w:type="pct"/>
            <w:tcBorders>
              <w:top w:val="double" w:sz="4" w:space="0" w:color="auto"/>
            </w:tcBorders>
            <w:shd w:val="clear" w:color="auto" w:fill="auto"/>
            <w:tcMar>
              <w:top w:w="57" w:type="dxa"/>
              <w:bottom w:w="57" w:type="dxa"/>
            </w:tcMar>
            <w:vAlign w:val="center"/>
          </w:tcPr>
          <w:p w14:paraId="1FA8CAF4"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Adult</w:t>
            </w:r>
          </w:p>
        </w:tc>
        <w:tc>
          <w:tcPr>
            <w:tcW w:w="1054" w:type="pct"/>
            <w:tcBorders>
              <w:top w:val="double" w:sz="4" w:space="0" w:color="auto"/>
            </w:tcBorders>
            <w:shd w:val="clear" w:color="auto" w:fill="auto"/>
            <w:tcMar>
              <w:top w:w="57" w:type="dxa"/>
              <w:bottom w:w="57" w:type="dxa"/>
            </w:tcMar>
            <w:vAlign w:val="center"/>
          </w:tcPr>
          <w:p w14:paraId="297EC61D"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7F830758"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Arial"/>
                <w:spacing w:val="1"/>
                <w:lang w:eastAsia="fr-FR"/>
              </w:rPr>
              <w:t>1.96</w:t>
            </w:r>
          </w:p>
        </w:tc>
      </w:tr>
      <w:tr w:rsidR="00AE1B0E" w:rsidRPr="007E29F8" w14:paraId="66BC7E08" w14:textId="77777777" w:rsidTr="001B7765">
        <w:trPr>
          <w:trHeight w:val="16"/>
          <w:tblHeader/>
          <w:jc w:val="center"/>
        </w:trPr>
        <w:tc>
          <w:tcPr>
            <w:tcW w:w="1709" w:type="pct"/>
            <w:shd w:val="clear" w:color="auto" w:fill="auto"/>
            <w:tcMar>
              <w:top w:w="57" w:type="dxa"/>
              <w:bottom w:w="57" w:type="dxa"/>
            </w:tcMar>
          </w:tcPr>
          <w:p w14:paraId="6A71B0C4"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6d</w:t>
            </w:r>
            <w:r w:rsidRPr="007E29F8">
              <w:rPr>
                <w:rFonts w:cs="Arial"/>
                <w:bCs/>
                <w:spacing w:val="1"/>
                <w:sz w:val="18"/>
                <w:szCs w:val="18"/>
                <w:lang w:eastAsia="fr-FR"/>
              </w:rPr>
              <w:t xml:space="preserve">: treated clothes </w:t>
            </w:r>
            <w:r>
              <w:rPr>
                <w:rFonts w:cs="Arial"/>
                <w:bCs/>
                <w:spacing w:val="1"/>
                <w:sz w:val="18"/>
                <w:szCs w:val="18"/>
                <w:lang w:eastAsia="fr-FR"/>
              </w:rPr>
              <w:t xml:space="preserve">combined </w:t>
            </w:r>
            <w:r w:rsidRPr="007E29F8">
              <w:rPr>
                <w:rFonts w:cs="Arial"/>
                <w:bCs/>
                <w:spacing w:val="1"/>
                <w:sz w:val="18"/>
                <w:szCs w:val="18"/>
                <w:lang w:eastAsia="fr-FR"/>
              </w:rPr>
              <w:t>(mosquitoes)</w:t>
            </w:r>
          </w:p>
        </w:tc>
        <w:tc>
          <w:tcPr>
            <w:tcW w:w="1317" w:type="pct"/>
            <w:shd w:val="clear" w:color="auto" w:fill="auto"/>
            <w:tcMar>
              <w:top w:w="57" w:type="dxa"/>
              <w:bottom w:w="57" w:type="dxa"/>
            </w:tcMar>
            <w:vAlign w:val="center"/>
          </w:tcPr>
          <w:p w14:paraId="269739C1"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(6 to &lt;12 years old)</w:t>
            </w:r>
          </w:p>
        </w:tc>
        <w:tc>
          <w:tcPr>
            <w:tcW w:w="1054" w:type="pct"/>
            <w:shd w:val="clear" w:color="auto" w:fill="auto"/>
            <w:tcMar>
              <w:top w:w="57" w:type="dxa"/>
              <w:bottom w:w="57" w:type="dxa"/>
            </w:tcMar>
            <w:vAlign w:val="center"/>
          </w:tcPr>
          <w:p w14:paraId="128F5FD5"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215C2321"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Arial"/>
                <w:spacing w:val="1"/>
                <w:lang w:eastAsia="fr-FR"/>
              </w:rPr>
              <w:t>2.88</w:t>
            </w:r>
          </w:p>
        </w:tc>
      </w:tr>
      <w:tr w:rsidR="00AE1B0E" w:rsidRPr="007E29F8" w14:paraId="107C0943" w14:textId="77777777" w:rsidTr="001B7765">
        <w:trPr>
          <w:trHeight w:val="16"/>
          <w:tblHeader/>
          <w:jc w:val="center"/>
        </w:trPr>
        <w:tc>
          <w:tcPr>
            <w:tcW w:w="1709" w:type="pct"/>
            <w:shd w:val="clear" w:color="auto" w:fill="auto"/>
            <w:tcMar>
              <w:top w:w="57" w:type="dxa"/>
              <w:bottom w:w="57" w:type="dxa"/>
            </w:tcMar>
          </w:tcPr>
          <w:p w14:paraId="683BD8F6"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6d</w:t>
            </w:r>
            <w:r w:rsidRPr="007E29F8">
              <w:rPr>
                <w:rFonts w:cs="Arial"/>
                <w:bCs/>
                <w:spacing w:val="1"/>
                <w:sz w:val="18"/>
                <w:szCs w:val="18"/>
                <w:lang w:eastAsia="fr-FR"/>
              </w:rPr>
              <w:t xml:space="preserve">: treated clothes </w:t>
            </w:r>
            <w:r>
              <w:rPr>
                <w:rFonts w:cs="Arial"/>
                <w:bCs/>
                <w:spacing w:val="1"/>
                <w:sz w:val="18"/>
                <w:szCs w:val="18"/>
                <w:lang w:eastAsia="fr-FR"/>
              </w:rPr>
              <w:t xml:space="preserve">combined </w:t>
            </w:r>
            <w:r w:rsidRPr="007E29F8">
              <w:rPr>
                <w:rFonts w:cs="Arial"/>
                <w:bCs/>
                <w:spacing w:val="1"/>
                <w:sz w:val="18"/>
                <w:szCs w:val="18"/>
                <w:lang w:eastAsia="fr-FR"/>
              </w:rPr>
              <w:t>(mosquitoes)</w:t>
            </w:r>
          </w:p>
        </w:tc>
        <w:tc>
          <w:tcPr>
            <w:tcW w:w="1317" w:type="pct"/>
            <w:shd w:val="clear" w:color="auto" w:fill="auto"/>
            <w:tcMar>
              <w:top w:w="57" w:type="dxa"/>
              <w:bottom w:w="57" w:type="dxa"/>
            </w:tcMar>
            <w:vAlign w:val="center"/>
          </w:tcPr>
          <w:p w14:paraId="5AFF5053"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(2 to &lt;6 years old)</w:t>
            </w:r>
          </w:p>
        </w:tc>
        <w:tc>
          <w:tcPr>
            <w:tcW w:w="1054" w:type="pct"/>
            <w:shd w:val="clear" w:color="auto" w:fill="auto"/>
            <w:tcMar>
              <w:top w:w="57" w:type="dxa"/>
              <w:bottom w:w="57" w:type="dxa"/>
            </w:tcMar>
            <w:vAlign w:val="center"/>
          </w:tcPr>
          <w:p w14:paraId="0FB95CC4"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55289229"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Arial"/>
                <w:spacing w:val="1"/>
                <w:lang w:eastAsia="fr-FR"/>
              </w:rPr>
              <w:t>1.63</w:t>
            </w:r>
          </w:p>
        </w:tc>
      </w:tr>
      <w:tr w:rsidR="00AE1B0E" w:rsidRPr="007E29F8" w14:paraId="5EE72B8B" w14:textId="77777777" w:rsidTr="001B7765">
        <w:trPr>
          <w:trHeight w:val="16"/>
          <w:tblHeader/>
          <w:jc w:val="center"/>
        </w:trPr>
        <w:tc>
          <w:tcPr>
            <w:tcW w:w="1709" w:type="pct"/>
            <w:tcBorders>
              <w:bottom w:val="single" w:sz="6" w:space="0" w:color="auto"/>
            </w:tcBorders>
            <w:shd w:val="clear" w:color="auto" w:fill="auto"/>
            <w:tcMar>
              <w:top w:w="57" w:type="dxa"/>
              <w:bottom w:w="57" w:type="dxa"/>
            </w:tcMar>
          </w:tcPr>
          <w:p w14:paraId="017C0511"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6d</w:t>
            </w:r>
            <w:r w:rsidRPr="007E29F8">
              <w:rPr>
                <w:rFonts w:cs="Arial"/>
                <w:bCs/>
                <w:spacing w:val="1"/>
                <w:sz w:val="18"/>
                <w:szCs w:val="18"/>
                <w:lang w:eastAsia="fr-FR"/>
              </w:rPr>
              <w:t xml:space="preserve">: treated clothes </w:t>
            </w:r>
            <w:r>
              <w:rPr>
                <w:rFonts w:cs="Arial"/>
                <w:bCs/>
                <w:spacing w:val="1"/>
                <w:sz w:val="18"/>
                <w:szCs w:val="18"/>
                <w:lang w:eastAsia="fr-FR"/>
              </w:rPr>
              <w:t xml:space="preserve">combined </w:t>
            </w:r>
            <w:r w:rsidRPr="007E29F8">
              <w:rPr>
                <w:rFonts w:cs="Arial"/>
                <w:bCs/>
                <w:spacing w:val="1"/>
                <w:sz w:val="18"/>
                <w:szCs w:val="18"/>
                <w:lang w:eastAsia="fr-FR"/>
              </w:rPr>
              <w:t>(mosquitoes)</w:t>
            </w:r>
          </w:p>
        </w:tc>
        <w:tc>
          <w:tcPr>
            <w:tcW w:w="1317" w:type="pct"/>
            <w:tcBorders>
              <w:bottom w:val="single" w:sz="6" w:space="0" w:color="auto"/>
            </w:tcBorders>
            <w:shd w:val="clear" w:color="auto" w:fill="auto"/>
            <w:tcMar>
              <w:top w:w="57" w:type="dxa"/>
              <w:bottom w:w="57" w:type="dxa"/>
            </w:tcMar>
            <w:vAlign w:val="center"/>
          </w:tcPr>
          <w:p w14:paraId="0DDB19B9"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Toddler (1 to &lt;2 years old)</w:t>
            </w:r>
          </w:p>
        </w:tc>
        <w:tc>
          <w:tcPr>
            <w:tcW w:w="1054" w:type="pct"/>
            <w:tcBorders>
              <w:bottom w:val="single" w:sz="6" w:space="0" w:color="auto"/>
            </w:tcBorders>
            <w:shd w:val="clear" w:color="auto" w:fill="auto"/>
            <w:tcMar>
              <w:top w:w="57" w:type="dxa"/>
              <w:bottom w:w="57" w:type="dxa"/>
            </w:tcMar>
            <w:vAlign w:val="center"/>
          </w:tcPr>
          <w:p w14:paraId="297678B2"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bottom w:val="single" w:sz="6" w:space="0" w:color="auto"/>
            </w:tcBorders>
            <w:shd w:val="clear" w:color="auto" w:fill="auto"/>
            <w:tcMar>
              <w:top w:w="57" w:type="dxa"/>
              <w:bottom w:w="57" w:type="dxa"/>
            </w:tcMar>
            <w:vAlign w:val="center"/>
          </w:tcPr>
          <w:p w14:paraId="41010344"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Arial"/>
                <w:spacing w:val="1"/>
                <w:lang w:eastAsia="fr-FR"/>
              </w:rPr>
              <w:t>1.78</w:t>
            </w:r>
          </w:p>
        </w:tc>
      </w:tr>
      <w:tr w:rsidR="00AE1B0E" w:rsidRPr="007E29F8" w14:paraId="52166662" w14:textId="77777777" w:rsidTr="001B7765">
        <w:trPr>
          <w:trHeight w:val="16"/>
          <w:tblHeader/>
          <w:jc w:val="center"/>
        </w:trPr>
        <w:tc>
          <w:tcPr>
            <w:tcW w:w="1709" w:type="pct"/>
            <w:tcBorders>
              <w:bottom w:val="double" w:sz="4" w:space="0" w:color="auto"/>
            </w:tcBorders>
            <w:shd w:val="clear" w:color="auto" w:fill="auto"/>
            <w:tcMar>
              <w:top w:w="57" w:type="dxa"/>
              <w:bottom w:w="57" w:type="dxa"/>
            </w:tcMar>
          </w:tcPr>
          <w:p w14:paraId="657E61F0"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6d</w:t>
            </w:r>
            <w:r w:rsidRPr="007E29F8">
              <w:rPr>
                <w:rFonts w:cs="Arial"/>
                <w:bCs/>
                <w:spacing w:val="1"/>
                <w:sz w:val="18"/>
                <w:szCs w:val="18"/>
                <w:lang w:eastAsia="fr-FR"/>
              </w:rPr>
              <w:t>: treated clothes</w:t>
            </w:r>
            <w:r>
              <w:rPr>
                <w:rFonts w:cs="Arial"/>
                <w:bCs/>
                <w:spacing w:val="1"/>
                <w:sz w:val="18"/>
                <w:szCs w:val="18"/>
                <w:lang w:eastAsia="fr-FR"/>
              </w:rPr>
              <w:t xml:space="preserve"> combined</w:t>
            </w:r>
            <w:r w:rsidRPr="007E29F8">
              <w:rPr>
                <w:rFonts w:cs="Arial"/>
                <w:bCs/>
                <w:spacing w:val="1"/>
                <w:sz w:val="18"/>
                <w:szCs w:val="18"/>
                <w:lang w:eastAsia="fr-FR"/>
              </w:rPr>
              <w:t xml:space="preserve"> (mosquitoes)</w:t>
            </w:r>
          </w:p>
        </w:tc>
        <w:tc>
          <w:tcPr>
            <w:tcW w:w="1317" w:type="pct"/>
            <w:tcBorders>
              <w:bottom w:val="double" w:sz="4" w:space="0" w:color="auto"/>
            </w:tcBorders>
            <w:shd w:val="clear" w:color="auto" w:fill="auto"/>
            <w:tcMar>
              <w:top w:w="57" w:type="dxa"/>
              <w:bottom w:w="57" w:type="dxa"/>
            </w:tcMar>
            <w:vAlign w:val="center"/>
          </w:tcPr>
          <w:p w14:paraId="3C802A5A"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Infant (&lt;1 year old)</w:t>
            </w:r>
          </w:p>
        </w:tc>
        <w:tc>
          <w:tcPr>
            <w:tcW w:w="1054" w:type="pct"/>
            <w:tcBorders>
              <w:bottom w:val="double" w:sz="4" w:space="0" w:color="auto"/>
            </w:tcBorders>
            <w:shd w:val="clear" w:color="auto" w:fill="auto"/>
            <w:tcMar>
              <w:top w:w="57" w:type="dxa"/>
              <w:bottom w:w="57" w:type="dxa"/>
            </w:tcMar>
            <w:vAlign w:val="center"/>
          </w:tcPr>
          <w:p w14:paraId="1BE58355"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bottom w:val="double" w:sz="4" w:space="0" w:color="auto"/>
            </w:tcBorders>
            <w:shd w:val="clear" w:color="auto" w:fill="auto"/>
            <w:tcMar>
              <w:top w:w="57" w:type="dxa"/>
              <w:bottom w:w="57" w:type="dxa"/>
            </w:tcMar>
            <w:vAlign w:val="center"/>
          </w:tcPr>
          <w:p w14:paraId="4EEC160A"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Arial"/>
                <w:spacing w:val="1"/>
                <w:lang w:eastAsia="fr-FR"/>
              </w:rPr>
              <w:t>1.90</w:t>
            </w:r>
          </w:p>
        </w:tc>
      </w:tr>
      <w:tr w:rsidR="00AE1B0E" w:rsidRPr="007E29F8" w14:paraId="3903CE68" w14:textId="77777777" w:rsidTr="001B7765">
        <w:trPr>
          <w:trHeight w:val="16"/>
          <w:tblHeader/>
          <w:jc w:val="center"/>
        </w:trPr>
        <w:tc>
          <w:tcPr>
            <w:tcW w:w="1709" w:type="pct"/>
            <w:tcBorders>
              <w:top w:val="double" w:sz="4" w:space="0" w:color="auto"/>
            </w:tcBorders>
            <w:shd w:val="clear" w:color="auto" w:fill="auto"/>
            <w:tcMar>
              <w:top w:w="57" w:type="dxa"/>
              <w:bottom w:w="57" w:type="dxa"/>
            </w:tcMar>
          </w:tcPr>
          <w:p w14:paraId="406294E5" w14:textId="77777777" w:rsidR="00AE1B0E"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6e</w:t>
            </w:r>
            <w:r w:rsidRPr="007E29F8">
              <w:rPr>
                <w:rFonts w:cs="Arial"/>
                <w:bCs/>
                <w:spacing w:val="1"/>
                <w:sz w:val="18"/>
                <w:szCs w:val="18"/>
                <w:lang w:eastAsia="fr-FR"/>
              </w:rPr>
              <w:t>: treated clothes (</w:t>
            </w:r>
            <w:r>
              <w:rPr>
                <w:rFonts w:cs="Arial"/>
                <w:bCs/>
                <w:spacing w:val="1"/>
                <w:sz w:val="18"/>
                <w:szCs w:val="18"/>
                <w:lang w:eastAsia="fr-FR"/>
              </w:rPr>
              <w:t>head lice</w:t>
            </w:r>
            <w:r w:rsidRPr="007E29F8">
              <w:rPr>
                <w:rFonts w:cs="Arial"/>
                <w:bCs/>
                <w:spacing w:val="1"/>
                <w:sz w:val="18"/>
                <w:szCs w:val="18"/>
                <w:lang w:eastAsia="fr-FR"/>
              </w:rPr>
              <w:t>)</w:t>
            </w:r>
          </w:p>
        </w:tc>
        <w:tc>
          <w:tcPr>
            <w:tcW w:w="1317" w:type="pct"/>
            <w:tcBorders>
              <w:top w:val="double" w:sz="4" w:space="0" w:color="auto"/>
            </w:tcBorders>
            <w:shd w:val="clear" w:color="auto" w:fill="auto"/>
            <w:tcMar>
              <w:top w:w="57" w:type="dxa"/>
              <w:bottom w:w="57" w:type="dxa"/>
            </w:tcMar>
            <w:vAlign w:val="center"/>
          </w:tcPr>
          <w:p w14:paraId="20F6E01F"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Adult</w:t>
            </w:r>
          </w:p>
        </w:tc>
        <w:tc>
          <w:tcPr>
            <w:tcW w:w="1054" w:type="pct"/>
            <w:tcBorders>
              <w:top w:val="double" w:sz="4" w:space="0" w:color="auto"/>
              <w:right w:val="single" w:sz="4" w:space="0" w:color="auto"/>
            </w:tcBorders>
            <w:shd w:val="clear" w:color="auto" w:fill="auto"/>
            <w:tcMar>
              <w:top w:w="57" w:type="dxa"/>
              <w:bottom w:w="57" w:type="dxa"/>
            </w:tcMar>
            <w:vAlign w:val="center"/>
          </w:tcPr>
          <w:p w14:paraId="3A00D151"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top w:val="doub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AD1EA"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Arial"/>
                <w:spacing w:val="1"/>
                <w:lang w:eastAsia="fr-FR"/>
              </w:rPr>
            </w:pPr>
            <w:r w:rsidRPr="00797F55">
              <w:rPr>
                <w:rFonts w:cs="Calibri"/>
                <w:color w:val="000000"/>
              </w:rPr>
              <w:t>2.0</w:t>
            </w:r>
          </w:p>
        </w:tc>
      </w:tr>
      <w:tr w:rsidR="00AE1B0E" w:rsidRPr="007E29F8" w14:paraId="249CF66E" w14:textId="77777777" w:rsidTr="001B7765">
        <w:trPr>
          <w:trHeight w:val="16"/>
          <w:tblHeader/>
          <w:jc w:val="center"/>
        </w:trPr>
        <w:tc>
          <w:tcPr>
            <w:tcW w:w="1709" w:type="pct"/>
            <w:shd w:val="clear" w:color="auto" w:fill="auto"/>
            <w:tcMar>
              <w:top w:w="57" w:type="dxa"/>
              <w:bottom w:w="57" w:type="dxa"/>
            </w:tcMar>
          </w:tcPr>
          <w:p w14:paraId="621241CC" w14:textId="77777777" w:rsidR="00AE1B0E"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6e</w:t>
            </w:r>
            <w:r w:rsidRPr="007E29F8">
              <w:rPr>
                <w:rFonts w:cs="Arial"/>
                <w:bCs/>
                <w:spacing w:val="1"/>
                <w:sz w:val="18"/>
                <w:szCs w:val="18"/>
                <w:lang w:eastAsia="fr-FR"/>
              </w:rPr>
              <w:t>: treated clothes (</w:t>
            </w:r>
            <w:r>
              <w:rPr>
                <w:rFonts w:cs="Arial"/>
                <w:bCs/>
                <w:spacing w:val="1"/>
                <w:sz w:val="18"/>
                <w:szCs w:val="18"/>
                <w:lang w:eastAsia="fr-FR"/>
              </w:rPr>
              <w:t>head lice</w:t>
            </w:r>
            <w:r w:rsidRPr="007E29F8">
              <w:rPr>
                <w:rFonts w:cs="Arial"/>
                <w:bCs/>
                <w:spacing w:val="1"/>
                <w:sz w:val="18"/>
                <w:szCs w:val="18"/>
                <w:lang w:eastAsia="fr-FR"/>
              </w:rPr>
              <w:t>)</w:t>
            </w:r>
          </w:p>
        </w:tc>
        <w:tc>
          <w:tcPr>
            <w:tcW w:w="1317" w:type="pct"/>
            <w:shd w:val="clear" w:color="auto" w:fill="auto"/>
            <w:tcMar>
              <w:top w:w="57" w:type="dxa"/>
              <w:bottom w:w="57" w:type="dxa"/>
            </w:tcMar>
            <w:vAlign w:val="center"/>
          </w:tcPr>
          <w:p w14:paraId="71731D07"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(6 to &lt;12 years old)</w:t>
            </w:r>
          </w:p>
        </w:tc>
        <w:tc>
          <w:tcPr>
            <w:tcW w:w="1054" w:type="pct"/>
            <w:tcBorders>
              <w:right w:val="single" w:sz="4" w:space="0" w:color="auto"/>
            </w:tcBorders>
            <w:shd w:val="clear" w:color="auto" w:fill="auto"/>
            <w:tcMar>
              <w:top w:w="57" w:type="dxa"/>
              <w:bottom w:w="57" w:type="dxa"/>
            </w:tcMar>
            <w:vAlign w:val="center"/>
          </w:tcPr>
          <w:p w14:paraId="682D814A"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5D584"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Arial"/>
                <w:spacing w:val="1"/>
                <w:lang w:eastAsia="fr-FR"/>
              </w:rPr>
            </w:pPr>
            <w:r w:rsidRPr="00797F55">
              <w:rPr>
                <w:rFonts w:cs="Calibri"/>
                <w:color w:val="000000"/>
              </w:rPr>
              <w:t>3.0</w:t>
            </w:r>
          </w:p>
        </w:tc>
      </w:tr>
      <w:tr w:rsidR="00AE1B0E" w:rsidRPr="007E29F8" w14:paraId="57D85F3F" w14:textId="77777777" w:rsidTr="001B7765">
        <w:trPr>
          <w:trHeight w:val="16"/>
          <w:tblHeader/>
          <w:jc w:val="center"/>
        </w:trPr>
        <w:tc>
          <w:tcPr>
            <w:tcW w:w="1709" w:type="pct"/>
            <w:shd w:val="clear" w:color="auto" w:fill="auto"/>
            <w:tcMar>
              <w:top w:w="57" w:type="dxa"/>
              <w:bottom w:w="57" w:type="dxa"/>
            </w:tcMar>
          </w:tcPr>
          <w:p w14:paraId="34A6ACC2" w14:textId="77777777" w:rsidR="00AE1B0E"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6e</w:t>
            </w:r>
            <w:r w:rsidRPr="007E29F8">
              <w:rPr>
                <w:rFonts w:cs="Arial"/>
                <w:bCs/>
                <w:spacing w:val="1"/>
                <w:sz w:val="18"/>
                <w:szCs w:val="18"/>
                <w:lang w:eastAsia="fr-FR"/>
              </w:rPr>
              <w:t>: treated clothes (</w:t>
            </w:r>
            <w:r>
              <w:rPr>
                <w:rFonts w:cs="Arial"/>
                <w:bCs/>
                <w:spacing w:val="1"/>
                <w:sz w:val="18"/>
                <w:szCs w:val="18"/>
                <w:lang w:eastAsia="fr-FR"/>
              </w:rPr>
              <w:t>head lice</w:t>
            </w:r>
            <w:r w:rsidRPr="007E29F8">
              <w:rPr>
                <w:rFonts w:cs="Arial"/>
                <w:bCs/>
                <w:spacing w:val="1"/>
                <w:sz w:val="18"/>
                <w:szCs w:val="18"/>
                <w:lang w:eastAsia="fr-FR"/>
              </w:rPr>
              <w:t>)</w:t>
            </w:r>
          </w:p>
        </w:tc>
        <w:tc>
          <w:tcPr>
            <w:tcW w:w="1317" w:type="pct"/>
            <w:shd w:val="clear" w:color="auto" w:fill="auto"/>
            <w:tcMar>
              <w:top w:w="57" w:type="dxa"/>
              <w:bottom w:w="57" w:type="dxa"/>
            </w:tcMar>
            <w:vAlign w:val="center"/>
          </w:tcPr>
          <w:p w14:paraId="793E5D4C"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(2 to &lt;6 years old)</w:t>
            </w:r>
          </w:p>
        </w:tc>
        <w:tc>
          <w:tcPr>
            <w:tcW w:w="1054" w:type="pct"/>
            <w:tcBorders>
              <w:right w:val="single" w:sz="4" w:space="0" w:color="auto"/>
            </w:tcBorders>
            <w:shd w:val="clear" w:color="auto" w:fill="auto"/>
            <w:tcMar>
              <w:top w:w="57" w:type="dxa"/>
              <w:bottom w:w="57" w:type="dxa"/>
            </w:tcMar>
            <w:vAlign w:val="center"/>
          </w:tcPr>
          <w:p w14:paraId="688E301B"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8739F"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Arial"/>
                <w:spacing w:val="1"/>
                <w:lang w:eastAsia="fr-FR"/>
              </w:rPr>
            </w:pPr>
            <w:r w:rsidRPr="00797F55">
              <w:rPr>
                <w:rFonts w:cs="Calibri"/>
                <w:color w:val="000000"/>
              </w:rPr>
              <w:t>3.6</w:t>
            </w:r>
          </w:p>
        </w:tc>
      </w:tr>
      <w:tr w:rsidR="00AE1B0E" w:rsidRPr="007E29F8" w14:paraId="6734833D" w14:textId="77777777" w:rsidTr="001B7765">
        <w:trPr>
          <w:trHeight w:val="16"/>
          <w:tblHeader/>
          <w:jc w:val="center"/>
        </w:trPr>
        <w:tc>
          <w:tcPr>
            <w:tcW w:w="1709" w:type="pct"/>
            <w:tcBorders>
              <w:bottom w:val="single" w:sz="6" w:space="0" w:color="auto"/>
            </w:tcBorders>
            <w:shd w:val="clear" w:color="auto" w:fill="auto"/>
            <w:tcMar>
              <w:top w:w="57" w:type="dxa"/>
              <w:bottom w:w="57" w:type="dxa"/>
            </w:tcMar>
          </w:tcPr>
          <w:p w14:paraId="22CACE7A" w14:textId="77777777" w:rsidR="00AE1B0E"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6e</w:t>
            </w:r>
            <w:r w:rsidRPr="007E29F8">
              <w:rPr>
                <w:rFonts w:cs="Arial"/>
                <w:bCs/>
                <w:spacing w:val="1"/>
                <w:sz w:val="18"/>
                <w:szCs w:val="18"/>
                <w:lang w:eastAsia="fr-FR"/>
              </w:rPr>
              <w:t>: treated clothes (</w:t>
            </w:r>
            <w:r>
              <w:rPr>
                <w:rFonts w:cs="Arial"/>
                <w:bCs/>
                <w:spacing w:val="1"/>
                <w:sz w:val="18"/>
                <w:szCs w:val="18"/>
                <w:lang w:eastAsia="fr-FR"/>
              </w:rPr>
              <w:t>head lice</w:t>
            </w:r>
            <w:r w:rsidRPr="007E29F8">
              <w:rPr>
                <w:rFonts w:cs="Arial"/>
                <w:bCs/>
                <w:spacing w:val="1"/>
                <w:sz w:val="18"/>
                <w:szCs w:val="18"/>
                <w:lang w:eastAsia="fr-FR"/>
              </w:rPr>
              <w:t>)</w:t>
            </w:r>
          </w:p>
        </w:tc>
        <w:tc>
          <w:tcPr>
            <w:tcW w:w="1317" w:type="pct"/>
            <w:tcBorders>
              <w:bottom w:val="single" w:sz="6" w:space="0" w:color="auto"/>
            </w:tcBorders>
            <w:shd w:val="clear" w:color="auto" w:fill="auto"/>
            <w:tcMar>
              <w:top w:w="57" w:type="dxa"/>
              <w:bottom w:w="57" w:type="dxa"/>
            </w:tcMar>
            <w:vAlign w:val="center"/>
          </w:tcPr>
          <w:p w14:paraId="595FE8F3"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Toddler (1 to &lt;2 years old)</w:t>
            </w:r>
          </w:p>
        </w:tc>
        <w:tc>
          <w:tcPr>
            <w:tcW w:w="1054" w:type="pct"/>
            <w:tcBorders>
              <w:bottom w:val="single" w:sz="6" w:space="0" w:color="auto"/>
              <w:right w:val="single" w:sz="4" w:space="0" w:color="auto"/>
            </w:tcBorders>
            <w:shd w:val="clear" w:color="auto" w:fill="auto"/>
            <w:tcMar>
              <w:top w:w="57" w:type="dxa"/>
              <w:bottom w:w="57" w:type="dxa"/>
            </w:tcMar>
            <w:vAlign w:val="center"/>
          </w:tcPr>
          <w:p w14:paraId="4F7888D2"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top w:val="single" w:sz="4" w:space="0" w:color="auto"/>
              <w:left w:val="single" w:sz="4" w:space="0" w:color="auto"/>
              <w:bottom w:val="single" w:sz="6" w:space="0" w:color="auto"/>
              <w:right w:val="single" w:sz="4" w:space="0" w:color="auto"/>
            </w:tcBorders>
            <w:shd w:val="clear" w:color="auto" w:fill="auto"/>
            <w:tcMar>
              <w:top w:w="57" w:type="dxa"/>
              <w:bottom w:w="57" w:type="dxa"/>
            </w:tcMar>
            <w:vAlign w:val="center"/>
          </w:tcPr>
          <w:p w14:paraId="5E25B242"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Arial"/>
                <w:spacing w:val="1"/>
                <w:lang w:eastAsia="fr-FR"/>
              </w:rPr>
            </w:pPr>
            <w:r w:rsidRPr="00797F55">
              <w:rPr>
                <w:rFonts w:cs="Calibri"/>
                <w:color w:val="000000"/>
              </w:rPr>
              <w:t>4.0</w:t>
            </w:r>
          </w:p>
        </w:tc>
      </w:tr>
      <w:tr w:rsidR="00AE1B0E" w:rsidRPr="007E29F8" w14:paraId="085F3541" w14:textId="77777777" w:rsidTr="001B7765">
        <w:trPr>
          <w:trHeight w:val="16"/>
          <w:tblHeader/>
          <w:jc w:val="center"/>
        </w:trPr>
        <w:tc>
          <w:tcPr>
            <w:tcW w:w="1709" w:type="pct"/>
            <w:tcBorders>
              <w:top w:val="single" w:sz="6" w:space="0" w:color="auto"/>
              <w:bottom w:val="double" w:sz="4" w:space="0" w:color="auto"/>
              <w:right w:val="single" w:sz="6" w:space="0" w:color="auto"/>
            </w:tcBorders>
            <w:shd w:val="clear" w:color="auto" w:fill="auto"/>
            <w:tcMar>
              <w:top w:w="57" w:type="dxa"/>
              <w:bottom w:w="57" w:type="dxa"/>
            </w:tcMar>
          </w:tcPr>
          <w:p w14:paraId="649B9F43" w14:textId="77777777" w:rsidR="00AE1B0E"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Pr>
                <w:rFonts w:cs="Arial"/>
                <w:bCs/>
                <w:spacing w:val="1"/>
                <w:sz w:val="18"/>
                <w:szCs w:val="18"/>
                <w:lang w:eastAsia="fr-FR"/>
              </w:rPr>
              <w:t>6e</w:t>
            </w:r>
            <w:r w:rsidRPr="007E29F8">
              <w:rPr>
                <w:rFonts w:cs="Arial"/>
                <w:bCs/>
                <w:spacing w:val="1"/>
                <w:sz w:val="18"/>
                <w:szCs w:val="18"/>
                <w:lang w:eastAsia="fr-FR"/>
              </w:rPr>
              <w:t>: treated clothes (</w:t>
            </w:r>
            <w:r>
              <w:rPr>
                <w:rFonts w:cs="Arial"/>
                <w:bCs/>
                <w:spacing w:val="1"/>
                <w:sz w:val="18"/>
                <w:szCs w:val="18"/>
                <w:lang w:eastAsia="fr-FR"/>
              </w:rPr>
              <w:t>head lice</w:t>
            </w:r>
            <w:r w:rsidRPr="007E29F8">
              <w:rPr>
                <w:rFonts w:cs="Arial"/>
                <w:bCs/>
                <w:spacing w:val="1"/>
                <w:sz w:val="18"/>
                <w:szCs w:val="18"/>
                <w:lang w:eastAsia="fr-FR"/>
              </w:rPr>
              <w:t>)</w:t>
            </w:r>
          </w:p>
        </w:tc>
        <w:tc>
          <w:tcPr>
            <w:tcW w:w="1317" w:type="pct"/>
            <w:tcBorders>
              <w:top w:val="single" w:sz="6" w:space="0" w:color="auto"/>
              <w:left w:val="single" w:sz="6" w:space="0" w:color="auto"/>
              <w:bottom w:val="double" w:sz="4" w:space="0" w:color="auto"/>
              <w:right w:val="single" w:sz="6" w:space="0" w:color="auto"/>
            </w:tcBorders>
            <w:shd w:val="clear" w:color="auto" w:fill="auto"/>
            <w:tcMar>
              <w:top w:w="57" w:type="dxa"/>
              <w:bottom w:w="57" w:type="dxa"/>
            </w:tcMar>
            <w:vAlign w:val="center"/>
          </w:tcPr>
          <w:p w14:paraId="4139C0F4"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Infant (&lt;1 year old)</w:t>
            </w:r>
          </w:p>
        </w:tc>
        <w:tc>
          <w:tcPr>
            <w:tcW w:w="1054" w:type="pct"/>
            <w:tcBorders>
              <w:top w:val="single" w:sz="6" w:space="0" w:color="auto"/>
              <w:left w:val="single" w:sz="6" w:space="0" w:color="auto"/>
              <w:bottom w:val="double" w:sz="4" w:space="0" w:color="auto"/>
              <w:right w:val="single" w:sz="6" w:space="0" w:color="auto"/>
            </w:tcBorders>
            <w:shd w:val="clear" w:color="auto" w:fill="auto"/>
            <w:tcMar>
              <w:top w:w="57" w:type="dxa"/>
              <w:bottom w:w="57" w:type="dxa"/>
            </w:tcMar>
            <w:vAlign w:val="center"/>
          </w:tcPr>
          <w:p w14:paraId="5FAC34E5"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top w:val="single" w:sz="6" w:space="0" w:color="auto"/>
              <w:left w:val="single" w:sz="6" w:space="0" w:color="auto"/>
              <w:bottom w:val="double" w:sz="4" w:space="0" w:color="auto"/>
              <w:right w:val="single" w:sz="6" w:space="0" w:color="auto"/>
            </w:tcBorders>
            <w:shd w:val="clear" w:color="auto" w:fill="auto"/>
            <w:tcMar>
              <w:top w:w="57" w:type="dxa"/>
              <w:bottom w:w="57" w:type="dxa"/>
            </w:tcMar>
            <w:vAlign w:val="center"/>
          </w:tcPr>
          <w:p w14:paraId="6C761060"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Arial"/>
                <w:spacing w:val="1"/>
                <w:lang w:eastAsia="fr-FR"/>
              </w:rPr>
            </w:pPr>
            <w:r w:rsidRPr="00797F55">
              <w:rPr>
                <w:rFonts w:cs="Calibri"/>
                <w:color w:val="000000"/>
              </w:rPr>
              <w:t>4.3</w:t>
            </w:r>
          </w:p>
        </w:tc>
      </w:tr>
      <w:tr w:rsidR="00AE1B0E" w:rsidRPr="007E29F8" w14:paraId="062E82D0" w14:textId="77777777" w:rsidTr="001B7765">
        <w:trPr>
          <w:trHeight w:val="16"/>
          <w:tblHeader/>
          <w:jc w:val="center"/>
        </w:trPr>
        <w:tc>
          <w:tcPr>
            <w:tcW w:w="1709" w:type="pct"/>
            <w:tcBorders>
              <w:top w:val="double" w:sz="4" w:space="0" w:color="auto"/>
            </w:tcBorders>
            <w:shd w:val="clear" w:color="auto" w:fill="auto"/>
            <w:tcMar>
              <w:top w:w="57" w:type="dxa"/>
              <w:bottom w:w="57" w:type="dxa"/>
            </w:tcMar>
          </w:tcPr>
          <w:p w14:paraId="478AB430"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7</w:t>
            </w:r>
            <w:r>
              <w:rPr>
                <w:rFonts w:cs="Arial"/>
                <w:bCs/>
                <w:spacing w:val="1"/>
                <w:sz w:val="18"/>
                <w:szCs w:val="18"/>
                <w:lang w:eastAsia="fr-FR"/>
              </w:rPr>
              <w:t>a</w:t>
            </w:r>
            <w:r w:rsidRPr="007E29F8">
              <w:rPr>
                <w:rFonts w:cs="Arial"/>
                <w:bCs/>
                <w:spacing w:val="1"/>
                <w:sz w:val="18"/>
                <w:szCs w:val="18"/>
                <w:lang w:eastAsia="fr-FR"/>
              </w:rPr>
              <w:t>: treated bed linen</w:t>
            </w:r>
            <w:r>
              <w:rPr>
                <w:rFonts w:cs="Arial"/>
                <w:bCs/>
                <w:spacing w:val="1"/>
                <w:sz w:val="18"/>
                <w:szCs w:val="18"/>
                <w:lang w:eastAsia="fr-FR"/>
              </w:rPr>
              <w:t xml:space="preserve"> (head lice)</w:t>
            </w:r>
          </w:p>
        </w:tc>
        <w:tc>
          <w:tcPr>
            <w:tcW w:w="1317" w:type="pct"/>
            <w:tcBorders>
              <w:top w:val="double" w:sz="4" w:space="0" w:color="auto"/>
            </w:tcBorders>
            <w:shd w:val="clear" w:color="auto" w:fill="auto"/>
            <w:tcMar>
              <w:top w:w="57" w:type="dxa"/>
              <w:bottom w:w="57" w:type="dxa"/>
            </w:tcMar>
            <w:vAlign w:val="center"/>
          </w:tcPr>
          <w:p w14:paraId="2F2F6A68"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Adult</w:t>
            </w:r>
          </w:p>
        </w:tc>
        <w:tc>
          <w:tcPr>
            <w:tcW w:w="1054" w:type="pct"/>
            <w:tcBorders>
              <w:top w:val="double" w:sz="4" w:space="0" w:color="auto"/>
            </w:tcBorders>
            <w:shd w:val="clear" w:color="auto" w:fill="auto"/>
            <w:tcMar>
              <w:top w:w="57" w:type="dxa"/>
              <w:bottom w:w="57" w:type="dxa"/>
            </w:tcMar>
            <w:vAlign w:val="center"/>
          </w:tcPr>
          <w:p w14:paraId="4911F0DF"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top w:val="double" w:sz="4" w:space="0" w:color="auto"/>
            </w:tcBorders>
            <w:shd w:val="clear" w:color="auto" w:fill="auto"/>
            <w:tcMar>
              <w:top w:w="57" w:type="dxa"/>
              <w:bottom w:w="57" w:type="dxa"/>
            </w:tcMar>
            <w:vAlign w:val="center"/>
          </w:tcPr>
          <w:p w14:paraId="505273BA"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97F55">
              <w:rPr>
                <w:rFonts w:cs="Arial"/>
                <w:spacing w:val="1"/>
                <w:lang w:eastAsia="fr-FR"/>
              </w:rPr>
              <w:t>1.42</w:t>
            </w:r>
          </w:p>
        </w:tc>
      </w:tr>
      <w:tr w:rsidR="00AE1B0E" w:rsidRPr="007E29F8" w14:paraId="39DC4F4B" w14:textId="77777777" w:rsidTr="001B7765">
        <w:trPr>
          <w:trHeight w:val="16"/>
          <w:tblHeader/>
          <w:jc w:val="center"/>
        </w:trPr>
        <w:tc>
          <w:tcPr>
            <w:tcW w:w="1709" w:type="pct"/>
            <w:shd w:val="clear" w:color="auto" w:fill="auto"/>
            <w:tcMar>
              <w:top w:w="57" w:type="dxa"/>
              <w:bottom w:w="57" w:type="dxa"/>
            </w:tcMar>
          </w:tcPr>
          <w:p w14:paraId="415D09AE"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7</w:t>
            </w:r>
            <w:r>
              <w:rPr>
                <w:rFonts w:cs="Arial"/>
                <w:bCs/>
                <w:spacing w:val="1"/>
                <w:sz w:val="18"/>
                <w:szCs w:val="18"/>
                <w:lang w:eastAsia="fr-FR"/>
              </w:rPr>
              <w:t>a</w:t>
            </w:r>
            <w:r w:rsidRPr="007E29F8">
              <w:rPr>
                <w:rFonts w:cs="Arial"/>
                <w:bCs/>
                <w:spacing w:val="1"/>
                <w:sz w:val="18"/>
                <w:szCs w:val="18"/>
                <w:lang w:eastAsia="fr-FR"/>
              </w:rPr>
              <w:t>: treated bed linen</w:t>
            </w:r>
            <w:r>
              <w:rPr>
                <w:rFonts w:cs="Arial"/>
                <w:bCs/>
                <w:spacing w:val="1"/>
                <w:sz w:val="18"/>
                <w:szCs w:val="18"/>
                <w:lang w:eastAsia="fr-FR"/>
              </w:rPr>
              <w:t xml:space="preserve"> (head lice)</w:t>
            </w:r>
          </w:p>
        </w:tc>
        <w:tc>
          <w:tcPr>
            <w:tcW w:w="1317" w:type="pct"/>
            <w:shd w:val="clear" w:color="auto" w:fill="auto"/>
            <w:tcMar>
              <w:top w:w="57" w:type="dxa"/>
              <w:bottom w:w="57" w:type="dxa"/>
            </w:tcMar>
            <w:vAlign w:val="center"/>
          </w:tcPr>
          <w:p w14:paraId="294920D1"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(6 to &lt;12 years old)</w:t>
            </w:r>
          </w:p>
        </w:tc>
        <w:tc>
          <w:tcPr>
            <w:tcW w:w="1054" w:type="pct"/>
            <w:shd w:val="clear" w:color="auto" w:fill="auto"/>
            <w:tcMar>
              <w:top w:w="57" w:type="dxa"/>
              <w:bottom w:w="57" w:type="dxa"/>
            </w:tcMar>
            <w:vAlign w:val="center"/>
          </w:tcPr>
          <w:p w14:paraId="757CCC23"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4FB04F3A"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97F55">
              <w:rPr>
                <w:rFonts w:cs="Arial"/>
                <w:spacing w:val="1"/>
                <w:lang w:eastAsia="fr-FR"/>
              </w:rPr>
              <w:t>2.06</w:t>
            </w:r>
          </w:p>
        </w:tc>
      </w:tr>
      <w:tr w:rsidR="00AE1B0E" w:rsidRPr="007E29F8" w14:paraId="05C30416" w14:textId="77777777" w:rsidTr="001B7765">
        <w:trPr>
          <w:trHeight w:val="16"/>
          <w:tblHeader/>
          <w:jc w:val="center"/>
        </w:trPr>
        <w:tc>
          <w:tcPr>
            <w:tcW w:w="1709" w:type="pct"/>
            <w:shd w:val="clear" w:color="auto" w:fill="auto"/>
            <w:tcMar>
              <w:top w:w="57" w:type="dxa"/>
              <w:bottom w:w="57" w:type="dxa"/>
            </w:tcMar>
          </w:tcPr>
          <w:p w14:paraId="53DAC750"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7</w:t>
            </w:r>
            <w:r>
              <w:rPr>
                <w:rFonts w:cs="Arial"/>
                <w:bCs/>
                <w:spacing w:val="1"/>
                <w:sz w:val="18"/>
                <w:szCs w:val="18"/>
                <w:lang w:eastAsia="fr-FR"/>
              </w:rPr>
              <w:t>a</w:t>
            </w:r>
            <w:r w:rsidRPr="007E29F8">
              <w:rPr>
                <w:rFonts w:cs="Arial"/>
                <w:bCs/>
                <w:spacing w:val="1"/>
                <w:sz w:val="18"/>
                <w:szCs w:val="18"/>
                <w:lang w:eastAsia="fr-FR"/>
              </w:rPr>
              <w:t>: treated bed linen</w:t>
            </w:r>
            <w:r>
              <w:rPr>
                <w:rFonts w:cs="Arial"/>
                <w:bCs/>
                <w:spacing w:val="1"/>
                <w:sz w:val="18"/>
                <w:szCs w:val="18"/>
                <w:lang w:eastAsia="fr-FR"/>
              </w:rPr>
              <w:t xml:space="preserve"> (head lice)</w:t>
            </w:r>
          </w:p>
        </w:tc>
        <w:tc>
          <w:tcPr>
            <w:tcW w:w="1317" w:type="pct"/>
            <w:shd w:val="clear" w:color="auto" w:fill="auto"/>
            <w:tcMar>
              <w:top w:w="57" w:type="dxa"/>
              <w:bottom w:w="57" w:type="dxa"/>
            </w:tcMar>
            <w:vAlign w:val="center"/>
          </w:tcPr>
          <w:p w14:paraId="0B1D2474"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(2 to &lt;6 years old)</w:t>
            </w:r>
          </w:p>
        </w:tc>
        <w:tc>
          <w:tcPr>
            <w:tcW w:w="1054" w:type="pct"/>
            <w:shd w:val="clear" w:color="auto" w:fill="auto"/>
            <w:tcMar>
              <w:top w:w="57" w:type="dxa"/>
              <w:bottom w:w="57" w:type="dxa"/>
            </w:tcMar>
            <w:vAlign w:val="center"/>
          </w:tcPr>
          <w:p w14:paraId="780C2831"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056EC688"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97F55">
              <w:rPr>
                <w:rFonts w:cs="Arial"/>
                <w:spacing w:val="1"/>
                <w:lang w:eastAsia="fr-FR"/>
              </w:rPr>
              <w:t>2.46</w:t>
            </w:r>
          </w:p>
        </w:tc>
      </w:tr>
      <w:tr w:rsidR="00AE1B0E" w:rsidRPr="007E29F8" w14:paraId="4703C6CF" w14:textId="77777777" w:rsidTr="001B7765">
        <w:trPr>
          <w:trHeight w:val="16"/>
          <w:tblHeader/>
          <w:jc w:val="center"/>
        </w:trPr>
        <w:tc>
          <w:tcPr>
            <w:tcW w:w="1709" w:type="pct"/>
            <w:shd w:val="clear" w:color="auto" w:fill="auto"/>
            <w:tcMar>
              <w:top w:w="57" w:type="dxa"/>
              <w:bottom w:w="57" w:type="dxa"/>
            </w:tcMar>
          </w:tcPr>
          <w:p w14:paraId="258067B5"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7</w:t>
            </w:r>
            <w:r>
              <w:rPr>
                <w:rFonts w:cs="Arial"/>
                <w:bCs/>
                <w:spacing w:val="1"/>
                <w:sz w:val="18"/>
                <w:szCs w:val="18"/>
                <w:lang w:eastAsia="fr-FR"/>
              </w:rPr>
              <w:t>a</w:t>
            </w:r>
            <w:r w:rsidRPr="007E29F8">
              <w:rPr>
                <w:rFonts w:cs="Arial"/>
                <w:bCs/>
                <w:spacing w:val="1"/>
                <w:sz w:val="18"/>
                <w:szCs w:val="18"/>
                <w:lang w:eastAsia="fr-FR"/>
              </w:rPr>
              <w:t>: treated bed linen</w:t>
            </w:r>
            <w:r>
              <w:rPr>
                <w:rFonts w:cs="Arial"/>
                <w:bCs/>
                <w:spacing w:val="1"/>
                <w:sz w:val="18"/>
                <w:szCs w:val="18"/>
                <w:lang w:eastAsia="fr-FR"/>
              </w:rPr>
              <w:t xml:space="preserve"> (head lice)</w:t>
            </w:r>
          </w:p>
        </w:tc>
        <w:tc>
          <w:tcPr>
            <w:tcW w:w="1317" w:type="pct"/>
            <w:shd w:val="clear" w:color="auto" w:fill="auto"/>
            <w:tcMar>
              <w:top w:w="57" w:type="dxa"/>
              <w:bottom w:w="57" w:type="dxa"/>
            </w:tcMar>
            <w:vAlign w:val="center"/>
          </w:tcPr>
          <w:p w14:paraId="4A174892"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Toddler (1 to &lt;2 years old)</w:t>
            </w:r>
          </w:p>
        </w:tc>
        <w:tc>
          <w:tcPr>
            <w:tcW w:w="1054" w:type="pct"/>
            <w:shd w:val="clear" w:color="auto" w:fill="auto"/>
            <w:tcMar>
              <w:top w:w="57" w:type="dxa"/>
              <w:bottom w:w="57" w:type="dxa"/>
            </w:tcMar>
            <w:vAlign w:val="center"/>
          </w:tcPr>
          <w:p w14:paraId="7A47DD41"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32000D1C"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97F55">
              <w:rPr>
                <w:rFonts w:cs="Arial"/>
                <w:spacing w:val="1"/>
                <w:lang w:eastAsia="fr-FR"/>
              </w:rPr>
              <w:t>2.77</w:t>
            </w:r>
          </w:p>
        </w:tc>
      </w:tr>
      <w:tr w:rsidR="00AE1B0E" w:rsidRPr="007E29F8" w14:paraId="436E3C6D" w14:textId="77777777" w:rsidTr="001B7765">
        <w:trPr>
          <w:trHeight w:val="16"/>
          <w:tblHeader/>
          <w:jc w:val="center"/>
        </w:trPr>
        <w:tc>
          <w:tcPr>
            <w:tcW w:w="1709" w:type="pct"/>
            <w:shd w:val="clear" w:color="auto" w:fill="auto"/>
            <w:tcMar>
              <w:top w:w="57" w:type="dxa"/>
              <w:bottom w:w="57" w:type="dxa"/>
            </w:tcMar>
          </w:tcPr>
          <w:p w14:paraId="76EED2A8"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7</w:t>
            </w:r>
            <w:r>
              <w:rPr>
                <w:rFonts w:cs="Arial"/>
                <w:bCs/>
                <w:spacing w:val="1"/>
                <w:sz w:val="18"/>
                <w:szCs w:val="18"/>
                <w:lang w:eastAsia="fr-FR"/>
              </w:rPr>
              <w:t>a</w:t>
            </w:r>
            <w:r w:rsidRPr="007E29F8">
              <w:rPr>
                <w:rFonts w:cs="Arial"/>
                <w:bCs/>
                <w:spacing w:val="1"/>
                <w:sz w:val="18"/>
                <w:szCs w:val="18"/>
                <w:lang w:eastAsia="fr-FR"/>
              </w:rPr>
              <w:t>: treated bed linen</w:t>
            </w:r>
            <w:r>
              <w:rPr>
                <w:rFonts w:cs="Arial"/>
                <w:bCs/>
                <w:spacing w:val="1"/>
                <w:sz w:val="18"/>
                <w:szCs w:val="18"/>
                <w:lang w:eastAsia="fr-FR"/>
              </w:rPr>
              <w:t xml:space="preserve"> (head lice)</w:t>
            </w:r>
          </w:p>
        </w:tc>
        <w:tc>
          <w:tcPr>
            <w:tcW w:w="1317" w:type="pct"/>
            <w:shd w:val="clear" w:color="auto" w:fill="auto"/>
            <w:tcMar>
              <w:top w:w="57" w:type="dxa"/>
              <w:bottom w:w="57" w:type="dxa"/>
            </w:tcMar>
            <w:vAlign w:val="center"/>
          </w:tcPr>
          <w:p w14:paraId="4314609B"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Infant (&lt;1 year old)</w:t>
            </w:r>
          </w:p>
        </w:tc>
        <w:tc>
          <w:tcPr>
            <w:tcW w:w="1054" w:type="pct"/>
            <w:shd w:val="clear" w:color="auto" w:fill="auto"/>
            <w:tcMar>
              <w:top w:w="57" w:type="dxa"/>
              <w:bottom w:w="57" w:type="dxa"/>
            </w:tcMar>
            <w:vAlign w:val="center"/>
          </w:tcPr>
          <w:p w14:paraId="7FCAF199"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bottom w:val="double" w:sz="4" w:space="0" w:color="auto"/>
            </w:tcBorders>
            <w:shd w:val="clear" w:color="auto" w:fill="auto"/>
            <w:tcMar>
              <w:top w:w="57" w:type="dxa"/>
              <w:bottom w:w="57" w:type="dxa"/>
            </w:tcMar>
            <w:vAlign w:val="center"/>
          </w:tcPr>
          <w:p w14:paraId="27A36BE0"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sz w:val="18"/>
                <w:szCs w:val="18"/>
              </w:rPr>
            </w:pPr>
            <w:r w:rsidRPr="00797F55">
              <w:rPr>
                <w:rFonts w:cs="Arial"/>
                <w:spacing w:val="1"/>
                <w:lang w:eastAsia="fr-FR"/>
              </w:rPr>
              <w:t>2.95</w:t>
            </w:r>
          </w:p>
        </w:tc>
      </w:tr>
      <w:tr w:rsidR="00AE1B0E" w:rsidRPr="007E29F8" w14:paraId="161F6108" w14:textId="77777777" w:rsidTr="001B7765">
        <w:trPr>
          <w:trHeight w:val="16"/>
          <w:tblHeader/>
          <w:jc w:val="center"/>
        </w:trPr>
        <w:tc>
          <w:tcPr>
            <w:tcW w:w="1709" w:type="pct"/>
            <w:tcBorders>
              <w:top w:val="double" w:sz="4" w:space="0" w:color="auto"/>
            </w:tcBorders>
            <w:shd w:val="clear" w:color="auto" w:fill="auto"/>
            <w:tcMar>
              <w:top w:w="57" w:type="dxa"/>
              <w:bottom w:w="57" w:type="dxa"/>
            </w:tcMar>
          </w:tcPr>
          <w:p w14:paraId="77110972"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7</w:t>
            </w:r>
            <w:r>
              <w:rPr>
                <w:rFonts w:cs="Arial"/>
                <w:bCs/>
                <w:spacing w:val="1"/>
                <w:sz w:val="18"/>
                <w:szCs w:val="18"/>
                <w:lang w:eastAsia="fr-FR"/>
              </w:rPr>
              <w:t>b</w:t>
            </w:r>
            <w:r w:rsidRPr="007E29F8">
              <w:rPr>
                <w:rFonts w:cs="Arial"/>
                <w:bCs/>
                <w:spacing w:val="1"/>
                <w:sz w:val="18"/>
                <w:szCs w:val="18"/>
                <w:lang w:eastAsia="fr-FR"/>
              </w:rPr>
              <w:t>: treated bed linen</w:t>
            </w:r>
            <w:r>
              <w:rPr>
                <w:rFonts w:cs="Arial"/>
                <w:bCs/>
                <w:spacing w:val="1"/>
                <w:sz w:val="18"/>
                <w:szCs w:val="18"/>
                <w:lang w:eastAsia="fr-FR"/>
              </w:rPr>
              <w:t xml:space="preserve"> (dust mites)</w:t>
            </w:r>
          </w:p>
        </w:tc>
        <w:tc>
          <w:tcPr>
            <w:tcW w:w="1317" w:type="pct"/>
            <w:tcBorders>
              <w:top w:val="double" w:sz="4" w:space="0" w:color="auto"/>
            </w:tcBorders>
            <w:shd w:val="clear" w:color="auto" w:fill="auto"/>
            <w:tcMar>
              <w:top w:w="57" w:type="dxa"/>
              <w:bottom w:w="57" w:type="dxa"/>
            </w:tcMar>
            <w:vAlign w:val="center"/>
          </w:tcPr>
          <w:p w14:paraId="63A4512C"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Adult</w:t>
            </w:r>
          </w:p>
        </w:tc>
        <w:tc>
          <w:tcPr>
            <w:tcW w:w="1054" w:type="pct"/>
            <w:tcBorders>
              <w:top w:val="double" w:sz="4" w:space="0" w:color="auto"/>
            </w:tcBorders>
            <w:shd w:val="clear" w:color="auto" w:fill="auto"/>
            <w:tcMar>
              <w:top w:w="57" w:type="dxa"/>
              <w:bottom w:w="57" w:type="dxa"/>
            </w:tcMar>
            <w:vAlign w:val="center"/>
          </w:tcPr>
          <w:p w14:paraId="31CB0171"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54031A93"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Calibri"/>
                <w:color w:val="000000"/>
              </w:rPr>
              <w:t xml:space="preserve">2.32   </w:t>
            </w:r>
          </w:p>
        </w:tc>
      </w:tr>
      <w:tr w:rsidR="00AE1B0E" w:rsidRPr="007E29F8" w14:paraId="3521A430" w14:textId="77777777" w:rsidTr="001B7765">
        <w:trPr>
          <w:trHeight w:val="16"/>
          <w:tblHeader/>
          <w:jc w:val="center"/>
        </w:trPr>
        <w:tc>
          <w:tcPr>
            <w:tcW w:w="1709" w:type="pct"/>
            <w:shd w:val="clear" w:color="auto" w:fill="auto"/>
            <w:tcMar>
              <w:top w:w="57" w:type="dxa"/>
              <w:bottom w:w="57" w:type="dxa"/>
            </w:tcMar>
          </w:tcPr>
          <w:p w14:paraId="4CDA2B66"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7</w:t>
            </w:r>
            <w:r>
              <w:rPr>
                <w:rFonts w:cs="Arial"/>
                <w:bCs/>
                <w:spacing w:val="1"/>
                <w:sz w:val="18"/>
                <w:szCs w:val="18"/>
                <w:lang w:eastAsia="fr-FR"/>
              </w:rPr>
              <w:t>b</w:t>
            </w:r>
            <w:r w:rsidRPr="007E29F8">
              <w:rPr>
                <w:rFonts w:cs="Arial"/>
                <w:bCs/>
                <w:spacing w:val="1"/>
                <w:sz w:val="18"/>
                <w:szCs w:val="18"/>
                <w:lang w:eastAsia="fr-FR"/>
              </w:rPr>
              <w:t>: treated bed linen</w:t>
            </w:r>
            <w:r>
              <w:rPr>
                <w:rFonts w:cs="Arial"/>
                <w:bCs/>
                <w:spacing w:val="1"/>
                <w:sz w:val="18"/>
                <w:szCs w:val="18"/>
                <w:lang w:eastAsia="fr-FR"/>
              </w:rPr>
              <w:t xml:space="preserve"> (dust mites)</w:t>
            </w:r>
          </w:p>
        </w:tc>
        <w:tc>
          <w:tcPr>
            <w:tcW w:w="1317" w:type="pct"/>
            <w:shd w:val="clear" w:color="auto" w:fill="auto"/>
            <w:tcMar>
              <w:top w:w="57" w:type="dxa"/>
              <w:bottom w:w="57" w:type="dxa"/>
            </w:tcMar>
            <w:vAlign w:val="center"/>
          </w:tcPr>
          <w:p w14:paraId="68BFCA6F"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(6 to &lt;12 years old)</w:t>
            </w:r>
          </w:p>
        </w:tc>
        <w:tc>
          <w:tcPr>
            <w:tcW w:w="1054" w:type="pct"/>
            <w:shd w:val="clear" w:color="auto" w:fill="auto"/>
            <w:tcMar>
              <w:top w:w="57" w:type="dxa"/>
              <w:bottom w:w="57" w:type="dxa"/>
            </w:tcMar>
            <w:vAlign w:val="center"/>
          </w:tcPr>
          <w:p w14:paraId="20C5F11F"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64C00235"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Calibri"/>
                <w:color w:val="000000"/>
              </w:rPr>
              <w:t xml:space="preserve">3.23   </w:t>
            </w:r>
          </w:p>
        </w:tc>
      </w:tr>
      <w:tr w:rsidR="00AE1B0E" w:rsidRPr="007E29F8" w14:paraId="17384266" w14:textId="77777777" w:rsidTr="001B7765">
        <w:trPr>
          <w:trHeight w:val="16"/>
          <w:tblHeader/>
          <w:jc w:val="center"/>
        </w:trPr>
        <w:tc>
          <w:tcPr>
            <w:tcW w:w="1709" w:type="pct"/>
            <w:shd w:val="clear" w:color="auto" w:fill="auto"/>
            <w:tcMar>
              <w:top w:w="57" w:type="dxa"/>
              <w:bottom w:w="57" w:type="dxa"/>
            </w:tcMar>
          </w:tcPr>
          <w:p w14:paraId="66A4A5B8"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7</w:t>
            </w:r>
            <w:r>
              <w:rPr>
                <w:rFonts w:cs="Arial"/>
                <w:bCs/>
                <w:spacing w:val="1"/>
                <w:sz w:val="18"/>
                <w:szCs w:val="18"/>
                <w:lang w:eastAsia="fr-FR"/>
              </w:rPr>
              <w:t>b</w:t>
            </w:r>
            <w:r w:rsidRPr="007E29F8">
              <w:rPr>
                <w:rFonts w:cs="Arial"/>
                <w:bCs/>
                <w:spacing w:val="1"/>
                <w:sz w:val="18"/>
                <w:szCs w:val="18"/>
                <w:lang w:eastAsia="fr-FR"/>
              </w:rPr>
              <w:t>: treated bed linen</w:t>
            </w:r>
            <w:r>
              <w:rPr>
                <w:rFonts w:cs="Arial"/>
                <w:bCs/>
                <w:spacing w:val="1"/>
                <w:sz w:val="18"/>
                <w:szCs w:val="18"/>
                <w:lang w:eastAsia="fr-FR"/>
              </w:rPr>
              <w:t xml:space="preserve"> (dust mites)</w:t>
            </w:r>
          </w:p>
        </w:tc>
        <w:tc>
          <w:tcPr>
            <w:tcW w:w="1317" w:type="pct"/>
            <w:shd w:val="clear" w:color="auto" w:fill="auto"/>
            <w:tcMar>
              <w:top w:w="57" w:type="dxa"/>
              <w:bottom w:w="57" w:type="dxa"/>
            </w:tcMar>
            <w:vAlign w:val="center"/>
          </w:tcPr>
          <w:p w14:paraId="55766D58"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Child (2 to &lt;6 years old)</w:t>
            </w:r>
          </w:p>
        </w:tc>
        <w:tc>
          <w:tcPr>
            <w:tcW w:w="1054" w:type="pct"/>
            <w:shd w:val="clear" w:color="auto" w:fill="auto"/>
            <w:tcMar>
              <w:top w:w="57" w:type="dxa"/>
              <w:bottom w:w="57" w:type="dxa"/>
            </w:tcMar>
            <w:vAlign w:val="center"/>
          </w:tcPr>
          <w:p w14:paraId="3B4D9938"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shd w:val="clear" w:color="auto" w:fill="auto"/>
            <w:tcMar>
              <w:top w:w="57" w:type="dxa"/>
              <w:bottom w:w="57" w:type="dxa"/>
            </w:tcMar>
            <w:vAlign w:val="center"/>
          </w:tcPr>
          <w:p w14:paraId="2AFBC16D"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Calibri"/>
                <w:color w:val="000000"/>
              </w:rPr>
              <w:t xml:space="preserve">3.66   </w:t>
            </w:r>
          </w:p>
        </w:tc>
      </w:tr>
      <w:tr w:rsidR="00AE1B0E" w:rsidRPr="007E29F8" w14:paraId="3335F33B" w14:textId="77777777" w:rsidTr="001B7765">
        <w:trPr>
          <w:trHeight w:val="16"/>
          <w:tblHeader/>
          <w:jc w:val="center"/>
        </w:trPr>
        <w:tc>
          <w:tcPr>
            <w:tcW w:w="1709" w:type="pct"/>
            <w:shd w:val="clear" w:color="auto" w:fill="auto"/>
            <w:tcMar>
              <w:top w:w="57" w:type="dxa"/>
              <w:bottom w:w="57" w:type="dxa"/>
            </w:tcMar>
          </w:tcPr>
          <w:p w14:paraId="645807B0"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7</w:t>
            </w:r>
            <w:r>
              <w:rPr>
                <w:rFonts w:cs="Arial"/>
                <w:bCs/>
                <w:spacing w:val="1"/>
                <w:sz w:val="18"/>
                <w:szCs w:val="18"/>
                <w:lang w:eastAsia="fr-FR"/>
              </w:rPr>
              <w:t>b</w:t>
            </w:r>
            <w:r w:rsidRPr="007E29F8">
              <w:rPr>
                <w:rFonts w:cs="Arial"/>
                <w:bCs/>
                <w:spacing w:val="1"/>
                <w:sz w:val="18"/>
                <w:szCs w:val="18"/>
                <w:lang w:eastAsia="fr-FR"/>
              </w:rPr>
              <w:t>: treated bed linen</w:t>
            </w:r>
            <w:r>
              <w:rPr>
                <w:rFonts w:cs="Arial"/>
                <w:bCs/>
                <w:spacing w:val="1"/>
                <w:sz w:val="18"/>
                <w:szCs w:val="18"/>
                <w:lang w:eastAsia="fr-FR"/>
              </w:rPr>
              <w:t xml:space="preserve"> (dust mites)</w:t>
            </w:r>
          </w:p>
        </w:tc>
        <w:tc>
          <w:tcPr>
            <w:tcW w:w="1317" w:type="pct"/>
            <w:shd w:val="clear" w:color="auto" w:fill="auto"/>
            <w:tcMar>
              <w:top w:w="57" w:type="dxa"/>
              <w:bottom w:w="57" w:type="dxa"/>
            </w:tcMar>
            <w:vAlign w:val="center"/>
          </w:tcPr>
          <w:p w14:paraId="202BD377"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Toddler (1 to &lt;2 years old)</w:t>
            </w:r>
          </w:p>
        </w:tc>
        <w:tc>
          <w:tcPr>
            <w:tcW w:w="1054" w:type="pct"/>
            <w:shd w:val="clear" w:color="auto" w:fill="auto"/>
            <w:tcMar>
              <w:top w:w="57" w:type="dxa"/>
              <w:bottom w:w="57" w:type="dxa"/>
            </w:tcMar>
            <w:vAlign w:val="center"/>
          </w:tcPr>
          <w:p w14:paraId="4C5C3E9E"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bottom w:val="single" w:sz="6" w:space="0" w:color="auto"/>
            </w:tcBorders>
            <w:shd w:val="clear" w:color="auto" w:fill="auto"/>
            <w:tcMar>
              <w:top w:w="57" w:type="dxa"/>
              <w:bottom w:w="57" w:type="dxa"/>
            </w:tcMar>
            <w:vAlign w:val="center"/>
          </w:tcPr>
          <w:p w14:paraId="09DB0AB2"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Calibri"/>
                <w:color w:val="000000"/>
              </w:rPr>
              <w:t xml:space="preserve">4.03   </w:t>
            </w:r>
          </w:p>
        </w:tc>
      </w:tr>
      <w:tr w:rsidR="00AE1B0E" w:rsidRPr="007E29F8" w14:paraId="40EB3DE6" w14:textId="77777777" w:rsidTr="001B7765">
        <w:trPr>
          <w:trHeight w:val="16"/>
          <w:tblHeader/>
          <w:jc w:val="center"/>
        </w:trPr>
        <w:tc>
          <w:tcPr>
            <w:tcW w:w="1709" w:type="pct"/>
            <w:tcBorders>
              <w:bottom w:val="double" w:sz="4" w:space="0" w:color="auto"/>
            </w:tcBorders>
            <w:shd w:val="clear" w:color="auto" w:fill="auto"/>
            <w:tcMar>
              <w:top w:w="57" w:type="dxa"/>
              <w:bottom w:w="57" w:type="dxa"/>
            </w:tcMar>
          </w:tcPr>
          <w:p w14:paraId="37C0EA7D" w14:textId="77777777" w:rsidR="00AE1B0E" w:rsidRPr="007E29F8" w:rsidRDefault="00AE1B0E" w:rsidP="001B7765">
            <w:pPr>
              <w:widowControl w:val="0"/>
              <w:kinsoku w:val="0"/>
              <w:overflowPunct w:val="0"/>
              <w:autoSpaceDE w:val="0"/>
              <w:autoSpaceDN w:val="0"/>
              <w:adjustRightInd w:val="0"/>
              <w:spacing w:before="0" w:after="0"/>
              <w:ind w:right="216"/>
              <w:jc w:val="both"/>
              <w:textAlignment w:val="baseline"/>
              <w:rPr>
                <w:rFonts w:cs="Arial"/>
                <w:bCs/>
                <w:spacing w:val="1"/>
                <w:sz w:val="18"/>
                <w:szCs w:val="18"/>
                <w:lang w:eastAsia="fr-FR"/>
              </w:rPr>
            </w:pPr>
            <w:r w:rsidRPr="007E29F8">
              <w:rPr>
                <w:rFonts w:cs="Arial"/>
                <w:bCs/>
                <w:spacing w:val="1"/>
                <w:sz w:val="18"/>
                <w:szCs w:val="18"/>
                <w:lang w:eastAsia="fr-FR"/>
              </w:rPr>
              <w:t>7</w:t>
            </w:r>
            <w:r>
              <w:rPr>
                <w:rFonts w:cs="Arial"/>
                <w:bCs/>
                <w:spacing w:val="1"/>
                <w:sz w:val="18"/>
                <w:szCs w:val="18"/>
                <w:lang w:eastAsia="fr-FR"/>
              </w:rPr>
              <w:t>b</w:t>
            </w:r>
            <w:r w:rsidRPr="007E29F8">
              <w:rPr>
                <w:rFonts w:cs="Arial"/>
                <w:bCs/>
                <w:spacing w:val="1"/>
                <w:sz w:val="18"/>
                <w:szCs w:val="18"/>
                <w:lang w:eastAsia="fr-FR"/>
              </w:rPr>
              <w:t>: treated bed linen</w:t>
            </w:r>
            <w:r>
              <w:rPr>
                <w:rFonts w:cs="Arial"/>
                <w:bCs/>
                <w:spacing w:val="1"/>
                <w:sz w:val="18"/>
                <w:szCs w:val="18"/>
                <w:lang w:eastAsia="fr-FR"/>
              </w:rPr>
              <w:t xml:space="preserve"> (dust mites)</w:t>
            </w:r>
          </w:p>
        </w:tc>
        <w:tc>
          <w:tcPr>
            <w:tcW w:w="1317" w:type="pct"/>
            <w:tcBorders>
              <w:bottom w:val="double" w:sz="4" w:space="0" w:color="auto"/>
            </w:tcBorders>
            <w:shd w:val="clear" w:color="auto" w:fill="auto"/>
            <w:tcMar>
              <w:top w:w="57" w:type="dxa"/>
              <w:bottom w:w="57" w:type="dxa"/>
            </w:tcMar>
            <w:vAlign w:val="center"/>
          </w:tcPr>
          <w:p w14:paraId="7EF07EE5" w14:textId="77777777" w:rsidR="00AE1B0E" w:rsidRPr="007E29F8" w:rsidRDefault="00AE1B0E" w:rsidP="001B7765">
            <w:pPr>
              <w:widowControl w:val="0"/>
              <w:kinsoku w:val="0"/>
              <w:overflowPunct w:val="0"/>
              <w:autoSpaceDE w:val="0"/>
              <w:autoSpaceDN w:val="0"/>
              <w:adjustRightInd w:val="0"/>
              <w:spacing w:before="0" w:after="0"/>
              <w:ind w:right="-71"/>
              <w:jc w:val="both"/>
              <w:textAlignment w:val="baseline"/>
              <w:rPr>
                <w:rFonts w:cs="Arial"/>
                <w:color w:val="000000"/>
                <w:sz w:val="18"/>
                <w:szCs w:val="18"/>
                <w:lang w:eastAsia="fr-FR"/>
              </w:rPr>
            </w:pPr>
            <w:r w:rsidRPr="007E29F8">
              <w:rPr>
                <w:rFonts w:cs="Arial"/>
                <w:color w:val="000000"/>
                <w:sz w:val="18"/>
                <w:szCs w:val="18"/>
                <w:lang w:eastAsia="fr-FR"/>
              </w:rPr>
              <w:t>Infant (&lt;1 year old)</w:t>
            </w:r>
          </w:p>
        </w:tc>
        <w:tc>
          <w:tcPr>
            <w:tcW w:w="1054" w:type="pct"/>
            <w:tcBorders>
              <w:bottom w:val="double" w:sz="4" w:space="0" w:color="auto"/>
            </w:tcBorders>
            <w:shd w:val="clear" w:color="auto" w:fill="auto"/>
            <w:tcMar>
              <w:top w:w="57" w:type="dxa"/>
              <w:bottom w:w="57" w:type="dxa"/>
            </w:tcMar>
            <w:vAlign w:val="center"/>
          </w:tcPr>
          <w:p w14:paraId="6B410DF3" w14:textId="77777777" w:rsidR="00AE1B0E" w:rsidRPr="007E29F8" w:rsidRDefault="00AE1B0E" w:rsidP="001B7765">
            <w:pPr>
              <w:widowControl w:val="0"/>
              <w:kinsoku w:val="0"/>
              <w:overflowPunct w:val="0"/>
              <w:autoSpaceDE w:val="0"/>
              <w:autoSpaceDN w:val="0"/>
              <w:adjustRightInd w:val="0"/>
              <w:spacing w:before="0" w:after="0"/>
              <w:ind w:right="-70"/>
              <w:jc w:val="both"/>
              <w:textAlignment w:val="baseline"/>
              <w:rPr>
                <w:rFonts w:cs="Arial"/>
                <w:bCs/>
                <w:spacing w:val="1"/>
                <w:sz w:val="18"/>
                <w:szCs w:val="18"/>
                <w:lang w:eastAsia="fr-FR"/>
              </w:rPr>
            </w:pPr>
            <w:r w:rsidRPr="007E29F8">
              <w:rPr>
                <w:rFonts w:cs="Arial"/>
                <w:bCs/>
                <w:spacing w:val="1"/>
                <w:sz w:val="18"/>
                <w:szCs w:val="18"/>
                <w:lang w:eastAsia="fr-FR"/>
              </w:rPr>
              <w:t xml:space="preserve">Tier 1 </w:t>
            </w:r>
          </w:p>
        </w:tc>
        <w:tc>
          <w:tcPr>
            <w:tcW w:w="920" w:type="pct"/>
            <w:tcBorders>
              <w:bottom w:val="double" w:sz="4" w:space="0" w:color="auto"/>
            </w:tcBorders>
            <w:shd w:val="clear" w:color="auto" w:fill="auto"/>
            <w:tcMar>
              <w:top w:w="57" w:type="dxa"/>
              <w:bottom w:w="57" w:type="dxa"/>
            </w:tcMar>
            <w:vAlign w:val="center"/>
          </w:tcPr>
          <w:p w14:paraId="39C11FBC" w14:textId="77777777" w:rsidR="00AE1B0E" w:rsidRPr="00797F55" w:rsidRDefault="00AE1B0E" w:rsidP="001B7765">
            <w:pPr>
              <w:widowControl w:val="0"/>
              <w:kinsoku w:val="0"/>
              <w:overflowPunct w:val="0"/>
              <w:autoSpaceDE w:val="0"/>
              <w:autoSpaceDN w:val="0"/>
              <w:adjustRightInd w:val="0"/>
              <w:spacing w:before="0" w:after="0"/>
              <w:ind w:right="-65"/>
              <w:jc w:val="center"/>
              <w:textAlignment w:val="baseline"/>
              <w:rPr>
                <w:rFonts w:cs="Calibri"/>
                <w:color w:val="000000"/>
              </w:rPr>
            </w:pPr>
            <w:r w:rsidRPr="00797F55">
              <w:rPr>
                <w:rFonts w:cs="Calibri"/>
                <w:color w:val="000000"/>
              </w:rPr>
              <w:t xml:space="preserve">4.31   </w:t>
            </w:r>
          </w:p>
        </w:tc>
      </w:tr>
    </w:tbl>
    <w:p w14:paraId="47C9BF08" w14:textId="2CDA1F2E" w:rsidR="00863CA3" w:rsidRDefault="00863CA3" w:rsidP="001B7765">
      <w:pPr>
        <w:widowControl w:val="0"/>
        <w:kinsoku w:val="0"/>
        <w:overflowPunct w:val="0"/>
        <w:autoSpaceDE w:val="0"/>
        <w:autoSpaceDN w:val="0"/>
        <w:adjustRightInd w:val="0"/>
        <w:spacing w:before="0" w:after="0"/>
        <w:ind w:right="216"/>
        <w:jc w:val="both"/>
        <w:textAlignment w:val="baseline"/>
        <w:rPr>
          <w:rFonts w:cs="Arial"/>
          <w:spacing w:val="1"/>
          <w:lang w:val="en-US" w:eastAsia="fr-FR"/>
        </w:rPr>
      </w:pPr>
    </w:p>
    <w:p w14:paraId="688F01BB" w14:textId="0BC01397" w:rsidR="00FE0250" w:rsidRDefault="00FE0250">
      <w:pPr>
        <w:spacing w:before="0" w:after="160" w:line="259" w:lineRule="auto"/>
        <w:rPr>
          <w:rFonts w:eastAsia="Calibri"/>
          <w:lang w:eastAsia="en-US"/>
        </w:rPr>
      </w:pPr>
    </w:p>
    <w:p w14:paraId="51424ED4" w14:textId="3A06551C" w:rsidR="00FE0250" w:rsidRDefault="00FE0250" w:rsidP="00FE0250">
      <w:pPr>
        <w:pStyle w:val="Titre4"/>
      </w:pPr>
      <w:bookmarkStart w:id="236" w:name="_Toc93326571"/>
      <w:r>
        <w:t>Risk characterisation for human health</w:t>
      </w:r>
      <w:bookmarkEnd w:id="236"/>
    </w:p>
    <w:p w14:paraId="1FFBE55F" w14:textId="108595C6" w:rsidR="00AE1B0E" w:rsidRPr="00AE1B0E" w:rsidRDefault="00AE1B0E" w:rsidP="00AE1B0E">
      <w:pPr>
        <w:pStyle w:val="Paragraphedeliste"/>
        <w:numPr>
          <w:ilvl w:val="0"/>
          <w:numId w:val="68"/>
        </w:numPr>
        <w:rPr>
          <w:b/>
        </w:rPr>
      </w:pPr>
      <w:r w:rsidRPr="009461FB">
        <w:rPr>
          <w:b/>
        </w:rPr>
        <w:t>FIRST AUTHORISATION – 2017 (BE CA)</w:t>
      </w:r>
    </w:p>
    <w:p w14:paraId="77D70A6E" w14:textId="77777777" w:rsidR="00FE0250" w:rsidRDefault="00FE0250" w:rsidP="00FE0250">
      <w:pPr>
        <w:pStyle w:val="Titre5"/>
        <w:numPr>
          <w:ilvl w:val="0"/>
          <w:numId w:val="0"/>
        </w:numPr>
      </w:pPr>
      <w:bookmarkStart w:id="237" w:name="_Toc93326572"/>
      <w:r>
        <w:t>Reference values to be used in Risk Characterisation</w:t>
      </w:r>
      <w:bookmarkEnd w:id="2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80"/>
        <w:gridCol w:w="1212"/>
        <w:gridCol w:w="560"/>
        <w:gridCol w:w="1504"/>
        <w:gridCol w:w="2978"/>
      </w:tblGrid>
      <w:tr w:rsidR="009E572A" w:rsidRPr="00FE0250" w14:paraId="0710E80B" w14:textId="77777777" w:rsidTr="0084708F">
        <w:tc>
          <w:tcPr>
            <w:tcW w:w="569" w:type="pct"/>
            <w:shd w:val="clear" w:color="auto" w:fill="BFBFBF" w:themeFill="background1" w:themeFillShade="BF"/>
          </w:tcPr>
          <w:p w14:paraId="0FB821FD" w14:textId="77777777" w:rsidR="009E572A" w:rsidRPr="00FE0250" w:rsidRDefault="009E572A" w:rsidP="0084708F">
            <w:pPr>
              <w:pStyle w:val="Standaard-Tabellen"/>
              <w:rPr>
                <w:rFonts w:eastAsia="Calibri"/>
                <w:b/>
              </w:rPr>
            </w:pPr>
            <w:r w:rsidRPr="00FE0250">
              <w:rPr>
                <w:rFonts w:eastAsia="Calibri"/>
                <w:b/>
              </w:rPr>
              <w:t xml:space="preserve">Reference </w:t>
            </w:r>
          </w:p>
        </w:tc>
        <w:tc>
          <w:tcPr>
            <w:tcW w:w="1012" w:type="pct"/>
            <w:shd w:val="clear" w:color="auto" w:fill="BFBFBF" w:themeFill="background1" w:themeFillShade="BF"/>
          </w:tcPr>
          <w:p w14:paraId="25FC9C7C" w14:textId="77777777" w:rsidR="009E572A" w:rsidRPr="00FE0250" w:rsidRDefault="009E572A" w:rsidP="0084708F">
            <w:pPr>
              <w:pStyle w:val="Standaard-Tabellen"/>
              <w:rPr>
                <w:rFonts w:eastAsia="Calibri"/>
                <w:b/>
              </w:rPr>
            </w:pPr>
            <w:r w:rsidRPr="00FE0250">
              <w:rPr>
                <w:rFonts w:eastAsia="Calibri"/>
                <w:b/>
              </w:rPr>
              <w:t>Study</w:t>
            </w:r>
          </w:p>
        </w:tc>
        <w:tc>
          <w:tcPr>
            <w:tcW w:w="710" w:type="pct"/>
            <w:shd w:val="clear" w:color="auto" w:fill="BFBFBF" w:themeFill="background1" w:themeFillShade="BF"/>
          </w:tcPr>
          <w:p w14:paraId="670C1603" w14:textId="77777777" w:rsidR="009E572A" w:rsidRPr="00FE0250" w:rsidRDefault="009E572A" w:rsidP="0084708F">
            <w:pPr>
              <w:pStyle w:val="Standaard-Tabellen"/>
              <w:rPr>
                <w:rFonts w:eastAsia="Calibri"/>
                <w:b/>
              </w:rPr>
            </w:pPr>
            <w:r w:rsidRPr="00FE0250">
              <w:rPr>
                <w:rFonts w:eastAsia="Calibri"/>
                <w:b/>
              </w:rPr>
              <w:t>NOAEL (LOAEL)</w:t>
            </w:r>
          </w:p>
        </w:tc>
        <w:tc>
          <w:tcPr>
            <w:tcW w:w="195" w:type="pct"/>
            <w:shd w:val="clear" w:color="auto" w:fill="BFBFBF" w:themeFill="background1" w:themeFillShade="BF"/>
          </w:tcPr>
          <w:p w14:paraId="55B5708B" w14:textId="77777777" w:rsidR="009E572A" w:rsidRPr="00FE0250" w:rsidRDefault="009E572A" w:rsidP="0084708F">
            <w:pPr>
              <w:pStyle w:val="Standaard-Tabellen"/>
              <w:rPr>
                <w:rFonts w:eastAsia="Calibri"/>
                <w:b/>
                <w:vertAlign w:val="superscript"/>
              </w:rPr>
            </w:pPr>
            <w:r w:rsidRPr="00FE0250">
              <w:rPr>
                <w:rFonts w:eastAsia="Calibri"/>
                <w:b/>
              </w:rPr>
              <w:t>AF</w:t>
            </w:r>
            <w:r w:rsidRPr="00FE0250">
              <w:rPr>
                <w:rFonts w:eastAsia="Calibri"/>
                <w:b/>
                <w:vertAlign w:val="superscript"/>
              </w:rPr>
              <w:t>1</w:t>
            </w:r>
          </w:p>
        </w:tc>
        <w:tc>
          <w:tcPr>
            <w:tcW w:w="865" w:type="pct"/>
            <w:shd w:val="clear" w:color="auto" w:fill="BFBFBF" w:themeFill="background1" w:themeFillShade="BF"/>
          </w:tcPr>
          <w:p w14:paraId="2CAB5D36" w14:textId="77777777" w:rsidR="009E572A" w:rsidRPr="00FE0250" w:rsidRDefault="009E572A" w:rsidP="0084708F">
            <w:pPr>
              <w:pStyle w:val="Standaard-Tabellen"/>
              <w:rPr>
                <w:rFonts w:eastAsia="Calibri"/>
                <w:b/>
              </w:rPr>
            </w:pPr>
            <w:r w:rsidRPr="00FE0250">
              <w:rPr>
                <w:rFonts w:eastAsia="Calibri"/>
                <w:b/>
              </w:rPr>
              <w:t>Correction for oral absorption</w:t>
            </w:r>
          </w:p>
        </w:tc>
        <w:tc>
          <w:tcPr>
            <w:tcW w:w="1650" w:type="pct"/>
            <w:shd w:val="clear" w:color="auto" w:fill="BFBFBF" w:themeFill="background1" w:themeFillShade="BF"/>
          </w:tcPr>
          <w:p w14:paraId="4523BCDB" w14:textId="77777777" w:rsidR="009E572A" w:rsidRPr="00FE0250" w:rsidRDefault="009E572A" w:rsidP="0084708F">
            <w:pPr>
              <w:pStyle w:val="Standaard-Tabellen"/>
              <w:rPr>
                <w:rFonts w:eastAsia="Calibri"/>
                <w:b/>
              </w:rPr>
            </w:pPr>
            <w:r w:rsidRPr="00FE0250">
              <w:rPr>
                <w:rFonts w:eastAsia="Calibri"/>
                <w:b/>
              </w:rPr>
              <w:t>Value</w:t>
            </w:r>
          </w:p>
        </w:tc>
      </w:tr>
      <w:tr w:rsidR="009E572A" w:rsidRPr="00FD2055" w14:paraId="47E04F6A" w14:textId="77777777" w:rsidTr="0084708F">
        <w:tc>
          <w:tcPr>
            <w:tcW w:w="569" w:type="pct"/>
            <w:shd w:val="clear" w:color="auto" w:fill="auto"/>
          </w:tcPr>
          <w:p w14:paraId="2EA2903D" w14:textId="77777777" w:rsidR="009E572A" w:rsidRPr="00FD2055" w:rsidRDefault="009E572A" w:rsidP="0084708F">
            <w:pPr>
              <w:pStyle w:val="Standaard-Tabellen"/>
              <w:rPr>
                <w:rFonts w:eastAsia="Calibri"/>
              </w:rPr>
            </w:pPr>
            <w:r w:rsidRPr="00FD2055">
              <w:rPr>
                <w:rFonts w:eastAsia="Calibri"/>
              </w:rPr>
              <w:t>AELshort-term</w:t>
            </w:r>
          </w:p>
        </w:tc>
        <w:tc>
          <w:tcPr>
            <w:tcW w:w="1012" w:type="pct"/>
          </w:tcPr>
          <w:p w14:paraId="2D844E60" w14:textId="77777777" w:rsidR="009E572A" w:rsidRDefault="009E572A" w:rsidP="0084708F">
            <w:pPr>
              <w:pStyle w:val="Standaard-Tabellen"/>
            </w:pPr>
            <w:r>
              <w:t>Rabbit, oral, 28-days toxicity study</w:t>
            </w:r>
          </w:p>
          <w:p w14:paraId="47BF8706" w14:textId="77777777" w:rsidR="009E572A" w:rsidRPr="00FD2055" w:rsidRDefault="009E572A" w:rsidP="0084708F">
            <w:pPr>
              <w:pStyle w:val="Standaard-Tabellen"/>
              <w:rPr>
                <w:rFonts w:eastAsia="Calibri"/>
              </w:rPr>
            </w:pPr>
            <w:r>
              <w:t>Rabbit, oral, developmental study</w:t>
            </w:r>
          </w:p>
        </w:tc>
        <w:tc>
          <w:tcPr>
            <w:tcW w:w="710" w:type="pct"/>
          </w:tcPr>
          <w:p w14:paraId="19ABDC54" w14:textId="77777777" w:rsidR="009E572A" w:rsidRDefault="009E572A" w:rsidP="0084708F">
            <w:pPr>
              <w:pStyle w:val="Standaard-Tabellen"/>
              <w:rPr>
                <w:rFonts w:eastAsia="Calibri"/>
                <w:lang w:eastAsia="en-US"/>
              </w:rPr>
            </w:pPr>
            <w:r>
              <w:rPr>
                <w:rFonts w:eastAsia="Calibri"/>
                <w:lang w:eastAsia="en-US"/>
              </w:rPr>
              <w:t>500 (1500) mg/kg bw/d</w:t>
            </w:r>
          </w:p>
          <w:p w14:paraId="7130529C" w14:textId="77777777" w:rsidR="009E572A" w:rsidRDefault="009E572A" w:rsidP="0084708F">
            <w:pPr>
              <w:pStyle w:val="Standaard-Tabellen"/>
              <w:rPr>
                <w:rFonts w:eastAsia="Calibri"/>
                <w:lang w:eastAsia="en-US"/>
              </w:rPr>
            </w:pPr>
          </w:p>
          <w:p w14:paraId="65DE318A" w14:textId="77777777" w:rsidR="009E572A" w:rsidRPr="00FD2055" w:rsidRDefault="009E572A" w:rsidP="0084708F">
            <w:pPr>
              <w:pStyle w:val="Standaard-Tabellen"/>
              <w:rPr>
                <w:rFonts w:eastAsia="Calibri"/>
              </w:rPr>
            </w:pPr>
            <w:r>
              <w:rPr>
                <w:rFonts w:eastAsia="Calibri"/>
                <w:lang w:eastAsia="en-US"/>
              </w:rPr>
              <w:t>300 (600) mg/kg bw/d</w:t>
            </w:r>
          </w:p>
        </w:tc>
        <w:tc>
          <w:tcPr>
            <w:tcW w:w="195" w:type="pct"/>
          </w:tcPr>
          <w:p w14:paraId="181F798A" w14:textId="77777777" w:rsidR="009E572A" w:rsidRPr="00FD2055" w:rsidRDefault="009E572A" w:rsidP="0084708F">
            <w:pPr>
              <w:pStyle w:val="Standaard-Tabellen"/>
              <w:rPr>
                <w:rFonts w:eastAsia="Calibri"/>
              </w:rPr>
            </w:pPr>
            <w:r>
              <w:rPr>
                <w:rFonts w:eastAsia="Calibri"/>
                <w:lang w:eastAsia="en-US"/>
              </w:rPr>
              <w:t>100</w:t>
            </w:r>
          </w:p>
        </w:tc>
        <w:tc>
          <w:tcPr>
            <w:tcW w:w="865" w:type="pct"/>
          </w:tcPr>
          <w:p w14:paraId="0A866705" w14:textId="77777777" w:rsidR="009E572A" w:rsidRPr="00FD2055" w:rsidRDefault="009E572A" w:rsidP="0084708F">
            <w:pPr>
              <w:pStyle w:val="Standaard-Tabellen"/>
              <w:rPr>
                <w:rFonts w:eastAsia="Calibri"/>
              </w:rPr>
            </w:pPr>
            <w:r>
              <w:rPr>
                <w:rFonts w:eastAsia="Calibri"/>
                <w:lang w:eastAsia="en-US"/>
              </w:rPr>
              <w:t>100%</w:t>
            </w:r>
          </w:p>
        </w:tc>
        <w:tc>
          <w:tcPr>
            <w:tcW w:w="1650" w:type="pct"/>
            <w:shd w:val="clear" w:color="auto" w:fill="auto"/>
          </w:tcPr>
          <w:p w14:paraId="612AF405" w14:textId="77777777" w:rsidR="009E572A" w:rsidRPr="00FD2055" w:rsidRDefault="009E572A" w:rsidP="0084708F">
            <w:pPr>
              <w:pStyle w:val="Standaard-Tabellen"/>
              <w:rPr>
                <w:rFonts w:eastAsia="Calibri"/>
              </w:rPr>
            </w:pPr>
            <w:r>
              <w:rPr>
                <w:rFonts w:eastAsia="Calibri"/>
                <w:lang w:eastAsia="en-US"/>
              </w:rPr>
              <w:t>5 mg/kg bw/d</w:t>
            </w:r>
          </w:p>
        </w:tc>
      </w:tr>
      <w:tr w:rsidR="009E572A" w:rsidRPr="00FD2055" w14:paraId="341D6549" w14:textId="77777777" w:rsidTr="0084708F">
        <w:tc>
          <w:tcPr>
            <w:tcW w:w="569" w:type="pct"/>
            <w:shd w:val="clear" w:color="auto" w:fill="auto"/>
          </w:tcPr>
          <w:p w14:paraId="0353690F" w14:textId="77777777" w:rsidR="009E572A" w:rsidRPr="00FD2055" w:rsidRDefault="009E572A" w:rsidP="0084708F">
            <w:pPr>
              <w:pStyle w:val="Standaard-Tabellen"/>
              <w:rPr>
                <w:rFonts w:eastAsia="Calibri"/>
              </w:rPr>
            </w:pPr>
            <w:r w:rsidRPr="00FD2055">
              <w:rPr>
                <w:rFonts w:eastAsia="Calibri"/>
              </w:rPr>
              <w:t>AELmedium-term</w:t>
            </w:r>
          </w:p>
        </w:tc>
        <w:tc>
          <w:tcPr>
            <w:tcW w:w="1012" w:type="pct"/>
          </w:tcPr>
          <w:p w14:paraId="31F205DE" w14:textId="77777777" w:rsidR="009E572A" w:rsidRDefault="009E572A" w:rsidP="0084708F">
            <w:pPr>
              <w:pStyle w:val="Standaard-Tabellen"/>
            </w:pPr>
            <w:r>
              <w:t>Rabbit, oral, 28-days toxicity study</w:t>
            </w:r>
          </w:p>
          <w:p w14:paraId="2CD7EFF1" w14:textId="77777777" w:rsidR="009E572A" w:rsidRPr="00FD2055" w:rsidRDefault="009E572A" w:rsidP="0084708F">
            <w:pPr>
              <w:pStyle w:val="Standaard-Tabellen"/>
              <w:rPr>
                <w:rFonts w:eastAsia="Calibri"/>
              </w:rPr>
            </w:pPr>
            <w:r>
              <w:t>Rabbit, oral, developmental study</w:t>
            </w:r>
          </w:p>
        </w:tc>
        <w:tc>
          <w:tcPr>
            <w:tcW w:w="710" w:type="pct"/>
          </w:tcPr>
          <w:p w14:paraId="731CB64E" w14:textId="77777777" w:rsidR="009E572A" w:rsidRDefault="009E572A" w:rsidP="0084708F">
            <w:pPr>
              <w:pStyle w:val="Standaard-Tabellen"/>
              <w:rPr>
                <w:rFonts w:eastAsia="Calibri"/>
                <w:lang w:eastAsia="en-US"/>
              </w:rPr>
            </w:pPr>
            <w:r>
              <w:rPr>
                <w:rFonts w:eastAsia="Calibri"/>
                <w:lang w:eastAsia="en-US"/>
              </w:rPr>
              <w:t>500 (1500) mg/kg bw/d</w:t>
            </w:r>
          </w:p>
          <w:p w14:paraId="2F8AD2A9" w14:textId="77777777" w:rsidR="009E572A" w:rsidRDefault="009E572A" w:rsidP="0084708F">
            <w:pPr>
              <w:pStyle w:val="Standaard-Tabellen"/>
              <w:rPr>
                <w:rFonts w:eastAsia="Calibri"/>
                <w:lang w:eastAsia="en-US"/>
              </w:rPr>
            </w:pPr>
          </w:p>
          <w:p w14:paraId="7BC06ED7" w14:textId="77777777" w:rsidR="009E572A" w:rsidRPr="00FD2055" w:rsidRDefault="009E572A" w:rsidP="0084708F">
            <w:pPr>
              <w:pStyle w:val="Standaard-Tabellen"/>
              <w:rPr>
                <w:rFonts w:eastAsia="Calibri"/>
              </w:rPr>
            </w:pPr>
            <w:r>
              <w:rPr>
                <w:rFonts w:eastAsia="Calibri"/>
                <w:lang w:eastAsia="en-US"/>
              </w:rPr>
              <w:t>300 (600) mg/kg bw/d</w:t>
            </w:r>
          </w:p>
        </w:tc>
        <w:tc>
          <w:tcPr>
            <w:tcW w:w="195" w:type="pct"/>
          </w:tcPr>
          <w:p w14:paraId="206918F5" w14:textId="77777777" w:rsidR="009E572A" w:rsidRPr="00FD2055" w:rsidRDefault="009E572A" w:rsidP="0084708F">
            <w:pPr>
              <w:pStyle w:val="Standaard-Tabellen"/>
              <w:rPr>
                <w:rFonts w:eastAsia="Calibri"/>
              </w:rPr>
            </w:pPr>
            <w:r>
              <w:rPr>
                <w:rFonts w:eastAsia="Calibri"/>
                <w:lang w:eastAsia="en-US"/>
              </w:rPr>
              <w:t>100</w:t>
            </w:r>
          </w:p>
        </w:tc>
        <w:tc>
          <w:tcPr>
            <w:tcW w:w="865" w:type="pct"/>
          </w:tcPr>
          <w:p w14:paraId="7AEF2360" w14:textId="77777777" w:rsidR="009E572A" w:rsidRPr="00FD2055" w:rsidRDefault="009E572A" w:rsidP="0084708F">
            <w:pPr>
              <w:pStyle w:val="Standaard-Tabellen"/>
              <w:rPr>
                <w:rFonts w:eastAsia="Calibri"/>
              </w:rPr>
            </w:pPr>
            <w:r>
              <w:rPr>
                <w:rFonts w:eastAsia="Calibri"/>
                <w:lang w:eastAsia="en-US"/>
              </w:rPr>
              <w:t>100%</w:t>
            </w:r>
          </w:p>
        </w:tc>
        <w:tc>
          <w:tcPr>
            <w:tcW w:w="1650" w:type="pct"/>
            <w:shd w:val="clear" w:color="auto" w:fill="auto"/>
          </w:tcPr>
          <w:p w14:paraId="432D18CE" w14:textId="77777777" w:rsidR="009E572A" w:rsidRPr="00FD2055" w:rsidRDefault="009E572A" w:rsidP="0084708F">
            <w:pPr>
              <w:pStyle w:val="Standaard-Tabellen"/>
              <w:rPr>
                <w:rFonts w:eastAsia="Calibri"/>
              </w:rPr>
            </w:pPr>
            <w:r>
              <w:rPr>
                <w:rFonts w:eastAsia="Calibri"/>
                <w:lang w:eastAsia="en-US"/>
              </w:rPr>
              <w:t>5 mg/kg bw/d</w:t>
            </w:r>
          </w:p>
        </w:tc>
      </w:tr>
      <w:tr w:rsidR="009E572A" w:rsidRPr="00FD2055" w14:paraId="02C9DB22" w14:textId="77777777" w:rsidTr="0084708F">
        <w:tc>
          <w:tcPr>
            <w:tcW w:w="569" w:type="pct"/>
            <w:shd w:val="clear" w:color="auto" w:fill="auto"/>
          </w:tcPr>
          <w:p w14:paraId="66C3822D" w14:textId="77777777" w:rsidR="009E572A" w:rsidRPr="00FD2055" w:rsidRDefault="009E572A" w:rsidP="0084708F">
            <w:pPr>
              <w:pStyle w:val="Standaard-Tabellen"/>
              <w:rPr>
                <w:rFonts w:eastAsia="Calibri"/>
              </w:rPr>
            </w:pPr>
            <w:r w:rsidRPr="00FD2055">
              <w:rPr>
                <w:rFonts w:eastAsia="Calibri"/>
              </w:rPr>
              <w:t>AELlong-term</w:t>
            </w:r>
          </w:p>
        </w:tc>
        <w:tc>
          <w:tcPr>
            <w:tcW w:w="1012" w:type="pct"/>
          </w:tcPr>
          <w:p w14:paraId="7565DE52" w14:textId="77777777" w:rsidR="009E572A" w:rsidRDefault="009E572A" w:rsidP="0084708F">
            <w:pPr>
              <w:pStyle w:val="Standaard-Tabellen"/>
            </w:pPr>
            <w:r>
              <w:t>Rabbit, oral, 28-days toxicity study</w:t>
            </w:r>
          </w:p>
          <w:p w14:paraId="600EF828" w14:textId="77777777" w:rsidR="009E572A" w:rsidRPr="00FD2055" w:rsidRDefault="009E572A" w:rsidP="0084708F">
            <w:pPr>
              <w:pStyle w:val="Standaard-Tabellen"/>
              <w:rPr>
                <w:rFonts w:eastAsia="Calibri"/>
              </w:rPr>
            </w:pPr>
            <w:r>
              <w:t>Rabbit, oral, developmental study</w:t>
            </w:r>
          </w:p>
        </w:tc>
        <w:tc>
          <w:tcPr>
            <w:tcW w:w="710" w:type="pct"/>
          </w:tcPr>
          <w:p w14:paraId="395306D9" w14:textId="77777777" w:rsidR="009E572A" w:rsidRDefault="009E572A" w:rsidP="0084708F">
            <w:pPr>
              <w:pStyle w:val="Standaard-Tabellen"/>
              <w:rPr>
                <w:rFonts w:eastAsia="Calibri"/>
                <w:lang w:eastAsia="en-US"/>
              </w:rPr>
            </w:pPr>
            <w:r>
              <w:rPr>
                <w:rFonts w:eastAsia="Calibri"/>
                <w:lang w:eastAsia="en-US"/>
              </w:rPr>
              <w:t>500 (1500) mg/kg bw/d</w:t>
            </w:r>
          </w:p>
          <w:p w14:paraId="413A9763" w14:textId="77777777" w:rsidR="009E572A" w:rsidRDefault="009E572A" w:rsidP="0084708F">
            <w:pPr>
              <w:pStyle w:val="Standaard-Tabellen"/>
              <w:rPr>
                <w:rFonts w:eastAsia="Calibri"/>
                <w:lang w:eastAsia="en-US"/>
              </w:rPr>
            </w:pPr>
          </w:p>
          <w:p w14:paraId="7FCE81A9" w14:textId="77777777" w:rsidR="009E572A" w:rsidRPr="00FD2055" w:rsidRDefault="009E572A" w:rsidP="0084708F">
            <w:pPr>
              <w:pStyle w:val="Standaard-Tabellen"/>
              <w:rPr>
                <w:rFonts w:eastAsia="Calibri"/>
              </w:rPr>
            </w:pPr>
            <w:r>
              <w:rPr>
                <w:rFonts w:eastAsia="Calibri"/>
                <w:lang w:eastAsia="en-US"/>
              </w:rPr>
              <w:t>300 (600) mg/kg bw/d</w:t>
            </w:r>
          </w:p>
        </w:tc>
        <w:tc>
          <w:tcPr>
            <w:tcW w:w="195" w:type="pct"/>
          </w:tcPr>
          <w:p w14:paraId="30512249" w14:textId="77777777" w:rsidR="009E572A" w:rsidRPr="00FD2055" w:rsidRDefault="009E572A" w:rsidP="0084708F">
            <w:pPr>
              <w:pStyle w:val="Standaard-Tabellen"/>
              <w:rPr>
                <w:rFonts w:eastAsia="Calibri"/>
              </w:rPr>
            </w:pPr>
            <w:r>
              <w:rPr>
                <w:rFonts w:eastAsia="Calibri"/>
                <w:lang w:eastAsia="en-US"/>
              </w:rPr>
              <w:t>100</w:t>
            </w:r>
          </w:p>
        </w:tc>
        <w:tc>
          <w:tcPr>
            <w:tcW w:w="865" w:type="pct"/>
          </w:tcPr>
          <w:p w14:paraId="339D27F5" w14:textId="77777777" w:rsidR="009E572A" w:rsidRPr="00FD2055" w:rsidRDefault="009E572A" w:rsidP="0084708F">
            <w:pPr>
              <w:pStyle w:val="Standaard-Tabellen"/>
              <w:rPr>
                <w:rFonts w:eastAsia="Calibri"/>
              </w:rPr>
            </w:pPr>
            <w:r>
              <w:rPr>
                <w:rFonts w:eastAsia="Calibri"/>
                <w:lang w:eastAsia="en-US"/>
              </w:rPr>
              <w:t>100%</w:t>
            </w:r>
          </w:p>
        </w:tc>
        <w:tc>
          <w:tcPr>
            <w:tcW w:w="1650" w:type="pct"/>
            <w:shd w:val="clear" w:color="auto" w:fill="auto"/>
          </w:tcPr>
          <w:p w14:paraId="2F12A8E3" w14:textId="77777777" w:rsidR="00025F90" w:rsidRDefault="00025F90" w:rsidP="00025F90">
            <w:pPr>
              <w:pStyle w:val="Standaard-Tabellen"/>
            </w:pPr>
            <w:r>
              <w:t>5 mg/kg bw/d</w:t>
            </w:r>
          </w:p>
          <w:p w14:paraId="79E5DFDB" w14:textId="77777777" w:rsidR="009E572A" w:rsidRPr="00FD2055" w:rsidRDefault="00025F90" w:rsidP="00025F90">
            <w:pPr>
              <w:pStyle w:val="Standaard-Tabellen"/>
              <w:rPr>
                <w:rFonts w:eastAsia="Calibri"/>
              </w:rPr>
            </w:pPr>
            <w:r>
              <w:t>(not applicable here,no long-term use of the BP)</w:t>
            </w:r>
          </w:p>
        </w:tc>
      </w:tr>
      <w:tr w:rsidR="009E572A" w:rsidRPr="00FD2055" w14:paraId="58BD7F25" w14:textId="77777777" w:rsidTr="0084708F">
        <w:tc>
          <w:tcPr>
            <w:tcW w:w="569" w:type="pct"/>
            <w:shd w:val="clear" w:color="auto" w:fill="auto"/>
          </w:tcPr>
          <w:p w14:paraId="14E86386" w14:textId="77777777" w:rsidR="009E572A" w:rsidRPr="00FD2055" w:rsidRDefault="009E572A" w:rsidP="0084708F">
            <w:pPr>
              <w:pStyle w:val="Standaard-Tabellen"/>
              <w:rPr>
                <w:rFonts w:eastAsia="Calibri"/>
              </w:rPr>
            </w:pPr>
            <w:r w:rsidRPr="00FD2055">
              <w:rPr>
                <w:rFonts w:eastAsia="Calibri"/>
              </w:rPr>
              <w:t>ARfD</w:t>
            </w:r>
          </w:p>
        </w:tc>
        <w:tc>
          <w:tcPr>
            <w:tcW w:w="1012" w:type="pct"/>
          </w:tcPr>
          <w:p w14:paraId="323EB9B0" w14:textId="77777777" w:rsidR="009E572A" w:rsidRPr="00FD2055" w:rsidRDefault="009E572A" w:rsidP="0084708F">
            <w:pPr>
              <w:pStyle w:val="Standaard-Tabellen"/>
              <w:rPr>
                <w:rFonts w:eastAsia="Calibri"/>
              </w:rPr>
            </w:pPr>
            <w:r>
              <w:rPr>
                <w:rFonts w:eastAsia="Calibri"/>
                <w:lang w:eastAsia="en-US"/>
              </w:rPr>
              <w:t>n.a.</w:t>
            </w:r>
          </w:p>
        </w:tc>
        <w:tc>
          <w:tcPr>
            <w:tcW w:w="710" w:type="pct"/>
          </w:tcPr>
          <w:p w14:paraId="2B6673A6" w14:textId="77777777" w:rsidR="009E572A" w:rsidRPr="00FD2055" w:rsidRDefault="009E572A" w:rsidP="0084708F">
            <w:pPr>
              <w:pStyle w:val="Standaard-Tabellen"/>
              <w:rPr>
                <w:rFonts w:eastAsia="Calibri"/>
              </w:rPr>
            </w:pPr>
            <w:r>
              <w:rPr>
                <w:rFonts w:eastAsia="Calibri"/>
                <w:lang w:eastAsia="en-US"/>
              </w:rPr>
              <w:t>n.a.</w:t>
            </w:r>
          </w:p>
        </w:tc>
        <w:tc>
          <w:tcPr>
            <w:tcW w:w="195" w:type="pct"/>
          </w:tcPr>
          <w:p w14:paraId="146F7190" w14:textId="77777777" w:rsidR="009E572A" w:rsidRPr="00FD2055" w:rsidRDefault="009E572A" w:rsidP="0084708F">
            <w:pPr>
              <w:pStyle w:val="Standaard-Tabellen"/>
              <w:rPr>
                <w:rFonts w:eastAsia="Calibri"/>
              </w:rPr>
            </w:pPr>
          </w:p>
        </w:tc>
        <w:tc>
          <w:tcPr>
            <w:tcW w:w="865" w:type="pct"/>
          </w:tcPr>
          <w:p w14:paraId="12645504" w14:textId="77777777" w:rsidR="009E572A" w:rsidRPr="00FD2055" w:rsidRDefault="009E572A" w:rsidP="0084708F">
            <w:pPr>
              <w:pStyle w:val="Standaard-Tabellen"/>
              <w:rPr>
                <w:rFonts w:eastAsia="Calibri"/>
              </w:rPr>
            </w:pPr>
          </w:p>
        </w:tc>
        <w:tc>
          <w:tcPr>
            <w:tcW w:w="1650" w:type="pct"/>
            <w:shd w:val="clear" w:color="auto" w:fill="auto"/>
          </w:tcPr>
          <w:p w14:paraId="2E1E3AAB" w14:textId="77777777" w:rsidR="009E572A" w:rsidRPr="00FD2055" w:rsidRDefault="009E572A" w:rsidP="0084708F">
            <w:pPr>
              <w:pStyle w:val="Standaard-Tabellen"/>
              <w:rPr>
                <w:rFonts w:eastAsia="Calibri"/>
              </w:rPr>
            </w:pPr>
            <w:r>
              <w:t>not applicable, no residues in food or feed occur</w:t>
            </w:r>
          </w:p>
        </w:tc>
      </w:tr>
      <w:tr w:rsidR="009E572A" w:rsidRPr="00FD2055" w14:paraId="6A799F57" w14:textId="77777777" w:rsidTr="0084708F">
        <w:tc>
          <w:tcPr>
            <w:tcW w:w="569" w:type="pct"/>
            <w:shd w:val="clear" w:color="auto" w:fill="auto"/>
          </w:tcPr>
          <w:p w14:paraId="78C3A427" w14:textId="77777777" w:rsidR="009E572A" w:rsidRPr="00FD2055" w:rsidRDefault="009E572A" w:rsidP="0084708F">
            <w:pPr>
              <w:pStyle w:val="Standaard-Tabellen"/>
              <w:rPr>
                <w:rFonts w:eastAsia="Calibri"/>
              </w:rPr>
            </w:pPr>
            <w:r w:rsidRPr="00FD2055">
              <w:rPr>
                <w:rFonts w:eastAsia="Calibri"/>
              </w:rPr>
              <w:t>ADI</w:t>
            </w:r>
          </w:p>
        </w:tc>
        <w:tc>
          <w:tcPr>
            <w:tcW w:w="1012" w:type="pct"/>
          </w:tcPr>
          <w:p w14:paraId="047D53B9" w14:textId="77777777" w:rsidR="009E572A" w:rsidRPr="00FD2055" w:rsidRDefault="009E572A" w:rsidP="0084708F">
            <w:pPr>
              <w:pStyle w:val="Standaard-Tabellen"/>
              <w:rPr>
                <w:rFonts w:eastAsia="Calibri"/>
              </w:rPr>
            </w:pPr>
            <w:r>
              <w:rPr>
                <w:rFonts w:eastAsia="Calibri"/>
                <w:lang w:eastAsia="en-US"/>
              </w:rPr>
              <w:t>n.a.</w:t>
            </w:r>
          </w:p>
        </w:tc>
        <w:tc>
          <w:tcPr>
            <w:tcW w:w="710" w:type="pct"/>
          </w:tcPr>
          <w:p w14:paraId="570194E1" w14:textId="77777777" w:rsidR="009E572A" w:rsidRPr="00FD2055" w:rsidRDefault="009E572A" w:rsidP="0084708F">
            <w:pPr>
              <w:pStyle w:val="Standaard-Tabellen"/>
              <w:rPr>
                <w:rFonts w:eastAsia="Calibri"/>
              </w:rPr>
            </w:pPr>
            <w:r>
              <w:rPr>
                <w:rFonts w:eastAsia="Calibri"/>
                <w:lang w:eastAsia="en-US"/>
              </w:rPr>
              <w:t>n.a.</w:t>
            </w:r>
          </w:p>
        </w:tc>
        <w:tc>
          <w:tcPr>
            <w:tcW w:w="195" w:type="pct"/>
          </w:tcPr>
          <w:p w14:paraId="72B9702D" w14:textId="77777777" w:rsidR="009E572A" w:rsidRPr="00FD2055" w:rsidRDefault="009E572A" w:rsidP="0084708F">
            <w:pPr>
              <w:pStyle w:val="Standaard-Tabellen"/>
              <w:rPr>
                <w:rFonts w:eastAsia="Calibri"/>
              </w:rPr>
            </w:pPr>
          </w:p>
        </w:tc>
        <w:tc>
          <w:tcPr>
            <w:tcW w:w="865" w:type="pct"/>
          </w:tcPr>
          <w:p w14:paraId="4F115287" w14:textId="77777777" w:rsidR="009E572A" w:rsidRPr="00FD2055" w:rsidRDefault="009E572A" w:rsidP="0084708F">
            <w:pPr>
              <w:pStyle w:val="Standaard-Tabellen"/>
              <w:rPr>
                <w:rFonts w:eastAsia="Calibri"/>
              </w:rPr>
            </w:pPr>
          </w:p>
        </w:tc>
        <w:tc>
          <w:tcPr>
            <w:tcW w:w="1650" w:type="pct"/>
            <w:shd w:val="clear" w:color="auto" w:fill="auto"/>
          </w:tcPr>
          <w:p w14:paraId="6697D956" w14:textId="77777777" w:rsidR="009E572A" w:rsidRPr="00FD2055" w:rsidRDefault="009E572A" w:rsidP="0084708F">
            <w:pPr>
              <w:pStyle w:val="Standaard-Tabellen"/>
              <w:rPr>
                <w:rFonts w:eastAsia="Calibri"/>
              </w:rPr>
            </w:pPr>
            <w:r>
              <w:t>not applicable, no residues in food or feed occur</w:t>
            </w:r>
          </w:p>
        </w:tc>
      </w:tr>
    </w:tbl>
    <w:p w14:paraId="56E2CA69" w14:textId="77777777" w:rsidR="009E572A" w:rsidRPr="00FD2055" w:rsidRDefault="009E572A" w:rsidP="009E572A">
      <w:pPr>
        <w:pStyle w:val="Voetnoot"/>
        <w:rPr>
          <w:rFonts w:eastAsia="Calibri"/>
          <w:lang w:eastAsia="en-US"/>
        </w:rPr>
      </w:pPr>
      <w:r w:rsidRPr="00FD2055">
        <w:rPr>
          <w:rFonts w:eastAsia="Calibri"/>
          <w:vertAlign w:val="superscript"/>
          <w:lang w:eastAsia="en-US"/>
        </w:rPr>
        <w:t>1</w:t>
      </w:r>
      <w:r w:rsidRPr="00071FD4">
        <w:rPr>
          <w:rFonts w:eastAsia="Calibri"/>
          <w:iCs/>
          <w:lang w:eastAsia="en-US"/>
        </w:rPr>
        <w:t xml:space="preserve"> </w:t>
      </w:r>
      <w:r>
        <w:rPr>
          <w:rFonts w:eastAsia="Calibri"/>
          <w:iCs/>
          <w:lang w:eastAsia="en-US"/>
        </w:rPr>
        <w:t>reason for assessment factor: f</w:t>
      </w:r>
      <w:r w:rsidRPr="004B5CD8">
        <w:rPr>
          <w:rFonts w:eastAsia="Calibri"/>
          <w:iCs/>
          <w:lang w:eastAsia="en-US"/>
        </w:rPr>
        <w:t>actor 10 for both intra-species and interspecies differences</w:t>
      </w:r>
      <w:r>
        <w:rPr>
          <w:rFonts w:eastAsia="Calibri"/>
          <w:iCs/>
          <w:lang w:eastAsia="en-US"/>
        </w:rPr>
        <w:t>. No extrapolation factor for duration is needed, as the overall NOAEL is derived from a repeated 28d-oral toxicity study and a teratogenicity study.</w:t>
      </w:r>
    </w:p>
    <w:p w14:paraId="3EAFFCB0" w14:textId="77777777" w:rsidR="001E65DB" w:rsidRDefault="001E65DB" w:rsidP="001E65DB">
      <w:pPr>
        <w:pStyle w:val="Paragraphedeliste"/>
        <w:keepNext/>
        <w:numPr>
          <w:ilvl w:val="0"/>
          <w:numId w:val="36"/>
        </w:numPr>
        <w:shd w:val="clear" w:color="auto" w:fill="D9D9D9" w:themeFill="background1" w:themeFillShade="D9"/>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FD5106">
        <w:rPr>
          <w:rFonts w:eastAsia="Calibri"/>
          <w:b/>
          <w:highlight w:val="lightGray"/>
          <w:lang w:eastAsia="en-US"/>
        </w:rPr>
        <w:t>MAJOR CHANGE FOR SPRAY REPULSIF IR200 – 2019 (FR CA)</w:t>
      </w:r>
    </w:p>
    <w:p w14:paraId="557BF702" w14:textId="7A530528" w:rsidR="00E62B94" w:rsidRPr="00FD2055" w:rsidRDefault="001E65DB" w:rsidP="001E65DB">
      <w:pPr>
        <w:shd w:val="clear" w:color="auto" w:fill="D9D9D9" w:themeFill="background1" w:themeFillShade="D9"/>
        <w:spacing w:line="260" w:lineRule="atLeast"/>
        <w:jc w:val="both"/>
        <w:rPr>
          <w:rFonts w:eastAsia="Calibri"/>
          <w:lang w:eastAsia="en-US"/>
        </w:rPr>
      </w:pPr>
      <w:r>
        <w:rPr>
          <w:rFonts w:eastAsia="Calibri"/>
          <w:lang w:eastAsia="en-US"/>
        </w:rPr>
        <w:t>No change is necessary.</w:t>
      </w:r>
    </w:p>
    <w:p w14:paraId="51AFED27" w14:textId="3D16DCEA" w:rsidR="00C82D5E" w:rsidRDefault="00C82D5E" w:rsidP="00D471B6">
      <w:pPr>
        <w:pStyle w:val="Titre5"/>
        <w:numPr>
          <w:ilvl w:val="0"/>
          <w:numId w:val="5"/>
        </w:numPr>
      </w:pPr>
      <w:bookmarkStart w:id="238" w:name="_Toc403472775"/>
      <w:bookmarkStart w:id="239" w:name="_Toc389729089"/>
      <w:bookmarkStart w:id="240" w:name="_Toc93326573"/>
      <w:r w:rsidRPr="00FD2055">
        <w:t>Risk for industrial users</w:t>
      </w:r>
      <w:bookmarkEnd w:id="238"/>
      <w:bookmarkEnd w:id="239"/>
      <w:bookmarkEnd w:id="240"/>
    </w:p>
    <w:p w14:paraId="3133EC99" w14:textId="77777777" w:rsidR="001E65DB" w:rsidRPr="009461FB" w:rsidRDefault="001E65DB" w:rsidP="001E65DB">
      <w:pPr>
        <w:pStyle w:val="Paragraphedeliste"/>
        <w:numPr>
          <w:ilvl w:val="0"/>
          <w:numId w:val="68"/>
        </w:numPr>
        <w:rPr>
          <w:b/>
        </w:rPr>
      </w:pPr>
      <w:r w:rsidRPr="009461FB">
        <w:rPr>
          <w:b/>
        </w:rPr>
        <w:t>FIRST AUTHORISATION – 2017 (BE CA)</w:t>
      </w:r>
    </w:p>
    <w:p w14:paraId="3125D02E" w14:textId="77777777" w:rsidR="001E65DB" w:rsidRPr="001E65DB" w:rsidRDefault="001E65DB" w:rsidP="001E65DB">
      <w:pPr>
        <w:rPr>
          <w:lang w:val="en-US" w:eastAsia="en-US"/>
        </w:rPr>
      </w:pPr>
    </w:p>
    <w:p w14:paraId="6529E0E2" w14:textId="77777777" w:rsidR="00C82D5E" w:rsidRPr="00FD2055" w:rsidRDefault="00C82D5E" w:rsidP="00C82D5E">
      <w:pPr>
        <w:pStyle w:val="Titre6"/>
      </w:pPr>
      <w:r w:rsidRPr="00FD2055">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1701"/>
        <w:gridCol w:w="992"/>
        <w:gridCol w:w="1417"/>
        <w:gridCol w:w="1418"/>
        <w:gridCol w:w="1559"/>
      </w:tblGrid>
      <w:tr w:rsidR="00C82D5E" w:rsidRPr="00C82D5E" w14:paraId="16E9B61F" w14:textId="77777777" w:rsidTr="00C82D5E">
        <w:tc>
          <w:tcPr>
            <w:tcW w:w="1418" w:type="dxa"/>
            <w:shd w:val="clear" w:color="auto" w:fill="BFBFBF" w:themeFill="background1" w:themeFillShade="BF"/>
          </w:tcPr>
          <w:p w14:paraId="12A537A3" w14:textId="77777777" w:rsidR="00C82D5E" w:rsidRPr="00C82D5E" w:rsidRDefault="00C82D5E" w:rsidP="00C82D5E">
            <w:pPr>
              <w:pStyle w:val="Standaard-Tabellen"/>
              <w:rPr>
                <w:rFonts w:eastAsia="Calibri"/>
                <w:b/>
              </w:rPr>
            </w:pPr>
            <w:r w:rsidRPr="00C82D5E">
              <w:rPr>
                <w:rFonts w:eastAsia="Calibri"/>
                <w:b/>
              </w:rPr>
              <w:t>Task/</w:t>
            </w:r>
          </w:p>
          <w:p w14:paraId="67543384" w14:textId="77777777" w:rsidR="00C82D5E" w:rsidRPr="00C82D5E" w:rsidRDefault="00C82D5E" w:rsidP="00C82D5E">
            <w:pPr>
              <w:pStyle w:val="Standaard-Tabellen"/>
              <w:rPr>
                <w:rFonts w:eastAsia="Calibri"/>
                <w:b/>
              </w:rPr>
            </w:pPr>
            <w:r w:rsidRPr="00C82D5E">
              <w:rPr>
                <w:rFonts w:eastAsia="Calibri"/>
                <w:b/>
              </w:rPr>
              <w:t>Scenario</w:t>
            </w:r>
          </w:p>
        </w:tc>
        <w:tc>
          <w:tcPr>
            <w:tcW w:w="851" w:type="dxa"/>
            <w:shd w:val="clear" w:color="auto" w:fill="BFBFBF" w:themeFill="background1" w:themeFillShade="BF"/>
          </w:tcPr>
          <w:p w14:paraId="24493DD9" w14:textId="77777777" w:rsidR="00C82D5E" w:rsidRPr="00C82D5E" w:rsidRDefault="00C82D5E" w:rsidP="00C82D5E">
            <w:pPr>
              <w:pStyle w:val="Standaard-Tabellen"/>
              <w:rPr>
                <w:rFonts w:eastAsia="Calibri"/>
                <w:b/>
              </w:rPr>
            </w:pPr>
            <w:r w:rsidRPr="00C82D5E">
              <w:rPr>
                <w:rFonts w:eastAsia="Calibri"/>
                <w:b/>
              </w:rPr>
              <w:t>Tier</w:t>
            </w:r>
          </w:p>
        </w:tc>
        <w:tc>
          <w:tcPr>
            <w:tcW w:w="1701" w:type="dxa"/>
            <w:shd w:val="clear" w:color="auto" w:fill="BFBFBF" w:themeFill="background1" w:themeFillShade="BF"/>
          </w:tcPr>
          <w:p w14:paraId="28D68114" w14:textId="77777777" w:rsidR="00C82D5E" w:rsidRPr="00C82D5E" w:rsidRDefault="00C82D5E" w:rsidP="00C82D5E">
            <w:pPr>
              <w:pStyle w:val="Standaard-Tabellen"/>
              <w:rPr>
                <w:rFonts w:eastAsia="Calibri"/>
                <w:b/>
              </w:rPr>
            </w:pPr>
            <w:r w:rsidRPr="00C82D5E">
              <w:rPr>
                <w:rFonts w:eastAsia="Calibri"/>
                <w:b/>
              </w:rPr>
              <w:t>Systemic NOAEL</w:t>
            </w:r>
          </w:p>
          <w:p w14:paraId="4822AE89" w14:textId="77777777" w:rsidR="00C82D5E" w:rsidRPr="00C82D5E" w:rsidRDefault="00C82D5E" w:rsidP="00C82D5E">
            <w:pPr>
              <w:pStyle w:val="Standaard-Tabellen"/>
              <w:rPr>
                <w:rFonts w:eastAsia="Calibri"/>
                <w:b/>
              </w:rPr>
            </w:pPr>
            <w:r w:rsidRPr="00C82D5E">
              <w:rPr>
                <w:rFonts w:eastAsia="Calibri"/>
                <w:b/>
              </w:rPr>
              <w:t>mg/kg bw/d</w:t>
            </w:r>
          </w:p>
        </w:tc>
        <w:tc>
          <w:tcPr>
            <w:tcW w:w="992" w:type="dxa"/>
            <w:shd w:val="clear" w:color="auto" w:fill="BFBFBF" w:themeFill="background1" w:themeFillShade="BF"/>
          </w:tcPr>
          <w:p w14:paraId="758EA88A" w14:textId="77777777" w:rsidR="00C82D5E" w:rsidRPr="00C82D5E" w:rsidRDefault="00C82D5E" w:rsidP="00C82D5E">
            <w:pPr>
              <w:pStyle w:val="Standaard-Tabellen"/>
              <w:rPr>
                <w:rFonts w:eastAsia="Calibri"/>
                <w:b/>
                <w:lang w:val="es-ES"/>
              </w:rPr>
            </w:pPr>
            <w:r w:rsidRPr="00C82D5E">
              <w:rPr>
                <w:rFonts w:eastAsia="Calibri"/>
                <w:b/>
                <w:lang w:val="es-ES"/>
              </w:rPr>
              <w:t>AEL</w:t>
            </w:r>
          </w:p>
          <w:p w14:paraId="7CE4B01D" w14:textId="77777777" w:rsidR="00C82D5E" w:rsidRPr="00C82D5E" w:rsidRDefault="00C82D5E" w:rsidP="00C82D5E">
            <w:pPr>
              <w:pStyle w:val="Standaard-Tabellen"/>
              <w:rPr>
                <w:rFonts w:eastAsia="Calibri"/>
                <w:b/>
                <w:lang w:val="es-ES"/>
              </w:rPr>
            </w:pPr>
            <w:r w:rsidRPr="00C82D5E">
              <w:rPr>
                <w:rFonts w:eastAsia="Calibri"/>
                <w:b/>
                <w:lang w:val="es-ES"/>
              </w:rPr>
              <w:t>mg/kg bw/d</w:t>
            </w:r>
          </w:p>
        </w:tc>
        <w:tc>
          <w:tcPr>
            <w:tcW w:w="1417" w:type="dxa"/>
            <w:shd w:val="clear" w:color="auto" w:fill="BFBFBF" w:themeFill="background1" w:themeFillShade="BF"/>
          </w:tcPr>
          <w:p w14:paraId="6C453DA5" w14:textId="77777777" w:rsidR="00C82D5E" w:rsidRPr="00C82D5E" w:rsidRDefault="00C82D5E" w:rsidP="00C82D5E">
            <w:pPr>
              <w:pStyle w:val="Standaard-Tabellen"/>
              <w:rPr>
                <w:rFonts w:eastAsia="Calibri"/>
                <w:b/>
              </w:rPr>
            </w:pPr>
            <w:r w:rsidRPr="00C82D5E">
              <w:rPr>
                <w:rFonts w:eastAsia="Calibri"/>
                <w:b/>
              </w:rPr>
              <w:t>Estimated uptake</w:t>
            </w:r>
          </w:p>
          <w:p w14:paraId="375ADF8C" w14:textId="77777777" w:rsidR="00C82D5E" w:rsidRPr="00C82D5E" w:rsidRDefault="00C82D5E" w:rsidP="00C82D5E">
            <w:pPr>
              <w:pStyle w:val="Standaard-Tabellen"/>
              <w:rPr>
                <w:rFonts w:eastAsia="Calibri"/>
                <w:b/>
              </w:rPr>
            </w:pPr>
            <w:r w:rsidRPr="00C82D5E">
              <w:rPr>
                <w:rFonts w:eastAsia="Calibri"/>
                <w:b/>
              </w:rPr>
              <w:t>mg/kg bw/d</w:t>
            </w:r>
          </w:p>
        </w:tc>
        <w:tc>
          <w:tcPr>
            <w:tcW w:w="1418" w:type="dxa"/>
            <w:shd w:val="clear" w:color="auto" w:fill="BFBFBF" w:themeFill="background1" w:themeFillShade="BF"/>
          </w:tcPr>
          <w:p w14:paraId="343EDA66" w14:textId="77777777" w:rsidR="00C82D5E" w:rsidRPr="00C82D5E" w:rsidRDefault="00C82D5E" w:rsidP="00C82D5E">
            <w:pPr>
              <w:pStyle w:val="Standaard-Tabellen"/>
              <w:rPr>
                <w:rFonts w:eastAsia="Calibri"/>
                <w:b/>
              </w:rPr>
            </w:pPr>
            <w:r w:rsidRPr="00C82D5E">
              <w:rPr>
                <w:rFonts w:eastAsia="Calibri"/>
                <w:b/>
              </w:rPr>
              <w:t xml:space="preserve">Estimated uptake/ AEL </w:t>
            </w:r>
          </w:p>
          <w:p w14:paraId="6A4D3B0B" w14:textId="77777777" w:rsidR="00C82D5E" w:rsidRPr="00C82D5E" w:rsidRDefault="00C82D5E" w:rsidP="00C82D5E">
            <w:pPr>
              <w:pStyle w:val="Standaard-Tabellen"/>
              <w:rPr>
                <w:rFonts w:eastAsia="Calibri"/>
                <w:b/>
              </w:rPr>
            </w:pPr>
            <w:r w:rsidRPr="00C82D5E">
              <w:rPr>
                <w:rFonts w:eastAsia="Calibri"/>
                <w:b/>
              </w:rPr>
              <w:t>(%)</w:t>
            </w:r>
          </w:p>
        </w:tc>
        <w:tc>
          <w:tcPr>
            <w:tcW w:w="1559" w:type="dxa"/>
            <w:shd w:val="clear" w:color="auto" w:fill="BFBFBF" w:themeFill="background1" w:themeFillShade="BF"/>
          </w:tcPr>
          <w:p w14:paraId="2FDEF37B" w14:textId="77777777" w:rsidR="00C82D5E" w:rsidRPr="00C82D5E" w:rsidRDefault="00C82D5E" w:rsidP="00C82D5E">
            <w:pPr>
              <w:pStyle w:val="Standaard-Tabellen"/>
              <w:rPr>
                <w:rFonts w:eastAsia="Calibri"/>
                <w:b/>
              </w:rPr>
            </w:pPr>
            <w:r w:rsidRPr="00C82D5E">
              <w:rPr>
                <w:rFonts w:eastAsia="Calibri"/>
                <w:b/>
              </w:rPr>
              <w:t>Acceptable</w:t>
            </w:r>
          </w:p>
          <w:p w14:paraId="172F9166" w14:textId="77777777" w:rsidR="00C82D5E" w:rsidRPr="00C82D5E" w:rsidRDefault="00C82D5E" w:rsidP="00C82D5E">
            <w:pPr>
              <w:pStyle w:val="Standaard-Tabellen"/>
              <w:rPr>
                <w:rFonts w:eastAsia="Calibri"/>
                <w:b/>
              </w:rPr>
            </w:pPr>
            <w:r w:rsidRPr="00C82D5E">
              <w:rPr>
                <w:rFonts w:eastAsia="Calibri"/>
                <w:b/>
              </w:rPr>
              <w:t>(yes/no)</w:t>
            </w:r>
          </w:p>
        </w:tc>
      </w:tr>
      <w:tr w:rsidR="00553FE6" w:rsidRPr="00FD2055" w14:paraId="634AD0EF" w14:textId="77777777" w:rsidTr="00C82D5E">
        <w:tc>
          <w:tcPr>
            <w:tcW w:w="1418" w:type="dxa"/>
            <w:shd w:val="clear" w:color="auto" w:fill="auto"/>
          </w:tcPr>
          <w:p w14:paraId="1EFC825B" w14:textId="77777777" w:rsidR="00553FE6" w:rsidRPr="00FD2055" w:rsidRDefault="00553FE6" w:rsidP="00553FE6">
            <w:pPr>
              <w:pStyle w:val="Standaard-Tabellen"/>
              <w:rPr>
                <w:rFonts w:eastAsia="Calibri"/>
              </w:rPr>
            </w:pPr>
            <w:r>
              <w:rPr>
                <w:rFonts w:eastAsia="Calibri"/>
                <w:lang w:eastAsia="en-US"/>
              </w:rPr>
              <w:t>Scenario 6, mixing &amp; loading, professional</w:t>
            </w:r>
          </w:p>
        </w:tc>
        <w:tc>
          <w:tcPr>
            <w:tcW w:w="851" w:type="dxa"/>
            <w:shd w:val="clear" w:color="auto" w:fill="auto"/>
          </w:tcPr>
          <w:p w14:paraId="58218E49" w14:textId="77777777" w:rsidR="00553FE6" w:rsidRPr="00FD2055" w:rsidRDefault="00553FE6" w:rsidP="00553FE6">
            <w:pPr>
              <w:pStyle w:val="Standaard-Tabellen"/>
              <w:rPr>
                <w:rFonts w:eastAsia="Calibri"/>
              </w:rPr>
            </w:pPr>
            <w:r>
              <w:rPr>
                <w:rFonts w:eastAsia="Calibri"/>
                <w:lang w:eastAsia="en-US"/>
              </w:rPr>
              <w:t>1</w:t>
            </w:r>
          </w:p>
        </w:tc>
        <w:tc>
          <w:tcPr>
            <w:tcW w:w="1701" w:type="dxa"/>
            <w:shd w:val="clear" w:color="auto" w:fill="auto"/>
          </w:tcPr>
          <w:p w14:paraId="1A5C6D53" w14:textId="77777777" w:rsidR="00553FE6" w:rsidRPr="00FD2055" w:rsidRDefault="00553FE6" w:rsidP="00553FE6">
            <w:pPr>
              <w:pStyle w:val="Standaard-Tabellen"/>
              <w:rPr>
                <w:rFonts w:eastAsia="Calibri"/>
              </w:rPr>
            </w:pPr>
            <w:r w:rsidRPr="0091532F">
              <w:rPr>
                <w:rFonts w:eastAsia="Calibri"/>
                <w:szCs w:val="18"/>
                <w:lang w:eastAsia="en-US"/>
              </w:rPr>
              <w:t>500 mg/kg bw/d</w:t>
            </w:r>
          </w:p>
        </w:tc>
        <w:tc>
          <w:tcPr>
            <w:tcW w:w="992" w:type="dxa"/>
            <w:shd w:val="clear" w:color="auto" w:fill="auto"/>
          </w:tcPr>
          <w:p w14:paraId="66DAC4B8" w14:textId="77777777" w:rsidR="00553FE6" w:rsidRPr="00FD2055" w:rsidRDefault="00553FE6" w:rsidP="00553FE6">
            <w:pPr>
              <w:pStyle w:val="Standaard-Tabellen"/>
              <w:rPr>
                <w:rFonts w:eastAsia="Calibri"/>
              </w:rPr>
            </w:pPr>
            <w:r w:rsidRPr="0091532F">
              <w:rPr>
                <w:rFonts w:eastAsia="Calibri"/>
                <w:szCs w:val="18"/>
                <w:lang w:eastAsia="en-US"/>
              </w:rPr>
              <w:t>5 mg/kg bw/d</w:t>
            </w:r>
          </w:p>
        </w:tc>
        <w:tc>
          <w:tcPr>
            <w:tcW w:w="1417" w:type="dxa"/>
            <w:shd w:val="clear" w:color="auto" w:fill="auto"/>
          </w:tcPr>
          <w:p w14:paraId="71B9B031" w14:textId="77777777" w:rsidR="00553FE6" w:rsidRPr="00FD2055" w:rsidRDefault="00553FE6" w:rsidP="00553FE6">
            <w:pPr>
              <w:pStyle w:val="Standaard-Tabellen"/>
              <w:rPr>
                <w:rFonts w:eastAsia="Calibri"/>
              </w:rPr>
            </w:pPr>
            <w:r>
              <w:rPr>
                <w:rFonts w:eastAsia="Calibri"/>
              </w:rPr>
              <w:t>8,5 mg/kg bw/d</w:t>
            </w:r>
          </w:p>
        </w:tc>
        <w:tc>
          <w:tcPr>
            <w:tcW w:w="1418" w:type="dxa"/>
            <w:shd w:val="clear" w:color="auto" w:fill="auto"/>
          </w:tcPr>
          <w:p w14:paraId="7BA93079" w14:textId="77777777" w:rsidR="00553FE6" w:rsidRPr="00FD2055" w:rsidRDefault="00553FE6" w:rsidP="00553FE6">
            <w:pPr>
              <w:pStyle w:val="Standaard-Tabellen"/>
              <w:rPr>
                <w:rFonts w:eastAsia="Calibri"/>
              </w:rPr>
            </w:pPr>
            <w:r>
              <w:rPr>
                <w:rFonts w:eastAsia="Calibri"/>
                <w:lang w:eastAsia="en-US"/>
              </w:rPr>
              <w:t>170%</w:t>
            </w:r>
          </w:p>
        </w:tc>
        <w:tc>
          <w:tcPr>
            <w:tcW w:w="1559" w:type="dxa"/>
            <w:shd w:val="clear" w:color="auto" w:fill="auto"/>
          </w:tcPr>
          <w:p w14:paraId="24B588B8" w14:textId="77777777" w:rsidR="00553FE6" w:rsidRPr="00FD2055" w:rsidRDefault="00553FE6" w:rsidP="00553FE6">
            <w:pPr>
              <w:pStyle w:val="Standaard-Tabellen"/>
              <w:rPr>
                <w:rFonts w:eastAsia="Calibri"/>
              </w:rPr>
            </w:pPr>
            <w:r>
              <w:rPr>
                <w:rFonts w:eastAsia="Calibri"/>
                <w:lang w:eastAsia="en-US"/>
              </w:rPr>
              <w:t>no</w:t>
            </w:r>
          </w:p>
        </w:tc>
      </w:tr>
      <w:tr w:rsidR="00553FE6" w:rsidRPr="00FD2055" w14:paraId="63404C97" w14:textId="77777777" w:rsidTr="00C82D5E">
        <w:tc>
          <w:tcPr>
            <w:tcW w:w="1418" w:type="dxa"/>
            <w:shd w:val="clear" w:color="auto" w:fill="auto"/>
          </w:tcPr>
          <w:p w14:paraId="483E55B6" w14:textId="77777777" w:rsidR="00553FE6" w:rsidRPr="00FD2055" w:rsidRDefault="00553FE6" w:rsidP="00553FE6">
            <w:pPr>
              <w:pStyle w:val="Standaard-Tabellen"/>
              <w:rPr>
                <w:rFonts w:eastAsia="Calibri"/>
              </w:rPr>
            </w:pPr>
            <w:r>
              <w:rPr>
                <w:rFonts w:eastAsia="Calibri"/>
                <w:lang w:eastAsia="en-US"/>
              </w:rPr>
              <w:t>Scenario 6, mixing &amp; loading, professional</w:t>
            </w:r>
          </w:p>
        </w:tc>
        <w:tc>
          <w:tcPr>
            <w:tcW w:w="851" w:type="dxa"/>
            <w:shd w:val="clear" w:color="auto" w:fill="auto"/>
          </w:tcPr>
          <w:p w14:paraId="1A6B0EBF" w14:textId="77777777" w:rsidR="00553FE6" w:rsidRPr="00FD2055" w:rsidRDefault="00553FE6" w:rsidP="00553FE6">
            <w:pPr>
              <w:pStyle w:val="Standaard-Tabellen"/>
              <w:rPr>
                <w:rFonts w:eastAsia="Calibri"/>
              </w:rPr>
            </w:pPr>
            <w:r>
              <w:rPr>
                <w:rFonts w:eastAsia="Calibri"/>
                <w:lang w:eastAsia="en-US"/>
              </w:rPr>
              <w:t>2</w:t>
            </w:r>
          </w:p>
        </w:tc>
        <w:tc>
          <w:tcPr>
            <w:tcW w:w="1701" w:type="dxa"/>
            <w:shd w:val="clear" w:color="auto" w:fill="auto"/>
          </w:tcPr>
          <w:p w14:paraId="182170E2" w14:textId="77777777" w:rsidR="00553FE6" w:rsidRPr="00FD2055" w:rsidRDefault="00553FE6" w:rsidP="00553FE6">
            <w:pPr>
              <w:pStyle w:val="Standaard-Tabellen"/>
              <w:rPr>
                <w:rFonts w:eastAsia="Calibri"/>
              </w:rPr>
            </w:pPr>
            <w:r w:rsidRPr="0091532F">
              <w:rPr>
                <w:rFonts w:eastAsia="Calibri"/>
                <w:szCs w:val="18"/>
                <w:lang w:eastAsia="en-US"/>
              </w:rPr>
              <w:t>500 mg/kg bw/d</w:t>
            </w:r>
          </w:p>
        </w:tc>
        <w:tc>
          <w:tcPr>
            <w:tcW w:w="992" w:type="dxa"/>
            <w:shd w:val="clear" w:color="auto" w:fill="auto"/>
          </w:tcPr>
          <w:p w14:paraId="55F44A1E" w14:textId="77777777" w:rsidR="00553FE6" w:rsidRPr="00FD2055" w:rsidRDefault="00553FE6" w:rsidP="00553FE6">
            <w:pPr>
              <w:pStyle w:val="Standaard-Tabellen"/>
              <w:rPr>
                <w:rFonts w:eastAsia="Calibri"/>
              </w:rPr>
            </w:pPr>
            <w:r w:rsidRPr="0091532F">
              <w:rPr>
                <w:rFonts w:eastAsia="Calibri"/>
                <w:szCs w:val="18"/>
                <w:lang w:eastAsia="en-US"/>
              </w:rPr>
              <w:t>5 mg/kg bw/d</w:t>
            </w:r>
          </w:p>
        </w:tc>
        <w:tc>
          <w:tcPr>
            <w:tcW w:w="1417" w:type="dxa"/>
            <w:shd w:val="clear" w:color="auto" w:fill="auto"/>
          </w:tcPr>
          <w:p w14:paraId="17CC4DB2" w14:textId="77777777" w:rsidR="00553FE6" w:rsidRPr="00FD2055" w:rsidRDefault="00553FE6" w:rsidP="00553FE6">
            <w:pPr>
              <w:pStyle w:val="Standaard-Tabellen"/>
              <w:rPr>
                <w:rFonts w:eastAsia="Calibri"/>
              </w:rPr>
            </w:pPr>
            <w:r w:rsidRPr="00D371B6">
              <w:rPr>
                <w:rFonts w:eastAsia="Calibri"/>
              </w:rPr>
              <w:t>2,25 mg/kg bw/d</w:t>
            </w:r>
          </w:p>
        </w:tc>
        <w:tc>
          <w:tcPr>
            <w:tcW w:w="1418" w:type="dxa"/>
            <w:shd w:val="clear" w:color="auto" w:fill="auto"/>
          </w:tcPr>
          <w:p w14:paraId="13CD759E" w14:textId="77777777" w:rsidR="00553FE6" w:rsidRPr="00FD2055" w:rsidRDefault="00553FE6" w:rsidP="00553FE6">
            <w:pPr>
              <w:pStyle w:val="Standaard-Tabellen"/>
              <w:rPr>
                <w:rFonts w:eastAsia="Calibri"/>
              </w:rPr>
            </w:pPr>
            <w:r>
              <w:rPr>
                <w:rFonts w:eastAsia="Calibri"/>
                <w:lang w:eastAsia="en-US"/>
              </w:rPr>
              <w:t>45%</w:t>
            </w:r>
          </w:p>
        </w:tc>
        <w:tc>
          <w:tcPr>
            <w:tcW w:w="1559" w:type="dxa"/>
            <w:shd w:val="clear" w:color="auto" w:fill="auto"/>
          </w:tcPr>
          <w:p w14:paraId="4C25DA9B" w14:textId="77777777" w:rsidR="00553FE6" w:rsidRPr="00FD2055" w:rsidRDefault="00553FE6" w:rsidP="00553FE6">
            <w:pPr>
              <w:pStyle w:val="Standaard-Tabellen"/>
              <w:rPr>
                <w:rFonts w:eastAsia="Calibri"/>
              </w:rPr>
            </w:pPr>
            <w:r>
              <w:rPr>
                <w:rFonts w:eastAsia="Calibri"/>
                <w:lang w:eastAsia="en-US"/>
              </w:rPr>
              <w:t>yes</w:t>
            </w:r>
          </w:p>
        </w:tc>
      </w:tr>
      <w:tr w:rsidR="00553FE6" w:rsidRPr="00FD2055" w14:paraId="411224F0" w14:textId="77777777" w:rsidTr="00C82D5E">
        <w:tc>
          <w:tcPr>
            <w:tcW w:w="1418" w:type="dxa"/>
            <w:shd w:val="clear" w:color="auto" w:fill="auto"/>
          </w:tcPr>
          <w:p w14:paraId="34C7265B" w14:textId="77777777" w:rsidR="00553FE6" w:rsidRPr="00FD2055" w:rsidRDefault="00553FE6" w:rsidP="00553FE6">
            <w:pPr>
              <w:pStyle w:val="Standaard-Tabellen"/>
              <w:rPr>
                <w:rFonts w:eastAsia="Calibri"/>
              </w:rPr>
            </w:pPr>
            <w:r>
              <w:rPr>
                <w:rFonts w:eastAsia="Calibri"/>
                <w:lang w:eastAsia="en-US"/>
              </w:rPr>
              <w:t>Scenario 6, mixing &amp; loading, professional</w:t>
            </w:r>
          </w:p>
        </w:tc>
        <w:tc>
          <w:tcPr>
            <w:tcW w:w="851" w:type="dxa"/>
            <w:shd w:val="clear" w:color="auto" w:fill="auto"/>
          </w:tcPr>
          <w:p w14:paraId="5717414E" w14:textId="77777777" w:rsidR="00553FE6" w:rsidRPr="00FD2055" w:rsidRDefault="00553FE6" w:rsidP="00553FE6">
            <w:pPr>
              <w:pStyle w:val="Standaard-Tabellen"/>
              <w:rPr>
                <w:rFonts w:eastAsia="Calibri"/>
              </w:rPr>
            </w:pPr>
            <w:r>
              <w:rPr>
                <w:rFonts w:eastAsia="Calibri"/>
                <w:lang w:eastAsia="en-US"/>
              </w:rPr>
              <w:t>3</w:t>
            </w:r>
          </w:p>
        </w:tc>
        <w:tc>
          <w:tcPr>
            <w:tcW w:w="1701" w:type="dxa"/>
            <w:shd w:val="clear" w:color="auto" w:fill="auto"/>
          </w:tcPr>
          <w:p w14:paraId="32313BC8" w14:textId="77777777" w:rsidR="00553FE6" w:rsidRPr="00FD2055" w:rsidRDefault="00553FE6" w:rsidP="00553FE6">
            <w:pPr>
              <w:pStyle w:val="Standaard-Tabellen"/>
              <w:rPr>
                <w:rFonts w:eastAsia="Calibri"/>
              </w:rPr>
            </w:pPr>
            <w:r w:rsidRPr="0091532F">
              <w:rPr>
                <w:rFonts w:eastAsia="Calibri"/>
                <w:szCs w:val="18"/>
                <w:lang w:eastAsia="en-US"/>
              </w:rPr>
              <w:t>500 mg/kg bw/d</w:t>
            </w:r>
          </w:p>
        </w:tc>
        <w:tc>
          <w:tcPr>
            <w:tcW w:w="992" w:type="dxa"/>
            <w:shd w:val="clear" w:color="auto" w:fill="auto"/>
          </w:tcPr>
          <w:p w14:paraId="25CF3775" w14:textId="77777777" w:rsidR="00553FE6" w:rsidRPr="00FD2055" w:rsidRDefault="00553FE6" w:rsidP="00553FE6">
            <w:pPr>
              <w:pStyle w:val="Standaard-Tabellen"/>
              <w:rPr>
                <w:rFonts w:eastAsia="Calibri"/>
              </w:rPr>
            </w:pPr>
            <w:r w:rsidRPr="0091532F">
              <w:rPr>
                <w:rFonts w:eastAsia="Calibri"/>
                <w:szCs w:val="18"/>
                <w:lang w:eastAsia="en-US"/>
              </w:rPr>
              <w:t>5 mg/kg bw/d</w:t>
            </w:r>
          </w:p>
        </w:tc>
        <w:tc>
          <w:tcPr>
            <w:tcW w:w="1417" w:type="dxa"/>
            <w:shd w:val="clear" w:color="auto" w:fill="auto"/>
          </w:tcPr>
          <w:p w14:paraId="198F4824" w14:textId="77777777" w:rsidR="00553FE6" w:rsidRPr="00FD2055" w:rsidRDefault="00553FE6" w:rsidP="00553FE6">
            <w:pPr>
              <w:pStyle w:val="Standaard-Tabellen"/>
              <w:rPr>
                <w:rFonts w:eastAsia="Calibri"/>
              </w:rPr>
            </w:pPr>
            <w:r>
              <w:rPr>
                <w:rFonts w:eastAsia="Calibri"/>
              </w:rPr>
              <w:t>2,1 mg/kg bw/d</w:t>
            </w:r>
          </w:p>
        </w:tc>
        <w:tc>
          <w:tcPr>
            <w:tcW w:w="1418" w:type="dxa"/>
            <w:shd w:val="clear" w:color="auto" w:fill="auto"/>
          </w:tcPr>
          <w:p w14:paraId="28CF4F3E" w14:textId="77777777" w:rsidR="00553FE6" w:rsidRPr="00FD2055" w:rsidRDefault="00553FE6" w:rsidP="00553FE6">
            <w:pPr>
              <w:pStyle w:val="Standaard-Tabellen"/>
              <w:rPr>
                <w:rFonts w:eastAsia="Calibri"/>
              </w:rPr>
            </w:pPr>
            <w:r>
              <w:rPr>
                <w:rFonts w:eastAsia="Calibri"/>
                <w:lang w:eastAsia="en-US"/>
              </w:rPr>
              <w:t>42%</w:t>
            </w:r>
          </w:p>
        </w:tc>
        <w:tc>
          <w:tcPr>
            <w:tcW w:w="1559" w:type="dxa"/>
            <w:shd w:val="clear" w:color="auto" w:fill="auto"/>
          </w:tcPr>
          <w:p w14:paraId="341FBFE9" w14:textId="77777777" w:rsidR="00553FE6" w:rsidRPr="00FD2055" w:rsidRDefault="00553FE6" w:rsidP="00553FE6">
            <w:pPr>
              <w:pStyle w:val="Standaard-Tabellen"/>
              <w:rPr>
                <w:rFonts w:eastAsia="Calibri"/>
              </w:rPr>
            </w:pPr>
            <w:r>
              <w:rPr>
                <w:rFonts w:eastAsia="Calibri"/>
                <w:lang w:eastAsia="en-US"/>
              </w:rPr>
              <w:t>yes</w:t>
            </w:r>
          </w:p>
        </w:tc>
      </w:tr>
    </w:tbl>
    <w:p w14:paraId="701FD61D" w14:textId="77777777" w:rsidR="00C82D5E" w:rsidRPr="00FD2055" w:rsidRDefault="00C82D5E" w:rsidP="00C82D5E">
      <w:pPr>
        <w:rPr>
          <w:rFonts w:eastAsia="Calibri"/>
          <w:lang w:eastAsia="en-US"/>
        </w:rPr>
      </w:pPr>
    </w:p>
    <w:p w14:paraId="106608F4" w14:textId="77777777" w:rsidR="00C82D5E" w:rsidRPr="00FD2055" w:rsidRDefault="00C82D5E" w:rsidP="00C82D5E">
      <w:pPr>
        <w:pStyle w:val="Titre6"/>
      </w:pPr>
      <w:r w:rsidRPr="00FD2055">
        <w:t>Combined scenarios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1559"/>
        <w:gridCol w:w="992"/>
        <w:gridCol w:w="1276"/>
        <w:gridCol w:w="1353"/>
        <w:gridCol w:w="1448"/>
      </w:tblGrid>
      <w:tr w:rsidR="00C82D5E" w:rsidRPr="00C82D5E" w14:paraId="5F7DF8A1" w14:textId="77777777" w:rsidTr="00C82D5E">
        <w:trPr>
          <w:jc w:val="center"/>
        </w:trPr>
        <w:tc>
          <w:tcPr>
            <w:tcW w:w="1985" w:type="dxa"/>
            <w:shd w:val="clear" w:color="auto" w:fill="BFBFBF" w:themeFill="background1" w:themeFillShade="BF"/>
          </w:tcPr>
          <w:p w14:paraId="35723A34" w14:textId="77777777" w:rsidR="00C82D5E" w:rsidRPr="00C82D5E" w:rsidRDefault="00C82D5E" w:rsidP="00C82D5E">
            <w:pPr>
              <w:pStyle w:val="Standaard-Tabellen"/>
              <w:rPr>
                <w:rFonts w:eastAsia="Calibri"/>
                <w:b/>
              </w:rPr>
            </w:pPr>
            <w:r w:rsidRPr="00C82D5E">
              <w:rPr>
                <w:rFonts w:eastAsia="Calibri"/>
                <w:b/>
              </w:rPr>
              <w:t>Scenarios combined</w:t>
            </w:r>
          </w:p>
        </w:tc>
        <w:tc>
          <w:tcPr>
            <w:tcW w:w="851" w:type="dxa"/>
            <w:shd w:val="clear" w:color="auto" w:fill="BFBFBF" w:themeFill="background1" w:themeFillShade="BF"/>
          </w:tcPr>
          <w:p w14:paraId="7A2FB441" w14:textId="77777777" w:rsidR="00C82D5E" w:rsidRPr="00C82D5E" w:rsidRDefault="00C82D5E" w:rsidP="00C82D5E">
            <w:pPr>
              <w:pStyle w:val="Standaard-Tabellen"/>
              <w:rPr>
                <w:rFonts w:eastAsia="Calibri"/>
                <w:b/>
              </w:rPr>
            </w:pPr>
            <w:r w:rsidRPr="00C82D5E">
              <w:rPr>
                <w:rFonts w:eastAsia="Calibri"/>
                <w:b/>
              </w:rPr>
              <w:t>Tier</w:t>
            </w:r>
          </w:p>
        </w:tc>
        <w:tc>
          <w:tcPr>
            <w:tcW w:w="1559" w:type="dxa"/>
            <w:shd w:val="clear" w:color="auto" w:fill="BFBFBF" w:themeFill="background1" w:themeFillShade="BF"/>
          </w:tcPr>
          <w:p w14:paraId="132319E0" w14:textId="77777777" w:rsidR="00C82D5E" w:rsidRPr="00C82D5E" w:rsidRDefault="00C82D5E" w:rsidP="00C82D5E">
            <w:pPr>
              <w:pStyle w:val="Standaard-Tabellen"/>
              <w:rPr>
                <w:rFonts w:eastAsia="Calibri"/>
                <w:b/>
              </w:rPr>
            </w:pPr>
            <w:r w:rsidRPr="00C82D5E">
              <w:rPr>
                <w:rFonts w:eastAsia="Calibri"/>
                <w:b/>
              </w:rPr>
              <w:t>Systemic NOAEL</w:t>
            </w:r>
          </w:p>
          <w:p w14:paraId="44A46E62" w14:textId="77777777" w:rsidR="00C82D5E" w:rsidRPr="00C82D5E" w:rsidRDefault="00C82D5E" w:rsidP="00C82D5E">
            <w:pPr>
              <w:pStyle w:val="Standaard-Tabellen"/>
              <w:rPr>
                <w:rFonts w:eastAsia="Calibri"/>
                <w:b/>
              </w:rPr>
            </w:pPr>
            <w:r w:rsidRPr="00C82D5E">
              <w:rPr>
                <w:rFonts w:eastAsia="Calibri"/>
                <w:b/>
              </w:rPr>
              <w:t>mg/kg bw/d</w:t>
            </w:r>
          </w:p>
        </w:tc>
        <w:tc>
          <w:tcPr>
            <w:tcW w:w="992" w:type="dxa"/>
            <w:shd w:val="clear" w:color="auto" w:fill="BFBFBF" w:themeFill="background1" w:themeFillShade="BF"/>
          </w:tcPr>
          <w:p w14:paraId="732B6E6E" w14:textId="77777777" w:rsidR="00C82D5E" w:rsidRPr="00C82D5E" w:rsidRDefault="00C82D5E" w:rsidP="00C82D5E">
            <w:pPr>
              <w:pStyle w:val="Standaard-Tabellen"/>
              <w:rPr>
                <w:rFonts w:eastAsia="Calibri"/>
                <w:b/>
                <w:lang w:val="es-ES"/>
              </w:rPr>
            </w:pPr>
            <w:r w:rsidRPr="00C82D5E">
              <w:rPr>
                <w:rFonts w:eastAsia="Calibri"/>
                <w:b/>
                <w:lang w:val="es-ES"/>
              </w:rPr>
              <w:t>AEL</w:t>
            </w:r>
          </w:p>
          <w:p w14:paraId="64386114" w14:textId="77777777" w:rsidR="00C82D5E" w:rsidRPr="00C82D5E" w:rsidRDefault="00C82D5E" w:rsidP="00C82D5E">
            <w:pPr>
              <w:pStyle w:val="Standaard-Tabellen"/>
              <w:rPr>
                <w:rFonts w:eastAsia="Calibri"/>
                <w:b/>
                <w:lang w:val="es-ES"/>
              </w:rPr>
            </w:pPr>
            <w:r w:rsidRPr="00C82D5E">
              <w:rPr>
                <w:rFonts w:eastAsia="Calibri"/>
                <w:b/>
                <w:lang w:val="es-ES"/>
              </w:rPr>
              <w:t>mg/kg bw/d</w:t>
            </w:r>
          </w:p>
        </w:tc>
        <w:tc>
          <w:tcPr>
            <w:tcW w:w="1276" w:type="dxa"/>
            <w:shd w:val="clear" w:color="auto" w:fill="BFBFBF" w:themeFill="background1" w:themeFillShade="BF"/>
          </w:tcPr>
          <w:p w14:paraId="61F1247D" w14:textId="77777777" w:rsidR="00C82D5E" w:rsidRPr="00C82D5E" w:rsidRDefault="00C82D5E" w:rsidP="00C82D5E">
            <w:pPr>
              <w:pStyle w:val="Standaard-Tabellen"/>
              <w:rPr>
                <w:rFonts w:eastAsia="Calibri"/>
                <w:b/>
              </w:rPr>
            </w:pPr>
            <w:r w:rsidRPr="00C82D5E">
              <w:rPr>
                <w:rFonts w:eastAsia="Calibri"/>
                <w:b/>
              </w:rPr>
              <w:t>Estimated uptake</w:t>
            </w:r>
          </w:p>
          <w:p w14:paraId="7B11C2A6" w14:textId="77777777" w:rsidR="00C82D5E" w:rsidRPr="00C82D5E" w:rsidRDefault="00C82D5E" w:rsidP="00C82D5E">
            <w:pPr>
              <w:pStyle w:val="Standaard-Tabellen"/>
              <w:rPr>
                <w:rFonts w:eastAsia="Calibri"/>
                <w:b/>
              </w:rPr>
            </w:pPr>
            <w:r w:rsidRPr="00C82D5E">
              <w:rPr>
                <w:rFonts w:eastAsia="Calibri"/>
                <w:b/>
              </w:rPr>
              <w:t>mg/kg bw/d</w:t>
            </w:r>
          </w:p>
        </w:tc>
        <w:tc>
          <w:tcPr>
            <w:tcW w:w="1353" w:type="dxa"/>
            <w:shd w:val="clear" w:color="auto" w:fill="BFBFBF" w:themeFill="background1" w:themeFillShade="BF"/>
          </w:tcPr>
          <w:p w14:paraId="73654214" w14:textId="77777777" w:rsidR="00C82D5E" w:rsidRPr="00C82D5E" w:rsidRDefault="00C82D5E" w:rsidP="00C82D5E">
            <w:pPr>
              <w:pStyle w:val="Standaard-Tabellen"/>
              <w:rPr>
                <w:rFonts w:eastAsia="Calibri"/>
                <w:b/>
              </w:rPr>
            </w:pPr>
            <w:r w:rsidRPr="00C82D5E">
              <w:rPr>
                <w:rFonts w:eastAsia="Calibri"/>
                <w:b/>
              </w:rPr>
              <w:t xml:space="preserve">Estimated uptake/ AEL </w:t>
            </w:r>
          </w:p>
          <w:p w14:paraId="0EA4E923" w14:textId="77777777" w:rsidR="00C82D5E" w:rsidRPr="00C82D5E" w:rsidRDefault="00C82D5E" w:rsidP="00C82D5E">
            <w:pPr>
              <w:pStyle w:val="Standaard-Tabellen"/>
              <w:rPr>
                <w:rFonts w:eastAsia="Calibri"/>
                <w:b/>
              </w:rPr>
            </w:pPr>
            <w:r w:rsidRPr="00C82D5E">
              <w:rPr>
                <w:rFonts w:eastAsia="Calibri"/>
                <w:b/>
              </w:rPr>
              <w:t>(%)</w:t>
            </w:r>
          </w:p>
        </w:tc>
        <w:tc>
          <w:tcPr>
            <w:tcW w:w="1448" w:type="dxa"/>
            <w:shd w:val="clear" w:color="auto" w:fill="BFBFBF" w:themeFill="background1" w:themeFillShade="BF"/>
          </w:tcPr>
          <w:p w14:paraId="67909E88" w14:textId="77777777" w:rsidR="00C82D5E" w:rsidRPr="00C82D5E" w:rsidRDefault="00C82D5E" w:rsidP="00C82D5E">
            <w:pPr>
              <w:pStyle w:val="Standaard-Tabellen"/>
              <w:rPr>
                <w:rFonts w:eastAsia="Calibri"/>
                <w:b/>
              </w:rPr>
            </w:pPr>
            <w:r w:rsidRPr="00C82D5E">
              <w:rPr>
                <w:rFonts w:eastAsia="Calibri"/>
                <w:b/>
              </w:rPr>
              <w:t>Acceptable</w:t>
            </w:r>
          </w:p>
          <w:p w14:paraId="321EB7CD" w14:textId="77777777" w:rsidR="00C82D5E" w:rsidRPr="00C82D5E" w:rsidRDefault="00C82D5E" w:rsidP="00C82D5E">
            <w:pPr>
              <w:pStyle w:val="Standaard-Tabellen"/>
              <w:rPr>
                <w:rFonts w:eastAsia="Calibri"/>
                <w:b/>
              </w:rPr>
            </w:pPr>
            <w:r w:rsidRPr="00C82D5E">
              <w:rPr>
                <w:rFonts w:eastAsia="Calibri"/>
                <w:b/>
              </w:rPr>
              <w:t>(yes/no)</w:t>
            </w:r>
          </w:p>
        </w:tc>
      </w:tr>
      <w:tr w:rsidR="00C82D5E" w:rsidRPr="00FD2055" w14:paraId="333BFDD0" w14:textId="77777777" w:rsidTr="00C82D5E">
        <w:trPr>
          <w:jc w:val="center"/>
        </w:trPr>
        <w:tc>
          <w:tcPr>
            <w:tcW w:w="1985" w:type="dxa"/>
            <w:shd w:val="clear" w:color="auto" w:fill="auto"/>
          </w:tcPr>
          <w:p w14:paraId="7EB82B6D" w14:textId="77777777" w:rsidR="00C82D5E" w:rsidRPr="00FD2055" w:rsidRDefault="00553FE6" w:rsidP="00C82D5E">
            <w:pPr>
              <w:pStyle w:val="Standaard-Tabellen"/>
              <w:rPr>
                <w:rFonts w:eastAsia="Calibri"/>
              </w:rPr>
            </w:pPr>
            <w:r>
              <w:rPr>
                <w:rFonts w:eastAsia="Calibri"/>
              </w:rPr>
              <w:t>n.a.</w:t>
            </w:r>
          </w:p>
        </w:tc>
        <w:tc>
          <w:tcPr>
            <w:tcW w:w="851" w:type="dxa"/>
            <w:shd w:val="clear" w:color="auto" w:fill="auto"/>
          </w:tcPr>
          <w:p w14:paraId="7A66E6DC" w14:textId="77777777" w:rsidR="00C82D5E" w:rsidRPr="00FD2055" w:rsidRDefault="00C82D5E" w:rsidP="00C82D5E">
            <w:pPr>
              <w:pStyle w:val="Standaard-Tabellen"/>
              <w:rPr>
                <w:rFonts w:eastAsia="Calibri"/>
              </w:rPr>
            </w:pPr>
          </w:p>
        </w:tc>
        <w:tc>
          <w:tcPr>
            <w:tcW w:w="1559" w:type="dxa"/>
            <w:shd w:val="clear" w:color="auto" w:fill="auto"/>
          </w:tcPr>
          <w:p w14:paraId="58B38646" w14:textId="77777777" w:rsidR="00C82D5E" w:rsidRPr="00FD2055" w:rsidRDefault="00C82D5E" w:rsidP="00C82D5E">
            <w:pPr>
              <w:pStyle w:val="Standaard-Tabellen"/>
              <w:rPr>
                <w:rFonts w:eastAsia="Calibri"/>
              </w:rPr>
            </w:pPr>
          </w:p>
        </w:tc>
        <w:tc>
          <w:tcPr>
            <w:tcW w:w="992" w:type="dxa"/>
            <w:shd w:val="clear" w:color="auto" w:fill="auto"/>
          </w:tcPr>
          <w:p w14:paraId="7A330B1C" w14:textId="77777777" w:rsidR="00C82D5E" w:rsidRPr="00FD2055" w:rsidRDefault="00C82D5E" w:rsidP="00C82D5E">
            <w:pPr>
              <w:pStyle w:val="Standaard-Tabellen"/>
              <w:rPr>
                <w:rFonts w:eastAsia="Calibri"/>
              </w:rPr>
            </w:pPr>
          </w:p>
        </w:tc>
        <w:tc>
          <w:tcPr>
            <w:tcW w:w="1276" w:type="dxa"/>
            <w:shd w:val="clear" w:color="auto" w:fill="auto"/>
          </w:tcPr>
          <w:p w14:paraId="133E2FA7" w14:textId="77777777" w:rsidR="00C82D5E" w:rsidRPr="00FD2055" w:rsidRDefault="00C82D5E" w:rsidP="00C82D5E">
            <w:pPr>
              <w:pStyle w:val="Standaard-Tabellen"/>
              <w:rPr>
                <w:rFonts w:eastAsia="Calibri"/>
              </w:rPr>
            </w:pPr>
          </w:p>
        </w:tc>
        <w:tc>
          <w:tcPr>
            <w:tcW w:w="1353" w:type="dxa"/>
            <w:shd w:val="clear" w:color="auto" w:fill="auto"/>
          </w:tcPr>
          <w:p w14:paraId="53B6E485" w14:textId="77777777" w:rsidR="00C82D5E" w:rsidRPr="00FD2055" w:rsidRDefault="00C82D5E" w:rsidP="00C82D5E">
            <w:pPr>
              <w:pStyle w:val="Standaard-Tabellen"/>
              <w:rPr>
                <w:rFonts w:eastAsia="Calibri"/>
              </w:rPr>
            </w:pPr>
          </w:p>
        </w:tc>
        <w:tc>
          <w:tcPr>
            <w:tcW w:w="1448" w:type="dxa"/>
            <w:shd w:val="clear" w:color="auto" w:fill="auto"/>
          </w:tcPr>
          <w:p w14:paraId="2A69ADC4" w14:textId="77777777" w:rsidR="00C82D5E" w:rsidRPr="00FD2055" w:rsidRDefault="00C82D5E" w:rsidP="00C82D5E">
            <w:pPr>
              <w:pStyle w:val="Standaard-Tabellen"/>
              <w:rPr>
                <w:rFonts w:eastAsia="Calibri"/>
              </w:rPr>
            </w:pPr>
          </w:p>
        </w:tc>
      </w:tr>
    </w:tbl>
    <w:p w14:paraId="1F84E497" w14:textId="77777777" w:rsidR="00553FE6" w:rsidRDefault="00553FE6" w:rsidP="00553FE6">
      <w:pPr>
        <w:rPr>
          <w:lang w:val="en-US"/>
        </w:rPr>
      </w:pPr>
      <w:bookmarkStart w:id="241" w:name="_Toc367976987"/>
    </w:p>
    <w:p w14:paraId="48422808" w14:textId="77777777" w:rsidR="00C82D5E" w:rsidRPr="008A3D8E" w:rsidRDefault="00C82D5E" w:rsidP="00C82D5E">
      <w:pPr>
        <w:pStyle w:val="Titre6"/>
        <w:rPr>
          <w:lang w:val="en-US"/>
        </w:rPr>
      </w:pPr>
      <w:r w:rsidRPr="008A3D8E">
        <w:rPr>
          <w:lang w:val="en-US"/>
        </w:rPr>
        <w:t>Local effects</w:t>
      </w:r>
      <w:bookmarkEnd w:id="241"/>
    </w:p>
    <w:p w14:paraId="2D069712" w14:textId="77777777" w:rsidR="00553FE6" w:rsidRDefault="00553FE6" w:rsidP="00553FE6">
      <w:pPr>
        <w:spacing w:line="260" w:lineRule="atLeast"/>
        <w:rPr>
          <w:rFonts w:eastAsia="Calibri"/>
          <w:szCs w:val="18"/>
          <w:lang w:eastAsia="en-US"/>
        </w:rPr>
      </w:pPr>
      <w:r>
        <w:rPr>
          <w:rFonts w:eastAsia="Calibri"/>
          <w:szCs w:val="18"/>
          <w:lang w:eastAsia="en-US"/>
        </w:rPr>
        <w:t>The biocidal product is classified</w:t>
      </w:r>
      <w:r w:rsidRPr="00347CC0">
        <w:rPr>
          <w:rFonts w:eastAsia="Calibri"/>
          <w:szCs w:val="18"/>
          <w:lang w:eastAsia="en-US"/>
        </w:rPr>
        <w:t xml:space="preserve"> as </w:t>
      </w:r>
      <w:r>
        <w:rPr>
          <w:rFonts w:eastAsia="Calibri"/>
          <w:lang w:eastAsia="en-US"/>
        </w:rPr>
        <w:t xml:space="preserve">eye damage/irritation cat 2, H319. However, appropriate risk mitigation measures are assumed to be taken by professionals during production, formulation and disposal. Consequently, </w:t>
      </w:r>
      <w:r w:rsidRPr="00347CC0">
        <w:rPr>
          <w:rFonts w:eastAsia="Calibri"/>
          <w:szCs w:val="18"/>
          <w:lang w:eastAsia="en-US"/>
        </w:rPr>
        <w:t>there is no need to consider local effects separately</w:t>
      </w:r>
      <w:r>
        <w:rPr>
          <w:rFonts w:eastAsia="Calibri"/>
          <w:szCs w:val="18"/>
          <w:lang w:eastAsia="en-US"/>
        </w:rPr>
        <w:t>.</w:t>
      </w:r>
    </w:p>
    <w:p w14:paraId="70DE510C" w14:textId="77777777" w:rsidR="00C82D5E" w:rsidRPr="00FD2055" w:rsidRDefault="00C82D5E" w:rsidP="00C82D5E">
      <w:pPr>
        <w:rPr>
          <w:rFonts w:eastAsia="Calibri"/>
          <w:lang w:eastAsia="en-US"/>
        </w:rPr>
      </w:pPr>
    </w:p>
    <w:p w14:paraId="1BD82C74" w14:textId="77777777" w:rsidR="00C82D5E" w:rsidRPr="008A3D8E" w:rsidRDefault="00C82D5E" w:rsidP="00C82D5E">
      <w:pPr>
        <w:pStyle w:val="Titre6"/>
        <w:rPr>
          <w:lang w:val="en-US"/>
        </w:rPr>
      </w:pPr>
      <w:r w:rsidRPr="008A3D8E">
        <w:rPr>
          <w:lang w:val="en-US"/>
        </w:rPr>
        <w:t>Conclusion</w:t>
      </w:r>
    </w:p>
    <w:p w14:paraId="4F2E119E" w14:textId="77777777" w:rsidR="00553FE6" w:rsidRDefault="00553FE6" w:rsidP="00553FE6">
      <w:pPr>
        <w:spacing w:line="260" w:lineRule="atLeast"/>
        <w:rPr>
          <w:rFonts w:cs="Times-Roman"/>
          <w:lang w:val="en-US" w:eastAsia="en-US"/>
        </w:rPr>
      </w:pPr>
      <w:r w:rsidRPr="00DA7A73">
        <w:rPr>
          <w:rFonts w:cs="Times-Roman"/>
          <w:lang w:val="en-US" w:eastAsia="en-US"/>
        </w:rPr>
        <w:t xml:space="preserve">There is no concern for </w:t>
      </w:r>
      <w:r>
        <w:rPr>
          <w:rFonts w:cs="Times-Roman"/>
          <w:lang w:val="en-US" w:eastAsia="en-US"/>
        </w:rPr>
        <w:t>professionals working with</w:t>
      </w:r>
      <w:r w:rsidRPr="00DA7A73">
        <w:rPr>
          <w:rFonts w:cs="Times-Roman"/>
          <w:lang w:val="en-US" w:eastAsia="en-US"/>
        </w:rPr>
        <w:t xml:space="preserve"> Insect Repellent Pump Spray </w:t>
      </w:r>
      <w:r>
        <w:rPr>
          <w:rFonts w:cs="Times-Roman"/>
          <w:lang w:val="en-US" w:eastAsia="en-US"/>
        </w:rPr>
        <w:t xml:space="preserve">Lice </w:t>
      </w:r>
      <w:r w:rsidRPr="00DA7A73">
        <w:rPr>
          <w:rFonts w:cs="Times-Roman"/>
          <w:lang w:val="en-US" w:eastAsia="en-US"/>
        </w:rPr>
        <w:t>IR3535</w:t>
      </w:r>
      <w:r w:rsidR="00407AC3" w:rsidRPr="00407AC3">
        <w:rPr>
          <w:rFonts w:cs="Times-Roman"/>
          <w:vertAlign w:val="superscript"/>
          <w:lang w:val="en-US" w:eastAsia="en-US"/>
        </w:rPr>
        <w:t>®</w:t>
      </w:r>
      <w:r w:rsidRPr="00DA7A73">
        <w:rPr>
          <w:rFonts w:cs="Times-Roman"/>
          <w:lang w:val="en-US" w:eastAsia="en-US"/>
        </w:rPr>
        <w:t xml:space="preserve"> 20% </w:t>
      </w:r>
      <w:r>
        <w:rPr>
          <w:rFonts w:cs="Times-Roman"/>
          <w:lang w:val="en-US" w:eastAsia="en-US"/>
        </w:rPr>
        <w:t xml:space="preserve">during </w:t>
      </w:r>
      <w:r>
        <w:rPr>
          <w:rFonts w:eastAsia="Calibri"/>
          <w:lang w:eastAsia="en-US"/>
        </w:rPr>
        <w:t>production, formulation and disposal</w:t>
      </w:r>
      <w:r w:rsidRPr="000044A3">
        <w:rPr>
          <w:rFonts w:eastAsia="Calibri"/>
          <w:lang w:eastAsia="en-US"/>
        </w:rPr>
        <w:t xml:space="preserve"> </w:t>
      </w:r>
      <w:r>
        <w:rPr>
          <w:rFonts w:eastAsia="Calibri"/>
          <w:lang w:eastAsia="en-US"/>
        </w:rPr>
        <w:t>when using appropriate PPE (minimum PPE required: uncoated cotton coverall).</w:t>
      </w:r>
    </w:p>
    <w:p w14:paraId="3566AC12" w14:textId="094AEDF3" w:rsidR="00C82D5E" w:rsidRDefault="00C82D5E" w:rsidP="00C82D5E">
      <w:pPr>
        <w:rPr>
          <w:rFonts w:eastAsia="Calibri"/>
          <w:lang w:val="en-US" w:eastAsia="en-US"/>
        </w:rPr>
      </w:pPr>
    </w:p>
    <w:p w14:paraId="0C1C1C62" w14:textId="77777777" w:rsidR="001E65DB" w:rsidRDefault="001E65DB" w:rsidP="001E65DB">
      <w:pPr>
        <w:pStyle w:val="Paragraphedeliste"/>
        <w:keepNext/>
        <w:numPr>
          <w:ilvl w:val="0"/>
          <w:numId w:val="36"/>
        </w:numPr>
        <w:shd w:val="clear" w:color="auto" w:fill="D9D9D9" w:themeFill="background1" w:themeFillShade="D9"/>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FD5106">
        <w:rPr>
          <w:rFonts w:eastAsia="Calibri"/>
          <w:b/>
          <w:highlight w:val="lightGray"/>
          <w:lang w:eastAsia="en-US"/>
        </w:rPr>
        <w:t>MAJOR CHANGE FOR SPRAY REPULSIF IR200 – 2019 (FR CA)</w:t>
      </w:r>
    </w:p>
    <w:p w14:paraId="1A97315C" w14:textId="40CE71B8" w:rsidR="001E65DB" w:rsidRPr="001E65DB" w:rsidRDefault="001E65DB" w:rsidP="001E65DB">
      <w:pPr>
        <w:shd w:val="clear" w:color="auto" w:fill="D9D9D9" w:themeFill="background1" w:themeFillShade="D9"/>
        <w:rPr>
          <w:rFonts w:eastAsia="Calibri"/>
          <w:lang w:eastAsia="en-US"/>
        </w:rPr>
      </w:pPr>
      <w:r>
        <w:rPr>
          <w:rFonts w:eastAsia="Calibri"/>
          <w:lang w:eastAsia="en-US"/>
        </w:rPr>
        <w:t>Assessement for industrials is not retained for the major change.</w:t>
      </w:r>
    </w:p>
    <w:p w14:paraId="3EE407EE" w14:textId="3556E88D" w:rsidR="00C82D5E" w:rsidRDefault="00C82D5E" w:rsidP="00C82D5E">
      <w:pPr>
        <w:pStyle w:val="Titre5"/>
      </w:pPr>
      <w:bookmarkStart w:id="242" w:name="_Toc389729090"/>
      <w:bookmarkStart w:id="243" w:name="_Toc403472776"/>
      <w:bookmarkStart w:id="244" w:name="_Toc93326574"/>
      <w:r w:rsidRPr="00FD2055">
        <w:t>Risk for professional users</w:t>
      </w:r>
      <w:bookmarkEnd w:id="242"/>
      <w:bookmarkEnd w:id="243"/>
      <w:bookmarkEnd w:id="244"/>
    </w:p>
    <w:p w14:paraId="6F012FB8" w14:textId="77777777" w:rsidR="001E65DB" w:rsidRPr="009461FB" w:rsidRDefault="001E65DB" w:rsidP="001E65DB">
      <w:pPr>
        <w:pStyle w:val="Paragraphedeliste"/>
        <w:numPr>
          <w:ilvl w:val="0"/>
          <w:numId w:val="68"/>
        </w:numPr>
        <w:rPr>
          <w:b/>
        </w:rPr>
      </w:pPr>
      <w:r w:rsidRPr="009461FB">
        <w:rPr>
          <w:b/>
        </w:rPr>
        <w:t>FIRST AUTHORISATION – 2017 (BE CA)</w:t>
      </w:r>
    </w:p>
    <w:p w14:paraId="4D1103B0" w14:textId="77777777" w:rsidR="00C82D5E" w:rsidRPr="00FD2055" w:rsidRDefault="00C82D5E" w:rsidP="00C82D5E">
      <w:pPr>
        <w:pStyle w:val="Titre6"/>
      </w:pPr>
      <w:r w:rsidRPr="00FD2055">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C82D5E" w:rsidRPr="00C82D5E" w14:paraId="50C1B7BD" w14:textId="77777777" w:rsidTr="00C82D5E">
        <w:tc>
          <w:tcPr>
            <w:tcW w:w="1560" w:type="dxa"/>
            <w:shd w:val="clear" w:color="auto" w:fill="BFBFBF" w:themeFill="background1" w:themeFillShade="BF"/>
          </w:tcPr>
          <w:p w14:paraId="20C742B1" w14:textId="77777777" w:rsidR="00C82D5E" w:rsidRPr="00C82D5E" w:rsidRDefault="00C82D5E" w:rsidP="00C82D5E">
            <w:pPr>
              <w:pStyle w:val="Standaard-Tabellen"/>
              <w:rPr>
                <w:rFonts w:eastAsia="Calibri"/>
                <w:b/>
              </w:rPr>
            </w:pPr>
            <w:r w:rsidRPr="00C82D5E">
              <w:rPr>
                <w:rFonts w:eastAsia="Calibri"/>
                <w:b/>
              </w:rPr>
              <w:t>Task/</w:t>
            </w:r>
          </w:p>
          <w:p w14:paraId="17564C48" w14:textId="77777777" w:rsidR="00C82D5E" w:rsidRPr="00C82D5E" w:rsidRDefault="00C82D5E" w:rsidP="00C82D5E">
            <w:pPr>
              <w:pStyle w:val="Standaard-Tabellen"/>
              <w:rPr>
                <w:rFonts w:eastAsia="Calibri"/>
                <w:b/>
              </w:rPr>
            </w:pPr>
            <w:r w:rsidRPr="00C82D5E">
              <w:rPr>
                <w:rFonts w:eastAsia="Calibri"/>
                <w:b/>
              </w:rPr>
              <w:t>Scenario</w:t>
            </w:r>
          </w:p>
        </w:tc>
        <w:tc>
          <w:tcPr>
            <w:tcW w:w="850" w:type="dxa"/>
            <w:shd w:val="clear" w:color="auto" w:fill="BFBFBF" w:themeFill="background1" w:themeFillShade="BF"/>
          </w:tcPr>
          <w:p w14:paraId="64B920AC" w14:textId="77777777" w:rsidR="00C82D5E" w:rsidRPr="00C82D5E" w:rsidRDefault="00C82D5E" w:rsidP="00C82D5E">
            <w:pPr>
              <w:pStyle w:val="Standaard-Tabellen"/>
              <w:rPr>
                <w:rFonts w:eastAsia="Calibri"/>
                <w:b/>
              </w:rPr>
            </w:pPr>
            <w:r w:rsidRPr="00C82D5E">
              <w:rPr>
                <w:rFonts w:eastAsia="Calibri"/>
                <w:b/>
              </w:rPr>
              <w:t>Tier</w:t>
            </w:r>
          </w:p>
        </w:tc>
        <w:tc>
          <w:tcPr>
            <w:tcW w:w="1560" w:type="dxa"/>
            <w:shd w:val="clear" w:color="auto" w:fill="BFBFBF" w:themeFill="background1" w:themeFillShade="BF"/>
          </w:tcPr>
          <w:p w14:paraId="2D27615E" w14:textId="77777777" w:rsidR="00C82D5E" w:rsidRPr="00C82D5E" w:rsidRDefault="00C82D5E" w:rsidP="00C82D5E">
            <w:pPr>
              <w:pStyle w:val="Standaard-Tabellen"/>
              <w:rPr>
                <w:rFonts w:eastAsia="Calibri"/>
                <w:b/>
              </w:rPr>
            </w:pPr>
            <w:r w:rsidRPr="00C82D5E">
              <w:rPr>
                <w:rFonts w:eastAsia="Calibri"/>
                <w:b/>
              </w:rPr>
              <w:t>Systemic NOAEL</w:t>
            </w:r>
          </w:p>
          <w:p w14:paraId="5ACF28CA" w14:textId="77777777" w:rsidR="00C82D5E" w:rsidRPr="00C82D5E" w:rsidRDefault="00C82D5E" w:rsidP="00C82D5E">
            <w:pPr>
              <w:pStyle w:val="Standaard-Tabellen"/>
              <w:rPr>
                <w:rFonts w:eastAsia="Calibri"/>
                <w:b/>
              </w:rPr>
            </w:pPr>
            <w:r w:rsidRPr="00C82D5E">
              <w:rPr>
                <w:rFonts w:eastAsia="Calibri"/>
                <w:b/>
              </w:rPr>
              <w:t>mg/kg bw/d</w:t>
            </w:r>
          </w:p>
        </w:tc>
        <w:tc>
          <w:tcPr>
            <w:tcW w:w="992" w:type="dxa"/>
            <w:shd w:val="clear" w:color="auto" w:fill="BFBFBF" w:themeFill="background1" w:themeFillShade="BF"/>
          </w:tcPr>
          <w:p w14:paraId="585CBED3" w14:textId="77777777" w:rsidR="00C82D5E" w:rsidRPr="00C82D5E" w:rsidRDefault="00C82D5E" w:rsidP="00C82D5E">
            <w:pPr>
              <w:pStyle w:val="Standaard-Tabellen"/>
              <w:rPr>
                <w:rFonts w:eastAsia="Calibri"/>
                <w:b/>
                <w:lang w:val="es-ES"/>
              </w:rPr>
            </w:pPr>
            <w:r w:rsidRPr="00C82D5E">
              <w:rPr>
                <w:rFonts w:eastAsia="Calibri"/>
                <w:b/>
                <w:lang w:val="es-ES"/>
              </w:rPr>
              <w:t>AEL</w:t>
            </w:r>
          </w:p>
          <w:p w14:paraId="79117EA3" w14:textId="77777777" w:rsidR="00C82D5E" w:rsidRPr="00C82D5E" w:rsidRDefault="00C82D5E" w:rsidP="00C82D5E">
            <w:pPr>
              <w:pStyle w:val="Standaard-Tabellen"/>
              <w:rPr>
                <w:rFonts w:eastAsia="Calibri"/>
                <w:b/>
                <w:lang w:val="es-ES"/>
              </w:rPr>
            </w:pPr>
            <w:r w:rsidRPr="00C82D5E">
              <w:rPr>
                <w:rFonts w:eastAsia="Calibri"/>
                <w:b/>
                <w:lang w:val="es-ES"/>
              </w:rPr>
              <w:t>mg/kg bw/d</w:t>
            </w:r>
          </w:p>
        </w:tc>
        <w:tc>
          <w:tcPr>
            <w:tcW w:w="1559" w:type="dxa"/>
            <w:shd w:val="clear" w:color="auto" w:fill="BFBFBF" w:themeFill="background1" w:themeFillShade="BF"/>
          </w:tcPr>
          <w:p w14:paraId="2F343930" w14:textId="77777777" w:rsidR="00C82D5E" w:rsidRPr="00C82D5E" w:rsidRDefault="00C82D5E" w:rsidP="00C82D5E">
            <w:pPr>
              <w:pStyle w:val="Standaard-Tabellen"/>
              <w:rPr>
                <w:rFonts w:eastAsia="Calibri"/>
                <w:b/>
              </w:rPr>
            </w:pPr>
            <w:r w:rsidRPr="00C82D5E">
              <w:rPr>
                <w:rFonts w:eastAsia="Calibri"/>
                <w:b/>
              </w:rPr>
              <w:t>Estimated uptake</w:t>
            </w:r>
          </w:p>
          <w:p w14:paraId="0182B797" w14:textId="77777777" w:rsidR="00C82D5E" w:rsidRPr="00C82D5E" w:rsidRDefault="00C82D5E" w:rsidP="00C82D5E">
            <w:pPr>
              <w:pStyle w:val="Standaard-Tabellen"/>
              <w:rPr>
                <w:rFonts w:eastAsia="Calibri"/>
                <w:b/>
              </w:rPr>
            </w:pPr>
            <w:r w:rsidRPr="00C82D5E">
              <w:rPr>
                <w:rFonts w:eastAsia="Calibri"/>
                <w:b/>
              </w:rPr>
              <w:t>mg/kg bw/d</w:t>
            </w:r>
          </w:p>
        </w:tc>
        <w:tc>
          <w:tcPr>
            <w:tcW w:w="1418" w:type="dxa"/>
            <w:shd w:val="clear" w:color="auto" w:fill="BFBFBF" w:themeFill="background1" w:themeFillShade="BF"/>
          </w:tcPr>
          <w:p w14:paraId="0EC9C478" w14:textId="77777777" w:rsidR="00C82D5E" w:rsidRPr="00C82D5E" w:rsidRDefault="00C82D5E" w:rsidP="00C82D5E">
            <w:pPr>
              <w:pStyle w:val="Standaard-Tabellen"/>
              <w:rPr>
                <w:rFonts w:eastAsia="Calibri"/>
                <w:b/>
              </w:rPr>
            </w:pPr>
            <w:r w:rsidRPr="00C82D5E">
              <w:rPr>
                <w:rFonts w:eastAsia="Calibri"/>
                <w:b/>
              </w:rPr>
              <w:t xml:space="preserve">Estimated uptake/ AEL </w:t>
            </w:r>
          </w:p>
          <w:p w14:paraId="6D82F44D" w14:textId="77777777" w:rsidR="00C82D5E" w:rsidRPr="00C82D5E" w:rsidRDefault="00C82D5E" w:rsidP="00C82D5E">
            <w:pPr>
              <w:pStyle w:val="Standaard-Tabellen"/>
              <w:rPr>
                <w:rFonts w:eastAsia="Calibri"/>
                <w:b/>
              </w:rPr>
            </w:pPr>
            <w:r w:rsidRPr="00C82D5E">
              <w:rPr>
                <w:rFonts w:eastAsia="Calibri"/>
                <w:b/>
              </w:rPr>
              <w:t>(%)</w:t>
            </w:r>
          </w:p>
        </w:tc>
        <w:tc>
          <w:tcPr>
            <w:tcW w:w="1525" w:type="dxa"/>
            <w:shd w:val="clear" w:color="auto" w:fill="BFBFBF" w:themeFill="background1" w:themeFillShade="BF"/>
          </w:tcPr>
          <w:p w14:paraId="53E328F7" w14:textId="77777777" w:rsidR="00C82D5E" w:rsidRPr="00C82D5E" w:rsidRDefault="00C82D5E" w:rsidP="00C82D5E">
            <w:pPr>
              <w:pStyle w:val="Standaard-Tabellen"/>
              <w:rPr>
                <w:rFonts w:eastAsia="Calibri"/>
                <w:b/>
              </w:rPr>
            </w:pPr>
            <w:r w:rsidRPr="00C82D5E">
              <w:rPr>
                <w:rFonts w:eastAsia="Calibri"/>
                <w:b/>
              </w:rPr>
              <w:t>Acceptable</w:t>
            </w:r>
          </w:p>
          <w:p w14:paraId="4CA77F0B" w14:textId="77777777" w:rsidR="00C82D5E" w:rsidRPr="00C82D5E" w:rsidRDefault="00C82D5E" w:rsidP="00C82D5E">
            <w:pPr>
              <w:pStyle w:val="Standaard-Tabellen"/>
              <w:rPr>
                <w:rFonts w:eastAsia="Calibri"/>
                <w:b/>
              </w:rPr>
            </w:pPr>
            <w:r w:rsidRPr="00C82D5E">
              <w:rPr>
                <w:rFonts w:eastAsia="Calibri"/>
                <w:b/>
              </w:rPr>
              <w:t>(yes/no)</w:t>
            </w:r>
          </w:p>
        </w:tc>
      </w:tr>
      <w:tr w:rsidR="00C82D5E" w:rsidRPr="00FD2055" w14:paraId="2CDB2E9B" w14:textId="77777777" w:rsidTr="00C82D5E">
        <w:tc>
          <w:tcPr>
            <w:tcW w:w="1560" w:type="dxa"/>
            <w:shd w:val="clear" w:color="auto" w:fill="auto"/>
          </w:tcPr>
          <w:p w14:paraId="32B2B955" w14:textId="77777777" w:rsidR="00C82D5E" w:rsidRPr="00FD2055" w:rsidRDefault="00553FE6" w:rsidP="00C82D5E">
            <w:pPr>
              <w:pStyle w:val="Standaard-Tabellen"/>
              <w:rPr>
                <w:rFonts w:eastAsia="Calibri"/>
              </w:rPr>
            </w:pPr>
            <w:r>
              <w:rPr>
                <w:rFonts w:eastAsia="Calibri"/>
              </w:rPr>
              <w:t>n.a.</w:t>
            </w:r>
          </w:p>
        </w:tc>
        <w:tc>
          <w:tcPr>
            <w:tcW w:w="850" w:type="dxa"/>
            <w:shd w:val="clear" w:color="auto" w:fill="auto"/>
          </w:tcPr>
          <w:p w14:paraId="0D7CCC65" w14:textId="77777777" w:rsidR="00C82D5E" w:rsidRPr="00FD2055" w:rsidRDefault="00C82D5E" w:rsidP="00C82D5E">
            <w:pPr>
              <w:pStyle w:val="Standaard-Tabellen"/>
              <w:rPr>
                <w:rFonts w:eastAsia="Calibri"/>
              </w:rPr>
            </w:pPr>
          </w:p>
        </w:tc>
        <w:tc>
          <w:tcPr>
            <w:tcW w:w="1560" w:type="dxa"/>
            <w:shd w:val="clear" w:color="auto" w:fill="auto"/>
          </w:tcPr>
          <w:p w14:paraId="07BA025B" w14:textId="77777777" w:rsidR="00C82D5E" w:rsidRPr="00FD2055" w:rsidRDefault="00C82D5E" w:rsidP="00C82D5E">
            <w:pPr>
              <w:pStyle w:val="Standaard-Tabellen"/>
              <w:rPr>
                <w:rFonts w:eastAsia="Calibri"/>
              </w:rPr>
            </w:pPr>
          </w:p>
        </w:tc>
        <w:tc>
          <w:tcPr>
            <w:tcW w:w="992" w:type="dxa"/>
            <w:shd w:val="clear" w:color="auto" w:fill="auto"/>
          </w:tcPr>
          <w:p w14:paraId="05F9115D" w14:textId="77777777" w:rsidR="00C82D5E" w:rsidRPr="00FD2055" w:rsidRDefault="00C82D5E" w:rsidP="00C82D5E">
            <w:pPr>
              <w:pStyle w:val="Standaard-Tabellen"/>
              <w:rPr>
                <w:rFonts w:eastAsia="Calibri"/>
              </w:rPr>
            </w:pPr>
          </w:p>
        </w:tc>
        <w:tc>
          <w:tcPr>
            <w:tcW w:w="1559" w:type="dxa"/>
            <w:shd w:val="clear" w:color="auto" w:fill="auto"/>
          </w:tcPr>
          <w:p w14:paraId="3F1BC805" w14:textId="77777777" w:rsidR="00C82D5E" w:rsidRPr="00FD2055" w:rsidRDefault="00C82D5E" w:rsidP="00C82D5E">
            <w:pPr>
              <w:pStyle w:val="Standaard-Tabellen"/>
              <w:rPr>
                <w:rFonts w:eastAsia="Calibri"/>
              </w:rPr>
            </w:pPr>
          </w:p>
        </w:tc>
        <w:tc>
          <w:tcPr>
            <w:tcW w:w="1418" w:type="dxa"/>
            <w:shd w:val="clear" w:color="auto" w:fill="auto"/>
          </w:tcPr>
          <w:p w14:paraId="27D53A3D" w14:textId="77777777" w:rsidR="00C82D5E" w:rsidRPr="00FD2055" w:rsidRDefault="00C82D5E" w:rsidP="00C82D5E">
            <w:pPr>
              <w:pStyle w:val="Standaard-Tabellen"/>
              <w:rPr>
                <w:rFonts w:eastAsia="Calibri"/>
              </w:rPr>
            </w:pPr>
          </w:p>
        </w:tc>
        <w:tc>
          <w:tcPr>
            <w:tcW w:w="1525" w:type="dxa"/>
            <w:shd w:val="clear" w:color="auto" w:fill="auto"/>
          </w:tcPr>
          <w:p w14:paraId="3A280882" w14:textId="77777777" w:rsidR="00C82D5E" w:rsidRPr="00FD2055" w:rsidRDefault="00C82D5E" w:rsidP="00C82D5E">
            <w:pPr>
              <w:pStyle w:val="Standaard-Tabellen"/>
              <w:rPr>
                <w:rFonts w:eastAsia="Calibri"/>
              </w:rPr>
            </w:pPr>
          </w:p>
        </w:tc>
      </w:tr>
    </w:tbl>
    <w:p w14:paraId="6F97BFCE" w14:textId="77777777" w:rsidR="00C82D5E" w:rsidRPr="00FD2055" w:rsidRDefault="00C82D5E" w:rsidP="00C82D5E">
      <w:pPr>
        <w:rPr>
          <w:rFonts w:eastAsia="Calibri"/>
          <w:lang w:eastAsia="en-US"/>
        </w:rPr>
      </w:pPr>
    </w:p>
    <w:p w14:paraId="2BA63753" w14:textId="77777777" w:rsidR="00C82D5E" w:rsidRPr="00FD2055" w:rsidRDefault="00C82D5E" w:rsidP="00C82D5E">
      <w:pPr>
        <w:pStyle w:val="Titre6"/>
      </w:pPr>
      <w:r w:rsidRPr="00FD2055">
        <w:t>Combined scenarios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1417"/>
        <w:gridCol w:w="992"/>
        <w:gridCol w:w="1276"/>
        <w:gridCol w:w="1418"/>
        <w:gridCol w:w="1525"/>
      </w:tblGrid>
      <w:tr w:rsidR="00C82D5E" w:rsidRPr="00C82D5E" w14:paraId="3471CF44" w14:textId="77777777" w:rsidTr="00C82D5E">
        <w:tc>
          <w:tcPr>
            <w:tcW w:w="1985" w:type="dxa"/>
            <w:shd w:val="clear" w:color="auto" w:fill="BFBFBF" w:themeFill="background1" w:themeFillShade="BF"/>
          </w:tcPr>
          <w:p w14:paraId="22A53DCD" w14:textId="77777777" w:rsidR="00C82D5E" w:rsidRPr="00C82D5E" w:rsidRDefault="00C82D5E" w:rsidP="00C82D5E">
            <w:pPr>
              <w:pStyle w:val="Standaard-Tabellen"/>
              <w:rPr>
                <w:rFonts w:eastAsia="Calibri"/>
                <w:b/>
              </w:rPr>
            </w:pPr>
            <w:r w:rsidRPr="00C82D5E">
              <w:rPr>
                <w:rFonts w:eastAsia="Calibri"/>
                <w:b/>
              </w:rPr>
              <w:t>Scenarios combined</w:t>
            </w:r>
          </w:p>
        </w:tc>
        <w:tc>
          <w:tcPr>
            <w:tcW w:w="851" w:type="dxa"/>
            <w:shd w:val="clear" w:color="auto" w:fill="BFBFBF" w:themeFill="background1" w:themeFillShade="BF"/>
          </w:tcPr>
          <w:p w14:paraId="3840A25D" w14:textId="77777777" w:rsidR="00C82D5E" w:rsidRPr="00C82D5E" w:rsidRDefault="00C82D5E" w:rsidP="00C82D5E">
            <w:pPr>
              <w:pStyle w:val="Standaard-Tabellen"/>
              <w:rPr>
                <w:rFonts w:eastAsia="Calibri"/>
                <w:b/>
              </w:rPr>
            </w:pPr>
            <w:r w:rsidRPr="00C82D5E">
              <w:rPr>
                <w:rFonts w:eastAsia="Calibri"/>
                <w:b/>
              </w:rPr>
              <w:t>Tier</w:t>
            </w:r>
          </w:p>
        </w:tc>
        <w:tc>
          <w:tcPr>
            <w:tcW w:w="1417" w:type="dxa"/>
            <w:shd w:val="clear" w:color="auto" w:fill="BFBFBF" w:themeFill="background1" w:themeFillShade="BF"/>
          </w:tcPr>
          <w:p w14:paraId="22A188CD" w14:textId="77777777" w:rsidR="00C82D5E" w:rsidRPr="00C82D5E" w:rsidRDefault="00C82D5E" w:rsidP="00C82D5E">
            <w:pPr>
              <w:pStyle w:val="Standaard-Tabellen"/>
              <w:rPr>
                <w:rFonts w:eastAsia="Calibri"/>
                <w:b/>
              </w:rPr>
            </w:pPr>
            <w:r w:rsidRPr="00C82D5E">
              <w:rPr>
                <w:rFonts w:eastAsia="Calibri"/>
                <w:b/>
              </w:rPr>
              <w:t>Systemic NOAEL</w:t>
            </w:r>
          </w:p>
          <w:p w14:paraId="2A09F119" w14:textId="77777777" w:rsidR="00C82D5E" w:rsidRPr="00C82D5E" w:rsidRDefault="00C82D5E" w:rsidP="00C82D5E">
            <w:pPr>
              <w:pStyle w:val="Standaard-Tabellen"/>
              <w:rPr>
                <w:rFonts w:eastAsia="Calibri"/>
                <w:b/>
              </w:rPr>
            </w:pPr>
            <w:r w:rsidRPr="00C82D5E">
              <w:rPr>
                <w:rFonts w:eastAsia="Calibri"/>
                <w:b/>
              </w:rPr>
              <w:t>mg/kg bw/d</w:t>
            </w:r>
          </w:p>
        </w:tc>
        <w:tc>
          <w:tcPr>
            <w:tcW w:w="992" w:type="dxa"/>
            <w:shd w:val="clear" w:color="auto" w:fill="BFBFBF" w:themeFill="background1" w:themeFillShade="BF"/>
          </w:tcPr>
          <w:p w14:paraId="5A7310A4" w14:textId="77777777" w:rsidR="00C82D5E" w:rsidRPr="00C82D5E" w:rsidRDefault="00C82D5E" w:rsidP="00C82D5E">
            <w:pPr>
              <w:pStyle w:val="Standaard-Tabellen"/>
              <w:rPr>
                <w:rFonts w:eastAsia="Calibri"/>
                <w:b/>
                <w:lang w:val="es-ES"/>
              </w:rPr>
            </w:pPr>
            <w:r w:rsidRPr="00C82D5E">
              <w:rPr>
                <w:rFonts w:eastAsia="Calibri"/>
                <w:b/>
                <w:lang w:val="es-ES"/>
              </w:rPr>
              <w:t>AEL</w:t>
            </w:r>
          </w:p>
          <w:p w14:paraId="0B524523" w14:textId="77777777" w:rsidR="00C82D5E" w:rsidRPr="00C82D5E" w:rsidRDefault="00C82D5E" w:rsidP="00C82D5E">
            <w:pPr>
              <w:pStyle w:val="Standaard-Tabellen"/>
              <w:rPr>
                <w:rFonts w:eastAsia="Calibri"/>
                <w:b/>
                <w:lang w:val="es-ES"/>
              </w:rPr>
            </w:pPr>
            <w:r w:rsidRPr="00C82D5E">
              <w:rPr>
                <w:rFonts w:eastAsia="Calibri"/>
                <w:b/>
                <w:lang w:val="es-ES"/>
              </w:rPr>
              <w:t>mg/kg bw/d</w:t>
            </w:r>
          </w:p>
        </w:tc>
        <w:tc>
          <w:tcPr>
            <w:tcW w:w="1276" w:type="dxa"/>
            <w:shd w:val="clear" w:color="auto" w:fill="BFBFBF" w:themeFill="background1" w:themeFillShade="BF"/>
          </w:tcPr>
          <w:p w14:paraId="6E331638" w14:textId="77777777" w:rsidR="00C82D5E" w:rsidRPr="00C82D5E" w:rsidRDefault="00C82D5E" w:rsidP="00C82D5E">
            <w:pPr>
              <w:pStyle w:val="Standaard-Tabellen"/>
              <w:rPr>
                <w:rFonts w:eastAsia="Calibri"/>
                <w:b/>
              </w:rPr>
            </w:pPr>
            <w:r w:rsidRPr="00C82D5E">
              <w:rPr>
                <w:rFonts w:eastAsia="Calibri"/>
                <w:b/>
              </w:rPr>
              <w:t>Estimated uptake</w:t>
            </w:r>
          </w:p>
          <w:p w14:paraId="38E85FA0" w14:textId="77777777" w:rsidR="00C82D5E" w:rsidRPr="00C82D5E" w:rsidRDefault="00C82D5E" w:rsidP="00C82D5E">
            <w:pPr>
              <w:pStyle w:val="Standaard-Tabellen"/>
              <w:rPr>
                <w:rFonts w:eastAsia="Calibri"/>
                <w:b/>
              </w:rPr>
            </w:pPr>
            <w:r w:rsidRPr="00C82D5E">
              <w:rPr>
                <w:rFonts w:eastAsia="Calibri"/>
                <w:b/>
              </w:rPr>
              <w:t>mg/kg bw/d</w:t>
            </w:r>
          </w:p>
        </w:tc>
        <w:tc>
          <w:tcPr>
            <w:tcW w:w="1418" w:type="dxa"/>
            <w:shd w:val="clear" w:color="auto" w:fill="BFBFBF" w:themeFill="background1" w:themeFillShade="BF"/>
          </w:tcPr>
          <w:p w14:paraId="45A94B93" w14:textId="77777777" w:rsidR="00C82D5E" w:rsidRPr="00C82D5E" w:rsidRDefault="00C82D5E" w:rsidP="00C82D5E">
            <w:pPr>
              <w:pStyle w:val="Standaard-Tabellen"/>
              <w:rPr>
                <w:rFonts w:eastAsia="Calibri"/>
                <w:b/>
              </w:rPr>
            </w:pPr>
            <w:r w:rsidRPr="00C82D5E">
              <w:rPr>
                <w:rFonts w:eastAsia="Calibri"/>
                <w:b/>
              </w:rPr>
              <w:t xml:space="preserve">Estimated uptake/ AEL </w:t>
            </w:r>
          </w:p>
          <w:p w14:paraId="0AC52710" w14:textId="77777777" w:rsidR="00C82D5E" w:rsidRPr="00C82D5E" w:rsidRDefault="00C82D5E" w:rsidP="00C82D5E">
            <w:pPr>
              <w:pStyle w:val="Standaard-Tabellen"/>
              <w:rPr>
                <w:rFonts w:eastAsia="Calibri"/>
                <w:b/>
              </w:rPr>
            </w:pPr>
            <w:r w:rsidRPr="00C82D5E">
              <w:rPr>
                <w:rFonts w:eastAsia="Calibri"/>
                <w:b/>
              </w:rPr>
              <w:t>(%)</w:t>
            </w:r>
          </w:p>
        </w:tc>
        <w:tc>
          <w:tcPr>
            <w:tcW w:w="1525" w:type="dxa"/>
            <w:shd w:val="clear" w:color="auto" w:fill="BFBFBF" w:themeFill="background1" w:themeFillShade="BF"/>
          </w:tcPr>
          <w:p w14:paraId="4878506D" w14:textId="77777777" w:rsidR="00C82D5E" w:rsidRPr="00C82D5E" w:rsidRDefault="00C82D5E" w:rsidP="00C82D5E">
            <w:pPr>
              <w:pStyle w:val="Standaard-Tabellen"/>
              <w:rPr>
                <w:rFonts w:eastAsia="Calibri"/>
                <w:b/>
              </w:rPr>
            </w:pPr>
            <w:r w:rsidRPr="00C82D5E">
              <w:rPr>
                <w:rFonts w:eastAsia="Calibri"/>
                <w:b/>
              </w:rPr>
              <w:t>Acceptable</w:t>
            </w:r>
          </w:p>
          <w:p w14:paraId="4AB2479B" w14:textId="77777777" w:rsidR="00C82D5E" w:rsidRPr="00C82D5E" w:rsidRDefault="00C82D5E" w:rsidP="00C82D5E">
            <w:pPr>
              <w:pStyle w:val="Standaard-Tabellen"/>
              <w:rPr>
                <w:rFonts w:eastAsia="Calibri"/>
                <w:b/>
              </w:rPr>
            </w:pPr>
            <w:r w:rsidRPr="00C82D5E">
              <w:rPr>
                <w:rFonts w:eastAsia="Calibri"/>
                <w:b/>
              </w:rPr>
              <w:t>(yes/no)</w:t>
            </w:r>
          </w:p>
        </w:tc>
      </w:tr>
      <w:tr w:rsidR="00C82D5E" w:rsidRPr="00FD2055" w14:paraId="7F37DE2E" w14:textId="77777777" w:rsidTr="00C82D5E">
        <w:tc>
          <w:tcPr>
            <w:tcW w:w="1985" w:type="dxa"/>
            <w:shd w:val="clear" w:color="auto" w:fill="auto"/>
          </w:tcPr>
          <w:p w14:paraId="0D2921E6" w14:textId="77777777" w:rsidR="00C82D5E" w:rsidRPr="00FD2055" w:rsidRDefault="00553FE6" w:rsidP="00C82D5E">
            <w:pPr>
              <w:pStyle w:val="Standaard-Tabellen"/>
              <w:rPr>
                <w:rFonts w:eastAsia="Calibri"/>
              </w:rPr>
            </w:pPr>
            <w:r>
              <w:rPr>
                <w:rFonts w:eastAsia="Calibri"/>
              </w:rPr>
              <w:t>n.a.</w:t>
            </w:r>
          </w:p>
        </w:tc>
        <w:tc>
          <w:tcPr>
            <w:tcW w:w="851" w:type="dxa"/>
            <w:shd w:val="clear" w:color="auto" w:fill="auto"/>
          </w:tcPr>
          <w:p w14:paraId="7E061EE3" w14:textId="77777777" w:rsidR="00C82D5E" w:rsidRPr="00FD2055" w:rsidRDefault="00C82D5E" w:rsidP="00C82D5E">
            <w:pPr>
              <w:pStyle w:val="Standaard-Tabellen"/>
              <w:rPr>
                <w:rFonts w:eastAsia="Calibri"/>
              </w:rPr>
            </w:pPr>
          </w:p>
        </w:tc>
        <w:tc>
          <w:tcPr>
            <w:tcW w:w="1417" w:type="dxa"/>
            <w:shd w:val="clear" w:color="auto" w:fill="auto"/>
          </w:tcPr>
          <w:p w14:paraId="4BDBDC5B" w14:textId="77777777" w:rsidR="00C82D5E" w:rsidRPr="00FD2055" w:rsidRDefault="00C82D5E" w:rsidP="00C82D5E">
            <w:pPr>
              <w:pStyle w:val="Standaard-Tabellen"/>
              <w:rPr>
                <w:rFonts w:eastAsia="Calibri"/>
              </w:rPr>
            </w:pPr>
          </w:p>
        </w:tc>
        <w:tc>
          <w:tcPr>
            <w:tcW w:w="992" w:type="dxa"/>
            <w:shd w:val="clear" w:color="auto" w:fill="auto"/>
          </w:tcPr>
          <w:p w14:paraId="4CA16C7E" w14:textId="77777777" w:rsidR="00C82D5E" w:rsidRPr="00FD2055" w:rsidRDefault="00C82D5E" w:rsidP="00C82D5E">
            <w:pPr>
              <w:pStyle w:val="Standaard-Tabellen"/>
              <w:rPr>
                <w:rFonts w:eastAsia="Calibri"/>
              </w:rPr>
            </w:pPr>
          </w:p>
        </w:tc>
        <w:tc>
          <w:tcPr>
            <w:tcW w:w="1276" w:type="dxa"/>
            <w:shd w:val="clear" w:color="auto" w:fill="auto"/>
          </w:tcPr>
          <w:p w14:paraId="67CC0B04" w14:textId="77777777" w:rsidR="00C82D5E" w:rsidRPr="00FD2055" w:rsidRDefault="00C82D5E" w:rsidP="00C82D5E">
            <w:pPr>
              <w:pStyle w:val="Standaard-Tabellen"/>
              <w:rPr>
                <w:rFonts w:eastAsia="Calibri"/>
              </w:rPr>
            </w:pPr>
          </w:p>
        </w:tc>
        <w:tc>
          <w:tcPr>
            <w:tcW w:w="1418" w:type="dxa"/>
            <w:shd w:val="clear" w:color="auto" w:fill="auto"/>
          </w:tcPr>
          <w:p w14:paraId="19CF9237" w14:textId="77777777" w:rsidR="00C82D5E" w:rsidRPr="00FD2055" w:rsidRDefault="00C82D5E" w:rsidP="00C82D5E">
            <w:pPr>
              <w:pStyle w:val="Standaard-Tabellen"/>
              <w:rPr>
                <w:rFonts w:eastAsia="Calibri"/>
              </w:rPr>
            </w:pPr>
          </w:p>
        </w:tc>
        <w:tc>
          <w:tcPr>
            <w:tcW w:w="1525" w:type="dxa"/>
            <w:shd w:val="clear" w:color="auto" w:fill="auto"/>
          </w:tcPr>
          <w:p w14:paraId="4B2901D3" w14:textId="77777777" w:rsidR="00C82D5E" w:rsidRPr="00FD2055" w:rsidRDefault="00C82D5E" w:rsidP="00C82D5E">
            <w:pPr>
              <w:pStyle w:val="Standaard-Tabellen"/>
              <w:rPr>
                <w:rFonts w:eastAsia="Calibri"/>
              </w:rPr>
            </w:pPr>
          </w:p>
        </w:tc>
      </w:tr>
    </w:tbl>
    <w:p w14:paraId="1D538572" w14:textId="77777777" w:rsidR="00C82D5E" w:rsidRDefault="00C82D5E" w:rsidP="00C82D5E">
      <w:pPr>
        <w:rPr>
          <w:rFonts w:eastAsia="Calibri"/>
          <w:lang w:eastAsia="en-US"/>
        </w:rPr>
      </w:pPr>
    </w:p>
    <w:p w14:paraId="28332E46" w14:textId="77777777" w:rsidR="00C82D5E" w:rsidRPr="008A3D8E" w:rsidRDefault="00C82D5E" w:rsidP="00571B34">
      <w:pPr>
        <w:pStyle w:val="Titre6"/>
        <w:rPr>
          <w:lang w:val="en-US"/>
        </w:rPr>
      </w:pPr>
      <w:r w:rsidRPr="008A3D8E">
        <w:rPr>
          <w:lang w:val="en-US"/>
        </w:rPr>
        <w:t xml:space="preserve">Local effects </w:t>
      </w:r>
    </w:p>
    <w:p w14:paraId="4E82EE53" w14:textId="77777777" w:rsidR="00C82D5E" w:rsidRPr="001E65DB" w:rsidRDefault="00553FE6" w:rsidP="00553FE6">
      <w:pPr>
        <w:rPr>
          <w:rFonts w:eastAsia="Calibri"/>
          <w:sz w:val="18"/>
          <w:lang w:val="fr-FR" w:eastAsia="en-US"/>
        </w:rPr>
      </w:pPr>
      <w:r w:rsidRPr="001E65DB">
        <w:rPr>
          <w:rFonts w:eastAsia="Calibri"/>
          <w:lang w:val="fr-FR" w:eastAsia="en-US"/>
        </w:rPr>
        <w:t>n.a.</w:t>
      </w:r>
    </w:p>
    <w:p w14:paraId="0FFDB727" w14:textId="77777777" w:rsidR="00C82D5E" w:rsidRPr="001E65DB" w:rsidRDefault="00C82D5E" w:rsidP="00571B34">
      <w:pPr>
        <w:rPr>
          <w:rFonts w:eastAsia="Calibri"/>
          <w:lang w:val="fr-FR" w:eastAsia="en-US"/>
        </w:rPr>
      </w:pPr>
    </w:p>
    <w:p w14:paraId="13681435" w14:textId="77777777" w:rsidR="00C82D5E" w:rsidRPr="001E65DB" w:rsidRDefault="00C82D5E" w:rsidP="00571B34">
      <w:pPr>
        <w:pStyle w:val="Titre6"/>
        <w:rPr>
          <w:lang w:val="fr-FR"/>
        </w:rPr>
      </w:pPr>
      <w:r w:rsidRPr="001E65DB">
        <w:rPr>
          <w:lang w:val="fr-FR"/>
        </w:rPr>
        <w:t>Conclusion</w:t>
      </w:r>
    </w:p>
    <w:p w14:paraId="1ADC0235" w14:textId="77777777" w:rsidR="00C82D5E" w:rsidRPr="001E65DB" w:rsidRDefault="00553FE6" w:rsidP="00C82D5E">
      <w:pPr>
        <w:spacing w:line="260" w:lineRule="atLeast"/>
        <w:rPr>
          <w:rFonts w:eastAsia="Calibri"/>
          <w:lang w:val="fr-FR" w:eastAsia="en-US"/>
        </w:rPr>
      </w:pPr>
      <w:r w:rsidRPr="001E65DB">
        <w:rPr>
          <w:rFonts w:eastAsia="Calibri"/>
          <w:lang w:val="fr-FR" w:eastAsia="en-US"/>
        </w:rPr>
        <w:t>n.a.</w:t>
      </w:r>
    </w:p>
    <w:p w14:paraId="054D73A3" w14:textId="77777777" w:rsidR="00553FE6" w:rsidRPr="001E65DB" w:rsidRDefault="00553FE6" w:rsidP="00C82D5E">
      <w:pPr>
        <w:spacing w:line="260" w:lineRule="atLeast"/>
        <w:rPr>
          <w:rFonts w:eastAsia="Calibri"/>
          <w:lang w:val="fr-FR" w:eastAsia="en-US"/>
        </w:rPr>
      </w:pPr>
    </w:p>
    <w:p w14:paraId="0759F987" w14:textId="77777777" w:rsidR="00C82D5E" w:rsidRPr="00FD2055" w:rsidRDefault="00C82D5E" w:rsidP="00571B34">
      <w:pPr>
        <w:pStyle w:val="Titre5"/>
      </w:pPr>
      <w:bookmarkStart w:id="245" w:name="_Toc389729091"/>
      <w:bookmarkStart w:id="246" w:name="_Toc403472777"/>
      <w:bookmarkStart w:id="247" w:name="_Toc93326575"/>
      <w:r w:rsidRPr="00FD2055">
        <w:t>Risk for non-professional users</w:t>
      </w:r>
      <w:bookmarkEnd w:id="245"/>
      <w:bookmarkEnd w:id="246"/>
      <w:bookmarkEnd w:id="247"/>
      <w:r w:rsidRPr="00FD2055">
        <w:t xml:space="preserve"> </w:t>
      </w:r>
    </w:p>
    <w:p w14:paraId="098B7972" w14:textId="77777777" w:rsidR="001E65DB" w:rsidRPr="009461FB" w:rsidRDefault="001E65DB" w:rsidP="001E65DB">
      <w:pPr>
        <w:pStyle w:val="Paragraphedeliste"/>
        <w:numPr>
          <w:ilvl w:val="0"/>
          <w:numId w:val="68"/>
        </w:numPr>
        <w:rPr>
          <w:b/>
        </w:rPr>
      </w:pPr>
      <w:r w:rsidRPr="009461FB">
        <w:rPr>
          <w:b/>
        </w:rPr>
        <w:t>FIRST AUTHORISATION – 2017 (BE CA)</w:t>
      </w:r>
    </w:p>
    <w:p w14:paraId="21C66432" w14:textId="77777777" w:rsidR="00FD3FF9" w:rsidRPr="00FD3FF9" w:rsidRDefault="00FD3FF9" w:rsidP="00FD3FF9">
      <w:pPr>
        <w:rPr>
          <w:lang w:val="en-US" w:eastAsia="en-US"/>
        </w:rPr>
      </w:pPr>
    </w:p>
    <w:p w14:paraId="52FE95D3" w14:textId="77777777" w:rsidR="00FD3FF9" w:rsidRPr="00FD2055" w:rsidRDefault="00FD3FF9" w:rsidP="00FD3FF9">
      <w:pPr>
        <w:pStyle w:val="Titre6"/>
      </w:pPr>
      <w:r w:rsidRPr="00FD2055">
        <w:t xml:space="preserve">Systemic effects </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10"/>
        <w:gridCol w:w="1336"/>
        <w:gridCol w:w="1107"/>
        <w:gridCol w:w="1758"/>
        <w:gridCol w:w="1317"/>
        <w:gridCol w:w="1324"/>
      </w:tblGrid>
      <w:tr w:rsidR="00FD3FF9" w:rsidRPr="00FF36DF" w14:paraId="17DEF2DB" w14:textId="77777777" w:rsidTr="00F96662">
        <w:tc>
          <w:tcPr>
            <w:tcW w:w="1134" w:type="pct"/>
            <w:shd w:val="clear" w:color="auto" w:fill="BFBFBF" w:themeFill="background1" w:themeFillShade="BF"/>
          </w:tcPr>
          <w:p w14:paraId="0BC69A52" w14:textId="77777777" w:rsidR="00FD3FF9" w:rsidRPr="00FF36DF" w:rsidRDefault="00FD3FF9" w:rsidP="00F96662">
            <w:pPr>
              <w:pStyle w:val="Standaard-Tabellen"/>
              <w:rPr>
                <w:rFonts w:eastAsia="Calibri"/>
                <w:b/>
              </w:rPr>
            </w:pPr>
            <w:r w:rsidRPr="00FF36DF">
              <w:rPr>
                <w:rFonts w:eastAsia="Calibri"/>
                <w:b/>
              </w:rPr>
              <w:t>Task/</w:t>
            </w:r>
          </w:p>
          <w:p w14:paraId="5D1AE705" w14:textId="77777777" w:rsidR="00FD3FF9" w:rsidRPr="00FF36DF" w:rsidRDefault="00FD3FF9" w:rsidP="00F96662">
            <w:pPr>
              <w:pStyle w:val="Standaard-Tabellen"/>
              <w:rPr>
                <w:rFonts w:eastAsia="Calibri"/>
                <w:b/>
              </w:rPr>
            </w:pPr>
            <w:r w:rsidRPr="00FF36DF">
              <w:rPr>
                <w:rFonts w:eastAsia="Calibri"/>
                <w:b/>
              </w:rPr>
              <w:t>Scenario</w:t>
            </w:r>
          </w:p>
        </w:tc>
        <w:tc>
          <w:tcPr>
            <w:tcW w:w="316" w:type="pct"/>
            <w:shd w:val="clear" w:color="auto" w:fill="BFBFBF" w:themeFill="background1" w:themeFillShade="BF"/>
          </w:tcPr>
          <w:p w14:paraId="6C1DA399" w14:textId="77777777" w:rsidR="00FD3FF9" w:rsidRPr="00FF36DF" w:rsidRDefault="00FD3FF9" w:rsidP="00F96662">
            <w:pPr>
              <w:pStyle w:val="Standaard-Tabellen"/>
              <w:rPr>
                <w:rFonts w:eastAsia="Calibri"/>
                <w:b/>
              </w:rPr>
            </w:pPr>
            <w:r w:rsidRPr="00FF36DF">
              <w:rPr>
                <w:rFonts w:eastAsia="Calibri"/>
                <w:b/>
              </w:rPr>
              <w:t>Tier</w:t>
            </w:r>
          </w:p>
        </w:tc>
        <w:tc>
          <w:tcPr>
            <w:tcW w:w="693" w:type="pct"/>
            <w:shd w:val="clear" w:color="auto" w:fill="BFBFBF" w:themeFill="background1" w:themeFillShade="BF"/>
          </w:tcPr>
          <w:p w14:paraId="481A1D4B" w14:textId="77777777" w:rsidR="00FD3FF9" w:rsidRPr="00FF36DF" w:rsidRDefault="00FD3FF9" w:rsidP="00F96662">
            <w:pPr>
              <w:pStyle w:val="Standaard-Tabellen"/>
              <w:rPr>
                <w:rFonts w:eastAsia="Calibri"/>
                <w:b/>
              </w:rPr>
            </w:pPr>
            <w:r w:rsidRPr="00FF36DF">
              <w:rPr>
                <w:rFonts w:eastAsia="Calibri"/>
                <w:b/>
              </w:rPr>
              <w:t>Systemic</w:t>
            </w:r>
          </w:p>
          <w:p w14:paraId="2CE291B3" w14:textId="77777777" w:rsidR="00FD3FF9" w:rsidRPr="00FF36DF" w:rsidRDefault="00FD3FF9" w:rsidP="00F96662">
            <w:pPr>
              <w:pStyle w:val="Standaard-Tabellen"/>
              <w:rPr>
                <w:rFonts w:eastAsia="Calibri"/>
                <w:b/>
              </w:rPr>
            </w:pPr>
            <w:r w:rsidRPr="00FF36DF">
              <w:rPr>
                <w:rFonts w:eastAsia="Calibri"/>
                <w:b/>
              </w:rPr>
              <w:t>NOAEL</w:t>
            </w:r>
          </w:p>
          <w:p w14:paraId="0AFC5680" w14:textId="77777777" w:rsidR="00FD3FF9" w:rsidRPr="00FF36DF" w:rsidRDefault="00FD3FF9" w:rsidP="00F96662">
            <w:pPr>
              <w:pStyle w:val="Standaard-Tabellen"/>
              <w:rPr>
                <w:rFonts w:eastAsia="Calibri"/>
                <w:b/>
              </w:rPr>
            </w:pPr>
            <w:r w:rsidRPr="00FF36DF">
              <w:rPr>
                <w:rFonts w:eastAsia="Calibri"/>
                <w:b/>
              </w:rPr>
              <w:t>[mg/kg bw/d]</w:t>
            </w:r>
          </w:p>
        </w:tc>
        <w:tc>
          <w:tcPr>
            <w:tcW w:w="574" w:type="pct"/>
            <w:shd w:val="clear" w:color="auto" w:fill="BFBFBF" w:themeFill="background1" w:themeFillShade="BF"/>
          </w:tcPr>
          <w:p w14:paraId="0D8F1125" w14:textId="77777777" w:rsidR="00FD3FF9" w:rsidRPr="00FD3FF9" w:rsidRDefault="00FD3FF9" w:rsidP="00F96662">
            <w:pPr>
              <w:pStyle w:val="Standaard-Tabellen"/>
              <w:rPr>
                <w:rFonts w:eastAsia="Calibri"/>
                <w:b/>
                <w:lang w:val="de-DE"/>
              </w:rPr>
            </w:pPr>
            <w:r w:rsidRPr="00FD3FF9">
              <w:rPr>
                <w:rFonts w:eastAsia="Calibri"/>
                <w:b/>
                <w:lang w:val="de-DE"/>
              </w:rPr>
              <w:t>AEL</w:t>
            </w:r>
          </w:p>
          <w:p w14:paraId="44916519" w14:textId="77777777" w:rsidR="00FD3FF9" w:rsidRPr="00FD3FF9" w:rsidRDefault="00FD3FF9" w:rsidP="00F96662">
            <w:pPr>
              <w:pStyle w:val="Standaard-Tabellen"/>
              <w:rPr>
                <w:rFonts w:eastAsia="Calibri"/>
                <w:b/>
                <w:lang w:val="de-DE"/>
              </w:rPr>
            </w:pPr>
            <w:r w:rsidRPr="00FD3FF9">
              <w:rPr>
                <w:rFonts w:eastAsia="Calibri"/>
                <w:b/>
                <w:lang w:val="de-DE"/>
              </w:rPr>
              <w:t>[mg/kg bw/d]</w:t>
            </w:r>
          </w:p>
        </w:tc>
        <w:tc>
          <w:tcPr>
            <w:tcW w:w="912" w:type="pct"/>
            <w:shd w:val="clear" w:color="auto" w:fill="BFBFBF" w:themeFill="background1" w:themeFillShade="BF"/>
          </w:tcPr>
          <w:p w14:paraId="18E053D0" w14:textId="77777777" w:rsidR="00FD3FF9" w:rsidRPr="00FF36DF" w:rsidRDefault="00FD3FF9" w:rsidP="00F96662">
            <w:pPr>
              <w:pStyle w:val="Standaard-Tabellen"/>
              <w:rPr>
                <w:rFonts w:eastAsia="Calibri"/>
                <w:b/>
              </w:rPr>
            </w:pPr>
            <w:r w:rsidRPr="00FF36DF">
              <w:rPr>
                <w:rFonts w:eastAsia="Calibri"/>
                <w:b/>
              </w:rPr>
              <w:t xml:space="preserve">Estimated </w:t>
            </w:r>
          </w:p>
          <w:p w14:paraId="70FC2355" w14:textId="77777777" w:rsidR="00FD3FF9" w:rsidRPr="00FF36DF" w:rsidRDefault="00FD3FF9" w:rsidP="00F96662">
            <w:pPr>
              <w:pStyle w:val="Standaard-Tabellen"/>
              <w:rPr>
                <w:rFonts w:eastAsia="Calibri"/>
                <w:b/>
              </w:rPr>
            </w:pPr>
            <w:r w:rsidRPr="00FF36DF">
              <w:rPr>
                <w:rFonts w:eastAsia="Calibri"/>
                <w:b/>
              </w:rPr>
              <w:t>uptake</w:t>
            </w:r>
          </w:p>
        </w:tc>
        <w:tc>
          <w:tcPr>
            <w:tcW w:w="683" w:type="pct"/>
            <w:shd w:val="clear" w:color="auto" w:fill="BFBFBF" w:themeFill="background1" w:themeFillShade="BF"/>
          </w:tcPr>
          <w:p w14:paraId="13E46CBE" w14:textId="77777777" w:rsidR="00FD3FF9" w:rsidRPr="00FF36DF" w:rsidRDefault="00FD3FF9" w:rsidP="00F96662">
            <w:pPr>
              <w:pStyle w:val="Standaard-Tabellen"/>
              <w:rPr>
                <w:rFonts w:eastAsia="Calibri"/>
                <w:b/>
              </w:rPr>
            </w:pPr>
            <w:r w:rsidRPr="00FF36DF">
              <w:rPr>
                <w:rFonts w:eastAsia="Calibri"/>
                <w:b/>
              </w:rPr>
              <w:t xml:space="preserve">Estimated </w:t>
            </w:r>
          </w:p>
          <w:p w14:paraId="3D2C680D" w14:textId="77777777" w:rsidR="00FD3FF9" w:rsidRPr="00FF36DF" w:rsidRDefault="00FD3FF9" w:rsidP="00F96662">
            <w:pPr>
              <w:pStyle w:val="Standaard-Tabellen"/>
              <w:rPr>
                <w:rFonts w:eastAsia="Calibri"/>
                <w:b/>
              </w:rPr>
            </w:pPr>
            <w:r w:rsidRPr="00FF36DF">
              <w:rPr>
                <w:rFonts w:eastAsia="Calibri"/>
                <w:b/>
              </w:rPr>
              <w:t xml:space="preserve">uptake/ AEL </w:t>
            </w:r>
          </w:p>
          <w:p w14:paraId="6BA088F2" w14:textId="77777777" w:rsidR="00FD3FF9" w:rsidRPr="00FF36DF" w:rsidRDefault="00FD3FF9" w:rsidP="00F96662">
            <w:pPr>
              <w:pStyle w:val="Standaard-Tabellen"/>
              <w:rPr>
                <w:rFonts w:eastAsia="Calibri"/>
                <w:b/>
              </w:rPr>
            </w:pPr>
            <w:r w:rsidRPr="00FF36DF">
              <w:rPr>
                <w:rFonts w:eastAsia="Calibri"/>
                <w:b/>
              </w:rPr>
              <w:t>(%)</w:t>
            </w:r>
          </w:p>
        </w:tc>
        <w:tc>
          <w:tcPr>
            <w:tcW w:w="687" w:type="pct"/>
            <w:shd w:val="clear" w:color="auto" w:fill="BFBFBF" w:themeFill="background1" w:themeFillShade="BF"/>
          </w:tcPr>
          <w:p w14:paraId="08B29E09" w14:textId="77777777" w:rsidR="00FD3FF9" w:rsidRPr="00FF36DF" w:rsidRDefault="00FD3FF9" w:rsidP="00F96662">
            <w:pPr>
              <w:pStyle w:val="Standaard-Tabellen"/>
              <w:rPr>
                <w:rFonts w:eastAsia="Calibri"/>
                <w:b/>
              </w:rPr>
            </w:pPr>
            <w:r w:rsidRPr="00FF36DF">
              <w:rPr>
                <w:rFonts w:eastAsia="Calibri"/>
                <w:b/>
              </w:rPr>
              <w:t>Acceptable</w:t>
            </w:r>
          </w:p>
          <w:p w14:paraId="476564F5" w14:textId="77777777" w:rsidR="00FD3FF9" w:rsidRPr="00FF36DF" w:rsidRDefault="00FD3FF9" w:rsidP="00F96662">
            <w:pPr>
              <w:pStyle w:val="Standaard-Tabellen"/>
              <w:rPr>
                <w:rFonts w:eastAsia="Calibri"/>
                <w:b/>
              </w:rPr>
            </w:pPr>
            <w:r w:rsidRPr="00FF36DF">
              <w:rPr>
                <w:rFonts w:eastAsia="Calibri"/>
                <w:b/>
              </w:rPr>
              <w:t>(yes/no)</w:t>
            </w:r>
          </w:p>
        </w:tc>
      </w:tr>
      <w:tr w:rsidR="00FD3FF9" w:rsidRPr="00FF36DF" w14:paraId="6EAAAF32" w14:textId="77777777" w:rsidTr="00F96662">
        <w:tc>
          <w:tcPr>
            <w:tcW w:w="1134" w:type="pct"/>
            <w:shd w:val="clear" w:color="auto" w:fill="auto"/>
          </w:tcPr>
          <w:p w14:paraId="5F178BF5" w14:textId="77777777" w:rsidR="00FD3FF9" w:rsidRPr="00FF36DF" w:rsidRDefault="00FD3FF9" w:rsidP="00F96662">
            <w:pPr>
              <w:pStyle w:val="Standaard-Tabellen"/>
              <w:rPr>
                <w:rFonts w:eastAsia="Calibri"/>
              </w:rPr>
            </w:pPr>
            <w:r w:rsidRPr="00FF36DF">
              <w:rPr>
                <w:rFonts w:eastAsia="Calibri"/>
              </w:rPr>
              <w:t>Scenario 1, dermal, adult</w:t>
            </w:r>
          </w:p>
        </w:tc>
        <w:tc>
          <w:tcPr>
            <w:tcW w:w="316" w:type="pct"/>
            <w:shd w:val="clear" w:color="auto" w:fill="auto"/>
          </w:tcPr>
          <w:p w14:paraId="25610C06" w14:textId="77777777" w:rsidR="00FD3FF9" w:rsidRPr="00FF36DF" w:rsidRDefault="00FD3FF9" w:rsidP="00F96662">
            <w:pPr>
              <w:pStyle w:val="Standaard-Tabellen"/>
              <w:rPr>
                <w:rFonts w:eastAsia="Calibri"/>
              </w:rPr>
            </w:pPr>
            <w:r w:rsidRPr="00FF36DF">
              <w:rPr>
                <w:rFonts w:eastAsia="Calibri"/>
              </w:rPr>
              <w:t>1</w:t>
            </w:r>
          </w:p>
        </w:tc>
        <w:tc>
          <w:tcPr>
            <w:tcW w:w="693" w:type="pct"/>
            <w:shd w:val="clear" w:color="auto" w:fill="auto"/>
          </w:tcPr>
          <w:p w14:paraId="171709BD" w14:textId="77777777" w:rsidR="00FD3FF9" w:rsidRPr="00FF36DF" w:rsidRDefault="00FD3FF9" w:rsidP="00F96662">
            <w:pPr>
              <w:pStyle w:val="Standaard-Tabellen"/>
              <w:rPr>
                <w:rFonts w:eastAsia="Calibri"/>
              </w:rPr>
            </w:pPr>
            <w:r w:rsidRPr="00FF36DF">
              <w:rPr>
                <w:rFonts w:eastAsia="Calibri"/>
              </w:rPr>
              <w:t>500</w:t>
            </w:r>
          </w:p>
        </w:tc>
        <w:tc>
          <w:tcPr>
            <w:tcW w:w="574" w:type="pct"/>
            <w:shd w:val="clear" w:color="auto" w:fill="auto"/>
          </w:tcPr>
          <w:p w14:paraId="69DD5D0B" w14:textId="77777777" w:rsidR="00FD3FF9" w:rsidRPr="00FF36DF" w:rsidRDefault="00FD3FF9" w:rsidP="00F96662">
            <w:pPr>
              <w:pStyle w:val="Standaard-Tabellen"/>
              <w:rPr>
                <w:rFonts w:eastAsia="Calibri"/>
              </w:rPr>
            </w:pPr>
            <w:r w:rsidRPr="00FF36DF">
              <w:rPr>
                <w:rFonts w:eastAsia="Calibri"/>
              </w:rPr>
              <w:t>5</w:t>
            </w:r>
          </w:p>
        </w:tc>
        <w:tc>
          <w:tcPr>
            <w:tcW w:w="912" w:type="pct"/>
            <w:shd w:val="clear" w:color="auto" w:fill="auto"/>
            <w:vAlign w:val="center"/>
          </w:tcPr>
          <w:p w14:paraId="6C47507A" w14:textId="77777777" w:rsidR="00FD3FF9" w:rsidRPr="00FF36DF" w:rsidRDefault="00FD3FF9" w:rsidP="00F96662">
            <w:pPr>
              <w:pStyle w:val="Standaard-Tabellen"/>
            </w:pPr>
            <w:r w:rsidRPr="00FF36DF">
              <w:t>1.47</w:t>
            </w:r>
          </w:p>
          <w:p w14:paraId="06E73E3A" w14:textId="77777777" w:rsidR="00FD3FF9" w:rsidRPr="00FF36DF" w:rsidRDefault="00FD3FF9" w:rsidP="00F96662">
            <w:pPr>
              <w:pStyle w:val="Standaard-Tabellen"/>
              <w:rPr>
                <w:rFonts w:eastAsia="Calibri"/>
              </w:rPr>
            </w:pPr>
            <w:r w:rsidRPr="00FF36DF">
              <w:t>mg/kg bw/day</w:t>
            </w:r>
          </w:p>
        </w:tc>
        <w:tc>
          <w:tcPr>
            <w:tcW w:w="683" w:type="pct"/>
            <w:shd w:val="clear" w:color="auto" w:fill="auto"/>
          </w:tcPr>
          <w:p w14:paraId="704AEBBE" w14:textId="77777777" w:rsidR="00FD3FF9" w:rsidRPr="00FF36DF" w:rsidRDefault="00FD3FF9" w:rsidP="00F96662">
            <w:pPr>
              <w:pStyle w:val="Standaard-Tabellen"/>
              <w:rPr>
                <w:rFonts w:eastAsia="Calibri"/>
              </w:rPr>
            </w:pPr>
            <w:r w:rsidRPr="00FF36DF">
              <w:rPr>
                <w:rFonts w:eastAsia="Calibri"/>
              </w:rPr>
              <w:t>29.4</w:t>
            </w:r>
          </w:p>
        </w:tc>
        <w:tc>
          <w:tcPr>
            <w:tcW w:w="687" w:type="pct"/>
            <w:shd w:val="clear" w:color="auto" w:fill="auto"/>
          </w:tcPr>
          <w:p w14:paraId="0542CC77" w14:textId="77777777" w:rsidR="00FD3FF9" w:rsidRPr="00FF36DF" w:rsidRDefault="00FD3FF9" w:rsidP="00F96662">
            <w:pPr>
              <w:pStyle w:val="Standaard-Tabellen"/>
              <w:rPr>
                <w:rFonts w:eastAsia="Calibri"/>
              </w:rPr>
            </w:pPr>
            <w:r w:rsidRPr="00FF36DF">
              <w:rPr>
                <w:rFonts w:eastAsia="Calibri"/>
              </w:rPr>
              <w:t>yes</w:t>
            </w:r>
          </w:p>
        </w:tc>
      </w:tr>
      <w:tr w:rsidR="00FD3FF9" w:rsidRPr="00FF36DF" w14:paraId="34E2EB46" w14:textId="77777777" w:rsidTr="00F96662">
        <w:tc>
          <w:tcPr>
            <w:tcW w:w="1134" w:type="pct"/>
            <w:shd w:val="clear" w:color="auto" w:fill="auto"/>
          </w:tcPr>
          <w:p w14:paraId="250FF352" w14:textId="77777777" w:rsidR="00FD3FF9" w:rsidRPr="00FF36DF" w:rsidRDefault="00FD3FF9" w:rsidP="00F96662">
            <w:pPr>
              <w:pStyle w:val="Standaard-Tabellen"/>
              <w:rPr>
                <w:rFonts w:eastAsia="Calibri"/>
              </w:rPr>
            </w:pPr>
            <w:r w:rsidRPr="00FF36DF">
              <w:rPr>
                <w:rFonts w:eastAsia="Calibri"/>
              </w:rPr>
              <w:t>Scenario 1, dermal, child</w:t>
            </w:r>
          </w:p>
        </w:tc>
        <w:tc>
          <w:tcPr>
            <w:tcW w:w="316" w:type="pct"/>
            <w:shd w:val="clear" w:color="auto" w:fill="auto"/>
          </w:tcPr>
          <w:p w14:paraId="6FF668D4" w14:textId="77777777" w:rsidR="00FD3FF9" w:rsidRPr="00FF36DF" w:rsidRDefault="00FD3FF9" w:rsidP="00F96662">
            <w:pPr>
              <w:pStyle w:val="Standaard-Tabellen"/>
              <w:rPr>
                <w:rFonts w:eastAsia="Calibri"/>
              </w:rPr>
            </w:pPr>
            <w:r w:rsidRPr="00FF36DF">
              <w:rPr>
                <w:rFonts w:eastAsia="Calibri"/>
              </w:rPr>
              <w:t>1</w:t>
            </w:r>
          </w:p>
        </w:tc>
        <w:tc>
          <w:tcPr>
            <w:tcW w:w="693" w:type="pct"/>
            <w:shd w:val="clear" w:color="auto" w:fill="auto"/>
          </w:tcPr>
          <w:p w14:paraId="5B207743" w14:textId="77777777" w:rsidR="00FD3FF9" w:rsidRPr="00FF36DF" w:rsidRDefault="00FD3FF9" w:rsidP="00F96662">
            <w:pPr>
              <w:pStyle w:val="Standaard-Tabellen"/>
              <w:rPr>
                <w:rFonts w:eastAsia="Calibri"/>
              </w:rPr>
            </w:pPr>
            <w:r w:rsidRPr="00FF36DF">
              <w:rPr>
                <w:rFonts w:eastAsia="Calibri"/>
              </w:rPr>
              <w:t>500</w:t>
            </w:r>
          </w:p>
        </w:tc>
        <w:tc>
          <w:tcPr>
            <w:tcW w:w="574" w:type="pct"/>
            <w:shd w:val="clear" w:color="auto" w:fill="auto"/>
          </w:tcPr>
          <w:p w14:paraId="078C3510" w14:textId="77777777" w:rsidR="00FD3FF9" w:rsidRPr="00FF36DF" w:rsidRDefault="00FD3FF9" w:rsidP="00F96662">
            <w:pPr>
              <w:pStyle w:val="Standaard-Tabellen"/>
              <w:rPr>
                <w:rFonts w:eastAsia="Calibri"/>
              </w:rPr>
            </w:pPr>
            <w:r w:rsidRPr="00FF36DF">
              <w:rPr>
                <w:rFonts w:eastAsia="Calibri"/>
              </w:rPr>
              <w:t>5</w:t>
            </w:r>
          </w:p>
        </w:tc>
        <w:tc>
          <w:tcPr>
            <w:tcW w:w="912" w:type="pct"/>
            <w:shd w:val="clear" w:color="auto" w:fill="auto"/>
            <w:vAlign w:val="center"/>
          </w:tcPr>
          <w:p w14:paraId="28DC539F" w14:textId="77777777" w:rsidR="00FD3FF9" w:rsidRPr="00FF36DF" w:rsidRDefault="00FD3FF9" w:rsidP="00F96662">
            <w:pPr>
              <w:pStyle w:val="Standaard-Tabellen"/>
            </w:pPr>
            <w:r w:rsidRPr="00FF36DF">
              <w:t>1.76</w:t>
            </w:r>
          </w:p>
          <w:p w14:paraId="2780C611" w14:textId="77777777" w:rsidR="00FD3FF9" w:rsidRPr="00FF36DF" w:rsidRDefault="00FD3FF9" w:rsidP="00F96662">
            <w:pPr>
              <w:pStyle w:val="Standaard-Tabellen"/>
              <w:rPr>
                <w:rFonts w:eastAsia="Calibri"/>
              </w:rPr>
            </w:pPr>
            <w:r w:rsidRPr="00FF36DF">
              <w:t>mg/kg bw/day</w:t>
            </w:r>
          </w:p>
        </w:tc>
        <w:tc>
          <w:tcPr>
            <w:tcW w:w="683" w:type="pct"/>
            <w:shd w:val="clear" w:color="auto" w:fill="auto"/>
          </w:tcPr>
          <w:p w14:paraId="123B42B6" w14:textId="77777777" w:rsidR="00FD3FF9" w:rsidRPr="00FF36DF" w:rsidRDefault="00FD3FF9" w:rsidP="00F96662">
            <w:pPr>
              <w:pStyle w:val="Standaard-Tabellen"/>
              <w:rPr>
                <w:rFonts w:eastAsia="Calibri"/>
              </w:rPr>
            </w:pPr>
            <w:r w:rsidRPr="00FF36DF">
              <w:rPr>
                <w:rFonts w:eastAsia="Calibri"/>
              </w:rPr>
              <w:t>35.2</w:t>
            </w:r>
          </w:p>
        </w:tc>
        <w:tc>
          <w:tcPr>
            <w:tcW w:w="687" w:type="pct"/>
            <w:shd w:val="clear" w:color="auto" w:fill="auto"/>
          </w:tcPr>
          <w:p w14:paraId="067AED01" w14:textId="77777777" w:rsidR="00FD3FF9" w:rsidRPr="00FF36DF" w:rsidRDefault="00FD3FF9" w:rsidP="00F96662">
            <w:pPr>
              <w:pStyle w:val="Standaard-Tabellen"/>
              <w:rPr>
                <w:rFonts w:eastAsia="Calibri"/>
              </w:rPr>
            </w:pPr>
            <w:r w:rsidRPr="00FF36DF">
              <w:rPr>
                <w:rFonts w:eastAsia="Calibri"/>
              </w:rPr>
              <w:t>yes</w:t>
            </w:r>
          </w:p>
        </w:tc>
      </w:tr>
      <w:tr w:rsidR="008356A0" w:rsidRPr="00FF36DF" w14:paraId="5AE261F4" w14:textId="77777777" w:rsidTr="00F96662">
        <w:tc>
          <w:tcPr>
            <w:tcW w:w="1134" w:type="pct"/>
            <w:shd w:val="clear" w:color="auto" w:fill="auto"/>
          </w:tcPr>
          <w:p w14:paraId="0068A0D8" w14:textId="77777777" w:rsidR="008356A0" w:rsidRPr="00FF36DF" w:rsidRDefault="008356A0" w:rsidP="008356A0">
            <w:pPr>
              <w:pStyle w:val="Standaard-Tabellen"/>
              <w:rPr>
                <w:rFonts w:eastAsia="Calibri"/>
              </w:rPr>
            </w:pPr>
            <w:r w:rsidRPr="00FF36DF">
              <w:rPr>
                <w:rFonts w:eastAsia="Calibri"/>
              </w:rPr>
              <w:t>Scenario 1, dermal, toddler</w:t>
            </w:r>
          </w:p>
        </w:tc>
        <w:tc>
          <w:tcPr>
            <w:tcW w:w="316" w:type="pct"/>
            <w:shd w:val="clear" w:color="auto" w:fill="auto"/>
          </w:tcPr>
          <w:p w14:paraId="48EF2BBA"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1A6D4D53"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6E3C2757"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vAlign w:val="center"/>
          </w:tcPr>
          <w:p w14:paraId="4E5931E0" w14:textId="77777777" w:rsidR="008356A0" w:rsidRPr="00570FB3" w:rsidRDefault="008356A0" w:rsidP="008356A0">
            <w:pPr>
              <w:pStyle w:val="Standaard-Tabellen"/>
            </w:pPr>
            <w:r w:rsidRPr="00F84A66">
              <w:t>4.2</w:t>
            </w:r>
          </w:p>
          <w:p w14:paraId="5E9E0AB9" w14:textId="0E0EF839" w:rsidR="008356A0" w:rsidRPr="00FF36DF" w:rsidRDefault="008356A0" w:rsidP="008356A0">
            <w:pPr>
              <w:pStyle w:val="Standaard-Tabellen"/>
              <w:rPr>
                <w:rFonts w:eastAsia="Calibri"/>
              </w:rPr>
            </w:pPr>
            <w:r w:rsidRPr="00A6548C">
              <w:t>mg/kg bw/day</w:t>
            </w:r>
          </w:p>
        </w:tc>
        <w:tc>
          <w:tcPr>
            <w:tcW w:w="683" w:type="pct"/>
            <w:shd w:val="clear" w:color="auto" w:fill="auto"/>
          </w:tcPr>
          <w:p w14:paraId="700E3F9C" w14:textId="6F554C37" w:rsidR="008356A0" w:rsidRPr="00FF36DF" w:rsidRDefault="008356A0" w:rsidP="008356A0">
            <w:pPr>
              <w:pStyle w:val="Standaard-Tabellen"/>
              <w:rPr>
                <w:rFonts w:eastAsia="Calibri"/>
              </w:rPr>
            </w:pPr>
            <w:r w:rsidRPr="00F84A66">
              <w:rPr>
                <w:rFonts w:eastAsia="Calibri"/>
              </w:rPr>
              <w:t>84</w:t>
            </w:r>
          </w:p>
        </w:tc>
        <w:tc>
          <w:tcPr>
            <w:tcW w:w="687" w:type="pct"/>
            <w:shd w:val="clear" w:color="auto" w:fill="auto"/>
          </w:tcPr>
          <w:p w14:paraId="6DAB2CCB" w14:textId="77777777" w:rsidR="008356A0" w:rsidRPr="00FF36DF" w:rsidRDefault="008356A0" w:rsidP="008356A0">
            <w:pPr>
              <w:pStyle w:val="Standaard-Tabellen"/>
              <w:rPr>
                <w:rFonts w:eastAsia="Calibri"/>
              </w:rPr>
            </w:pPr>
            <w:r w:rsidRPr="00FF36DF">
              <w:rPr>
                <w:rFonts w:eastAsia="Calibri"/>
              </w:rPr>
              <w:t>yes</w:t>
            </w:r>
          </w:p>
        </w:tc>
      </w:tr>
      <w:tr w:rsidR="008356A0" w:rsidRPr="00FF36DF" w14:paraId="68C43DF6" w14:textId="77777777" w:rsidTr="00F96662">
        <w:tc>
          <w:tcPr>
            <w:tcW w:w="1134" w:type="pct"/>
            <w:shd w:val="clear" w:color="auto" w:fill="auto"/>
          </w:tcPr>
          <w:p w14:paraId="39D4B15F" w14:textId="77777777" w:rsidR="008356A0" w:rsidRPr="00FF36DF" w:rsidRDefault="008356A0" w:rsidP="008356A0">
            <w:pPr>
              <w:pStyle w:val="Standaard-Tabellen"/>
              <w:rPr>
                <w:rFonts w:eastAsia="Calibri"/>
              </w:rPr>
            </w:pPr>
            <w:r w:rsidRPr="00FF36DF">
              <w:rPr>
                <w:rFonts w:eastAsia="Calibri"/>
              </w:rPr>
              <w:t>Scenario 1, dermal, infant</w:t>
            </w:r>
          </w:p>
        </w:tc>
        <w:tc>
          <w:tcPr>
            <w:tcW w:w="316" w:type="pct"/>
            <w:shd w:val="clear" w:color="auto" w:fill="auto"/>
          </w:tcPr>
          <w:p w14:paraId="2FA55A49"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75857503"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1BE6F3C5"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vAlign w:val="center"/>
          </w:tcPr>
          <w:p w14:paraId="58DC18B4" w14:textId="77777777" w:rsidR="008356A0" w:rsidRPr="00570FB3" w:rsidRDefault="008356A0" w:rsidP="008356A0">
            <w:pPr>
              <w:pStyle w:val="Standaard-Tabellen"/>
            </w:pPr>
            <w:r w:rsidRPr="00F84A66">
              <w:t>5.25</w:t>
            </w:r>
          </w:p>
          <w:p w14:paraId="778DD586" w14:textId="3446D76C" w:rsidR="008356A0" w:rsidRPr="00FF36DF" w:rsidRDefault="008356A0" w:rsidP="008356A0">
            <w:pPr>
              <w:pStyle w:val="Standaard-Tabellen"/>
              <w:rPr>
                <w:rFonts w:eastAsia="Calibri"/>
              </w:rPr>
            </w:pPr>
            <w:r w:rsidRPr="00A6548C">
              <w:t>mg/kg bw/day</w:t>
            </w:r>
          </w:p>
        </w:tc>
        <w:tc>
          <w:tcPr>
            <w:tcW w:w="683" w:type="pct"/>
            <w:shd w:val="clear" w:color="auto" w:fill="auto"/>
          </w:tcPr>
          <w:p w14:paraId="174567A6" w14:textId="1CC319E3" w:rsidR="008356A0" w:rsidRPr="00FF36DF" w:rsidRDefault="008356A0" w:rsidP="008356A0">
            <w:pPr>
              <w:pStyle w:val="Standaard-Tabellen"/>
              <w:rPr>
                <w:rFonts w:eastAsia="Calibri"/>
              </w:rPr>
            </w:pPr>
            <w:r w:rsidRPr="00F84A66">
              <w:rPr>
                <w:rFonts w:eastAsia="Calibri"/>
              </w:rPr>
              <w:t>105</w:t>
            </w:r>
          </w:p>
        </w:tc>
        <w:tc>
          <w:tcPr>
            <w:tcW w:w="687" w:type="pct"/>
            <w:shd w:val="clear" w:color="auto" w:fill="auto"/>
          </w:tcPr>
          <w:p w14:paraId="5CA6096B" w14:textId="03C4D02B" w:rsidR="008356A0" w:rsidRPr="00FF36DF" w:rsidRDefault="008356A0" w:rsidP="008356A0">
            <w:pPr>
              <w:pStyle w:val="Standaard-Tabellen"/>
              <w:rPr>
                <w:rFonts w:eastAsia="Calibri"/>
              </w:rPr>
            </w:pPr>
            <w:r>
              <w:rPr>
                <w:rFonts w:eastAsia="Calibri"/>
              </w:rPr>
              <w:t>no</w:t>
            </w:r>
          </w:p>
        </w:tc>
      </w:tr>
      <w:tr w:rsidR="008356A0" w:rsidRPr="00FF36DF" w14:paraId="07613E9C" w14:textId="77777777" w:rsidTr="00F96662">
        <w:tc>
          <w:tcPr>
            <w:tcW w:w="1134" w:type="pct"/>
            <w:shd w:val="clear" w:color="auto" w:fill="auto"/>
          </w:tcPr>
          <w:p w14:paraId="0F141658" w14:textId="26DECFE9" w:rsidR="008356A0" w:rsidRPr="00FF36DF" w:rsidRDefault="008356A0" w:rsidP="008356A0">
            <w:pPr>
              <w:pStyle w:val="Standaard-Tabellen"/>
              <w:rPr>
                <w:rFonts w:eastAsia="Calibri"/>
              </w:rPr>
            </w:pPr>
            <w:r w:rsidRPr="00FF36DF">
              <w:rPr>
                <w:rFonts w:eastAsia="Calibri"/>
              </w:rPr>
              <w:t>Scenario 1, dermal, infant</w:t>
            </w:r>
          </w:p>
        </w:tc>
        <w:tc>
          <w:tcPr>
            <w:tcW w:w="316" w:type="pct"/>
            <w:shd w:val="clear" w:color="auto" w:fill="auto"/>
          </w:tcPr>
          <w:p w14:paraId="10A9EA4A" w14:textId="4CDAE281" w:rsidR="008356A0" w:rsidRPr="00FF36DF" w:rsidRDefault="008356A0" w:rsidP="008356A0">
            <w:pPr>
              <w:pStyle w:val="Standaard-Tabellen"/>
              <w:rPr>
                <w:rFonts w:eastAsia="Calibri"/>
              </w:rPr>
            </w:pPr>
            <w:r>
              <w:rPr>
                <w:rFonts w:eastAsia="Calibri"/>
              </w:rPr>
              <w:t>2</w:t>
            </w:r>
          </w:p>
        </w:tc>
        <w:tc>
          <w:tcPr>
            <w:tcW w:w="693" w:type="pct"/>
            <w:shd w:val="clear" w:color="auto" w:fill="auto"/>
          </w:tcPr>
          <w:p w14:paraId="618DD4D3" w14:textId="043045EF"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192A887C" w14:textId="4AF797D9"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vAlign w:val="center"/>
          </w:tcPr>
          <w:p w14:paraId="17893840" w14:textId="77777777" w:rsidR="008356A0" w:rsidRPr="00570FB3" w:rsidRDefault="008356A0" w:rsidP="008356A0">
            <w:pPr>
              <w:pStyle w:val="Standaard-Tabellen"/>
            </w:pPr>
            <w:r w:rsidRPr="00F84A66">
              <w:t>3.5</w:t>
            </w:r>
          </w:p>
          <w:p w14:paraId="0FC2AAC2" w14:textId="063FAF9E" w:rsidR="008356A0" w:rsidRPr="00FF36DF" w:rsidRDefault="008356A0" w:rsidP="008356A0">
            <w:pPr>
              <w:pStyle w:val="Standaard-Tabellen"/>
            </w:pPr>
            <w:r w:rsidRPr="00A6548C">
              <w:t>mg/kg bw/day</w:t>
            </w:r>
          </w:p>
        </w:tc>
        <w:tc>
          <w:tcPr>
            <w:tcW w:w="683" w:type="pct"/>
            <w:shd w:val="clear" w:color="auto" w:fill="auto"/>
          </w:tcPr>
          <w:p w14:paraId="3A1D804F" w14:textId="5440F4FF" w:rsidR="008356A0" w:rsidRPr="00FF36DF" w:rsidRDefault="008356A0" w:rsidP="008356A0">
            <w:pPr>
              <w:pStyle w:val="Standaard-Tabellen"/>
              <w:rPr>
                <w:rFonts w:eastAsia="Calibri"/>
              </w:rPr>
            </w:pPr>
            <w:r w:rsidRPr="00F84A66">
              <w:rPr>
                <w:rFonts w:eastAsia="Calibri"/>
              </w:rPr>
              <w:t>70</w:t>
            </w:r>
          </w:p>
        </w:tc>
        <w:tc>
          <w:tcPr>
            <w:tcW w:w="687" w:type="pct"/>
            <w:shd w:val="clear" w:color="auto" w:fill="auto"/>
          </w:tcPr>
          <w:p w14:paraId="18D03A82" w14:textId="5B03C81B" w:rsidR="008356A0" w:rsidRPr="00FF36DF" w:rsidRDefault="008356A0" w:rsidP="008356A0">
            <w:pPr>
              <w:pStyle w:val="Standaard-Tabellen"/>
              <w:rPr>
                <w:rFonts w:eastAsia="Calibri"/>
              </w:rPr>
            </w:pPr>
            <w:r w:rsidRPr="00FF36DF">
              <w:rPr>
                <w:rFonts w:eastAsia="Calibri"/>
              </w:rPr>
              <w:t>yes</w:t>
            </w:r>
          </w:p>
        </w:tc>
      </w:tr>
      <w:tr w:rsidR="008356A0" w:rsidRPr="00FF36DF" w14:paraId="6ACC01BD" w14:textId="77777777" w:rsidTr="00F96662">
        <w:tc>
          <w:tcPr>
            <w:tcW w:w="1134" w:type="pct"/>
            <w:shd w:val="clear" w:color="auto" w:fill="auto"/>
          </w:tcPr>
          <w:p w14:paraId="4B89FC61" w14:textId="77777777" w:rsidR="008356A0" w:rsidRPr="00FF36DF" w:rsidRDefault="008356A0" w:rsidP="008356A0">
            <w:pPr>
              <w:pStyle w:val="Standaard-Tabellen"/>
              <w:rPr>
                <w:rFonts w:eastAsia="Calibri"/>
              </w:rPr>
            </w:pPr>
            <w:r w:rsidRPr="00FF36DF">
              <w:rPr>
                <w:rFonts w:eastAsia="Calibri"/>
              </w:rPr>
              <w:t>Scenario 2, inhal+oral, adult</w:t>
            </w:r>
          </w:p>
        </w:tc>
        <w:tc>
          <w:tcPr>
            <w:tcW w:w="316" w:type="pct"/>
            <w:shd w:val="clear" w:color="auto" w:fill="auto"/>
          </w:tcPr>
          <w:p w14:paraId="07A3F24E"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37933E61"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26CCD0E1"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55606DFB" w14:textId="77777777" w:rsidR="008356A0" w:rsidRDefault="008356A0" w:rsidP="008356A0">
            <w:pPr>
              <w:pStyle w:val="Standaard-Tabellen"/>
              <w:rPr>
                <w:rFonts w:cs="Arial"/>
              </w:rPr>
            </w:pPr>
            <w:r w:rsidRPr="0060548C">
              <w:rPr>
                <w:rFonts w:cs="Arial"/>
              </w:rPr>
              <w:t xml:space="preserve">0.00875 </w:t>
            </w:r>
          </w:p>
          <w:p w14:paraId="3BDFB6E5" w14:textId="6D95FD06" w:rsidR="008356A0" w:rsidRPr="00FF36DF" w:rsidRDefault="008356A0" w:rsidP="008356A0">
            <w:pPr>
              <w:pStyle w:val="Standaard-Tabellen"/>
              <w:rPr>
                <w:rFonts w:eastAsia="Calibri"/>
              </w:rPr>
            </w:pPr>
            <w:r w:rsidRPr="0060548C">
              <w:rPr>
                <w:rFonts w:cs="Arial"/>
              </w:rPr>
              <w:t>mg/kg bw</w:t>
            </w:r>
          </w:p>
        </w:tc>
        <w:tc>
          <w:tcPr>
            <w:tcW w:w="683" w:type="pct"/>
            <w:shd w:val="clear" w:color="auto" w:fill="auto"/>
          </w:tcPr>
          <w:p w14:paraId="10783780" w14:textId="77777777" w:rsidR="008356A0" w:rsidRPr="00FF36DF" w:rsidRDefault="008356A0" w:rsidP="008356A0">
            <w:pPr>
              <w:pStyle w:val="Standaard-Tabellen"/>
              <w:rPr>
                <w:rFonts w:eastAsia="Calibri"/>
              </w:rPr>
            </w:pPr>
            <w:r w:rsidRPr="00FF36DF">
              <w:rPr>
                <w:rFonts w:eastAsia="Calibri"/>
              </w:rPr>
              <w:t>0.2</w:t>
            </w:r>
          </w:p>
        </w:tc>
        <w:tc>
          <w:tcPr>
            <w:tcW w:w="687" w:type="pct"/>
            <w:shd w:val="clear" w:color="auto" w:fill="auto"/>
          </w:tcPr>
          <w:p w14:paraId="6EF5E7D6" w14:textId="77777777" w:rsidR="008356A0" w:rsidRPr="00FF36DF" w:rsidRDefault="008356A0" w:rsidP="008356A0">
            <w:pPr>
              <w:pStyle w:val="Standaard-Tabellen"/>
              <w:rPr>
                <w:rFonts w:eastAsia="Calibri"/>
              </w:rPr>
            </w:pPr>
            <w:r w:rsidRPr="00FF36DF">
              <w:rPr>
                <w:rFonts w:eastAsia="Calibri"/>
              </w:rPr>
              <w:t>yes</w:t>
            </w:r>
          </w:p>
        </w:tc>
      </w:tr>
      <w:tr w:rsidR="008356A0" w:rsidRPr="00FF36DF" w14:paraId="422E37FD" w14:textId="77777777" w:rsidTr="00F96662">
        <w:tc>
          <w:tcPr>
            <w:tcW w:w="1134" w:type="pct"/>
            <w:shd w:val="clear" w:color="auto" w:fill="auto"/>
          </w:tcPr>
          <w:p w14:paraId="2F6B9963" w14:textId="77777777" w:rsidR="008356A0" w:rsidRPr="00FF36DF" w:rsidRDefault="008356A0" w:rsidP="008356A0">
            <w:pPr>
              <w:pStyle w:val="Standaard-Tabellen"/>
              <w:rPr>
                <w:rFonts w:eastAsia="Calibri"/>
              </w:rPr>
            </w:pPr>
            <w:r w:rsidRPr="00FF36DF">
              <w:rPr>
                <w:rFonts w:eastAsia="Calibri"/>
              </w:rPr>
              <w:t>Scenario 2, inhal+oral, child</w:t>
            </w:r>
          </w:p>
        </w:tc>
        <w:tc>
          <w:tcPr>
            <w:tcW w:w="316" w:type="pct"/>
            <w:shd w:val="clear" w:color="auto" w:fill="auto"/>
          </w:tcPr>
          <w:p w14:paraId="4DE829D4"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5E999310"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44ABBFFA"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2E62F1BA" w14:textId="77777777" w:rsidR="008356A0" w:rsidRDefault="008356A0" w:rsidP="008356A0">
            <w:pPr>
              <w:pStyle w:val="Standaard-Tabellen"/>
              <w:rPr>
                <w:rFonts w:cs="Arial"/>
              </w:rPr>
            </w:pPr>
            <w:r w:rsidRPr="0060548C">
              <w:rPr>
                <w:rFonts w:cs="Arial"/>
              </w:rPr>
              <w:t xml:space="preserve">0.0232 </w:t>
            </w:r>
          </w:p>
          <w:p w14:paraId="2D34800A" w14:textId="2245E22A" w:rsidR="008356A0" w:rsidRPr="00FF36DF" w:rsidRDefault="008356A0" w:rsidP="008356A0">
            <w:pPr>
              <w:pStyle w:val="Standaard-Tabellen"/>
              <w:rPr>
                <w:rFonts w:eastAsia="Calibri"/>
              </w:rPr>
            </w:pPr>
            <w:r w:rsidRPr="0060548C">
              <w:rPr>
                <w:rFonts w:cs="Arial"/>
              </w:rPr>
              <w:t>mg/kg bw</w:t>
            </w:r>
          </w:p>
        </w:tc>
        <w:tc>
          <w:tcPr>
            <w:tcW w:w="683" w:type="pct"/>
            <w:shd w:val="clear" w:color="auto" w:fill="auto"/>
          </w:tcPr>
          <w:p w14:paraId="5220D965" w14:textId="77777777" w:rsidR="008356A0" w:rsidRPr="00FF36DF" w:rsidRDefault="008356A0" w:rsidP="008356A0">
            <w:pPr>
              <w:pStyle w:val="Standaard-Tabellen"/>
              <w:rPr>
                <w:rFonts w:eastAsia="Calibri"/>
              </w:rPr>
            </w:pPr>
            <w:r w:rsidRPr="00FF36DF">
              <w:rPr>
                <w:rFonts w:eastAsia="Calibri"/>
              </w:rPr>
              <w:t>0.5</w:t>
            </w:r>
          </w:p>
        </w:tc>
        <w:tc>
          <w:tcPr>
            <w:tcW w:w="687" w:type="pct"/>
            <w:shd w:val="clear" w:color="auto" w:fill="auto"/>
          </w:tcPr>
          <w:p w14:paraId="5140E8C2" w14:textId="77777777" w:rsidR="008356A0" w:rsidRPr="00FF36DF" w:rsidRDefault="008356A0" w:rsidP="008356A0">
            <w:pPr>
              <w:pStyle w:val="Standaard-Tabellen"/>
              <w:rPr>
                <w:rFonts w:eastAsia="Calibri"/>
              </w:rPr>
            </w:pPr>
            <w:r w:rsidRPr="00FF36DF">
              <w:rPr>
                <w:rFonts w:eastAsia="Calibri"/>
              </w:rPr>
              <w:t>yes</w:t>
            </w:r>
          </w:p>
        </w:tc>
      </w:tr>
      <w:tr w:rsidR="008356A0" w:rsidRPr="00FF36DF" w14:paraId="22AD57E0" w14:textId="77777777" w:rsidTr="00F96662">
        <w:tc>
          <w:tcPr>
            <w:tcW w:w="1134" w:type="pct"/>
            <w:shd w:val="clear" w:color="auto" w:fill="auto"/>
          </w:tcPr>
          <w:p w14:paraId="0226B2C4" w14:textId="77777777" w:rsidR="008356A0" w:rsidRPr="00FF36DF" w:rsidRDefault="008356A0" w:rsidP="008356A0">
            <w:pPr>
              <w:pStyle w:val="Standaard-Tabellen"/>
              <w:rPr>
                <w:rFonts w:eastAsia="Calibri"/>
              </w:rPr>
            </w:pPr>
            <w:r w:rsidRPr="00FF36DF">
              <w:rPr>
                <w:rFonts w:eastAsia="Calibri"/>
              </w:rPr>
              <w:t>Scenario 2, inhal+oral, toddler</w:t>
            </w:r>
          </w:p>
        </w:tc>
        <w:tc>
          <w:tcPr>
            <w:tcW w:w="316" w:type="pct"/>
            <w:shd w:val="clear" w:color="auto" w:fill="auto"/>
          </w:tcPr>
          <w:p w14:paraId="21A4B21E"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4651E31F"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4E82EBE9"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11477168" w14:textId="77777777" w:rsidR="008356A0" w:rsidRDefault="008356A0" w:rsidP="008356A0">
            <w:pPr>
              <w:pStyle w:val="Standaard-Tabellen"/>
              <w:rPr>
                <w:rFonts w:cs="Arial"/>
              </w:rPr>
            </w:pPr>
            <w:r w:rsidRPr="0060548C">
              <w:rPr>
                <w:rFonts w:cs="Arial"/>
              </w:rPr>
              <w:t xml:space="preserve">0.0529 </w:t>
            </w:r>
          </w:p>
          <w:p w14:paraId="3456B829" w14:textId="1E2D8589" w:rsidR="008356A0" w:rsidRPr="00FF36DF" w:rsidRDefault="008356A0" w:rsidP="008356A0">
            <w:pPr>
              <w:pStyle w:val="Standaard-Tabellen"/>
              <w:rPr>
                <w:rFonts w:eastAsia="Calibri"/>
              </w:rPr>
            </w:pPr>
            <w:r w:rsidRPr="0060548C">
              <w:rPr>
                <w:rFonts w:cs="Arial"/>
              </w:rPr>
              <w:t>mg/kg bw</w:t>
            </w:r>
          </w:p>
        </w:tc>
        <w:tc>
          <w:tcPr>
            <w:tcW w:w="683" w:type="pct"/>
            <w:shd w:val="clear" w:color="auto" w:fill="auto"/>
          </w:tcPr>
          <w:p w14:paraId="7DE3BE87" w14:textId="77777777" w:rsidR="008356A0" w:rsidRPr="00FF36DF" w:rsidRDefault="008356A0" w:rsidP="008356A0">
            <w:pPr>
              <w:pStyle w:val="Standaard-Tabellen"/>
              <w:rPr>
                <w:rFonts w:eastAsia="Calibri"/>
              </w:rPr>
            </w:pPr>
            <w:r w:rsidRPr="00FF36DF">
              <w:rPr>
                <w:rFonts w:eastAsia="Calibri"/>
              </w:rPr>
              <w:t>1.1</w:t>
            </w:r>
          </w:p>
        </w:tc>
        <w:tc>
          <w:tcPr>
            <w:tcW w:w="687" w:type="pct"/>
            <w:shd w:val="clear" w:color="auto" w:fill="auto"/>
          </w:tcPr>
          <w:p w14:paraId="251145BE" w14:textId="77777777" w:rsidR="008356A0" w:rsidRPr="00FF36DF" w:rsidRDefault="008356A0" w:rsidP="008356A0">
            <w:pPr>
              <w:pStyle w:val="Standaard-Tabellen"/>
              <w:rPr>
                <w:rFonts w:eastAsia="Calibri"/>
              </w:rPr>
            </w:pPr>
            <w:r w:rsidRPr="00FF36DF">
              <w:rPr>
                <w:rFonts w:eastAsia="Calibri"/>
              </w:rPr>
              <w:t>yes</w:t>
            </w:r>
          </w:p>
        </w:tc>
      </w:tr>
      <w:tr w:rsidR="008356A0" w:rsidRPr="00FF36DF" w14:paraId="3DB6D058" w14:textId="77777777" w:rsidTr="00F96662">
        <w:tc>
          <w:tcPr>
            <w:tcW w:w="1134" w:type="pct"/>
            <w:shd w:val="clear" w:color="auto" w:fill="auto"/>
          </w:tcPr>
          <w:p w14:paraId="6F10FBA6" w14:textId="77777777" w:rsidR="008356A0" w:rsidRPr="00FF36DF" w:rsidRDefault="008356A0" w:rsidP="008356A0">
            <w:pPr>
              <w:pStyle w:val="Standaard-Tabellen"/>
              <w:rPr>
                <w:rFonts w:eastAsia="Calibri"/>
              </w:rPr>
            </w:pPr>
            <w:r w:rsidRPr="00FF36DF">
              <w:rPr>
                <w:rFonts w:eastAsia="Calibri"/>
              </w:rPr>
              <w:t>Scenario 2, inhal+oral, infant</w:t>
            </w:r>
          </w:p>
        </w:tc>
        <w:tc>
          <w:tcPr>
            <w:tcW w:w="316" w:type="pct"/>
            <w:shd w:val="clear" w:color="auto" w:fill="auto"/>
          </w:tcPr>
          <w:p w14:paraId="7992EFE2"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1509B68D"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30AD0608"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380D8FF1" w14:textId="77777777" w:rsidR="008356A0" w:rsidRDefault="008356A0" w:rsidP="008356A0">
            <w:pPr>
              <w:pStyle w:val="Standaard-Tabellen"/>
              <w:rPr>
                <w:rFonts w:cs="Arial"/>
              </w:rPr>
            </w:pPr>
            <w:r w:rsidRPr="0060548C">
              <w:rPr>
                <w:rFonts w:cs="Arial"/>
              </w:rPr>
              <w:t xml:space="preserve">0.0441 </w:t>
            </w:r>
          </w:p>
          <w:p w14:paraId="7250FA35" w14:textId="1564B575" w:rsidR="008356A0" w:rsidRPr="00FF36DF" w:rsidRDefault="008356A0" w:rsidP="008356A0">
            <w:pPr>
              <w:pStyle w:val="Standaard-Tabellen"/>
              <w:rPr>
                <w:rFonts w:eastAsia="Calibri"/>
              </w:rPr>
            </w:pPr>
            <w:r w:rsidRPr="0060548C">
              <w:rPr>
                <w:rFonts w:cs="Arial"/>
              </w:rPr>
              <w:t>mg/kg bw</w:t>
            </w:r>
          </w:p>
        </w:tc>
        <w:tc>
          <w:tcPr>
            <w:tcW w:w="683" w:type="pct"/>
            <w:shd w:val="clear" w:color="auto" w:fill="auto"/>
          </w:tcPr>
          <w:p w14:paraId="279BA57D" w14:textId="77777777" w:rsidR="008356A0" w:rsidRPr="00FF36DF" w:rsidRDefault="008356A0" w:rsidP="008356A0">
            <w:pPr>
              <w:pStyle w:val="Standaard-Tabellen"/>
              <w:rPr>
                <w:rFonts w:eastAsia="Calibri"/>
              </w:rPr>
            </w:pPr>
            <w:r w:rsidRPr="00FF36DF">
              <w:rPr>
                <w:rFonts w:eastAsia="Calibri"/>
              </w:rPr>
              <w:t>0.9</w:t>
            </w:r>
          </w:p>
        </w:tc>
        <w:tc>
          <w:tcPr>
            <w:tcW w:w="687" w:type="pct"/>
            <w:shd w:val="clear" w:color="auto" w:fill="auto"/>
          </w:tcPr>
          <w:p w14:paraId="192864FC" w14:textId="77777777" w:rsidR="008356A0" w:rsidRPr="00FF36DF" w:rsidRDefault="008356A0" w:rsidP="008356A0">
            <w:pPr>
              <w:pStyle w:val="Standaard-Tabellen"/>
              <w:rPr>
                <w:rFonts w:eastAsia="Calibri"/>
              </w:rPr>
            </w:pPr>
            <w:r w:rsidRPr="00FF36DF">
              <w:rPr>
                <w:rFonts w:eastAsia="Calibri"/>
              </w:rPr>
              <w:t>yes</w:t>
            </w:r>
          </w:p>
        </w:tc>
      </w:tr>
      <w:tr w:rsidR="008356A0" w:rsidRPr="00FF36DF" w14:paraId="606B24AF" w14:textId="77777777" w:rsidTr="00F96662">
        <w:tc>
          <w:tcPr>
            <w:tcW w:w="1134" w:type="pct"/>
            <w:shd w:val="clear" w:color="auto" w:fill="auto"/>
          </w:tcPr>
          <w:p w14:paraId="39F29A95" w14:textId="406F6D37" w:rsidR="008356A0" w:rsidRPr="00FF36DF" w:rsidRDefault="008356A0" w:rsidP="008356A0">
            <w:pPr>
              <w:pStyle w:val="Standaard-Tabellen"/>
              <w:rPr>
                <w:rFonts w:eastAsia="Calibri"/>
              </w:rPr>
            </w:pPr>
            <w:r w:rsidRPr="00FF36DF">
              <w:rPr>
                <w:rFonts w:eastAsia="Calibri"/>
              </w:rPr>
              <w:t>Scenario 2, inhal+oral, infant</w:t>
            </w:r>
          </w:p>
        </w:tc>
        <w:tc>
          <w:tcPr>
            <w:tcW w:w="316" w:type="pct"/>
            <w:shd w:val="clear" w:color="auto" w:fill="auto"/>
          </w:tcPr>
          <w:p w14:paraId="2B211E9F" w14:textId="0DBD9EEA" w:rsidR="008356A0" w:rsidRPr="00FF36DF" w:rsidRDefault="008356A0" w:rsidP="008356A0">
            <w:pPr>
              <w:pStyle w:val="Standaard-Tabellen"/>
              <w:rPr>
                <w:rFonts w:eastAsia="Calibri"/>
              </w:rPr>
            </w:pPr>
            <w:r>
              <w:rPr>
                <w:rFonts w:eastAsia="Calibri"/>
              </w:rPr>
              <w:t>2</w:t>
            </w:r>
          </w:p>
        </w:tc>
        <w:tc>
          <w:tcPr>
            <w:tcW w:w="693" w:type="pct"/>
            <w:shd w:val="clear" w:color="auto" w:fill="auto"/>
          </w:tcPr>
          <w:p w14:paraId="30A08118" w14:textId="3E8638DF"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18854C90" w14:textId="3E408FE3"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4DDCDF3D" w14:textId="77777777" w:rsidR="008356A0" w:rsidRDefault="008356A0" w:rsidP="008356A0">
            <w:pPr>
              <w:pStyle w:val="Standaard-Tabellen"/>
              <w:rPr>
                <w:rFonts w:cs="Arial"/>
              </w:rPr>
            </w:pPr>
            <w:r w:rsidRPr="0060548C">
              <w:rPr>
                <w:rFonts w:cs="Arial"/>
              </w:rPr>
              <w:t xml:space="preserve">0.0294 </w:t>
            </w:r>
          </w:p>
          <w:p w14:paraId="4CD6F7CB" w14:textId="2D6D16F4" w:rsidR="008356A0" w:rsidRPr="0060548C" w:rsidRDefault="008356A0" w:rsidP="008356A0">
            <w:pPr>
              <w:pStyle w:val="Standaard-Tabellen"/>
              <w:rPr>
                <w:rFonts w:cs="Arial"/>
              </w:rPr>
            </w:pPr>
            <w:r w:rsidRPr="0060548C">
              <w:rPr>
                <w:rFonts w:cs="Arial"/>
              </w:rPr>
              <w:t>mg/kg bw</w:t>
            </w:r>
          </w:p>
        </w:tc>
        <w:tc>
          <w:tcPr>
            <w:tcW w:w="683" w:type="pct"/>
            <w:shd w:val="clear" w:color="auto" w:fill="auto"/>
          </w:tcPr>
          <w:p w14:paraId="6DED0B86" w14:textId="4D1668C7" w:rsidR="008356A0" w:rsidRPr="00FF36DF" w:rsidRDefault="008356A0" w:rsidP="008356A0">
            <w:pPr>
              <w:pStyle w:val="Standaard-Tabellen"/>
              <w:rPr>
                <w:rFonts w:eastAsia="Calibri"/>
              </w:rPr>
            </w:pPr>
            <w:r w:rsidRPr="00F84A66">
              <w:rPr>
                <w:rFonts w:eastAsia="Calibri"/>
              </w:rPr>
              <w:t>0.6</w:t>
            </w:r>
          </w:p>
        </w:tc>
        <w:tc>
          <w:tcPr>
            <w:tcW w:w="687" w:type="pct"/>
            <w:shd w:val="clear" w:color="auto" w:fill="auto"/>
          </w:tcPr>
          <w:p w14:paraId="39DFF948" w14:textId="6FBE87D6" w:rsidR="008356A0" w:rsidRPr="00FF36DF" w:rsidRDefault="008356A0" w:rsidP="008356A0">
            <w:pPr>
              <w:pStyle w:val="Standaard-Tabellen"/>
              <w:rPr>
                <w:rFonts w:eastAsia="Calibri"/>
              </w:rPr>
            </w:pPr>
            <w:r w:rsidRPr="00FF36DF">
              <w:rPr>
                <w:rFonts w:eastAsia="Calibri"/>
              </w:rPr>
              <w:t>yes</w:t>
            </w:r>
          </w:p>
        </w:tc>
      </w:tr>
      <w:tr w:rsidR="008356A0" w:rsidRPr="00FF36DF" w14:paraId="29F637AB" w14:textId="77777777" w:rsidTr="00F96662">
        <w:tc>
          <w:tcPr>
            <w:tcW w:w="1134" w:type="pct"/>
            <w:shd w:val="clear" w:color="auto" w:fill="auto"/>
          </w:tcPr>
          <w:p w14:paraId="29638DAC" w14:textId="77777777" w:rsidR="008356A0" w:rsidRPr="00FF36DF" w:rsidRDefault="008356A0" w:rsidP="008356A0">
            <w:pPr>
              <w:pStyle w:val="Standaard-Tabellen"/>
              <w:rPr>
                <w:rFonts w:eastAsia="Calibri"/>
              </w:rPr>
            </w:pPr>
            <w:r w:rsidRPr="00FF36DF">
              <w:rPr>
                <w:rFonts w:eastAsia="Calibri"/>
              </w:rPr>
              <w:t>Scenario 3, hand-mouth transfer, adult</w:t>
            </w:r>
          </w:p>
        </w:tc>
        <w:tc>
          <w:tcPr>
            <w:tcW w:w="316" w:type="pct"/>
            <w:shd w:val="clear" w:color="auto" w:fill="auto"/>
          </w:tcPr>
          <w:p w14:paraId="6B3EC0D2"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6178211D"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589B33DE"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0C95EC8E" w14:textId="77777777" w:rsidR="008356A0" w:rsidRPr="00FF36DF" w:rsidRDefault="008356A0" w:rsidP="008356A0">
            <w:pPr>
              <w:pStyle w:val="Standaard-Tabellen"/>
              <w:rPr>
                <w:rFonts w:eastAsia="Calibri"/>
              </w:rPr>
            </w:pPr>
            <w:r w:rsidRPr="00FF36DF">
              <w:rPr>
                <w:rFonts w:eastAsia="Calibri"/>
              </w:rPr>
              <w:t xml:space="preserve">up to </w:t>
            </w:r>
            <w:r>
              <w:rPr>
                <w:rFonts w:eastAsia="Calibri"/>
              </w:rPr>
              <w:t>3.57</w:t>
            </w:r>
          </w:p>
          <w:p w14:paraId="0AC770B1" w14:textId="18B14073" w:rsidR="008356A0" w:rsidRPr="00FF36DF" w:rsidRDefault="008356A0" w:rsidP="008356A0">
            <w:pPr>
              <w:pStyle w:val="Standaard-Tabellen"/>
              <w:rPr>
                <w:rFonts w:eastAsia="Calibri"/>
              </w:rPr>
            </w:pPr>
            <w:r w:rsidRPr="00FF36DF">
              <w:rPr>
                <w:rFonts w:eastAsia="Calibri"/>
              </w:rPr>
              <w:t>applications</w:t>
            </w:r>
          </w:p>
        </w:tc>
        <w:tc>
          <w:tcPr>
            <w:tcW w:w="683" w:type="pct"/>
            <w:shd w:val="clear" w:color="auto" w:fill="auto"/>
          </w:tcPr>
          <w:p w14:paraId="203AF4A5" w14:textId="77777777" w:rsidR="008356A0" w:rsidRPr="00FF36DF" w:rsidRDefault="008356A0" w:rsidP="008356A0">
            <w:pPr>
              <w:pStyle w:val="Standaard-Tabellen"/>
              <w:rPr>
                <w:rFonts w:eastAsia="Calibri"/>
              </w:rPr>
            </w:pPr>
            <w:r w:rsidRPr="00FF36DF">
              <w:rPr>
                <w:rFonts w:eastAsia="Calibri"/>
              </w:rPr>
              <w:t>n.a.</w:t>
            </w:r>
          </w:p>
        </w:tc>
        <w:tc>
          <w:tcPr>
            <w:tcW w:w="687" w:type="pct"/>
            <w:shd w:val="clear" w:color="auto" w:fill="auto"/>
          </w:tcPr>
          <w:p w14:paraId="10C81637" w14:textId="77777777" w:rsidR="008356A0" w:rsidRPr="00FF36DF" w:rsidRDefault="008356A0" w:rsidP="008356A0">
            <w:pPr>
              <w:pStyle w:val="Standaard-Tabellen"/>
              <w:rPr>
                <w:rFonts w:eastAsia="Calibri"/>
              </w:rPr>
            </w:pPr>
            <w:r w:rsidRPr="00FF36DF">
              <w:rPr>
                <w:rFonts w:eastAsia="Calibri"/>
              </w:rPr>
              <w:t>Reverse</w:t>
            </w:r>
          </w:p>
          <w:p w14:paraId="6708FF44" w14:textId="77777777" w:rsidR="008356A0" w:rsidRPr="00FF36DF" w:rsidRDefault="008356A0" w:rsidP="008356A0">
            <w:pPr>
              <w:pStyle w:val="Standaard-Tabellen"/>
              <w:rPr>
                <w:rFonts w:eastAsia="Calibri"/>
              </w:rPr>
            </w:pPr>
            <w:r w:rsidRPr="00FF36DF">
              <w:rPr>
                <w:rFonts w:eastAsia="Calibri"/>
              </w:rPr>
              <w:t>reference</w:t>
            </w:r>
          </w:p>
          <w:p w14:paraId="5F35B1E3" w14:textId="77777777" w:rsidR="008356A0" w:rsidRPr="00FF36DF" w:rsidRDefault="008356A0" w:rsidP="008356A0">
            <w:pPr>
              <w:pStyle w:val="Standaard-Tabellen"/>
              <w:rPr>
                <w:rFonts w:eastAsia="Calibri"/>
              </w:rPr>
            </w:pPr>
            <w:r w:rsidRPr="00FF36DF">
              <w:rPr>
                <w:rFonts w:eastAsia="Calibri"/>
              </w:rPr>
              <w:t>scenario</w:t>
            </w:r>
          </w:p>
        </w:tc>
      </w:tr>
      <w:tr w:rsidR="008356A0" w:rsidRPr="00FF36DF" w14:paraId="43C0160D" w14:textId="77777777" w:rsidTr="00F96662">
        <w:tc>
          <w:tcPr>
            <w:tcW w:w="1134" w:type="pct"/>
            <w:shd w:val="clear" w:color="auto" w:fill="auto"/>
          </w:tcPr>
          <w:p w14:paraId="65C26BAB" w14:textId="77777777" w:rsidR="008356A0" w:rsidRPr="00FF36DF" w:rsidRDefault="008356A0" w:rsidP="008356A0">
            <w:pPr>
              <w:pStyle w:val="Standaard-Tabellen"/>
              <w:rPr>
                <w:rFonts w:eastAsia="Calibri"/>
              </w:rPr>
            </w:pPr>
            <w:r w:rsidRPr="00FF36DF">
              <w:rPr>
                <w:rFonts w:eastAsia="Calibri"/>
              </w:rPr>
              <w:t>Scenario 3, hand-mouth transfer, child</w:t>
            </w:r>
          </w:p>
        </w:tc>
        <w:tc>
          <w:tcPr>
            <w:tcW w:w="316" w:type="pct"/>
            <w:shd w:val="clear" w:color="auto" w:fill="auto"/>
          </w:tcPr>
          <w:p w14:paraId="6EA96313"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734AB594"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1424DB57"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21E8893F" w14:textId="77777777" w:rsidR="008356A0" w:rsidRPr="00FF36DF" w:rsidRDefault="008356A0" w:rsidP="008356A0">
            <w:pPr>
              <w:pStyle w:val="Standaard-Tabellen"/>
              <w:rPr>
                <w:rFonts w:eastAsia="Calibri"/>
              </w:rPr>
            </w:pPr>
            <w:r w:rsidRPr="00FF36DF">
              <w:rPr>
                <w:rFonts w:eastAsia="Calibri"/>
              </w:rPr>
              <w:t xml:space="preserve">up to </w:t>
            </w:r>
            <w:r>
              <w:rPr>
                <w:rFonts w:eastAsia="Calibri"/>
              </w:rPr>
              <w:t>2.99</w:t>
            </w:r>
          </w:p>
          <w:p w14:paraId="323BC61C" w14:textId="121D205F" w:rsidR="008356A0" w:rsidRPr="00FF36DF" w:rsidRDefault="008356A0" w:rsidP="008356A0">
            <w:pPr>
              <w:pStyle w:val="Standaard-Tabellen"/>
              <w:rPr>
                <w:rFonts w:eastAsia="Calibri"/>
              </w:rPr>
            </w:pPr>
            <w:r w:rsidRPr="00FF36DF">
              <w:rPr>
                <w:rFonts w:eastAsia="Calibri"/>
              </w:rPr>
              <w:t>applications</w:t>
            </w:r>
          </w:p>
        </w:tc>
        <w:tc>
          <w:tcPr>
            <w:tcW w:w="683" w:type="pct"/>
            <w:shd w:val="clear" w:color="auto" w:fill="auto"/>
          </w:tcPr>
          <w:p w14:paraId="3A2BFB36" w14:textId="77777777" w:rsidR="008356A0" w:rsidRPr="00FF36DF" w:rsidRDefault="008356A0" w:rsidP="008356A0">
            <w:pPr>
              <w:pStyle w:val="Standaard-Tabellen"/>
              <w:rPr>
                <w:rFonts w:eastAsia="Calibri"/>
              </w:rPr>
            </w:pPr>
            <w:r w:rsidRPr="00FF36DF">
              <w:rPr>
                <w:rFonts w:eastAsia="Calibri"/>
              </w:rPr>
              <w:t>n.a.</w:t>
            </w:r>
          </w:p>
        </w:tc>
        <w:tc>
          <w:tcPr>
            <w:tcW w:w="687" w:type="pct"/>
            <w:shd w:val="clear" w:color="auto" w:fill="auto"/>
          </w:tcPr>
          <w:p w14:paraId="445114B1" w14:textId="77777777" w:rsidR="008356A0" w:rsidRPr="00FF36DF" w:rsidRDefault="008356A0" w:rsidP="008356A0">
            <w:pPr>
              <w:pStyle w:val="Standaard-Tabellen"/>
              <w:rPr>
                <w:rFonts w:eastAsia="Calibri"/>
              </w:rPr>
            </w:pPr>
            <w:r w:rsidRPr="00FF36DF">
              <w:rPr>
                <w:rFonts w:eastAsia="Calibri"/>
              </w:rPr>
              <w:t>Reverse</w:t>
            </w:r>
          </w:p>
          <w:p w14:paraId="7593AE7A" w14:textId="77777777" w:rsidR="008356A0" w:rsidRPr="00FF36DF" w:rsidRDefault="008356A0" w:rsidP="008356A0">
            <w:pPr>
              <w:pStyle w:val="Standaard-Tabellen"/>
              <w:rPr>
                <w:rFonts w:eastAsia="Calibri"/>
              </w:rPr>
            </w:pPr>
            <w:r w:rsidRPr="00FF36DF">
              <w:rPr>
                <w:rFonts w:eastAsia="Calibri"/>
              </w:rPr>
              <w:t>reference</w:t>
            </w:r>
          </w:p>
          <w:p w14:paraId="3D9978E7" w14:textId="77777777" w:rsidR="008356A0" w:rsidRPr="00FF36DF" w:rsidRDefault="008356A0" w:rsidP="008356A0">
            <w:pPr>
              <w:pStyle w:val="Standaard-Tabellen"/>
              <w:rPr>
                <w:rFonts w:eastAsia="Calibri"/>
              </w:rPr>
            </w:pPr>
            <w:r w:rsidRPr="00FF36DF">
              <w:rPr>
                <w:rFonts w:eastAsia="Calibri"/>
              </w:rPr>
              <w:t>scenario</w:t>
            </w:r>
          </w:p>
        </w:tc>
      </w:tr>
      <w:tr w:rsidR="008356A0" w:rsidRPr="00FF36DF" w14:paraId="3CE5DE20" w14:textId="77777777" w:rsidTr="00F96662">
        <w:tc>
          <w:tcPr>
            <w:tcW w:w="1134" w:type="pct"/>
            <w:shd w:val="clear" w:color="auto" w:fill="auto"/>
          </w:tcPr>
          <w:p w14:paraId="3B1ACC49" w14:textId="77777777" w:rsidR="008356A0" w:rsidRPr="00FF36DF" w:rsidRDefault="008356A0" w:rsidP="008356A0">
            <w:pPr>
              <w:pStyle w:val="Standaard-Tabellen"/>
              <w:rPr>
                <w:rFonts w:eastAsia="Calibri"/>
              </w:rPr>
            </w:pPr>
            <w:r w:rsidRPr="00FF36DF">
              <w:rPr>
                <w:rFonts w:eastAsia="Calibri"/>
              </w:rPr>
              <w:t>Scenario 3, hand-mouth transfer, toddler</w:t>
            </w:r>
          </w:p>
        </w:tc>
        <w:tc>
          <w:tcPr>
            <w:tcW w:w="316" w:type="pct"/>
            <w:shd w:val="clear" w:color="auto" w:fill="auto"/>
          </w:tcPr>
          <w:p w14:paraId="0E1BE503"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5F2D6B6C"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6C7EE513"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2E1F9E41" w14:textId="77777777" w:rsidR="008356A0" w:rsidRPr="00FF36DF" w:rsidRDefault="008356A0" w:rsidP="008356A0">
            <w:pPr>
              <w:pStyle w:val="Standaard-Tabellen"/>
              <w:rPr>
                <w:rFonts w:eastAsia="Calibri"/>
              </w:rPr>
            </w:pPr>
            <w:r w:rsidRPr="00FF36DF">
              <w:rPr>
                <w:rFonts w:eastAsia="Calibri"/>
              </w:rPr>
              <w:t xml:space="preserve">up to </w:t>
            </w:r>
            <w:r>
              <w:rPr>
                <w:rFonts w:eastAsia="Calibri"/>
              </w:rPr>
              <w:t>1.72</w:t>
            </w:r>
          </w:p>
          <w:p w14:paraId="00FB3F52" w14:textId="76F4ECC0" w:rsidR="008356A0" w:rsidRPr="00FF36DF" w:rsidRDefault="008356A0" w:rsidP="008356A0">
            <w:pPr>
              <w:pStyle w:val="Standaard-Tabellen"/>
              <w:rPr>
                <w:rFonts w:eastAsia="Calibri"/>
              </w:rPr>
            </w:pPr>
            <w:r w:rsidRPr="00FF36DF">
              <w:rPr>
                <w:rFonts w:eastAsia="Calibri"/>
              </w:rPr>
              <w:t>applications</w:t>
            </w:r>
          </w:p>
        </w:tc>
        <w:tc>
          <w:tcPr>
            <w:tcW w:w="683" w:type="pct"/>
            <w:shd w:val="clear" w:color="auto" w:fill="auto"/>
          </w:tcPr>
          <w:p w14:paraId="41B8D39A" w14:textId="77777777" w:rsidR="008356A0" w:rsidRPr="00FF36DF" w:rsidRDefault="008356A0" w:rsidP="008356A0">
            <w:pPr>
              <w:pStyle w:val="Standaard-Tabellen"/>
              <w:rPr>
                <w:rFonts w:eastAsia="Calibri"/>
              </w:rPr>
            </w:pPr>
            <w:r w:rsidRPr="00FF36DF">
              <w:rPr>
                <w:rFonts w:eastAsia="Calibri"/>
              </w:rPr>
              <w:t>n.a.</w:t>
            </w:r>
          </w:p>
        </w:tc>
        <w:tc>
          <w:tcPr>
            <w:tcW w:w="687" w:type="pct"/>
            <w:shd w:val="clear" w:color="auto" w:fill="auto"/>
          </w:tcPr>
          <w:p w14:paraId="6A9A983B" w14:textId="77777777" w:rsidR="008356A0" w:rsidRPr="00FF36DF" w:rsidRDefault="008356A0" w:rsidP="008356A0">
            <w:pPr>
              <w:pStyle w:val="Standaard-Tabellen"/>
              <w:rPr>
                <w:rFonts w:eastAsia="Calibri"/>
              </w:rPr>
            </w:pPr>
            <w:r w:rsidRPr="00FF36DF">
              <w:rPr>
                <w:rFonts w:eastAsia="Calibri"/>
              </w:rPr>
              <w:t>Reverse</w:t>
            </w:r>
          </w:p>
          <w:p w14:paraId="47CEFA35" w14:textId="77777777" w:rsidR="008356A0" w:rsidRPr="00FF36DF" w:rsidRDefault="008356A0" w:rsidP="008356A0">
            <w:pPr>
              <w:pStyle w:val="Standaard-Tabellen"/>
              <w:rPr>
                <w:rFonts w:eastAsia="Calibri"/>
              </w:rPr>
            </w:pPr>
            <w:r w:rsidRPr="00FF36DF">
              <w:rPr>
                <w:rFonts w:eastAsia="Calibri"/>
              </w:rPr>
              <w:t>reference</w:t>
            </w:r>
          </w:p>
          <w:p w14:paraId="6A6196DF" w14:textId="77777777" w:rsidR="008356A0" w:rsidRPr="00FF36DF" w:rsidRDefault="008356A0" w:rsidP="008356A0">
            <w:pPr>
              <w:pStyle w:val="Standaard-Tabellen"/>
              <w:rPr>
                <w:rFonts w:eastAsia="Calibri"/>
              </w:rPr>
            </w:pPr>
            <w:r w:rsidRPr="00FF36DF">
              <w:rPr>
                <w:rFonts w:eastAsia="Calibri"/>
              </w:rPr>
              <w:t>scenario</w:t>
            </w:r>
          </w:p>
        </w:tc>
      </w:tr>
      <w:tr w:rsidR="008356A0" w:rsidRPr="00FF36DF" w14:paraId="7163B028" w14:textId="77777777" w:rsidTr="00F96662">
        <w:tc>
          <w:tcPr>
            <w:tcW w:w="1134" w:type="pct"/>
            <w:shd w:val="clear" w:color="auto" w:fill="auto"/>
          </w:tcPr>
          <w:p w14:paraId="598747CB" w14:textId="77777777" w:rsidR="008356A0" w:rsidRPr="00FF36DF" w:rsidRDefault="008356A0" w:rsidP="008356A0">
            <w:pPr>
              <w:pStyle w:val="Standaard-Tabellen"/>
              <w:rPr>
                <w:rFonts w:eastAsia="Calibri"/>
              </w:rPr>
            </w:pPr>
            <w:r w:rsidRPr="00FF36DF">
              <w:rPr>
                <w:rFonts w:eastAsia="Calibri"/>
              </w:rPr>
              <w:t>Scenario 3, hand-mouth transfer, infant</w:t>
            </w:r>
          </w:p>
        </w:tc>
        <w:tc>
          <w:tcPr>
            <w:tcW w:w="316" w:type="pct"/>
            <w:shd w:val="clear" w:color="auto" w:fill="auto"/>
          </w:tcPr>
          <w:p w14:paraId="35DA0C3D"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091463AB"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6E4052FC"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4C36A646" w14:textId="77777777" w:rsidR="008356A0" w:rsidRPr="00FF36DF" w:rsidRDefault="008356A0" w:rsidP="008356A0">
            <w:pPr>
              <w:pStyle w:val="Standaard-Tabellen"/>
              <w:rPr>
                <w:rFonts w:eastAsia="Calibri"/>
              </w:rPr>
            </w:pPr>
            <w:r w:rsidRPr="00FF36DF">
              <w:rPr>
                <w:rFonts w:eastAsia="Calibri"/>
              </w:rPr>
              <w:t xml:space="preserve">up to </w:t>
            </w:r>
            <w:r>
              <w:rPr>
                <w:rFonts w:eastAsia="Calibri"/>
              </w:rPr>
              <w:t>1.38</w:t>
            </w:r>
          </w:p>
          <w:p w14:paraId="415767E8" w14:textId="54D306C7" w:rsidR="008356A0" w:rsidRPr="00FF36DF" w:rsidRDefault="008356A0" w:rsidP="008356A0">
            <w:pPr>
              <w:pStyle w:val="Standaard-Tabellen"/>
              <w:rPr>
                <w:rFonts w:eastAsia="Calibri"/>
              </w:rPr>
            </w:pPr>
            <w:r w:rsidRPr="00FF36DF">
              <w:rPr>
                <w:rFonts w:eastAsia="Calibri"/>
              </w:rPr>
              <w:t>applications</w:t>
            </w:r>
          </w:p>
        </w:tc>
        <w:tc>
          <w:tcPr>
            <w:tcW w:w="683" w:type="pct"/>
            <w:shd w:val="clear" w:color="auto" w:fill="auto"/>
          </w:tcPr>
          <w:p w14:paraId="513A0F0A" w14:textId="77777777" w:rsidR="008356A0" w:rsidRPr="00FF36DF" w:rsidRDefault="008356A0" w:rsidP="008356A0">
            <w:pPr>
              <w:pStyle w:val="Standaard-Tabellen"/>
              <w:rPr>
                <w:rFonts w:eastAsia="Calibri"/>
              </w:rPr>
            </w:pPr>
            <w:r w:rsidRPr="00FF36DF">
              <w:rPr>
                <w:rFonts w:eastAsia="Calibri"/>
              </w:rPr>
              <w:t>n.a.</w:t>
            </w:r>
          </w:p>
        </w:tc>
        <w:tc>
          <w:tcPr>
            <w:tcW w:w="687" w:type="pct"/>
            <w:shd w:val="clear" w:color="auto" w:fill="auto"/>
          </w:tcPr>
          <w:p w14:paraId="3B5FD1B8" w14:textId="77777777" w:rsidR="008356A0" w:rsidRPr="00FF36DF" w:rsidRDefault="008356A0" w:rsidP="008356A0">
            <w:pPr>
              <w:pStyle w:val="Standaard-Tabellen"/>
              <w:rPr>
                <w:rFonts w:eastAsia="Calibri"/>
              </w:rPr>
            </w:pPr>
            <w:r w:rsidRPr="00FF36DF">
              <w:rPr>
                <w:rFonts w:eastAsia="Calibri"/>
              </w:rPr>
              <w:t>Reverse</w:t>
            </w:r>
          </w:p>
          <w:p w14:paraId="65FD4693" w14:textId="77777777" w:rsidR="008356A0" w:rsidRPr="00FF36DF" w:rsidRDefault="008356A0" w:rsidP="008356A0">
            <w:pPr>
              <w:pStyle w:val="Standaard-Tabellen"/>
              <w:rPr>
                <w:rFonts w:eastAsia="Calibri"/>
              </w:rPr>
            </w:pPr>
            <w:r w:rsidRPr="00FF36DF">
              <w:rPr>
                <w:rFonts w:eastAsia="Calibri"/>
              </w:rPr>
              <w:t>reference</w:t>
            </w:r>
          </w:p>
          <w:p w14:paraId="40896139" w14:textId="77777777" w:rsidR="008356A0" w:rsidRPr="00FF36DF" w:rsidRDefault="008356A0" w:rsidP="008356A0">
            <w:pPr>
              <w:pStyle w:val="Standaard-Tabellen"/>
              <w:rPr>
                <w:rFonts w:eastAsia="Calibri"/>
              </w:rPr>
            </w:pPr>
            <w:r w:rsidRPr="00FF36DF">
              <w:rPr>
                <w:rFonts w:eastAsia="Calibri"/>
              </w:rPr>
              <w:t>scenario</w:t>
            </w:r>
          </w:p>
        </w:tc>
      </w:tr>
      <w:tr w:rsidR="00FD3FF9" w:rsidRPr="00FF36DF" w14:paraId="152FC3AB" w14:textId="77777777" w:rsidTr="00F96662">
        <w:tc>
          <w:tcPr>
            <w:tcW w:w="1134" w:type="pct"/>
            <w:shd w:val="clear" w:color="auto" w:fill="auto"/>
          </w:tcPr>
          <w:p w14:paraId="1869D051" w14:textId="77777777" w:rsidR="00FD3FF9" w:rsidRPr="00FF36DF" w:rsidRDefault="00FD3FF9" w:rsidP="00F96662">
            <w:pPr>
              <w:pStyle w:val="Standaard-Tabellen"/>
              <w:rPr>
                <w:rFonts w:eastAsia="Calibri"/>
              </w:rPr>
            </w:pPr>
            <w:r w:rsidRPr="00FF36DF">
              <w:rPr>
                <w:rFonts w:eastAsia="Calibri"/>
              </w:rPr>
              <w:t>Scenario 4, inhal+oral, adult</w:t>
            </w:r>
          </w:p>
        </w:tc>
        <w:tc>
          <w:tcPr>
            <w:tcW w:w="316" w:type="pct"/>
            <w:shd w:val="clear" w:color="auto" w:fill="auto"/>
          </w:tcPr>
          <w:p w14:paraId="2E69688D" w14:textId="77777777" w:rsidR="00FD3FF9" w:rsidRPr="00FF36DF" w:rsidRDefault="00FD3FF9" w:rsidP="00F96662">
            <w:pPr>
              <w:pStyle w:val="Standaard-Tabellen"/>
              <w:rPr>
                <w:rFonts w:eastAsia="Calibri"/>
              </w:rPr>
            </w:pPr>
            <w:r w:rsidRPr="00FF36DF">
              <w:rPr>
                <w:rFonts w:eastAsia="Calibri"/>
              </w:rPr>
              <w:t>1</w:t>
            </w:r>
          </w:p>
        </w:tc>
        <w:tc>
          <w:tcPr>
            <w:tcW w:w="693" w:type="pct"/>
            <w:shd w:val="clear" w:color="auto" w:fill="auto"/>
          </w:tcPr>
          <w:p w14:paraId="1CDCBABF" w14:textId="77777777" w:rsidR="00FD3FF9" w:rsidRPr="00FF36DF" w:rsidRDefault="00FD3FF9" w:rsidP="00F96662">
            <w:pPr>
              <w:pStyle w:val="Standaard-Tabellen"/>
              <w:rPr>
                <w:rFonts w:eastAsia="Calibri"/>
              </w:rPr>
            </w:pPr>
            <w:r w:rsidRPr="00FF36DF">
              <w:rPr>
                <w:rFonts w:eastAsia="Calibri"/>
              </w:rPr>
              <w:t>500</w:t>
            </w:r>
          </w:p>
        </w:tc>
        <w:tc>
          <w:tcPr>
            <w:tcW w:w="574" w:type="pct"/>
            <w:shd w:val="clear" w:color="auto" w:fill="auto"/>
          </w:tcPr>
          <w:p w14:paraId="5AF4FCD7" w14:textId="77777777" w:rsidR="00FD3FF9" w:rsidRPr="00FF36DF" w:rsidRDefault="00FD3FF9" w:rsidP="00F96662">
            <w:pPr>
              <w:pStyle w:val="Standaard-Tabellen"/>
              <w:rPr>
                <w:rFonts w:eastAsia="Calibri"/>
              </w:rPr>
            </w:pPr>
            <w:r w:rsidRPr="00FF36DF">
              <w:rPr>
                <w:rFonts w:eastAsia="Calibri"/>
              </w:rPr>
              <w:t>5</w:t>
            </w:r>
          </w:p>
        </w:tc>
        <w:tc>
          <w:tcPr>
            <w:tcW w:w="912" w:type="pct"/>
            <w:shd w:val="clear" w:color="auto" w:fill="auto"/>
          </w:tcPr>
          <w:p w14:paraId="03949A94" w14:textId="77777777" w:rsidR="00FD3FF9" w:rsidRPr="00FF36DF" w:rsidRDefault="00FD3FF9" w:rsidP="00F96662">
            <w:pPr>
              <w:pStyle w:val="Standaard-Tabellen"/>
              <w:rPr>
                <w:rFonts w:eastAsia="Calibri"/>
              </w:rPr>
            </w:pPr>
            <w:r w:rsidRPr="00FF36DF">
              <w:rPr>
                <w:rFonts w:eastAsia="Calibri"/>
              </w:rPr>
              <w:t>0.0262</w:t>
            </w:r>
          </w:p>
          <w:p w14:paraId="76FAC467" w14:textId="77777777" w:rsidR="00FD3FF9" w:rsidRPr="00FF36DF" w:rsidRDefault="00FD3FF9" w:rsidP="00F96662">
            <w:pPr>
              <w:pStyle w:val="Standaard-Tabellen"/>
              <w:rPr>
                <w:rFonts w:eastAsia="Calibri"/>
              </w:rPr>
            </w:pPr>
            <w:r w:rsidRPr="00FF36DF">
              <w:rPr>
                <w:rFonts w:eastAsia="Calibri"/>
              </w:rPr>
              <w:t>mg/kg bw</w:t>
            </w:r>
          </w:p>
        </w:tc>
        <w:tc>
          <w:tcPr>
            <w:tcW w:w="683" w:type="pct"/>
            <w:shd w:val="clear" w:color="auto" w:fill="auto"/>
          </w:tcPr>
          <w:p w14:paraId="0D4D9CCE" w14:textId="77777777" w:rsidR="00FD3FF9" w:rsidRPr="00FF36DF" w:rsidRDefault="00FD3FF9" w:rsidP="00F96662">
            <w:pPr>
              <w:pStyle w:val="Standaard-Tabellen"/>
              <w:rPr>
                <w:rFonts w:eastAsia="Calibri"/>
              </w:rPr>
            </w:pPr>
            <w:r w:rsidRPr="00FF36DF">
              <w:rPr>
                <w:rFonts w:eastAsia="Calibri"/>
              </w:rPr>
              <w:t>0.5</w:t>
            </w:r>
          </w:p>
        </w:tc>
        <w:tc>
          <w:tcPr>
            <w:tcW w:w="687" w:type="pct"/>
            <w:shd w:val="clear" w:color="auto" w:fill="auto"/>
          </w:tcPr>
          <w:p w14:paraId="75854833" w14:textId="77777777" w:rsidR="00FD3FF9" w:rsidRPr="00FF36DF" w:rsidRDefault="00FD3FF9" w:rsidP="00F96662">
            <w:pPr>
              <w:pStyle w:val="Standaard-Tabellen"/>
              <w:rPr>
                <w:rFonts w:eastAsia="Calibri"/>
              </w:rPr>
            </w:pPr>
            <w:r w:rsidRPr="00FF36DF">
              <w:rPr>
                <w:rFonts w:eastAsia="Calibri"/>
              </w:rPr>
              <w:t>yes</w:t>
            </w:r>
          </w:p>
        </w:tc>
      </w:tr>
      <w:tr w:rsidR="008356A0" w:rsidRPr="00FF36DF" w14:paraId="21237A0F" w14:textId="77777777" w:rsidTr="00F96662">
        <w:tc>
          <w:tcPr>
            <w:tcW w:w="1134" w:type="pct"/>
            <w:shd w:val="clear" w:color="auto" w:fill="auto"/>
          </w:tcPr>
          <w:p w14:paraId="64722367" w14:textId="77777777" w:rsidR="008356A0" w:rsidRPr="00FF36DF" w:rsidRDefault="008356A0" w:rsidP="008356A0">
            <w:pPr>
              <w:pStyle w:val="Standaard-Tabellen"/>
              <w:rPr>
                <w:rFonts w:eastAsia="Calibri"/>
              </w:rPr>
            </w:pPr>
            <w:r w:rsidRPr="00FF36DF">
              <w:rPr>
                <w:rFonts w:eastAsia="Calibri"/>
              </w:rPr>
              <w:t>Scenario 5, inhal, adult</w:t>
            </w:r>
          </w:p>
        </w:tc>
        <w:tc>
          <w:tcPr>
            <w:tcW w:w="316" w:type="pct"/>
            <w:shd w:val="clear" w:color="auto" w:fill="auto"/>
          </w:tcPr>
          <w:p w14:paraId="09C50DAC"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67AA3E7F"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092C8520"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76530BF1" w14:textId="77777777" w:rsidR="008356A0" w:rsidRPr="00570FB3" w:rsidRDefault="008356A0" w:rsidP="008356A0">
            <w:pPr>
              <w:pStyle w:val="Standaard-Tabellen"/>
              <w:rPr>
                <w:rFonts w:eastAsia="Calibri"/>
              </w:rPr>
            </w:pPr>
            <w:r w:rsidRPr="00F84A66">
              <w:rPr>
                <w:rFonts w:eastAsia="Calibri"/>
              </w:rPr>
              <w:t>1.1</w:t>
            </w:r>
          </w:p>
          <w:p w14:paraId="58FAA9A1" w14:textId="664F51E4" w:rsidR="008356A0" w:rsidRPr="00FF36DF" w:rsidRDefault="008356A0" w:rsidP="008356A0">
            <w:pPr>
              <w:pStyle w:val="Standaard-Tabellen"/>
              <w:rPr>
                <w:rFonts w:eastAsia="Calibri"/>
              </w:rPr>
            </w:pPr>
            <w:r w:rsidRPr="00A6548C">
              <w:rPr>
                <w:rFonts w:eastAsia="Calibri"/>
              </w:rPr>
              <w:t>mg/kg bw/day</w:t>
            </w:r>
          </w:p>
        </w:tc>
        <w:tc>
          <w:tcPr>
            <w:tcW w:w="683" w:type="pct"/>
            <w:shd w:val="clear" w:color="auto" w:fill="auto"/>
          </w:tcPr>
          <w:p w14:paraId="234A725C" w14:textId="0C058CB8" w:rsidR="008356A0" w:rsidRPr="00FF36DF" w:rsidRDefault="008356A0" w:rsidP="008356A0">
            <w:pPr>
              <w:pStyle w:val="Standaard-Tabellen"/>
              <w:rPr>
                <w:rFonts w:eastAsia="Calibri"/>
              </w:rPr>
            </w:pPr>
            <w:r w:rsidRPr="00F84A66">
              <w:rPr>
                <w:rFonts w:eastAsia="Calibri"/>
              </w:rPr>
              <w:t>22</w:t>
            </w:r>
          </w:p>
        </w:tc>
        <w:tc>
          <w:tcPr>
            <w:tcW w:w="687" w:type="pct"/>
            <w:shd w:val="clear" w:color="auto" w:fill="auto"/>
          </w:tcPr>
          <w:p w14:paraId="7A120A56" w14:textId="77777777" w:rsidR="008356A0" w:rsidRPr="00FF36DF" w:rsidRDefault="008356A0" w:rsidP="008356A0">
            <w:pPr>
              <w:pStyle w:val="Standaard-Tabellen"/>
              <w:rPr>
                <w:rFonts w:eastAsia="Calibri"/>
              </w:rPr>
            </w:pPr>
            <w:r w:rsidRPr="00FF36DF">
              <w:rPr>
                <w:rFonts w:eastAsia="Calibri"/>
              </w:rPr>
              <w:t>yes</w:t>
            </w:r>
          </w:p>
        </w:tc>
      </w:tr>
      <w:tr w:rsidR="008356A0" w:rsidRPr="00FF36DF" w14:paraId="74F3AADF" w14:textId="77777777" w:rsidTr="00F96662">
        <w:tc>
          <w:tcPr>
            <w:tcW w:w="1134" w:type="pct"/>
            <w:shd w:val="clear" w:color="auto" w:fill="auto"/>
          </w:tcPr>
          <w:p w14:paraId="690E4BD1" w14:textId="77777777" w:rsidR="008356A0" w:rsidRPr="00FF36DF" w:rsidRDefault="008356A0" w:rsidP="008356A0">
            <w:pPr>
              <w:pStyle w:val="Standaard-Tabellen"/>
              <w:rPr>
                <w:rFonts w:eastAsia="Calibri"/>
              </w:rPr>
            </w:pPr>
            <w:r w:rsidRPr="00FF36DF">
              <w:rPr>
                <w:rFonts w:eastAsia="Calibri"/>
              </w:rPr>
              <w:t>Scenario 5, inhal, child</w:t>
            </w:r>
          </w:p>
        </w:tc>
        <w:tc>
          <w:tcPr>
            <w:tcW w:w="316" w:type="pct"/>
            <w:shd w:val="clear" w:color="auto" w:fill="auto"/>
          </w:tcPr>
          <w:p w14:paraId="647F7DDF"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0A0CB1E7"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24118EE3"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0444BD3E" w14:textId="77777777" w:rsidR="008356A0" w:rsidRPr="00570FB3" w:rsidRDefault="008356A0" w:rsidP="008356A0">
            <w:pPr>
              <w:pStyle w:val="Standaard-Tabellen"/>
              <w:rPr>
                <w:rFonts w:eastAsia="Calibri"/>
              </w:rPr>
            </w:pPr>
            <w:r w:rsidRPr="00F84A66">
              <w:rPr>
                <w:rFonts w:eastAsia="Calibri"/>
              </w:rPr>
              <w:t>1.4</w:t>
            </w:r>
          </w:p>
          <w:p w14:paraId="2505DBCF" w14:textId="2DA42524" w:rsidR="008356A0" w:rsidRPr="00FF36DF" w:rsidRDefault="008356A0" w:rsidP="008356A0">
            <w:pPr>
              <w:pStyle w:val="Standaard-Tabellen"/>
              <w:rPr>
                <w:rFonts w:eastAsia="Calibri"/>
              </w:rPr>
            </w:pPr>
            <w:r w:rsidRPr="00A6548C">
              <w:rPr>
                <w:rFonts w:eastAsia="Calibri"/>
              </w:rPr>
              <w:t>mg/kg bw/day</w:t>
            </w:r>
          </w:p>
        </w:tc>
        <w:tc>
          <w:tcPr>
            <w:tcW w:w="683" w:type="pct"/>
            <w:shd w:val="clear" w:color="auto" w:fill="auto"/>
          </w:tcPr>
          <w:p w14:paraId="6CCE6199" w14:textId="0D319C97" w:rsidR="008356A0" w:rsidRPr="00FF36DF" w:rsidRDefault="008356A0" w:rsidP="008356A0">
            <w:pPr>
              <w:pStyle w:val="Standaard-Tabellen"/>
              <w:rPr>
                <w:rFonts w:eastAsia="Calibri"/>
              </w:rPr>
            </w:pPr>
            <w:r w:rsidRPr="00F84A66">
              <w:rPr>
                <w:rFonts w:eastAsia="Calibri"/>
              </w:rPr>
              <w:t>28</w:t>
            </w:r>
          </w:p>
        </w:tc>
        <w:tc>
          <w:tcPr>
            <w:tcW w:w="687" w:type="pct"/>
            <w:shd w:val="clear" w:color="auto" w:fill="auto"/>
          </w:tcPr>
          <w:p w14:paraId="44831CC6" w14:textId="77777777" w:rsidR="008356A0" w:rsidRPr="00FF36DF" w:rsidRDefault="008356A0" w:rsidP="008356A0">
            <w:pPr>
              <w:pStyle w:val="Standaard-Tabellen"/>
              <w:rPr>
                <w:rFonts w:eastAsia="Calibri"/>
              </w:rPr>
            </w:pPr>
            <w:r w:rsidRPr="00FF36DF">
              <w:rPr>
                <w:rFonts w:eastAsia="Calibri"/>
              </w:rPr>
              <w:t>yes</w:t>
            </w:r>
          </w:p>
        </w:tc>
      </w:tr>
      <w:tr w:rsidR="008356A0" w:rsidRPr="00FF36DF" w14:paraId="0114E7AF" w14:textId="77777777" w:rsidTr="00F96662">
        <w:tc>
          <w:tcPr>
            <w:tcW w:w="1134" w:type="pct"/>
            <w:shd w:val="clear" w:color="auto" w:fill="auto"/>
          </w:tcPr>
          <w:p w14:paraId="42EF3023" w14:textId="77777777" w:rsidR="008356A0" w:rsidRPr="00FF36DF" w:rsidRDefault="008356A0" w:rsidP="008356A0">
            <w:pPr>
              <w:pStyle w:val="Standaard-Tabellen"/>
              <w:rPr>
                <w:rFonts w:eastAsia="Calibri"/>
              </w:rPr>
            </w:pPr>
            <w:r w:rsidRPr="00FF36DF">
              <w:rPr>
                <w:rFonts w:eastAsia="Calibri"/>
              </w:rPr>
              <w:t>Scenario 5, inhal, toddler</w:t>
            </w:r>
          </w:p>
        </w:tc>
        <w:tc>
          <w:tcPr>
            <w:tcW w:w="316" w:type="pct"/>
            <w:shd w:val="clear" w:color="auto" w:fill="auto"/>
          </w:tcPr>
          <w:p w14:paraId="6D1683C2"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13C9898A"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35AE2184"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68680F7F" w14:textId="77777777" w:rsidR="008356A0" w:rsidRPr="00570FB3" w:rsidRDefault="008356A0" w:rsidP="008356A0">
            <w:pPr>
              <w:pStyle w:val="Standaard-Tabellen"/>
              <w:rPr>
                <w:rFonts w:eastAsia="Calibri"/>
              </w:rPr>
            </w:pPr>
            <w:r w:rsidRPr="00F84A66">
              <w:rPr>
                <w:rFonts w:eastAsia="Calibri"/>
              </w:rPr>
              <w:t>3.1</w:t>
            </w:r>
          </w:p>
          <w:p w14:paraId="1DC1E8CC" w14:textId="195D6EE1" w:rsidR="008356A0" w:rsidRPr="00FF36DF" w:rsidRDefault="008356A0" w:rsidP="008356A0">
            <w:pPr>
              <w:pStyle w:val="Standaard-Tabellen"/>
              <w:rPr>
                <w:rFonts w:eastAsia="Calibri"/>
              </w:rPr>
            </w:pPr>
            <w:r w:rsidRPr="00A6548C">
              <w:rPr>
                <w:rFonts w:eastAsia="Calibri"/>
              </w:rPr>
              <w:t>mg/kg bw/day</w:t>
            </w:r>
          </w:p>
        </w:tc>
        <w:tc>
          <w:tcPr>
            <w:tcW w:w="683" w:type="pct"/>
            <w:shd w:val="clear" w:color="auto" w:fill="auto"/>
          </w:tcPr>
          <w:p w14:paraId="330C8EEF" w14:textId="30736D5B" w:rsidR="008356A0" w:rsidRPr="00FF36DF" w:rsidRDefault="008356A0" w:rsidP="008356A0">
            <w:pPr>
              <w:pStyle w:val="Standaard-Tabellen"/>
              <w:rPr>
                <w:rFonts w:eastAsia="Calibri"/>
              </w:rPr>
            </w:pPr>
            <w:r w:rsidRPr="00F84A66">
              <w:rPr>
                <w:rFonts w:eastAsia="Calibri"/>
              </w:rPr>
              <w:t>66</w:t>
            </w:r>
          </w:p>
        </w:tc>
        <w:tc>
          <w:tcPr>
            <w:tcW w:w="687" w:type="pct"/>
            <w:shd w:val="clear" w:color="auto" w:fill="auto"/>
          </w:tcPr>
          <w:p w14:paraId="03D442D7" w14:textId="77777777" w:rsidR="008356A0" w:rsidRPr="00FF36DF" w:rsidRDefault="008356A0" w:rsidP="008356A0">
            <w:pPr>
              <w:pStyle w:val="Standaard-Tabellen"/>
              <w:rPr>
                <w:rFonts w:eastAsia="Calibri"/>
              </w:rPr>
            </w:pPr>
            <w:r w:rsidRPr="00FF36DF">
              <w:rPr>
                <w:rFonts w:eastAsia="Calibri"/>
              </w:rPr>
              <w:t>yes</w:t>
            </w:r>
          </w:p>
        </w:tc>
      </w:tr>
      <w:tr w:rsidR="008356A0" w:rsidRPr="00FF36DF" w14:paraId="6C925A25" w14:textId="77777777" w:rsidTr="00F96662">
        <w:tc>
          <w:tcPr>
            <w:tcW w:w="1134" w:type="pct"/>
            <w:shd w:val="clear" w:color="auto" w:fill="auto"/>
          </w:tcPr>
          <w:p w14:paraId="1A08D32F" w14:textId="77777777" w:rsidR="008356A0" w:rsidRPr="00FF36DF" w:rsidRDefault="008356A0" w:rsidP="008356A0">
            <w:pPr>
              <w:pStyle w:val="Standaard-Tabellen"/>
              <w:rPr>
                <w:rFonts w:eastAsia="Calibri"/>
              </w:rPr>
            </w:pPr>
            <w:r w:rsidRPr="00FF36DF">
              <w:rPr>
                <w:rFonts w:eastAsia="Calibri"/>
              </w:rPr>
              <w:t>Scenario 5, inhal, infant</w:t>
            </w:r>
          </w:p>
        </w:tc>
        <w:tc>
          <w:tcPr>
            <w:tcW w:w="316" w:type="pct"/>
            <w:shd w:val="clear" w:color="auto" w:fill="auto"/>
          </w:tcPr>
          <w:p w14:paraId="5F9A64CD" w14:textId="77777777" w:rsidR="008356A0" w:rsidRPr="00FF36DF" w:rsidRDefault="008356A0" w:rsidP="008356A0">
            <w:pPr>
              <w:pStyle w:val="Standaard-Tabellen"/>
              <w:rPr>
                <w:rFonts w:eastAsia="Calibri"/>
              </w:rPr>
            </w:pPr>
            <w:r w:rsidRPr="00FF36DF">
              <w:rPr>
                <w:rFonts w:eastAsia="Calibri"/>
              </w:rPr>
              <w:t>1</w:t>
            </w:r>
          </w:p>
        </w:tc>
        <w:tc>
          <w:tcPr>
            <w:tcW w:w="693" w:type="pct"/>
            <w:shd w:val="clear" w:color="auto" w:fill="auto"/>
          </w:tcPr>
          <w:p w14:paraId="4119F0B1" w14:textId="77777777" w:rsidR="008356A0" w:rsidRPr="00FF36DF" w:rsidRDefault="008356A0" w:rsidP="008356A0">
            <w:pPr>
              <w:pStyle w:val="Standaard-Tabellen"/>
              <w:rPr>
                <w:rFonts w:eastAsia="Calibri"/>
              </w:rPr>
            </w:pPr>
            <w:r w:rsidRPr="00FF36DF">
              <w:rPr>
                <w:rFonts w:eastAsia="Calibri"/>
              </w:rPr>
              <w:t>500</w:t>
            </w:r>
          </w:p>
        </w:tc>
        <w:tc>
          <w:tcPr>
            <w:tcW w:w="574" w:type="pct"/>
            <w:shd w:val="clear" w:color="auto" w:fill="auto"/>
          </w:tcPr>
          <w:p w14:paraId="1B337ACA" w14:textId="77777777" w:rsidR="008356A0" w:rsidRPr="00FF36DF" w:rsidRDefault="008356A0" w:rsidP="008356A0">
            <w:pPr>
              <w:pStyle w:val="Standaard-Tabellen"/>
              <w:rPr>
                <w:rFonts w:eastAsia="Calibri"/>
              </w:rPr>
            </w:pPr>
            <w:r w:rsidRPr="00FF36DF">
              <w:rPr>
                <w:rFonts w:eastAsia="Calibri"/>
              </w:rPr>
              <w:t>5</w:t>
            </w:r>
          </w:p>
        </w:tc>
        <w:tc>
          <w:tcPr>
            <w:tcW w:w="912" w:type="pct"/>
            <w:shd w:val="clear" w:color="auto" w:fill="auto"/>
          </w:tcPr>
          <w:p w14:paraId="5C163B6E" w14:textId="77777777" w:rsidR="008356A0" w:rsidRPr="00570FB3" w:rsidRDefault="008356A0" w:rsidP="008356A0">
            <w:pPr>
              <w:pStyle w:val="Standaard-Tabellen"/>
              <w:rPr>
                <w:rFonts w:eastAsia="Calibri"/>
              </w:rPr>
            </w:pPr>
            <w:r w:rsidRPr="00F84A66">
              <w:rPr>
                <w:rFonts w:eastAsia="Calibri"/>
              </w:rPr>
              <w:t>2.6</w:t>
            </w:r>
          </w:p>
          <w:p w14:paraId="3D336A4D" w14:textId="3700DA86" w:rsidR="008356A0" w:rsidRPr="00FF36DF" w:rsidRDefault="008356A0" w:rsidP="008356A0">
            <w:pPr>
              <w:pStyle w:val="Standaard-Tabellen"/>
              <w:rPr>
                <w:rFonts w:eastAsia="Calibri"/>
              </w:rPr>
            </w:pPr>
            <w:r w:rsidRPr="00A6548C">
              <w:rPr>
                <w:rFonts w:eastAsia="Calibri"/>
              </w:rPr>
              <w:t>mg/kg bw/day</w:t>
            </w:r>
          </w:p>
        </w:tc>
        <w:tc>
          <w:tcPr>
            <w:tcW w:w="683" w:type="pct"/>
            <w:shd w:val="clear" w:color="auto" w:fill="auto"/>
          </w:tcPr>
          <w:p w14:paraId="7881E283" w14:textId="36CC1787" w:rsidR="008356A0" w:rsidRPr="00FF36DF" w:rsidRDefault="008356A0" w:rsidP="008356A0">
            <w:pPr>
              <w:pStyle w:val="Standaard-Tabellen"/>
              <w:rPr>
                <w:rFonts w:eastAsia="Calibri"/>
              </w:rPr>
            </w:pPr>
            <w:r w:rsidRPr="00F84A66">
              <w:rPr>
                <w:rFonts w:eastAsia="Calibri"/>
              </w:rPr>
              <w:t>54</w:t>
            </w:r>
          </w:p>
        </w:tc>
        <w:tc>
          <w:tcPr>
            <w:tcW w:w="687" w:type="pct"/>
            <w:shd w:val="clear" w:color="auto" w:fill="auto"/>
          </w:tcPr>
          <w:p w14:paraId="29DBB3ED" w14:textId="77777777" w:rsidR="008356A0" w:rsidRPr="00FF36DF" w:rsidRDefault="008356A0" w:rsidP="008356A0">
            <w:pPr>
              <w:pStyle w:val="Standaard-Tabellen"/>
              <w:rPr>
                <w:rFonts w:eastAsia="Calibri"/>
              </w:rPr>
            </w:pPr>
            <w:r w:rsidRPr="00FF36DF">
              <w:rPr>
                <w:rFonts w:eastAsia="Calibri"/>
              </w:rPr>
              <w:t>yes</w:t>
            </w:r>
          </w:p>
        </w:tc>
      </w:tr>
    </w:tbl>
    <w:p w14:paraId="45992F7B" w14:textId="77777777" w:rsidR="00FD3FF9" w:rsidRPr="00FD2055" w:rsidRDefault="00FD3FF9" w:rsidP="00FD3FF9">
      <w:pPr>
        <w:rPr>
          <w:rFonts w:eastAsia="Calibri"/>
          <w:lang w:eastAsia="en-US"/>
        </w:rPr>
      </w:pPr>
    </w:p>
    <w:p w14:paraId="20BF6D35" w14:textId="77777777" w:rsidR="00FD3FF9" w:rsidRPr="00FD2055" w:rsidRDefault="00FD3FF9" w:rsidP="00FD3FF9">
      <w:pPr>
        <w:pStyle w:val="Titre6"/>
      </w:pPr>
      <w:r w:rsidRPr="00FD2055">
        <w:t>Combined scenarios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933"/>
        <w:gridCol w:w="1220"/>
        <w:gridCol w:w="1190"/>
        <w:gridCol w:w="1495"/>
        <w:gridCol w:w="1344"/>
        <w:gridCol w:w="1323"/>
      </w:tblGrid>
      <w:tr w:rsidR="00FD3FF9" w:rsidRPr="00FF36DF" w14:paraId="7289AEBA" w14:textId="77777777" w:rsidTr="00F96662">
        <w:tc>
          <w:tcPr>
            <w:tcW w:w="1009" w:type="pct"/>
            <w:shd w:val="clear" w:color="auto" w:fill="BFBFBF" w:themeFill="background1" w:themeFillShade="BF"/>
          </w:tcPr>
          <w:p w14:paraId="6ACD56D4" w14:textId="77777777" w:rsidR="00FD3FF9" w:rsidRPr="00FF36DF" w:rsidRDefault="00FD3FF9" w:rsidP="00F96662">
            <w:pPr>
              <w:pStyle w:val="Standaard-Tabellen"/>
              <w:rPr>
                <w:rFonts w:eastAsia="Calibri"/>
                <w:b/>
              </w:rPr>
            </w:pPr>
            <w:r w:rsidRPr="00015252">
              <w:rPr>
                <w:rFonts w:eastAsia="Calibri"/>
                <w:b/>
              </w:rPr>
              <w:t>Scenarios combined</w:t>
            </w:r>
          </w:p>
        </w:tc>
        <w:tc>
          <w:tcPr>
            <w:tcW w:w="496" w:type="pct"/>
            <w:shd w:val="clear" w:color="auto" w:fill="BFBFBF" w:themeFill="background1" w:themeFillShade="BF"/>
          </w:tcPr>
          <w:p w14:paraId="6288F548" w14:textId="77777777" w:rsidR="00FD3FF9" w:rsidRPr="00FF36DF" w:rsidRDefault="00FD3FF9" w:rsidP="00F96662">
            <w:pPr>
              <w:pStyle w:val="Standaard-Tabellen"/>
              <w:rPr>
                <w:rFonts w:eastAsia="Calibri"/>
                <w:b/>
              </w:rPr>
            </w:pPr>
            <w:r w:rsidRPr="00015252">
              <w:rPr>
                <w:rFonts w:eastAsia="Calibri"/>
                <w:b/>
              </w:rPr>
              <w:t>Tier</w:t>
            </w:r>
          </w:p>
        </w:tc>
        <w:tc>
          <w:tcPr>
            <w:tcW w:w="649" w:type="pct"/>
            <w:shd w:val="clear" w:color="auto" w:fill="BFBFBF" w:themeFill="background1" w:themeFillShade="BF"/>
          </w:tcPr>
          <w:p w14:paraId="3B36A525" w14:textId="77777777" w:rsidR="00FD3FF9" w:rsidRDefault="00FD3FF9" w:rsidP="00F96662">
            <w:pPr>
              <w:pStyle w:val="Standaard-Tabellen"/>
              <w:rPr>
                <w:rFonts w:eastAsia="Calibri"/>
                <w:b/>
              </w:rPr>
            </w:pPr>
            <w:r w:rsidRPr="00015252">
              <w:rPr>
                <w:rFonts w:eastAsia="Calibri"/>
                <w:b/>
              </w:rPr>
              <w:t xml:space="preserve">Systemic </w:t>
            </w:r>
          </w:p>
          <w:p w14:paraId="3A6A5C0D" w14:textId="77777777" w:rsidR="00FD3FF9" w:rsidRPr="00495CE2" w:rsidRDefault="00FD3FF9" w:rsidP="00F96662">
            <w:pPr>
              <w:pStyle w:val="Standaard-Tabellen"/>
              <w:rPr>
                <w:rFonts w:eastAsia="Calibri"/>
                <w:b/>
                <w:lang w:val="de-DE"/>
              </w:rPr>
            </w:pPr>
            <w:r w:rsidRPr="00495CE2">
              <w:rPr>
                <w:rFonts w:eastAsia="Calibri"/>
                <w:b/>
                <w:lang w:val="de-DE"/>
              </w:rPr>
              <w:t>NOAEL</w:t>
            </w:r>
          </w:p>
          <w:p w14:paraId="1D5A2FDF" w14:textId="77777777" w:rsidR="00FD3FF9" w:rsidRPr="00FF36DF" w:rsidRDefault="00FD3FF9" w:rsidP="00F96662">
            <w:pPr>
              <w:pStyle w:val="Standaard-Tabellen"/>
              <w:rPr>
                <w:rFonts w:eastAsia="Calibri"/>
                <w:b/>
              </w:rPr>
            </w:pPr>
            <w:r w:rsidRPr="00495CE2">
              <w:rPr>
                <w:rFonts w:eastAsia="Calibri"/>
                <w:b/>
                <w:lang w:val="de-DE"/>
              </w:rPr>
              <w:t>[mg/kg bw/d]</w:t>
            </w:r>
          </w:p>
        </w:tc>
        <w:tc>
          <w:tcPr>
            <w:tcW w:w="633" w:type="pct"/>
            <w:shd w:val="clear" w:color="auto" w:fill="BFBFBF" w:themeFill="background1" w:themeFillShade="BF"/>
          </w:tcPr>
          <w:p w14:paraId="27EB4CFD" w14:textId="77777777" w:rsidR="00FD3FF9" w:rsidRPr="00015252" w:rsidRDefault="00FD3FF9" w:rsidP="00F96662">
            <w:pPr>
              <w:pStyle w:val="Standaard-Tabellen"/>
              <w:rPr>
                <w:rFonts w:eastAsia="Calibri"/>
                <w:b/>
                <w:lang w:val="es-ES"/>
              </w:rPr>
            </w:pPr>
            <w:r w:rsidRPr="00015252">
              <w:rPr>
                <w:rFonts w:eastAsia="Calibri"/>
                <w:b/>
                <w:lang w:val="es-ES"/>
              </w:rPr>
              <w:t>AEL</w:t>
            </w:r>
          </w:p>
          <w:p w14:paraId="08F54AA0" w14:textId="77777777" w:rsidR="00FD3FF9" w:rsidRPr="00FF36DF" w:rsidRDefault="00FD3FF9" w:rsidP="00F96662">
            <w:pPr>
              <w:pStyle w:val="Standaard-Tabellen"/>
              <w:rPr>
                <w:rFonts w:eastAsia="Calibri"/>
                <w:b/>
                <w:lang w:val="de-DE"/>
              </w:rPr>
            </w:pPr>
            <w:r>
              <w:rPr>
                <w:rFonts w:eastAsia="Calibri"/>
                <w:b/>
                <w:lang w:val="es-ES"/>
              </w:rPr>
              <w:t>[</w:t>
            </w:r>
            <w:r w:rsidRPr="00015252">
              <w:rPr>
                <w:rFonts w:eastAsia="Calibri"/>
                <w:b/>
                <w:lang w:val="es-ES"/>
              </w:rPr>
              <w:t>mg/kg bw/d</w:t>
            </w:r>
            <w:r>
              <w:rPr>
                <w:rFonts w:eastAsia="Calibri"/>
                <w:b/>
                <w:lang w:val="es-ES"/>
              </w:rPr>
              <w:t>]</w:t>
            </w:r>
          </w:p>
        </w:tc>
        <w:tc>
          <w:tcPr>
            <w:tcW w:w="795" w:type="pct"/>
            <w:shd w:val="clear" w:color="auto" w:fill="BFBFBF" w:themeFill="background1" w:themeFillShade="BF"/>
          </w:tcPr>
          <w:p w14:paraId="453C7EE4" w14:textId="77777777" w:rsidR="00FD3FF9" w:rsidRDefault="00FD3FF9" w:rsidP="00F96662">
            <w:pPr>
              <w:pStyle w:val="Standaard-Tabellen"/>
              <w:rPr>
                <w:rFonts w:eastAsia="Calibri"/>
                <w:b/>
              </w:rPr>
            </w:pPr>
            <w:r w:rsidRPr="00015252">
              <w:rPr>
                <w:rFonts w:eastAsia="Calibri"/>
                <w:b/>
              </w:rPr>
              <w:t xml:space="preserve">Estimated </w:t>
            </w:r>
          </w:p>
          <w:p w14:paraId="3CDCD575" w14:textId="77777777" w:rsidR="00FD3FF9" w:rsidRPr="00015252" w:rsidRDefault="00FD3FF9" w:rsidP="00F96662">
            <w:pPr>
              <w:pStyle w:val="Standaard-Tabellen"/>
              <w:rPr>
                <w:rFonts w:eastAsia="Calibri"/>
                <w:b/>
              </w:rPr>
            </w:pPr>
            <w:r w:rsidRPr="00015252">
              <w:rPr>
                <w:rFonts w:eastAsia="Calibri"/>
                <w:b/>
              </w:rPr>
              <w:t>uptake</w:t>
            </w:r>
          </w:p>
          <w:p w14:paraId="7EF5C12B" w14:textId="77777777" w:rsidR="00FD3FF9" w:rsidRPr="00FF36DF" w:rsidRDefault="00FD3FF9" w:rsidP="00F96662">
            <w:pPr>
              <w:pStyle w:val="Standaard-Tabellen"/>
              <w:rPr>
                <w:rFonts w:eastAsia="Calibri"/>
                <w:b/>
              </w:rPr>
            </w:pPr>
            <w:r>
              <w:rPr>
                <w:rFonts w:eastAsia="Calibri"/>
                <w:b/>
              </w:rPr>
              <w:t>[mg/kg bw]</w:t>
            </w:r>
          </w:p>
        </w:tc>
        <w:tc>
          <w:tcPr>
            <w:tcW w:w="715" w:type="pct"/>
            <w:shd w:val="clear" w:color="auto" w:fill="BFBFBF" w:themeFill="background1" w:themeFillShade="BF"/>
          </w:tcPr>
          <w:p w14:paraId="35007C64" w14:textId="77777777" w:rsidR="00FD3FF9" w:rsidRDefault="00FD3FF9" w:rsidP="00F96662">
            <w:pPr>
              <w:pStyle w:val="Standaard-Tabellen"/>
              <w:rPr>
                <w:rFonts w:eastAsia="Calibri"/>
                <w:b/>
              </w:rPr>
            </w:pPr>
            <w:r w:rsidRPr="00015252">
              <w:rPr>
                <w:rFonts w:eastAsia="Calibri"/>
                <w:b/>
              </w:rPr>
              <w:t xml:space="preserve">Estimated </w:t>
            </w:r>
          </w:p>
          <w:p w14:paraId="6EB0E636" w14:textId="77777777" w:rsidR="00FD3FF9" w:rsidRPr="00015252" w:rsidRDefault="00FD3FF9" w:rsidP="00F96662">
            <w:pPr>
              <w:pStyle w:val="Standaard-Tabellen"/>
              <w:rPr>
                <w:rFonts w:eastAsia="Calibri"/>
                <w:b/>
              </w:rPr>
            </w:pPr>
            <w:r w:rsidRPr="00015252">
              <w:rPr>
                <w:rFonts w:eastAsia="Calibri"/>
                <w:b/>
              </w:rPr>
              <w:t xml:space="preserve">uptake/ AEL </w:t>
            </w:r>
          </w:p>
          <w:p w14:paraId="137C9650" w14:textId="77777777" w:rsidR="00FD3FF9" w:rsidRPr="00FF36DF" w:rsidRDefault="00FD3FF9" w:rsidP="00F96662">
            <w:pPr>
              <w:pStyle w:val="Standaard-Tabellen"/>
              <w:rPr>
                <w:rFonts w:eastAsia="Calibri"/>
                <w:b/>
              </w:rPr>
            </w:pPr>
            <w:r w:rsidRPr="00015252">
              <w:rPr>
                <w:rFonts w:eastAsia="Calibri"/>
                <w:b/>
              </w:rPr>
              <w:t>(%)</w:t>
            </w:r>
          </w:p>
        </w:tc>
        <w:tc>
          <w:tcPr>
            <w:tcW w:w="704" w:type="pct"/>
            <w:shd w:val="clear" w:color="auto" w:fill="BFBFBF" w:themeFill="background1" w:themeFillShade="BF"/>
          </w:tcPr>
          <w:p w14:paraId="2D9F35BC" w14:textId="77777777" w:rsidR="00FD3FF9" w:rsidRPr="00015252" w:rsidRDefault="00FD3FF9" w:rsidP="00F96662">
            <w:pPr>
              <w:pStyle w:val="Standaard-Tabellen"/>
              <w:rPr>
                <w:rFonts w:eastAsia="Calibri"/>
                <w:b/>
              </w:rPr>
            </w:pPr>
            <w:r w:rsidRPr="00015252">
              <w:rPr>
                <w:rFonts w:eastAsia="Calibri"/>
                <w:b/>
              </w:rPr>
              <w:t>Acceptable</w:t>
            </w:r>
          </w:p>
          <w:p w14:paraId="4FDD2964" w14:textId="77777777" w:rsidR="00FD3FF9" w:rsidRPr="00FF36DF" w:rsidRDefault="00FD3FF9" w:rsidP="00F96662">
            <w:pPr>
              <w:pStyle w:val="Standaard-Tabellen"/>
              <w:rPr>
                <w:rFonts w:eastAsia="Calibri"/>
                <w:b/>
              </w:rPr>
            </w:pPr>
            <w:r w:rsidRPr="00015252">
              <w:rPr>
                <w:rFonts w:eastAsia="Calibri"/>
                <w:b/>
              </w:rPr>
              <w:t>(yes/no)</w:t>
            </w:r>
          </w:p>
        </w:tc>
      </w:tr>
      <w:tr w:rsidR="00FD3FF9" w:rsidRPr="00FF36DF" w14:paraId="4EED80BF" w14:textId="77777777" w:rsidTr="00F96662">
        <w:tc>
          <w:tcPr>
            <w:tcW w:w="1009" w:type="pct"/>
            <w:shd w:val="clear" w:color="auto" w:fill="auto"/>
          </w:tcPr>
          <w:p w14:paraId="270107C3" w14:textId="77777777" w:rsidR="00FD3FF9" w:rsidRPr="00FF36DF" w:rsidRDefault="00FD3FF9" w:rsidP="00F96662">
            <w:pPr>
              <w:pStyle w:val="Standaard-Tabellen"/>
              <w:rPr>
                <w:rFonts w:eastAsia="Calibri"/>
              </w:rPr>
            </w:pPr>
            <w:r w:rsidRPr="00FF36DF">
              <w:rPr>
                <w:rFonts w:eastAsia="Calibri"/>
              </w:rPr>
              <w:t>Scenarios 1+2 – ADULT</w:t>
            </w:r>
          </w:p>
          <w:p w14:paraId="6D9396C8" w14:textId="77777777" w:rsidR="00FD3FF9" w:rsidRPr="00FF36DF" w:rsidRDefault="00FD3FF9" w:rsidP="00F96662">
            <w:pPr>
              <w:pStyle w:val="Standaard-Tabellen"/>
              <w:rPr>
                <w:rFonts w:eastAsia="Calibri"/>
              </w:rPr>
            </w:pPr>
            <w:r w:rsidRPr="00FF36DF">
              <w:rPr>
                <w:rFonts w:eastAsia="Calibri"/>
              </w:rPr>
              <w:t>3 appl/d</w:t>
            </w:r>
          </w:p>
        </w:tc>
        <w:tc>
          <w:tcPr>
            <w:tcW w:w="496" w:type="pct"/>
            <w:shd w:val="clear" w:color="auto" w:fill="auto"/>
          </w:tcPr>
          <w:p w14:paraId="520C79C8" w14:textId="77777777" w:rsidR="00FD3FF9" w:rsidRPr="00FF36DF" w:rsidRDefault="00FD3FF9" w:rsidP="00F96662">
            <w:pPr>
              <w:pStyle w:val="Standaard-Tabellen"/>
              <w:rPr>
                <w:rFonts w:eastAsia="Calibri"/>
              </w:rPr>
            </w:pPr>
            <w:r w:rsidRPr="00FF36DF">
              <w:rPr>
                <w:rFonts w:eastAsia="Calibri"/>
              </w:rPr>
              <w:t xml:space="preserve">Tier 1 / </w:t>
            </w:r>
          </w:p>
          <w:p w14:paraId="43A8C2B3" w14:textId="77777777" w:rsidR="00FD3FF9" w:rsidRPr="00FF36DF" w:rsidRDefault="00FD3FF9" w:rsidP="00F96662">
            <w:pPr>
              <w:pStyle w:val="Standaard-Tabellen"/>
              <w:rPr>
                <w:rFonts w:eastAsia="Calibri"/>
              </w:rPr>
            </w:pPr>
            <w:r w:rsidRPr="00FF36DF">
              <w:rPr>
                <w:rFonts w:eastAsia="Calibri"/>
              </w:rPr>
              <w:t xml:space="preserve">no PPE </w:t>
            </w:r>
          </w:p>
        </w:tc>
        <w:tc>
          <w:tcPr>
            <w:tcW w:w="649" w:type="pct"/>
            <w:shd w:val="clear" w:color="auto" w:fill="auto"/>
          </w:tcPr>
          <w:p w14:paraId="3C422D16" w14:textId="77777777" w:rsidR="00FD3FF9" w:rsidRPr="00FF36DF" w:rsidRDefault="00FD3FF9" w:rsidP="00F96662">
            <w:pPr>
              <w:pStyle w:val="Standaard-Tabellen"/>
              <w:rPr>
                <w:rFonts w:eastAsia="Calibri"/>
              </w:rPr>
            </w:pPr>
            <w:r>
              <w:rPr>
                <w:rFonts w:eastAsia="Calibri"/>
              </w:rPr>
              <w:t>500</w:t>
            </w:r>
          </w:p>
        </w:tc>
        <w:tc>
          <w:tcPr>
            <w:tcW w:w="633" w:type="pct"/>
            <w:shd w:val="clear" w:color="auto" w:fill="auto"/>
          </w:tcPr>
          <w:p w14:paraId="51C87996" w14:textId="77777777" w:rsidR="00FD3FF9" w:rsidRPr="00FF36DF" w:rsidRDefault="00FD3FF9" w:rsidP="00F96662">
            <w:pPr>
              <w:pStyle w:val="Standaard-Tabellen"/>
              <w:rPr>
                <w:rFonts w:eastAsia="Calibri"/>
              </w:rPr>
            </w:pPr>
            <w:r>
              <w:rPr>
                <w:rFonts w:eastAsia="Calibri"/>
              </w:rPr>
              <w:t>5</w:t>
            </w:r>
          </w:p>
        </w:tc>
        <w:tc>
          <w:tcPr>
            <w:tcW w:w="795" w:type="pct"/>
            <w:shd w:val="clear" w:color="auto" w:fill="auto"/>
          </w:tcPr>
          <w:p w14:paraId="12ED4C1B" w14:textId="77777777" w:rsidR="00FD3FF9" w:rsidRDefault="00FD3FF9" w:rsidP="00F96662">
            <w:pPr>
              <w:pStyle w:val="Standaard-Tabellen"/>
            </w:pPr>
            <w:r w:rsidRPr="00FF36DF">
              <w:t>1</w:t>
            </w:r>
            <w:r>
              <w:t>.</w:t>
            </w:r>
            <w:r w:rsidRPr="00FF36DF">
              <w:t>48</w:t>
            </w:r>
          </w:p>
          <w:p w14:paraId="348D6EC4" w14:textId="77777777" w:rsidR="00FD3FF9" w:rsidRPr="00FF36DF" w:rsidRDefault="00FD3FF9" w:rsidP="00F96662">
            <w:pPr>
              <w:pStyle w:val="Standaard-Tabellen"/>
              <w:rPr>
                <w:rFonts w:eastAsia="Calibri"/>
              </w:rPr>
            </w:pPr>
            <w:r w:rsidRPr="00FF36DF">
              <w:t>mg/kg bw</w:t>
            </w:r>
          </w:p>
        </w:tc>
        <w:tc>
          <w:tcPr>
            <w:tcW w:w="715" w:type="pct"/>
            <w:shd w:val="clear" w:color="auto" w:fill="auto"/>
          </w:tcPr>
          <w:p w14:paraId="30DF2F91" w14:textId="77777777" w:rsidR="00FD3FF9" w:rsidRPr="00FF36DF" w:rsidRDefault="00FD3FF9" w:rsidP="00F96662">
            <w:pPr>
              <w:pStyle w:val="Standaard-Tabellen"/>
              <w:rPr>
                <w:rFonts w:eastAsia="Calibri"/>
              </w:rPr>
            </w:pPr>
            <w:r w:rsidRPr="00FF36DF">
              <w:rPr>
                <w:rFonts w:eastAsia="Calibri"/>
              </w:rPr>
              <w:t>29</w:t>
            </w:r>
            <w:r>
              <w:rPr>
                <w:rFonts w:eastAsia="Calibri"/>
              </w:rPr>
              <w:t>.</w:t>
            </w:r>
            <w:r w:rsidRPr="00FF36DF">
              <w:rPr>
                <w:rFonts w:eastAsia="Calibri"/>
              </w:rPr>
              <w:t>6</w:t>
            </w:r>
          </w:p>
        </w:tc>
        <w:tc>
          <w:tcPr>
            <w:tcW w:w="704" w:type="pct"/>
            <w:shd w:val="clear" w:color="auto" w:fill="auto"/>
          </w:tcPr>
          <w:p w14:paraId="7D30A9C2" w14:textId="77777777" w:rsidR="00FD3FF9" w:rsidRPr="00FF36DF" w:rsidRDefault="00FD3FF9" w:rsidP="00F96662">
            <w:pPr>
              <w:pStyle w:val="Standaard-Tabellen"/>
              <w:rPr>
                <w:rFonts w:eastAsia="Calibri"/>
              </w:rPr>
            </w:pPr>
            <w:r w:rsidRPr="00FF36DF">
              <w:rPr>
                <w:rFonts w:eastAsia="Calibri"/>
              </w:rPr>
              <w:t>yes</w:t>
            </w:r>
          </w:p>
        </w:tc>
      </w:tr>
      <w:tr w:rsidR="00FD3FF9" w:rsidRPr="00FF36DF" w14:paraId="6AF985CF" w14:textId="77777777" w:rsidTr="00F96662">
        <w:tc>
          <w:tcPr>
            <w:tcW w:w="1009" w:type="pct"/>
            <w:shd w:val="clear" w:color="auto" w:fill="auto"/>
          </w:tcPr>
          <w:p w14:paraId="0870F03D" w14:textId="77777777" w:rsidR="00FD3FF9" w:rsidRPr="00FF36DF" w:rsidRDefault="00FD3FF9" w:rsidP="00F96662">
            <w:pPr>
              <w:pStyle w:val="Standaard-Tabellen"/>
              <w:rPr>
                <w:rFonts w:eastAsia="Calibri"/>
              </w:rPr>
            </w:pPr>
            <w:r w:rsidRPr="00FF36DF">
              <w:rPr>
                <w:rFonts w:eastAsia="Calibri"/>
              </w:rPr>
              <w:t>Scenarios 1+2 – CHILD</w:t>
            </w:r>
          </w:p>
          <w:p w14:paraId="6FBD0742" w14:textId="77777777" w:rsidR="00FD3FF9" w:rsidRPr="00FF36DF" w:rsidRDefault="00FD3FF9" w:rsidP="00F96662">
            <w:pPr>
              <w:pStyle w:val="Standaard-Tabellen"/>
              <w:rPr>
                <w:rFonts w:eastAsia="Calibri"/>
              </w:rPr>
            </w:pPr>
            <w:r w:rsidRPr="00FF36DF">
              <w:rPr>
                <w:rFonts w:eastAsia="Calibri"/>
              </w:rPr>
              <w:t>3 appl/d</w:t>
            </w:r>
          </w:p>
        </w:tc>
        <w:tc>
          <w:tcPr>
            <w:tcW w:w="496" w:type="pct"/>
            <w:shd w:val="clear" w:color="auto" w:fill="auto"/>
          </w:tcPr>
          <w:p w14:paraId="41CC6A89" w14:textId="77777777" w:rsidR="00FD3FF9" w:rsidRPr="00FF36DF" w:rsidRDefault="00FD3FF9" w:rsidP="00F96662">
            <w:pPr>
              <w:pStyle w:val="Standaard-Tabellen"/>
              <w:rPr>
                <w:rFonts w:eastAsia="Calibri"/>
              </w:rPr>
            </w:pPr>
            <w:r w:rsidRPr="00FF36DF">
              <w:rPr>
                <w:rFonts w:eastAsia="Calibri"/>
              </w:rPr>
              <w:t xml:space="preserve">Tier 1 / </w:t>
            </w:r>
          </w:p>
          <w:p w14:paraId="5A1FD17A" w14:textId="77777777" w:rsidR="00FD3FF9" w:rsidRPr="00FF36DF" w:rsidRDefault="00FD3FF9" w:rsidP="00F96662">
            <w:pPr>
              <w:pStyle w:val="Standaard-Tabellen"/>
              <w:rPr>
                <w:rFonts w:eastAsia="Calibri"/>
              </w:rPr>
            </w:pPr>
            <w:r w:rsidRPr="00FF36DF">
              <w:rPr>
                <w:rFonts w:eastAsia="Calibri"/>
              </w:rPr>
              <w:t>no PPE</w:t>
            </w:r>
          </w:p>
        </w:tc>
        <w:tc>
          <w:tcPr>
            <w:tcW w:w="649" w:type="pct"/>
            <w:shd w:val="clear" w:color="auto" w:fill="auto"/>
          </w:tcPr>
          <w:p w14:paraId="11B408A5" w14:textId="77777777" w:rsidR="00FD3FF9" w:rsidRPr="00FF36DF" w:rsidRDefault="00FD3FF9" w:rsidP="00F96662">
            <w:pPr>
              <w:pStyle w:val="Standaard-Tabellen"/>
              <w:rPr>
                <w:rFonts w:eastAsia="Calibri"/>
              </w:rPr>
            </w:pPr>
            <w:r>
              <w:rPr>
                <w:rFonts w:eastAsia="Calibri"/>
              </w:rPr>
              <w:t>500</w:t>
            </w:r>
          </w:p>
        </w:tc>
        <w:tc>
          <w:tcPr>
            <w:tcW w:w="633" w:type="pct"/>
            <w:shd w:val="clear" w:color="auto" w:fill="auto"/>
          </w:tcPr>
          <w:p w14:paraId="42BC54D1" w14:textId="77777777" w:rsidR="00FD3FF9" w:rsidRPr="00FF36DF" w:rsidRDefault="00FD3FF9" w:rsidP="00F96662">
            <w:pPr>
              <w:pStyle w:val="Standaard-Tabellen"/>
              <w:rPr>
                <w:rFonts w:eastAsia="Calibri"/>
              </w:rPr>
            </w:pPr>
            <w:r>
              <w:rPr>
                <w:rFonts w:eastAsia="Calibri"/>
              </w:rPr>
              <w:t>5</w:t>
            </w:r>
          </w:p>
        </w:tc>
        <w:tc>
          <w:tcPr>
            <w:tcW w:w="795" w:type="pct"/>
            <w:shd w:val="clear" w:color="auto" w:fill="auto"/>
          </w:tcPr>
          <w:p w14:paraId="4E0EBC94" w14:textId="77777777" w:rsidR="00FD3FF9" w:rsidRDefault="00FD3FF9" w:rsidP="00F96662">
            <w:pPr>
              <w:pStyle w:val="Standaard-Tabellen"/>
            </w:pPr>
            <w:r w:rsidRPr="00FF36DF">
              <w:t>1</w:t>
            </w:r>
            <w:r>
              <w:t>.</w:t>
            </w:r>
            <w:r w:rsidRPr="00FF36DF">
              <w:t>78</w:t>
            </w:r>
          </w:p>
          <w:p w14:paraId="26654DC3" w14:textId="77777777" w:rsidR="00FD3FF9" w:rsidRPr="00FF36DF" w:rsidRDefault="00FD3FF9" w:rsidP="00F96662">
            <w:pPr>
              <w:pStyle w:val="Standaard-Tabellen"/>
              <w:rPr>
                <w:rFonts w:eastAsia="Calibri"/>
              </w:rPr>
            </w:pPr>
            <w:r w:rsidRPr="00FF36DF">
              <w:t>mg/kg bw</w:t>
            </w:r>
          </w:p>
        </w:tc>
        <w:tc>
          <w:tcPr>
            <w:tcW w:w="715" w:type="pct"/>
            <w:shd w:val="clear" w:color="auto" w:fill="auto"/>
          </w:tcPr>
          <w:p w14:paraId="1764FD12" w14:textId="77777777" w:rsidR="00FD3FF9" w:rsidRPr="00FF36DF" w:rsidRDefault="00FD3FF9" w:rsidP="00F96662">
            <w:pPr>
              <w:pStyle w:val="Standaard-Tabellen"/>
              <w:rPr>
                <w:rFonts w:eastAsia="Calibri"/>
              </w:rPr>
            </w:pPr>
            <w:r>
              <w:rPr>
                <w:rFonts w:eastAsia="Calibri"/>
              </w:rPr>
              <w:t>35.</w:t>
            </w:r>
            <w:r w:rsidRPr="00FF36DF">
              <w:rPr>
                <w:rFonts w:eastAsia="Calibri"/>
              </w:rPr>
              <w:t>6</w:t>
            </w:r>
          </w:p>
        </w:tc>
        <w:tc>
          <w:tcPr>
            <w:tcW w:w="704" w:type="pct"/>
            <w:shd w:val="clear" w:color="auto" w:fill="auto"/>
          </w:tcPr>
          <w:p w14:paraId="184D5D1B" w14:textId="77777777" w:rsidR="00FD3FF9" w:rsidRPr="00FF36DF" w:rsidRDefault="00FD3FF9" w:rsidP="00F96662">
            <w:pPr>
              <w:pStyle w:val="Standaard-Tabellen"/>
              <w:rPr>
                <w:rFonts w:eastAsia="Calibri"/>
              </w:rPr>
            </w:pPr>
            <w:r w:rsidRPr="00FF36DF">
              <w:rPr>
                <w:rFonts w:eastAsia="Calibri"/>
              </w:rPr>
              <w:t>yes</w:t>
            </w:r>
          </w:p>
        </w:tc>
      </w:tr>
      <w:tr w:rsidR="008356A0" w:rsidRPr="00FF36DF" w14:paraId="063C6718" w14:textId="77777777" w:rsidTr="00F96662">
        <w:tc>
          <w:tcPr>
            <w:tcW w:w="1009" w:type="pct"/>
            <w:shd w:val="clear" w:color="auto" w:fill="auto"/>
          </w:tcPr>
          <w:p w14:paraId="018F4E77" w14:textId="77777777" w:rsidR="008356A0" w:rsidRPr="00FF36DF" w:rsidRDefault="008356A0" w:rsidP="008356A0">
            <w:pPr>
              <w:pStyle w:val="Standaard-Tabellen"/>
              <w:rPr>
                <w:rFonts w:eastAsia="Calibri"/>
              </w:rPr>
            </w:pPr>
            <w:r w:rsidRPr="00FF36DF">
              <w:rPr>
                <w:rFonts w:eastAsia="Calibri"/>
              </w:rPr>
              <w:t>Scenarios 1+2 – TODDLER</w:t>
            </w:r>
          </w:p>
          <w:p w14:paraId="71C1CCDF" w14:textId="77777777" w:rsidR="008356A0" w:rsidRPr="00FF36DF" w:rsidRDefault="008356A0" w:rsidP="008356A0">
            <w:pPr>
              <w:pStyle w:val="Standaard-Tabellen"/>
              <w:rPr>
                <w:rFonts w:eastAsia="Calibri"/>
              </w:rPr>
            </w:pPr>
            <w:r w:rsidRPr="00FF36DF">
              <w:rPr>
                <w:rFonts w:eastAsia="Calibri"/>
              </w:rPr>
              <w:t>3 appl/d</w:t>
            </w:r>
          </w:p>
        </w:tc>
        <w:tc>
          <w:tcPr>
            <w:tcW w:w="496" w:type="pct"/>
            <w:shd w:val="clear" w:color="auto" w:fill="auto"/>
          </w:tcPr>
          <w:p w14:paraId="32DD7635" w14:textId="77777777" w:rsidR="008356A0" w:rsidRPr="00FF36DF" w:rsidRDefault="008356A0" w:rsidP="008356A0">
            <w:pPr>
              <w:pStyle w:val="Standaard-Tabellen"/>
              <w:rPr>
                <w:rFonts w:eastAsia="Calibri"/>
              </w:rPr>
            </w:pPr>
            <w:r w:rsidRPr="00FF36DF">
              <w:rPr>
                <w:rFonts w:eastAsia="Calibri"/>
              </w:rPr>
              <w:t xml:space="preserve">Tier 1 / </w:t>
            </w:r>
          </w:p>
          <w:p w14:paraId="750CA38C" w14:textId="77777777" w:rsidR="008356A0" w:rsidRPr="00FF36DF" w:rsidRDefault="008356A0" w:rsidP="008356A0">
            <w:pPr>
              <w:pStyle w:val="Standaard-Tabellen"/>
              <w:rPr>
                <w:rFonts w:eastAsia="Calibri"/>
              </w:rPr>
            </w:pPr>
            <w:r w:rsidRPr="00FF36DF">
              <w:rPr>
                <w:rFonts w:eastAsia="Calibri"/>
              </w:rPr>
              <w:t>no PPE</w:t>
            </w:r>
          </w:p>
        </w:tc>
        <w:tc>
          <w:tcPr>
            <w:tcW w:w="649" w:type="pct"/>
            <w:shd w:val="clear" w:color="auto" w:fill="auto"/>
          </w:tcPr>
          <w:p w14:paraId="00EB18F7" w14:textId="77777777" w:rsidR="008356A0" w:rsidRPr="00FF36DF" w:rsidRDefault="008356A0" w:rsidP="008356A0">
            <w:pPr>
              <w:pStyle w:val="Standaard-Tabellen"/>
              <w:rPr>
                <w:rFonts w:eastAsia="Calibri"/>
              </w:rPr>
            </w:pPr>
            <w:r>
              <w:rPr>
                <w:rFonts w:eastAsia="Calibri"/>
              </w:rPr>
              <w:t>500</w:t>
            </w:r>
          </w:p>
        </w:tc>
        <w:tc>
          <w:tcPr>
            <w:tcW w:w="633" w:type="pct"/>
            <w:shd w:val="clear" w:color="auto" w:fill="auto"/>
          </w:tcPr>
          <w:p w14:paraId="56296CCF" w14:textId="77777777" w:rsidR="008356A0" w:rsidRPr="00FF36DF" w:rsidRDefault="008356A0" w:rsidP="008356A0">
            <w:pPr>
              <w:pStyle w:val="Standaard-Tabellen"/>
              <w:rPr>
                <w:rFonts w:eastAsia="Calibri"/>
              </w:rPr>
            </w:pPr>
            <w:r>
              <w:rPr>
                <w:rFonts w:eastAsia="Calibri"/>
              </w:rPr>
              <w:t>5</w:t>
            </w:r>
          </w:p>
        </w:tc>
        <w:tc>
          <w:tcPr>
            <w:tcW w:w="795" w:type="pct"/>
            <w:shd w:val="clear" w:color="auto" w:fill="auto"/>
          </w:tcPr>
          <w:p w14:paraId="601E0BFF" w14:textId="77777777" w:rsidR="008356A0" w:rsidRPr="00570FB3" w:rsidRDefault="008356A0" w:rsidP="008356A0">
            <w:pPr>
              <w:pStyle w:val="Standaard-Tabellen"/>
              <w:jc w:val="center"/>
            </w:pPr>
            <w:r w:rsidRPr="00F84A66">
              <w:t>4.26</w:t>
            </w:r>
          </w:p>
          <w:p w14:paraId="4C34CD73" w14:textId="6FAE5F5C" w:rsidR="008356A0" w:rsidRPr="00FF36DF" w:rsidRDefault="008356A0" w:rsidP="008356A0">
            <w:pPr>
              <w:pStyle w:val="Standaard-Tabellen"/>
              <w:rPr>
                <w:rFonts w:eastAsia="Calibri"/>
              </w:rPr>
            </w:pPr>
            <w:r w:rsidRPr="00A6548C">
              <w:t>mg/kg bw</w:t>
            </w:r>
          </w:p>
        </w:tc>
        <w:tc>
          <w:tcPr>
            <w:tcW w:w="715" w:type="pct"/>
            <w:shd w:val="clear" w:color="auto" w:fill="auto"/>
          </w:tcPr>
          <w:p w14:paraId="20BA955D" w14:textId="36DED49F" w:rsidR="008356A0" w:rsidRPr="00FF36DF" w:rsidRDefault="008356A0" w:rsidP="008356A0">
            <w:pPr>
              <w:pStyle w:val="Standaard-Tabellen"/>
              <w:rPr>
                <w:rFonts w:eastAsia="Calibri"/>
              </w:rPr>
            </w:pPr>
            <w:r w:rsidRPr="00F84A66">
              <w:rPr>
                <w:rFonts w:eastAsia="Calibri"/>
              </w:rPr>
              <w:t>85.1</w:t>
            </w:r>
          </w:p>
        </w:tc>
        <w:tc>
          <w:tcPr>
            <w:tcW w:w="704" w:type="pct"/>
            <w:shd w:val="clear" w:color="auto" w:fill="auto"/>
          </w:tcPr>
          <w:p w14:paraId="3100C96F" w14:textId="77777777" w:rsidR="008356A0" w:rsidRPr="00FF36DF" w:rsidRDefault="008356A0" w:rsidP="008356A0">
            <w:pPr>
              <w:pStyle w:val="Standaard-Tabellen"/>
              <w:rPr>
                <w:rFonts w:eastAsia="Calibri"/>
              </w:rPr>
            </w:pPr>
            <w:r w:rsidRPr="00FF36DF">
              <w:rPr>
                <w:rFonts w:eastAsia="Calibri"/>
              </w:rPr>
              <w:t>yes</w:t>
            </w:r>
          </w:p>
        </w:tc>
      </w:tr>
      <w:tr w:rsidR="008356A0" w:rsidRPr="00FF36DF" w14:paraId="69BF7202" w14:textId="77777777" w:rsidTr="00F96662">
        <w:tc>
          <w:tcPr>
            <w:tcW w:w="1009" w:type="pct"/>
            <w:shd w:val="clear" w:color="auto" w:fill="auto"/>
          </w:tcPr>
          <w:p w14:paraId="564BA6EF" w14:textId="77777777" w:rsidR="008356A0" w:rsidRPr="00FF36DF" w:rsidRDefault="008356A0" w:rsidP="008356A0">
            <w:pPr>
              <w:pStyle w:val="Standaard-Tabellen"/>
              <w:rPr>
                <w:rFonts w:eastAsia="Calibri"/>
              </w:rPr>
            </w:pPr>
            <w:r w:rsidRPr="00FF36DF">
              <w:rPr>
                <w:rFonts w:eastAsia="Calibri"/>
              </w:rPr>
              <w:t>Scenarios 1+2 – INFANT</w:t>
            </w:r>
          </w:p>
          <w:p w14:paraId="2F5006E7" w14:textId="77777777" w:rsidR="008356A0" w:rsidRPr="00FF36DF" w:rsidRDefault="008356A0" w:rsidP="008356A0">
            <w:pPr>
              <w:pStyle w:val="Standaard-Tabellen"/>
              <w:rPr>
                <w:rFonts w:eastAsia="Calibri"/>
              </w:rPr>
            </w:pPr>
            <w:r w:rsidRPr="00FF36DF">
              <w:rPr>
                <w:rFonts w:eastAsia="Calibri"/>
              </w:rPr>
              <w:t>3 appl/d</w:t>
            </w:r>
          </w:p>
        </w:tc>
        <w:tc>
          <w:tcPr>
            <w:tcW w:w="496" w:type="pct"/>
            <w:shd w:val="clear" w:color="auto" w:fill="auto"/>
          </w:tcPr>
          <w:p w14:paraId="2C258ADC" w14:textId="77777777" w:rsidR="008356A0" w:rsidRPr="00FF36DF" w:rsidRDefault="008356A0" w:rsidP="008356A0">
            <w:pPr>
              <w:pStyle w:val="Standaard-Tabellen"/>
              <w:rPr>
                <w:rFonts w:eastAsia="Calibri"/>
              </w:rPr>
            </w:pPr>
            <w:r w:rsidRPr="00FF36DF">
              <w:rPr>
                <w:rFonts w:eastAsia="Calibri"/>
              </w:rPr>
              <w:t xml:space="preserve">Tier 1 / </w:t>
            </w:r>
          </w:p>
          <w:p w14:paraId="374CE394" w14:textId="77777777" w:rsidR="008356A0" w:rsidRPr="00FF36DF" w:rsidRDefault="008356A0" w:rsidP="008356A0">
            <w:pPr>
              <w:pStyle w:val="Standaard-Tabellen"/>
              <w:rPr>
                <w:rFonts w:eastAsia="Calibri"/>
              </w:rPr>
            </w:pPr>
            <w:r w:rsidRPr="00FF36DF">
              <w:rPr>
                <w:rFonts w:eastAsia="Calibri"/>
              </w:rPr>
              <w:t>no PPE</w:t>
            </w:r>
          </w:p>
        </w:tc>
        <w:tc>
          <w:tcPr>
            <w:tcW w:w="649" w:type="pct"/>
            <w:shd w:val="clear" w:color="auto" w:fill="auto"/>
          </w:tcPr>
          <w:p w14:paraId="1BC36D73" w14:textId="77777777" w:rsidR="008356A0" w:rsidRPr="00FF36DF" w:rsidRDefault="008356A0" w:rsidP="008356A0">
            <w:pPr>
              <w:pStyle w:val="Standaard-Tabellen"/>
              <w:rPr>
                <w:rFonts w:eastAsia="Calibri"/>
              </w:rPr>
            </w:pPr>
            <w:r>
              <w:rPr>
                <w:rFonts w:eastAsia="Calibri"/>
              </w:rPr>
              <w:t>500</w:t>
            </w:r>
          </w:p>
        </w:tc>
        <w:tc>
          <w:tcPr>
            <w:tcW w:w="633" w:type="pct"/>
            <w:shd w:val="clear" w:color="auto" w:fill="auto"/>
          </w:tcPr>
          <w:p w14:paraId="334A8F99" w14:textId="1D8F9834" w:rsidR="008356A0" w:rsidRPr="00FF36DF" w:rsidRDefault="008356A0" w:rsidP="008356A0">
            <w:pPr>
              <w:pStyle w:val="Standaard-Tabellen"/>
              <w:rPr>
                <w:rFonts w:eastAsia="Calibri"/>
              </w:rPr>
            </w:pPr>
            <w:r>
              <w:rPr>
                <w:rFonts w:eastAsia="Calibri"/>
              </w:rPr>
              <w:t>5</w:t>
            </w:r>
          </w:p>
        </w:tc>
        <w:tc>
          <w:tcPr>
            <w:tcW w:w="795" w:type="pct"/>
            <w:shd w:val="clear" w:color="auto" w:fill="auto"/>
          </w:tcPr>
          <w:p w14:paraId="41DD1250" w14:textId="77777777" w:rsidR="008356A0" w:rsidRPr="00570FB3" w:rsidRDefault="008356A0" w:rsidP="008356A0">
            <w:pPr>
              <w:pStyle w:val="Standaard-Tabellen"/>
              <w:jc w:val="center"/>
            </w:pPr>
            <w:r w:rsidRPr="00F84A66">
              <w:t>5.29</w:t>
            </w:r>
          </w:p>
          <w:p w14:paraId="46650E32" w14:textId="3311DF4B" w:rsidR="008356A0" w:rsidRPr="00FF36DF" w:rsidRDefault="008356A0" w:rsidP="008356A0">
            <w:pPr>
              <w:pStyle w:val="Standaard-Tabellen"/>
              <w:rPr>
                <w:rFonts w:eastAsia="Calibri"/>
              </w:rPr>
            </w:pPr>
            <w:r w:rsidRPr="00A6548C">
              <w:t>mg/kg bw</w:t>
            </w:r>
          </w:p>
        </w:tc>
        <w:tc>
          <w:tcPr>
            <w:tcW w:w="715" w:type="pct"/>
            <w:shd w:val="clear" w:color="auto" w:fill="auto"/>
          </w:tcPr>
          <w:p w14:paraId="2DDE60BE" w14:textId="2FC6481C" w:rsidR="008356A0" w:rsidRPr="00FF36DF" w:rsidRDefault="008356A0" w:rsidP="008356A0">
            <w:pPr>
              <w:pStyle w:val="Standaard-Tabellen"/>
              <w:rPr>
                <w:rFonts w:eastAsia="Calibri"/>
              </w:rPr>
            </w:pPr>
            <w:r w:rsidRPr="00F84A66">
              <w:rPr>
                <w:rFonts w:eastAsia="Calibri"/>
              </w:rPr>
              <w:t>105.6</w:t>
            </w:r>
          </w:p>
        </w:tc>
        <w:tc>
          <w:tcPr>
            <w:tcW w:w="704" w:type="pct"/>
            <w:shd w:val="clear" w:color="auto" w:fill="auto"/>
          </w:tcPr>
          <w:p w14:paraId="473224ED" w14:textId="64C918CF" w:rsidR="008356A0" w:rsidRPr="00FF36DF" w:rsidRDefault="008356A0" w:rsidP="008356A0">
            <w:pPr>
              <w:pStyle w:val="Standaard-Tabellen"/>
              <w:rPr>
                <w:rFonts w:eastAsia="Calibri"/>
              </w:rPr>
            </w:pPr>
            <w:r>
              <w:rPr>
                <w:rFonts w:eastAsia="Calibri"/>
              </w:rPr>
              <w:t>no</w:t>
            </w:r>
          </w:p>
        </w:tc>
      </w:tr>
      <w:tr w:rsidR="008356A0" w:rsidRPr="00FF36DF" w14:paraId="0827A566" w14:textId="77777777" w:rsidTr="00F96662">
        <w:tc>
          <w:tcPr>
            <w:tcW w:w="1009" w:type="pct"/>
            <w:shd w:val="clear" w:color="auto" w:fill="auto"/>
          </w:tcPr>
          <w:p w14:paraId="62CC4DC0" w14:textId="77777777" w:rsidR="008356A0" w:rsidRPr="00FF36DF" w:rsidRDefault="008356A0" w:rsidP="008356A0">
            <w:pPr>
              <w:pStyle w:val="Standaard-Tabellen"/>
              <w:rPr>
                <w:rFonts w:eastAsia="Calibri"/>
              </w:rPr>
            </w:pPr>
            <w:r w:rsidRPr="00FF36DF">
              <w:rPr>
                <w:rFonts w:eastAsia="Calibri"/>
              </w:rPr>
              <w:t>Scenarios 1+2 – INFANT</w:t>
            </w:r>
          </w:p>
          <w:p w14:paraId="61BE6B20" w14:textId="52CFB8A8" w:rsidR="008356A0" w:rsidRPr="00FF36DF" w:rsidRDefault="008356A0" w:rsidP="008356A0">
            <w:pPr>
              <w:pStyle w:val="Standaard-Tabellen"/>
              <w:rPr>
                <w:rFonts w:eastAsia="Calibri"/>
              </w:rPr>
            </w:pPr>
            <w:r>
              <w:rPr>
                <w:rFonts w:eastAsia="Calibri"/>
              </w:rPr>
              <w:t>2</w:t>
            </w:r>
            <w:r w:rsidRPr="00FF36DF">
              <w:rPr>
                <w:rFonts w:eastAsia="Calibri"/>
              </w:rPr>
              <w:t xml:space="preserve"> appl/d</w:t>
            </w:r>
          </w:p>
        </w:tc>
        <w:tc>
          <w:tcPr>
            <w:tcW w:w="496" w:type="pct"/>
            <w:shd w:val="clear" w:color="auto" w:fill="auto"/>
          </w:tcPr>
          <w:p w14:paraId="05EBF32E" w14:textId="77777777" w:rsidR="008356A0" w:rsidRPr="00FF36DF" w:rsidRDefault="008356A0" w:rsidP="008356A0">
            <w:pPr>
              <w:pStyle w:val="Standaard-Tabellen"/>
              <w:rPr>
                <w:rFonts w:eastAsia="Calibri"/>
              </w:rPr>
            </w:pPr>
            <w:r>
              <w:rPr>
                <w:rFonts w:eastAsia="Calibri"/>
              </w:rPr>
              <w:t>Tier 2</w:t>
            </w:r>
            <w:r w:rsidRPr="00FF36DF">
              <w:rPr>
                <w:rFonts w:eastAsia="Calibri"/>
              </w:rPr>
              <w:t xml:space="preserve"> / </w:t>
            </w:r>
          </w:p>
          <w:p w14:paraId="61208343" w14:textId="47DCDFA3" w:rsidR="008356A0" w:rsidRPr="00FF36DF" w:rsidRDefault="008356A0" w:rsidP="008356A0">
            <w:pPr>
              <w:pStyle w:val="Standaard-Tabellen"/>
              <w:rPr>
                <w:rFonts w:eastAsia="Calibri"/>
              </w:rPr>
            </w:pPr>
            <w:r w:rsidRPr="00FF36DF">
              <w:rPr>
                <w:rFonts w:eastAsia="Calibri"/>
              </w:rPr>
              <w:t>no PPE</w:t>
            </w:r>
          </w:p>
        </w:tc>
        <w:tc>
          <w:tcPr>
            <w:tcW w:w="649" w:type="pct"/>
            <w:shd w:val="clear" w:color="auto" w:fill="auto"/>
          </w:tcPr>
          <w:p w14:paraId="37589CF9" w14:textId="7F7C4554" w:rsidR="008356A0" w:rsidRDefault="008356A0" w:rsidP="008356A0">
            <w:pPr>
              <w:pStyle w:val="Standaard-Tabellen"/>
              <w:rPr>
                <w:rFonts w:eastAsia="Calibri"/>
              </w:rPr>
            </w:pPr>
            <w:r>
              <w:rPr>
                <w:rFonts w:eastAsia="Calibri"/>
              </w:rPr>
              <w:t>500</w:t>
            </w:r>
          </w:p>
        </w:tc>
        <w:tc>
          <w:tcPr>
            <w:tcW w:w="633" w:type="pct"/>
            <w:shd w:val="clear" w:color="auto" w:fill="auto"/>
          </w:tcPr>
          <w:p w14:paraId="5D8ACB0E" w14:textId="5D7CB4E7" w:rsidR="008356A0" w:rsidRDefault="008356A0" w:rsidP="008356A0">
            <w:pPr>
              <w:pStyle w:val="Standaard-Tabellen"/>
              <w:rPr>
                <w:rFonts w:eastAsia="Calibri"/>
              </w:rPr>
            </w:pPr>
            <w:r>
              <w:rPr>
                <w:rFonts w:eastAsia="Calibri"/>
              </w:rPr>
              <w:t>5</w:t>
            </w:r>
          </w:p>
        </w:tc>
        <w:tc>
          <w:tcPr>
            <w:tcW w:w="795" w:type="pct"/>
            <w:shd w:val="clear" w:color="auto" w:fill="auto"/>
          </w:tcPr>
          <w:p w14:paraId="1C09CFC6" w14:textId="77777777" w:rsidR="008356A0" w:rsidRPr="00F84A66" w:rsidRDefault="008356A0" w:rsidP="008356A0">
            <w:pPr>
              <w:pStyle w:val="Standaard-Tabellen"/>
              <w:jc w:val="center"/>
            </w:pPr>
            <w:r w:rsidRPr="00F84A66">
              <w:t>3.53</w:t>
            </w:r>
          </w:p>
          <w:p w14:paraId="309CC6AE" w14:textId="3F74A510" w:rsidR="008356A0" w:rsidRPr="00FF36DF" w:rsidRDefault="008356A0" w:rsidP="008356A0">
            <w:pPr>
              <w:pStyle w:val="Standaard-Tabellen"/>
            </w:pPr>
            <w:r w:rsidRPr="00F84A66">
              <w:t>mg/kg bw</w:t>
            </w:r>
          </w:p>
        </w:tc>
        <w:tc>
          <w:tcPr>
            <w:tcW w:w="715" w:type="pct"/>
            <w:shd w:val="clear" w:color="auto" w:fill="auto"/>
          </w:tcPr>
          <w:p w14:paraId="097EDEF3" w14:textId="66C75A45" w:rsidR="008356A0" w:rsidRDefault="008356A0" w:rsidP="008356A0">
            <w:pPr>
              <w:pStyle w:val="Standaard-Tabellen"/>
              <w:rPr>
                <w:rFonts w:eastAsia="Calibri"/>
              </w:rPr>
            </w:pPr>
            <w:r w:rsidRPr="00F84A66">
              <w:rPr>
                <w:rFonts w:eastAsia="Calibri"/>
              </w:rPr>
              <w:t>70.6</w:t>
            </w:r>
          </w:p>
        </w:tc>
        <w:tc>
          <w:tcPr>
            <w:tcW w:w="704" w:type="pct"/>
            <w:shd w:val="clear" w:color="auto" w:fill="auto"/>
          </w:tcPr>
          <w:p w14:paraId="633BCCAB" w14:textId="08DEE83B" w:rsidR="008356A0" w:rsidRPr="00FF36DF" w:rsidRDefault="008356A0" w:rsidP="008356A0">
            <w:pPr>
              <w:pStyle w:val="Standaard-Tabellen"/>
              <w:rPr>
                <w:rFonts w:eastAsia="Calibri"/>
              </w:rPr>
            </w:pPr>
            <w:r w:rsidRPr="00FF36DF">
              <w:rPr>
                <w:rFonts w:eastAsia="Calibri"/>
              </w:rPr>
              <w:t>yes</w:t>
            </w:r>
          </w:p>
        </w:tc>
      </w:tr>
    </w:tbl>
    <w:p w14:paraId="7085B5BA" w14:textId="77777777" w:rsidR="00FD3FF9" w:rsidRPr="00FD2055" w:rsidRDefault="00FD3FF9" w:rsidP="00FD3FF9">
      <w:pPr>
        <w:rPr>
          <w:rFonts w:eastAsia="Calibri"/>
          <w:lang w:eastAsia="en-US"/>
        </w:rPr>
      </w:pPr>
    </w:p>
    <w:p w14:paraId="54999C33" w14:textId="77777777" w:rsidR="00FD3FF9" w:rsidRPr="008A3D8E" w:rsidRDefault="00FD3FF9" w:rsidP="00FD3FF9">
      <w:pPr>
        <w:pStyle w:val="Titre6"/>
        <w:rPr>
          <w:lang w:val="en-US"/>
        </w:rPr>
      </w:pPr>
      <w:r w:rsidRPr="008A3D8E">
        <w:rPr>
          <w:lang w:val="en-US"/>
        </w:rPr>
        <w:t xml:space="preserve">Local effects </w:t>
      </w:r>
    </w:p>
    <w:p w14:paraId="240A45A4" w14:textId="5400DE0E" w:rsidR="00FD3FF9" w:rsidRPr="005B0C90" w:rsidRDefault="00FD3FF9" w:rsidP="00FD3FF9">
      <w:r>
        <w:rPr>
          <w:rFonts w:eastAsia="Calibri"/>
          <w:szCs w:val="18"/>
          <w:lang w:eastAsia="en-US"/>
        </w:rPr>
        <w:t>The biocidal product is classified</w:t>
      </w:r>
      <w:r w:rsidRPr="00347CC0">
        <w:rPr>
          <w:rFonts w:eastAsia="Calibri"/>
          <w:szCs w:val="18"/>
          <w:lang w:eastAsia="en-US"/>
        </w:rPr>
        <w:t xml:space="preserve"> as </w:t>
      </w:r>
      <w:r>
        <w:rPr>
          <w:rFonts w:eastAsia="Calibri"/>
          <w:lang w:eastAsia="en-US"/>
        </w:rPr>
        <w:t xml:space="preserve">eye damage/irritation cat 2, H319. However, appropriate risk mitigation measures will be imposed and taken up on the label: </w:t>
      </w:r>
      <w:r w:rsidR="00CC43A2" w:rsidRPr="00372BF0">
        <w:rPr>
          <w:shd w:val="clear" w:color="auto" w:fill="FFFFFF" w:themeFill="background1"/>
        </w:rPr>
        <w:t>When th</w:t>
      </w:r>
      <w:r w:rsidR="00CC43A2" w:rsidRPr="009515D5">
        <w:rPr>
          <w:shd w:val="clear" w:color="auto" w:fill="FFFFFF" w:themeFill="background1"/>
        </w:rPr>
        <w:t xml:space="preserve">e biocidal product </w:t>
      </w:r>
      <w:r w:rsidR="00CC43A2" w:rsidRPr="00372BF0">
        <w:rPr>
          <w:shd w:val="clear" w:color="auto" w:fill="FFFFFF" w:themeFill="background1"/>
        </w:rPr>
        <w:t>is</w:t>
      </w:r>
      <w:r w:rsidR="00CC43A2" w:rsidRPr="009515D5">
        <w:rPr>
          <w:shd w:val="clear" w:color="auto" w:fill="FFFFFF" w:themeFill="background1"/>
        </w:rPr>
        <w:t xml:space="preserve"> applied </w:t>
      </w:r>
      <w:r w:rsidR="00CC43A2" w:rsidRPr="00372BF0">
        <w:rPr>
          <w:shd w:val="clear" w:color="auto" w:fill="FFFFFF" w:themeFill="background1"/>
        </w:rPr>
        <w:t>to children under 11 years old, the product should be applied by an adult</w:t>
      </w:r>
      <w:r w:rsidRPr="005B0C90">
        <w:t>.</w:t>
      </w:r>
      <w:r>
        <w:t xml:space="preserve"> </w:t>
      </w:r>
      <w:r w:rsidRPr="005B0C90">
        <w:rPr>
          <w:rFonts w:cs="Times"/>
          <w:bCs/>
          <w:szCs w:val="29"/>
        </w:rPr>
        <w:t>Do not spray into the face or apply to eye area.</w:t>
      </w:r>
      <w:r>
        <w:t xml:space="preserve">  Use in well-ventilated areas.’</w:t>
      </w:r>
      <w:r>
        <w:rPr>
          <w:rFonts w:eastAsia="Calibri"/>
          <w:lang w:eastAsia="en-US"/>
        </w:rPr>
        <w:t xml:space="preserve"> Consequently, </w:t>
      </w:r>
      <w:r w:rsidRPr="00347CC0">
        <w:rPr>
          <w:rFonts w:eastAsia="Calibri"/>
          <w:szCs w:val="18"/>
          <w:lang w:eastAsia="en-US"/>
        </w:rPr>
        <w:t>there is no need to consider local effects separately</w:t>
      </w:r>
      <w:r>
        <w:rPr>
          <w:rFonts w:eastAsia="Calibri"/>
          <w:szCs w:val="18"/>
          <w:lang w:eastAsia="en-US"/>
        </w:rPr>
        <w:t>.</w:t>
      </w:r>
    </w:p>
    <w:p w14:paraId="391E7ABF" w14:textId="77777777" w:rsidR="00FD3FF9" w:rsidRPr="00FD2055" w:rsidRDefault="00FD3FF9" w:rsidP="00FD3FF9">
      <w:pPr>
        <w:rPr>
          <w:rFonts w:eastAsia="Calibri"/>
          <w:lang w:eastAsia="en-US"/>
        </w:rPr>
      </w:pPr>
    </w:p>
    <w:p w14:paraId="6157C6E1" w14:textId="77777777" w:rsidR="00FD3FF9" w:rsidRPr="008A3D8E" w:rsidRDefault="00FD3FF9" w:rsidP="00FD3FF9">
      <w:pPr>
        <w:pStyle w:val="Titre6"/>
        <w:rPr>
          <w:lang w:val="en-US"/>
        </w:rPr>
      </w:pPr>
      <w:r w:rsidRPr="008A3D8E">
        <w:rPr>
          <w:lang w:val="en-US"/>
        </w:rPr>
        <w:t>Conclusion</w:t>
      </w:r>
    </w:p>
    <w:p w14:paraId="7F75893D" w14:textId="5ED6D7D9" w:rsidR="00FD3FF9" w:rsidRDefault="00FD3FF9" w:rsidP="00FD3FF9">
      <w:pPr>
        <w:rPr>
          <w:lang w:val="en-US" w:eastAsia="en-US"/>
        </w:rPr>
      </w:pPr>
      <w:r w:rsidRPr="00DA7A73">
        <w:rPr>
          <w:lang w:val="en-US" w:eastAsia="en-US"/>
        </w:rPr>
        <w:t>There is no concern for adults</w:t>
      </w:r>
      <w:r>
        <w:rPr>
          <w:lang w:val="en-US" w:eastAsia="en-US"/>
        </w:rPr>
        <w:t xml:space="preserve">, </w:t>
      </w:r>
      <w:r w:rsidRPr="00DA7A73">
        <w:rPr>
          <w:lang w:val="en-US" w:eastAsia="en-US"/>
        </w:rPr>
        <w:t xml:space="preserve"> </w:t>
      </w:r>
      <w:r>
        <w:rPr>
          <w:lang w:val="en-US" w:eastAsia="en-US"/>
        </w:rPr>
        <w:t>children</w:t>
      </w:r>
      <w:r w:rsidR="00CC43A2">
        <w:rPr>
          <w:lang w:val="en-US" w:eastAsia="en-US"/>
        </w:rPr>
        <w:t xml:space="preserve"> and</w:t>
      </w:r>
      <w:r>
        <w:rPr>
          <w:lang w:val="en-US" w:eastAsia="en-US"/>
        </w:rPr>
        <w:t xml:space="preserve"> toddlers </w:t>
      </w:r>
      <w:r w:rsidRPr="00DA7A73">
        <w:rPr>
          <w:lang w:val="en-US" w:eastAsia="en-US"/>
        </w:rPr>
        <w:t>using Insect Repellent Pump Spray</w:t>
      </w:r>
      <w:r>
        <w:rPr>
          <w:lang w:val="en-US" w:eastAsia="en-US"/>
        </w:rPr>
        <w:t xml:space="preserve"> Lice</w:t>
      </w:r>
      <w:r w:rsidRPr="00DA7A73">
        <w:rPr>
          <w:lang w:val="en-US" w:eastAsia="en-US"/>
        </w:rPr>
        <w:t xml:space="preserve"> IR3535</w:t>
      </w:r>
      <w:r w:rsidRPr="00407AC3">
        <w:rPr>
          <w:vertAlign w:val="superscript"/>
          <w:lang w:val="en-US" w:eastAsia="en-US"/>
        </w:rPr>
        <w:t>®</w:t>
      </w:r>
      <w:r w:rsidRPr="00DA7A73">
        <w:rPr>
          <w:lang w:val="en-US" w:eastAsia="en-US"/>
        </w:rPr>
        <w:t xml:space="preserve"> 20% </w:t>
      </w:r>
      <w:r>
        <w:rPr>
          <w:lang w:val="en-US" w:eastAsia="en-US"/>
        </w:rPr>
        <w:t>three times</w:t>
      </w:r>
      <w:r w:rsidRPr="00DA7A73">
        <w:rPr>
          <w:lang w:val="en-US" w:eastAsia="en-US"/>
        </w:rPr>
        <w:t xml:space="preserve"> a day</w:t>
      </w:r>
      <w:r w:rsidR="00CC43A2">
        <w:rPr>
          <w:lang w:val="en-US" w:eastAsia="en-US"/>
        </w:rPr>
        <w:t>, and for applying the product to infants twice a day</w:t>
      </w:r>
      <w:r>
        <w:rPr>
          <w:lang w:val="en-US" w:eastAsia="en-US"/>
        </w:rPr>
        <w:t xml:space="preserve">.  Neither primary nor secondary exposure to the biocidal product leads to unacceptable risks.  The main route of exposure is dermal.  </w:t>
      </w:r>
      <w:r w:rsidRPr="00DA7A73">
        <w:rPr>
          <w:lang w:val="en-US" w:eastAsia="en-US"/>
        </w:rPr>
        <w:t xml:space="preserve">Proper use, i.e. use in compliance with correct and complete conditions on the label, of Insect Repellent Pump Spray </w:t>
      </w:r>
      <w:r>
        <w:rPr>
          <w:lang w:val="en-US" w:eastAsia="en-US"/>
        </w:rPr>
        <w:t xml:space="preserve">Lice </w:t>
      </w:r>
      <w:r w:rsidRPr="00DA7A73">
        <w:rPr>
          <w:lang w:val="en-US" w:eastAsia="en-US"/>
        </w:rPr>
        <w:t>IR3535</w:t>
      </w:r>
      <w:r w:rsidRPr="00407AC3">
        <w:rPr>
          <w:vertAlign w:val="superscript"/>
          <w:lang w:val="en-US" w:eastAsia="en-US"/>
        </w:rPr>
        <w:t>®</w:t>
      </w:r>
      <w:r w:rsidRPr="00DA7A73">
        <w:rPr>
          <w:lang w:val="en-US" w:eastAsia="en-US"/>
        </w:rPr>
        <w:t xml:space="preserve"> 20% is considered </w:t>
      </w:r>
      <w:r>
        <w:rPr>
          <w:lang w:val="en-US" w:eastAsia="en-US"/>
        </w:rPr>
        <w:t>safe</w:t>
      </w:r>
      <w:r w:rsidRPr="00DA7A73">
        <w:rPr>
          <w:lang w:val="en-US" w:eastAsia="en-US"/>
        </w:rPr>
        <w:t xml:space="preserve"> for adults and children. </w:t>
      </w:r>
    </w:p>
    <w:p w14:paraId="5B1EF1C1" w14:textId="77777777" w:rsidR="00FD3FF9" w:rsidRDefault="00FD3FF9" w:rsidP="00FD3FF9">
      <w:pPr>
        <w:rPr>
          <w:lang w:val="en-US" w:eastAsia="en-US"/>
        </w:rPr>
      </w:pPr>
    </w:p>
    <w:p w14:paraId="4D2D580C" w14:textId="77777777" w:rsidR="00FD3FF9" w:rsidRPr="00F956A7" w:rsidRDefault="00FD3FF9" w:rsidP="00FD3FF9">
      <w:pPr>
        <w:rPr>
          <w:lang w:val="en-US" w:eastAsia="en-US"/>
        </w:rPr>
      </w:pPr>
      <w:r>
        <w:rPr>
          <w:lang w:val="en-US" w:eastAsia="en-US"/>
        </w:rPr>
        <w:t>The following RMM are required:</w:t>
      </w:r>
    </w:p>
    <w:p w14:paraId="5F97A384" w14:textId="73238BA7" w:rsidR="00FD3FF9" w:rsidRPr="001C6409" w:rsidRDefault="00CC43A2" w:rsidP="00FD3FF9">
      <w:pPr>
        <w:pStyle w:val="Paragraphedeliste"/>
        <w:numPr>
          <w:ilvl w:val="0"/>
          <w:numId w:val="16"/>
        </w:numPr>
        <w:rPr>
          <w:lang w:eastAsia="fi-FI"/>
        </w:rPr>
      </w:pPr>
      <w:r w:rsidRPr="00372BF0">
        <w:rPr>
          <w:shd w:val="clear" w:color="auto" w:fill="FFFFFF" w:themeFill="background1"/>
        </w:rPr>
        <w:t>When th</w:t>
      </w:r>
      <w:r w:rsidRPr="009515D5">
        <w:rPr>
          <w:shd w:val="clear" w:color="auto" w:fill="FFFFFF" w:themeFill="background1"/>
        </w:rPr>
        <w:t xml:space="preserve">e biocidal product </w:t>
      </w:r>
      <w:r w:rsidRPr="00372BF0">
        <w:rPr>
          <w:shd w:val="clear" w:color="auto" w:fill="FFFFFF" w:themeFill="background1"/>
        </w:rPr>
        <w:t>is</w:t>
      </w:r>
      <w:r w:rsidRPr="009515D5">
        <w:rPr>
          <w:shd w:val="clear" w:color="auto" w:fill="FFFFFF" w:themeFill="background1"/>
        </w:rPr>
        <w:t xml:space="preserve"> applied </w:t>
      </w:r>
      <w:r w:rsidRPr="00372BF0">
        <w:rPr>
          <w:shd w:val="clear" w:color="auto" w:fill="FFFFFF" w:themeFill="background1"/>
        </w:rPr>
        <w:t>to children under 11 years old, the product should be applied by an adult</w:t>
      </w:r>
      <w:r w:rsidR="00FD3FF9" w:rsidRPr="001C6409">
        <w:rPr>
          <w:lang w:eastAsia="fi-FI"/>
        </w:rPr>
        <w:t>.</w:t>
      </w:r>
    </w:p>
    <w:p w14:paraId="5768F304" w14:textId="77777777" w:rsidR="00FD3FF9" w:rsidRPr="00FF36DF" w:rsidRDefault="00FD3FF9" w:rsidP="00FD3FF9">
      <w:pPr>
        <w:pStyle w:val="Paragraphedeliste"/>
        <w:numPr>
          <w:ilvl w:val="0"/>
          <w:numId w:val="16"/>
        </w:numPr>
        <w:rPr>
          <w:lang w:eastAsia="fi-FI"/>
        </w:rPr>
      </w:pPr>
      <w:r w:rsidRPr="00FF36DF">
        <w:rPr>
          <w:lang w:eastAsia="fi-FI"/>
        </w:rPr>
        <w:t xml:space="preserve">Do not spray into the face or apply to eye area. </w:t>
      </w:r>
    </w:p>
    <w:p w14:paraId="703FC827" w14:textId="77777777" w:rsidR="00FD3FF9" w:rsidRPr="008432C7" w:rsidRDefault="00FD3FF9" w:rsidP="00FD3FF9">
      <w:pPr>
        <w:pStyle w:val="Paragraphedeliste"/>
        <w:numPr>
          <w:ilvl w:val="0"/>
          <w:numId w:val="16"/>
        </w:numPr>
        <w:rPr>
          <w:lang w:eastAsia="fi-FI"/>
        </w:rPr>
      </w:pPr>
      <w:r w:rsidRPr="008432C7">
        <w:rPr>
          <w:lang w:eastAsia="fi-FI"/>
        </w:rPr>
        <w:t>Protect children’s eyes and protect the child against inhalation during spraying.</w:t>
      </w:r>
    </w:p>
    <w:p w14:paraId="59EE68FE" w14:textId="72DA56D4" w:rsidR="00FD3FF9" w:rsidRPr="008432C7" w:rsidRDefault="00FD3FF9" w:rsidP="00FD3FF9">
      <w:pPr>
        <w:pStyle w:val="Paragraphedeliste"/>
        <w:numPr>
          <w:ilvl w:val="0"/>
          <w:numId w:val="16"/>
        </w:numPr>
        <w:rPr>
          <w:lang w:eastAsia="fi-FI"/>
        </w:rPr>
      </w:pPr>
      <w:r w:rsidRPr="008432C7">
        <w:rPr>
          <w:lang w:eastAsia="fi-FI"/>
        </w:rPr>
        <w:t>Do not apply over cuts, wounds or irritated skin.</w:t>
      </w:r>
    </w:p>
    <w:p w14:paraId="2A3EB69C" w14:textId="77777777" w:rsidR="00FD3FF9" w:rsidRDefault="00FD3FF9" w:rsidP="00FD3FF9">
      <w:pPr>
        <w:pStyle w:val="Paragraphedeliste"/>
        <w:numPr>
          <w:ilvl w:val="0"/>
          <w:numId w:val="16"/>
        </w:numPr>
        <w:rPr>
          <w:lang w:eastAsia="fi-FI"/>
        </w:rPr>
      </w:pPr>
      <w:r w:rsidRPr="008432C7">
        <w:rPr>
          <w:lang w:eastAsia="fi-FI"/>
        </w:rPr>
        <w:t>Only for external use.</w:t>
      </w:r>
    </w:p>
    <w:p w14:paraId="42F04C73" w14:textId="77777777" w:rsidR="00FD3FF9" w:rsidRPr="001C6409" w:rsidRDefault="00FD3FF9" w:rsidP="00FD3FF9">
      <w:pPr>
        <w:pStyle w:val="Paragraphedeliste"/>
        <w:numPr>
          <w:ilvl w:val="0"/>
          <w:numId w:val="16"/>
        </w:numPr>
        <w:rPr>
          <w:lang w:eastAsia="fi-FI"/>
        </w:rPr>
      </w:pPr>
      <w:r w:rsidRPr="001C6409">
        <w:rPr>
          <w:lang w:eastAsia="fi-FI"/>
        </w:rPr>
        <w:t>Use in well-ventilated areas.</w:t>
      </w:r>
    </w:p>
    <w:p w14:paraId="17B1A016" w14:textId="1D4C874D" w:rsidR="00FD3FF9" w:rsidRDefault="00FD3FF9" w:rsidP="00FD3FF9">
      <w:pPr>
        <w:pStyle w:val="Paragraphedeliste"/>
        <w:numPr>
          <w:ilvl w:val="0"/>
          <w:numId w:val="16"/>
        </w:numPr>
        <w:rPr>
          <w:lang w:eastAsia="fi-FI"/>
        </w:rPr>
      </w:pPr>
      <w:r w:rsidRPr="001C6409">
        <w:rPr>
          <w:lang w:eastAsia="fi-FI"/>
        </w:rPr>
        <w:t>Synthetic materials should be protected during spraying.</w:t>
      </w:r>
    </w:p>
    <w:p w14:paraId="1BEF4501" w14:textId="77777777" w:rsidR="00FD5CAA" w:rsidRPr="00FF36DF" w:rsidRDefault="00FD5CAA" w:rsidP="00FD5CAA">
      <w:pPr>
        <w:rPr>
          <w:lang w:eastAsia="fi-FI"/>
        </w:rPr>
      </w:pPr>
    </w:p>
    <w:p w14:paraId="14572A56" w14:textId="08470850" w:rsidR="00FD5CAA" w:rsidRDefault="00FD5CAA">
      <w:pPr>
        <w:spacing w:before="0" w:after="160" w:line="259" w:lineRule="auto"/>
        <w:rPr>
          <w:rFonts w:eastAsia="Calibri"/>
          <w:lang w:val="en-US" w:eastAsia="en-US"/>
        </w:rPr>
      </w:pPr>
      <w:r>
        <w:rPr>
          <w:rFonts w:eastAsia="Calibri"/>
          <w:lang w:val="en-US" w:eastAsia="en-US"/>
        </w:rPr>
        <w:br w:type="page"/>
      </w:r>
    </w:p>
    <w:p w14:paraId="409D6883" w14:textId="77777777" w:rsidR="001E65DB" w:rsidRDefault="001E65DB" w:rsidP="001B776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bookmarkStart w:id="248" w:name="_Toc389729092"/>
      <w:bookmarkStart w:id="249" w:name="_Toc403472778"/>
      <w:r w:rsidRPr="00FD5106">
        <w:rPr>
          <w:rFonts w:eastAsia="Calibri"/>
          <w:b/>
          <w:highlight w:val="lightGray"/>
          <w:lang w:eastAsia="en-US"/>
        </w:rPr>
        <w:t>MAJOR CHANGE FOR SPRAY REPULSIF IR200 – 2019 (FR CA)</w:t>
      </w:r>
    </w:p>
    <w:p w14:paraId="07E3EAB6" w14:textId="6B00F7C1" w:rsidR="00FD5CAA" w:rsidRPr="001E65DB" w:rsidRDefault="00FD5CAA" w:rsidP="001B7765">
      <w:pPr>
        <w:widowControl w:val="0"/>
        <w:kinsoku w:val="0"/>
        <w:overflowPunct w:val="0"/>
        <w:autoSpaceDE w:val="0"/>
        <w:autoSpaceDN w:val="0"/>
        <w:adjustRightInd w:val="0"/>
        <w:spacing w:before="0" w:after="0"/>
        <w:ind w:right="216"/>
        <w:jc w:val="both"/>
        <w:textAlignment w:val="baseline"/>
        <w:rPr>
          <w:rFonts w:cs="Arial"/>
          <w:spacing w:val="1"/>
          <w:u w:val="single"/>
          <w:lang w:eastAsia="fr-FR"/>
        </w:rPr>
      </w:pPr>
    </w:p>
    <w:p w14:paraId="630845A0" w14:textId="77777777" w:rsidR="001E65DB" w:rsidRPr="007E29F8" w:rsidRDefault="001E65DB" w:rsidP="001B7765">
      <w:pPr>
        <w:widowControl w:val="0"/>
        <w:kinsoku w:val="0"/>
        <w:overflowPunct w:val="0"/>
        <w:autoSpaceDE w:val="0"/>
        <w:autoSpaceDN w:val="0"/>
        <w:adjustRightInd w:val="0"/>
        <w:spacing w:before="0" w:after="0"/>
        <w:ind w:right="216"/>
        <w:jc w:val="both"/>
        <w:textAlignment w:val="baseline"/>
        <w:rPr>
          <w:rFonts w:cs="Arial"/>
          <w:i/>
          <w:spacing w:val="1"/>
          <w:sz w:val="22"/>
          <w:u w:val="single"/>
          <w:lang w:eastAsia="fr-FR"/>
        </w:rPr>
      </w:pPr>
      <w:r w:rsidRPr="007E29F8">
        <w:rPr>
          <w:rFonts w:cs="Arial"/>
          <w:i/>
          <w:spacing w:val="1"/>
          <w:sz w:val="22"/>
          <w:u w:val="single"/>
          <w:lang w:eastAsia="fr-FR"/>
        </w:rPr>
        <w:t>Systemic effects</w:t>
      </w:r>
    </w:p>
    <w:p w14:paraId="4F63EE1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both"/>
        <w:textAlignment w:val="baseline"/>
        <w:rPr>
          <w:rFonts w:cs="Arial"/>
          <w:spacing w:val="1"/>
          <w:u w:val="single"/>
          <w:lang w:eastAsia="fr-FR"/>
        </w:rPr>
      </w:pPr>
    </w:p>
    <w:tbl>
      <w:tblPr>
        <w:tblW w:w="10485" w:type="dxa"/>
        <w:jc w:val="center"/>
        <w:tblCellMar>
          <w:left w:w="70" w:type="dxa"/>
          <w:right w:w="70" w:type="dxa"/>
        </w:tblCellMar>
        <w:tblLook w:val="04A0" w:firstRow="1" w:lastRow="0" w:firstColumn="1" w:lastColumn="0" w:noHBand="0" w:noVBand="1"/>
      </w:tblPr>
      <w:tblGrid>
        <w:gridCol w:w="2920"/>
        <w:gridCol w:w="736"/>
        <w:gridCol w:w="1009"/>
        <w:gridCol w:w="1264"/>
        <w:gridCol w:w="1343"/>
        <w:gridCol w:w="1555"/>
        <w:gridCol w:w="1658"/>
      </w:tblGrid>
      <w:tr w:rsidR="001E65DB" w:rsidRPr="007E29F8" w14:paraId="4432AF19" w14:textId="77777777" w:rsidTr="001E65DB">
        <w:trPr>
          <w:trHeight w:val="59"/>
          <w:jc w:val="center"/>
        </w:trPr>
        <w:tc>
          <w:tcPr>
            <w:tcW w:w="2920" w:type="dxa"/>
            <w:tcBorders>
              <w:top w:val="single" w:sz="8" w:space="0" w:color="auto"/>
              <w:left w:val="single" w:sz="8" w:space="0" w:color="auto"/>
              <w:right w:val="single" w:sz="8" w:space="0" w:color="auto"/>
            </w:tcBorders>
            <w:shd w:val="clear" w:color="000000" w:fill="FFFFCC"/>
            <w:vAlign w:val="center"/>
            <w:hideMark/>
          </w:tcPr>
          <w:p w14:paraId="47B259A0"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Task/ Scenario</w:t>
            </w:r>
          </w:p>
        </w:tc>
        <w:tc>
          <w:tcPr>
            <w:tcW w:w="736" w:type="dxa"/>
            <w:tcBorders>
              <w:top w:val="single" w:sz="8" w:space="0" w:color="auto"/>
              <w:left w:val="single" w:sz="8" w:space="0" w:color="auto"/>
              <w:bottom w:val="single" w:sz="8" w:space="0" w:color="000000"/>
              <w:right w:val="single" w:sz="8" w:space="0" w:color="auto"/>
            </w:tcBorders>
            <w:shd w:val="clear" w:color="000000" w:fill="FFFFCC"/>
            <w:vAlign w:val="center"/>
            <w:hideMark/>
          </w:tcPr>
          <w:p w14:paraId="20252478"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Tier</w:t>
            </w:r>
          </w:p>
        </w:tc>
        <w:tc>
          <w:tcPr>
            <w:tcW w:w="1009" w:type="dxa"/>
            <w:tcBorders>
              <w:top w:val="single" w:sz="8" w:space="0" w:color="auto"/>
              <w:left w:val="nil"/>
              <w:right w:val="single" w:sz="8" w:space="0" w:color="auto"/>
            </w:tcBorders>
            <w:shd w:val="clear" w:color="000000" w:fill="FFFFCC"/>
            <w:vAlign w:val="center"/>
            <w:hideMark/>
          </w:tcPr>
          <w:p w14:paraId="4BF4E529"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AEL mg/kg bw/d</w:t>
            </w:r>
          </w:p>
        </w:tc>
        <w:tc>
          <w:tcPr>
            <w:tcW w:w="1264" w:type="dxa"/>
            <w:tcBorders>
              <w:top w:val="single" w:sz="8" w:space="0" w:color="auto"/>
              <w:left w:val="nil"/>
              <w:right w:val="single" w:sz="8" w:space="0" w:color="auto"/>
            </w:tcBorders>
            <w:shd w:val="clear" w:color="000000" w:fill="FFFFCC"/>
            <w:vAlign w:val="center"/>
            <w:hideMark/>
          </w:tcPr>
          <w:p w14:paraId="0D08405F"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Estimated uptake mg/kg bw/d</w:t>
            </w:r>
          </w:p>
        </w:tc>
        <w:tc>
          <w:tcPr>
            <w:tcW w:w="1343" w:type="dxa"/>
            <w:tcBorders>
              <w:top w:val="single" w:sz="8" w:space="0" w:color="auto"/>
              <w:left w:val="nil"/>
              <w:right w:val="single" w:sz="8" w:space="0" w:color="auto"/>
            </w:tcBorders>
            <w:shd w:val="clear" w:color="000000" w:fill="FFFFCC"/>
            <w:vAlign w:val="center"/>
            <w:hideMark/>
          </w:tcPr>
          <w:p w14:paraId="109A3443"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Estimated uptake/ AEL (%)</w:t>
            </w:r>
          </w:p>
        </w:tc>
        <w:tc>
          <w:tcPr>
            <w:tcW w:w="1555" w:type="dxa"/>
            <w:tcBorders>
              <w:top w:val="single" w:sz="8" w:space="0" w:color="auto"/>
              <w:left w:val="single" w:sz="8" w:space="0" w:color="auto"/>
              <w:bottom w:val="single" w:sz="8" w:space="0" w:color="000000"/>
              <w:right w:val="single" w:sz="8" w:space="0" w:color="auto"/>
            </w:tcBorders>
            <w:shd w:val="clear" w:color="000000" w:fill="FFFFCC"/>
            <w:vAlign w:val="center"/>
            <w:hideMark/>
          </w:tcPr>
          <w:p w14:paraId="06D3A737"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Number of applications claimed</w:t>
            </w:r>
          </w:p>
        </w:tc>
        <w:tc>
          <w:tcPr>
            <w:tcW w:w="1658" w:type="dxa"/>
            <w:tcBorders>
              <w:top w:val="single" w:sz="8" w:space="0" w:color="auto"/>
              <w:left w:val="nil"/>
              <w:right w:val="single" w:sz="8" w:space="0" w:color="auto"/>
            </w:tcBorders>
            <w:shd w:val="clear" w:color="000000" w:fill="FFFFCC"/>
            <w:vAlign w:val="center"/>
            <w:hideMark/>
          </w:tcPr>
          <w:p w14:paraId="00C2974A"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Acceptable (yes/no)</w:t>
            </w:r>
          </w:p>
        </w:tc>
      </w:tr>
      <w:tr w:rsidR="001E65DB" w:rsidRPr="007E29F8" w14:paraId="71131F5B" w14:textId="77777777" w:rsidTr="001B7765">
        <w:trPr>
          <w:trHeight w:val="37"/>
          <w:jc w:val="center"/>
        </w:trPr>
        <w:tc>
          <w:tcPr>
            <w:tcW w:w="10485" w:type="dxa"/>
            <w:gridSpan w:val="7"/>
            <w:tcBorders>
              <w:top w:val="single" w:sz="8" w:space="0" w:color="auto"/>
              <w:left w:val="single" w:sz="8" w:space="0" w:color="auto"/>
              <w:bottom w:val="single" w:sz="8" w:space="0" w:color="auto"/>
              <w:right w:val="single" w:sz="8" w:space="0" w:color="000000"/>
            </w:tcBorders>
            <w:shd w:val="clear" w:color="auto" w:fill="auto"/>
          </w:tcPr>
          <w:p w14:paraId="67743B4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b/>
                <w:bCs/>
                <w:spacing w:val="1"/>
                <w:lang w:eastAsia="fr-FR"/>
              </w:rPr>
              <w:t>Scenario 1a: application to the skin - temperate conditions</w:t>
            </w:r>
            <w:r>
              <w:rPr>
                <w:rFonts w:cs="Arial"/>
                <w:b/>
                <w:bCs/>
                <w:spacing w:val="1"/>
                <w:lang w:eastAsia="fr-FR"/>
              </w:rPr>
              <w:t xml:space="preserve"> and ticks</w:t>
            </w:r>
          </w:p>
        </w:tc>
      </w:tr>
      <w:tr w:rsidR="001E65DB" w:rsidRPr="007E29F8" w14:paraId="5AEE6A54" w14:textId="77777777" w:rsidTr="001B7765">
        <w:trPr>
          <w:trHeight w:val="216"/>
          <w:jc w:val="center"/>
        </w:trPr>
        <w:tc>
          <w:tcPr>
            <w:tcW w:w="2920" w:type="dxa"/>
            <w:tcBorders>
              <w:top w:val="nil"/>
              <w:left w:val="single" w:sz="8" w:space="0" w:color="auto"/>
              <w:bottom w:val="single" w:sz="4" w:space="0" w:color="auto"/>
              <w:right w:val="single" w:sz="4" w:space="0" w:color="auto"/>
            </w:tcBorders>
            <w:shd w:val="clear" w:color="auto" w:fill="auto"/>
            <w:vAlign w:val="center"/>
            <w:hideMark/>
          </w:tcPr>
          <w:p w14:paraId="05A6DCF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Adult</w:t>
            </w:r>
          </w:p>
        </w:tc>
        <w:tc>
          <w:tcPr>
            <w:tcW w:w="736" w:type="dxa"/>
            <w:tcBorders>
              <w:top w:val="nil"/>
              <w:left w:val="nil"/>
              <w:bottom w:val="single" w:sz="4" w:space="0" w:color="auto"/>
              <w:right w:val="single" w:sz="4" w:space="0" w:color="auto"/>
            </w:tcBorders>
            <w:shd w:val="clear" w:color="auto" w:fill="auto"/>
            <w:vAlign w:val="center"/>
            <w:hideMark/>
          </w:tcPr>
          <w:p w14:paraId="6D77FA1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2EC363E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18DCA3C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bCs/>
                <w:spacing w:val="1"/>
                <w:lang w:eastAsia="fr-FR"/>
              </w:rPr>
            </w:pPr>
            <w:r w:rsidRPr="007E29F8">
              <w:rPr>
                <w:rFonts w:cs="Calibri"/>
                <w:color w:val="000000"/>
              </w:rPr>
              <w:t>5.37</w:t>
            </w:r>
          </w:p>
        </w:tc>
        <w:tc>
          <w:tcPr>
            <w:tcW w:w="1343" w:type="dxa"/>
            <w:tcBorders>
              <w:top w:val="nil"/>
              <w:left w:val="nil"/>
              <w:bottom w:val="single" w:sz="4" w:space="0" w:color="auto"/>
              <w:right w:val="single" w:sz="4" w:space="0" w:color="auto"/>
            </w:tcBorders>
            <w:shd w:val="clear" w:color="auto" w:fill="auto"/>
            <w:noWrap/>
            <w:vAlign w:val="center"/>
          </w:tcPr>
          <w:p w14:paraId="6384FE9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b/>
                <w:bCs/>
                <w:spacing w:val="1"/>
                <w:lang w:eastAsia="fr-FR"/>
              </w:rPr>
            </w:pPr>
            <w:r w:rsidRPr="007E29F8">
              <w:rPr>
                <w:rFonts w:cs="Calibri"/>
                <w:b/>
                <w:bCs/>
              </w:rPr>
              <w:t>107%</w:t>
            </w:r>
          </w:p>
        </w:tc>
        <w:tc>
          <w:tcPr>
            <w:tcW w:w="1555" w:type="dxa"/>
            <w:tcBorders>
              <w:top w:val="nil"/>
              <w:left w:val="nil"/>
              <w:bottom w:val="single" w:sz="4" w:space="0" w:color="auto"/>
              <w:right w:val="single" w:sz="4" w:space="0" w:color="auto"/>
            </w:tcBorders>
            <w:shd w:val="clear" w:color="auto" w:fill="auto"/>
            <w:vAlign w:val="center"/>
            <w:hideMark/>
          </w:tcPr>
          <w:p w14:paraId="002797C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b/>
                <w:bCs/>
                <w:spacing w:val="1"/>
                <w:lang w:eastAsia="fr-FR"/>
              </w:rPr>
            </w:pPr>
            <w:r w:rsidRPr="007E29F8">
              <w:rPr>
                <w:rFonts w:cs="Arial"/>
                <w:b/>
                <w:bCs/>
                <w:spacing w:val="1"/>
                <w:lang w:eastAsia="fr-FR"/>
              </w:rPr>
              <w:t>2</w:t>
            </w:r>
          </w:p>
        </w:tc>
        <w:tc>
          <w:tcPr>
            <w:tcW w:w="1658" w:type="dxa"/>
            <w:tcBorders>
              <w:top w:val="nil"/>
              <w:left w:val="nil"/>
              <w:bottom w:val="single" w:sz="4" w:space="0" w:color="auto"/>
              <w:right w:val="single" w:sz="8" w:space="0" w:color="auto"/>
            </w:tcBorders>
            <w:shd w:val="clear" w:color="auto" w:fill="auto"/>
            <w:vAlign w:val="center"/>
            <w:hideMark/>
          </w:tcPr>
          <w:p w14:paraId="09F6C4F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b/>
                <w:bCs/>
                <w:spacing w:val="1"/>
                <w:lang w:eastAsia="fr-FR"/>
              </w:rPr>
              <w:t>No</w:t>
            </w:r>
          </w:p>
        </w:tc>
      </w:tr>
      <w:tr w:rsidR="001E65DB" w:rsidRPr="007E29F8" w14:paraId="75CB3BD5" w14:textId="77777777" w:rsidTr="001B7765">
        <w:trPr>
          <w:trHeight w:val="216"/>
          <w:jc w:val="center"/>
        </w:trPr>
        <w:tc>
          <w:tcPr>
            <w:tcW w:w="2920" w:type="dxa"/>
            <w:tcBorders>
              <w:top w:val="nil"/>
              <w:left w:val="single" w:sz="8" w:space="0" w:color="auto"/>
              <w:bottom w:val="single" w:sz="4" w:space="0" w:color="auto"/>
              <w:right w:val="single" w:sz="4" w:space="0" w:color="auto"/>
            </w:tcBorders>
            <w:shd w:val="clear" w:color="auto" w:fill="auto"/>
            <w:vAlign w:val="center"/>
            <w:hideMark/>
          </w:tcPr>
          <w:p w14:paraId="07720EB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Adult</w:t>
            </w:r>
          </w:p>
        </w:tc>
        <w:tc>
          <w:tcPr>
            <w:tcW w:w="736" w:type="dxa"/>
            <w:tcBorders>
              <w:top w:val="nil"/>
              <w:left w:val="nil"/>
              <w:bottom w:val="single" w:sz="4" w:space="0" w:color="auto"/>
              <w:right w:val="single" w:sz="4" w:space="0" w:color="auto"/>
            </w:tcBorders>
            <w:shd w:val="clear" w:color="auto" w:fill="auto"/>
            <w:vAlign w:val="center"/>
            <w:hideMark/>
          </w:tcPr>
          <w:p w14:paraId="3DAC71B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1B92E8B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6DF5DA7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2.68</w:t>
            </w:r>
          </w:p>
        </w:tc>
        <w:tc>
          <w:tcPr>
            <w:tcW w:w="1343" w:type="dxa"/>
            <w:tcBorders>
              <w:top w:val="nil"/>
              <w:left w:val="nil"/>
              <w:bottom w:val="single" w:sz="4" w:space="0" w:color="auto"/>
              <w:right w:val="single" w:sz="4" w:space="0" w:color="auto"/>
            </w:tcBorders>
            <w:shd w:val="clear" w:color="auto" w:fill="auto"/>
            <w:noWrap/>
            <w:vAlign w:val="center"/>
          </w:tcPr>
          <w:p w14:paraId="0BCBE7D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lang w:eastAsia="fr-FR"/>
              </w:rPr>
            </w:pPr>
            <w:r w:rsidRPr="007E29F8">
              <w:rPr>
                <w:rFonts w:cs="Calibri"/>
                <w:color w:val="000000"/>
              </w:rPr>
              <w:t>53.7%</w:t>
            </w:r>
          </w:p>
        </w:tc>
        <w:tc>
          <w:tcPr>
            <w:tcW w:w="1555" w:type="dxa"/>
            <w:tcBorders>
              <w:top w:val="nil"/>
              <w:left w:val="nil"/>
              <w:bottom w:val="single" w:sz="4" w:space="0" w:color="auto"/>
              <w:right w:val="single" w:sz="4" w:space="0" w:color="auto"/>
            </w:tcBorders>
            <w:shd w:val="clear" w:color="auto" w:fill="auto"/>
            <w:vAlign w:val="center"/>
            <w:hideMark/>
          </w:tcPr>
          <w:p w14:paraId="288A1BD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Arial"/>
                <w:spacing w:val="1"/>
                <w:lang w:eastAsia="fr-FR"/>
              </w:rPr>
              <w:t>1</w:t>
            </w:r>
          </w:p>
        </w:tc>
        <w:tc>
          <w:tcPr>
            <w:tcW w:w="1658" w:type="dxa"/>
            <w:tcBorders>
              <w:top w:val="nil"/>
              <w:left w:val="nil"/>
              <w:bottom w:val="single" w:sz="4" w:space="0" w:color="auto"/>
              <w:right w:val="single" w:sz="8" w:space="0" w:color="auto"/>
            </w:tcBorders>
            <w:shd w:val="clear" w:color="auto" w:fill="auto"/>
            <w:vAlign w:val="center"/>
            <w:hideMark/>
          </w:tcPr>
          <w:p w14:paraId="5559EC4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7E29F8">
              <w:rPr>
                <w:rFonts w:cs="Arial"/>
                <w:spacing w:val="1"/>
                <w:lang w:eastAsia="fr-FR"/>
              </w:rPr>
              <w:t>Yes</w:t>
            </w:r>
          </w:p>
        </w:tc>
      </w:tr>
      <w:tr w:rsidR="001E65DB" w:rsidRPr="007E29F8" w14:paraId="3CA8FEA0" w14:textId="77777777" w:rsidTr="001B7765">
        <w:trPr>
          <w:trHeight w:val="216"/>
          <w:jc w:val="center"/>
        </w:trPr>
        <w:tc>
          <w:tcPr>
            <w:tcW w:w="2920" w:type="dxa"/>
            <w:tcBorders>
              <w:top w:val="nil"/>
              <w:left w:val="single" w:sz="8" w:space="0" w:color="auto"/>
              <w:bottom w:val="single" w:sz="4" w:space="0" w:color="auto"/>
              <w:right w:val="single" w:sz="4" w:space="0" w:color="auto"/>
            </w:tcBorders>
            <w:shd w:val="clear" w:color="auto" w:fill="auto"/>
            <w:vAlign w:val="center"/>
            <w:hideMark/>
          </w:tcPr>
          <w:p w14:paraId="10C34FD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Child (6 to &lt;12 years old)</w:t>
            </w:r>
          </w:p>
        </w:tc>
        <w:tc>
          <w:tcPr>
            <w:tcW w:w="736" w:type="dxa"/>
            <w:tcBorders>
              <w:top w:val="nil"/>
              <w:left w:val="nil"/>
              <w:bottom w:val="single" w:sz="4" w:space="0" w:color="auto"/>
              <w:right w:val="single" w:sz="4" w:space="0" w:color="auto"/>
            </w:tcBorders>
            <w:shd w:val="clear" w:color="auto" w:fill="auto"/>
            <w:vAlign w:val="center"/>
            <w:hideMark/>
          </w:tcPr>
          <w:p w14:paraId="2FDBCA4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1DEC868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15F09B8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bCs/>
                <w:spacing w:val="1"/>
                <w:lang w:eastAsia="fr-FR"/>
              </w:rPr>
            </w:pPr>
            <w:r w:rsidRPr="007E29F8">
              <w:rPr>
                <w:rFonts w:cs="Calibri"/>
                <w:color w:val="000000"/>
              </w:rPr>
              <w:t>7.16</w:t>
            </w:r>
          </w:p>
        </w:tc>
        <w:tc>
          <w:tcPr>
            <w:tcW w:w="1343" w:type="dxa"/>
            <w:tcBorders>
              <w:top w:val="nil"/>
              <w:left w:val="nil"/>
              <w:bottom w:val="single" w:sz="4" w:space="0" w:color="auto"/>
              <w:right w:val="single" w:sz="4" w:space="0" w:color="auto"/>
            </w:tcBorders>
            <w:shd w:val="clear" w:color="auto" w:fill="auto"/>
            <w:noWrap/>
            <w:vAlign w:val="center"/>
          </w:tcPr>
          <w:p w14:paraId="4A8AE79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b/>
                <w:bCs/>
                <w:spacing w:val="1"/>
                <w:lang w:eastAsia="fr-FR"/>
              </w:rPr>
            </w:pPr>
            <w:r w:rsidRPr="007E29F8">
              <w:rPr>
                <w:rFonts w:cs="Calibri"/>
                <w:b/>
                <w:bCs/>
              </w:rPr>
              <w:t>143%</w:t>
            </w:r>
          </w:p>
        </w:tc>
        <w:tc>
          <w:tcPr>
            <w:tcW w:w="1555" w:type="dxa"/>
            <w:tcBorders>
              <w:top w:val="nil"/>
              <w:left w:val="nil"/>
              <w:bottom w:val="single" w:sz="4" w:space="0" w:color="auto"/>
              <w:right w:val="single" w:sz="4" w:space="0" w:color="auto"/>
            </w:tcBorders>
            <w:shd w:val="clear" w:color="auto" w:fill="auto"/>
            <w:vAlign w:val="center"/>
            <w:hideMark/>
          </w:tcPr>
          <w:p w14:paraId="4DE2DD5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b/>
                <w:bCs/>
                <w:spacing w:val="1"/>
                <w:lang w:eastAsia="fr-FR"/>
              </w:rPr>
            </w:pPr>
            <w:r w:rsidRPr="007E29F8">
              <w:rPr>
                <w:rFonts w:cs="Arial"/>
                <w:b/>
                <w:bCs/>
                <w:spacing w:val="1"/>
                <w:lang w:eastAsia="fr-FR"/>
              </w:rPr>
              <w:t>2</w:t>
            </w:r>
          </w:p>
        </w:tc>
        <w:tc>
          <w:tcPr>
            <w:tcW w:w="1658" w:type="dxa"/>
            <w:tcBorders>
              <w:top w:val="nil"/>
              <w:left w:val="nil"/>
              <w:bottom w:val="single" w:sz="4" w:space="0" w:color="auto"/>
              <w:right w:val="single" w:sz="8" w:space="0" w:color="auto"/>
            </w:tcBorders>
            <w:shd w:val="clear" w:color="auto" w:fill="auto"/>
            <w:vAlign w:val="center"/>
            <w:hideMark/>
          </w:tcPr>
          <w:p w14:paraId="13519AB6"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b/>
                <w:bCs/>
                <w:spacing w:val="1"/>
                <w:lang w:eastAsia="fr-FR"/>
              </w:rPr>
              <w:t>No</w:t>
            </w:r>
          </w:p>
        </w:tc>
      </w:tr>
      <w:tr w:rsidR="001E65DB" w:rsidRPr="007E29F8" w14:paraId="17132FD2" w14:textId="77777777" w:rsidTr="001B7765">
        <w:trPr>
          <w:trHeight w:val="216"/>
          <w:jc w:val="center"/>
        </w:trPr>
        <w:tc>
          <w:tcPr>
            <w:tcW w:w="2920" w:type="dxa"/>
            <w:tcBorders>
              <w:top w:val="nil"/>
              <w:left w:val="single" w:sz="8" w:space="0" w:color="auto"/>
              <w:bottom w:val="single" w:sz="4" w:space="0" w:color="auto"/>
              <w:right w:val="single" w:sz="4" w:space="0" w:color="auto"/>
            </w:tcBorders>
            <w:shd w:val="clear" w:color="auto" w:fill="auto"/>
            <w:vAlign w:val="center"/>
            <w:hideMark/>
          </w:tcPr>
          <w:p w14:paraId="3A3D170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Child (6 to &lt;12 years old)</w:t>
            </w:r>
          </w:p>
        </w:tc>
        <w:tc>
          <w:tcPr>
            <w:tcW w:w="736" w:type="dxa"/>
            <w:tcBorders>
              <w:top w:val="nil"/>
              <w:left w:val="nil"/>
              <w:bottom w:val="single" w:sz="4" w:space="0" w:color="auto"/>
              <w:right w:val="single" w:sz="4" w:space="0" w:color="auto"/>
            </w:tcBorders>
            <w:shd w:val="clear" w:color="auto" w:fill="auto"/>
            <w:vAlign w:val="center"/>
            <w:hideMark/>
          </w:tcPr>
          <w:p w14:paraId="54A9CF7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1188291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2F9C7D8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3.58</w:t>
            </w:r>
          </w:p>
        </w:tc>
        <w:tc>
          <w:tcPr>
            <w:tcW w:w="1343" w:type="dxa"/>
            <w:tcBorders>
              <w:top w:val="nil"/>
              <w:left w:val="nil"/>
              <w:bottom w:val="single" w:sz="4" w:space="0" w:color="auto"/>
              <w:right w:val="single" w:sz="4" w:space="0" w:color="auto"/>
            </w:tcBorders>
            <w:shd w:val="clear" w:color="auto" w:fill="auto"/>
            <w:noWrap/>
            <w:vAlign w:val="center"/>
          </w:tcPr>
          <w:p w14:paraId="218812F6"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lang w:eastAsia="fr-FR"/>
              </w:rPr>
            </w:pPr>
            <w:r w:rsidRPr="007E29F8">
              <w:rPr>
                <w:rFonts w:cs="Calibri"/>
                <w:color w:val="000000"/>
              </w:rPr>
              <w:t>71.6%</w:t>
            </w:r>
          </w:p>
        </w:tc>
        <w:tc>
          <w:tcPr>
            <w:tcW w:w="1555" w:type="dxa"/>
            <w:tcBorders>
              <w:top w:val="nil"/>
              <w:left w:val="nil"/>
              <w:bottom w:val="single" w:sz="4" w:space="0" w:color="auto"/>
              <w:right w:val="single" w:sz="4" w:space="0" w:color="auto"/>
            </w:tcBorders>
            <w:shd w:val="clear" w:color="auto" w:fill="auto"/>
            <w:vAlign w:val="center"/>
            <w:hideMark/>
          </w:tcPr>
          <w:p w14:paraId="7C4C315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Arial"/>
                <w:spacing w:val="1"/>
                <w:lang w:eastAsia="fr-FR"/>
              </w:rPr>
              <w:t>1</w:t>
            </w:r>
          </w:p>
        </w:tc>
        <w:tc>
          <w:tcPr>
            <w:tcW w:w="1658" w:type="dxa"/>
            <w:tcBorders>
              <w:top w:val="nil"/>
              <w:left w:val="nil"/>
              <w:bottom w:val="single" w:sz="4" w:space="0" w:color="auto"/>
              <w:right w:val="single" w:sz="8" w:space="0" w:color="auto"/>
            </w:tcBorders>
            <w:shd w:val="clear" w:color="auto" w:fill="auto"/>
            <w:vAlign w:val="center"/>
            <w:hideMark/>
          </w:tcPr>
          <w:p w14:paraId="120CFB5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7E29F8">
              <w:rPr>
                <w:rFonts w:cs="Arial"/>
                <w:spacing w:val="1"/>
                <w:lang w:eastAsia="fr-FR"/>
              </w:rPr>
              <w:t>Yes</w:t>
            </w:r>
          </w:p>
        </w:tc>
      </w:tr>
      <w:tr w:rsidR="001E65DB" w:rsidRPr="007E29F8" w14:paraId="1034AAFC" w14:textId="77777777" w:rsidTr="001B7765">
        <w:trPr>
          <w:trHeight w:val="216"/>
          <w:jc w:val="center"/>
        </w:trPr>
        <w:tc>
          <w:tcPr>
            <w:tcW w:w="2920" w:type="dxa"/>
            <w:tcBorders>
              <w:top w:val="nil"/>
              <w:left w:val="single" w:sz="8" w:space="0" w:color="auto"/>
              <w:bottom w:val="single" w:sz="4" w:space="0" w:color="auto"/>
              <w:right w:val="single" w:sz="4" w:space="0" w:color="auto"/>
            </w:tcBorders>
            <w:shd w:val="clear" w:color="auto" w:fill="auto"/>
            <w:vAlign w:val="center"/>
            <w:hideMark/>
          </w:tcPr>
          <w:p w14:paraId="561E3E6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Child (2 to &lt;6 years old)</w:t>
            </w:r>
          </w:p>
        </w:tc>
        <w:tc>
          <w:tcPr>
            <w:tcW w:w="736" w:type="dxa"/>
            <w:tcBorders>
              <w:top w:val="nil"/>
              <w:left w:val="nil"/>
              <w:bottom w:val="single" w:sz="4" w:space="0" w:color="auto"/>
              <w:right w:val="single" w:sz="4" w:space="0" w:color="auto"/>
            </w:tcBorders>
            <w:shd w:val="clear" w:color="auto" w:fill="auto"/>
            <w:vAlign w:val="center"/>
            <w:hideMark/>
          </w:tcPr>
          <w:p w14:paraId="614C578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48C6775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00DC046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4.07</w:t>
            </w:r>
          </w:p>
        </w:tc>
        <w:tc>
          <w:tcPr>
            <w:tcW w:w="1343" w:type="dxa"/>
            <w:tcBorders>
              <w:top w:val="nil"/>
              <w:left w:val="nil"/>
              <w:bottom w:val="single" w:sz="4" w:space="0" w:color="auto"/>
              <w:right w:val="single" w:sz="4" w:space="0" w:color="auto"/>
            </w:tcBorders>
            <w:shd w:val="clear" w:color="auto" w:fill="auto"/>
            <w:noWrap/>
            <w:vAlign w:val="center"/>
          </w:tcPr>
          <w:p w14:paraId="13A233D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lang w:eastAsia="fr-FR"/>
              </w:rPr>
            </w:pPr>
            <w:r w:rsidRPr="007E29F8">
              <w:rPr>
                <w:rFonts w:cs="Calibri"/>
                <w:color w:val="000000"/>
              </w:rPr>
              <w:t>81.4%</w:t>
            </w:r>
          </w:p>
        </w:tc>
        <w:tc>
          <w:tcPr>
            <w:tcW w:w="1555" w:type="dxa"/>
            <w:tcBorders>
              <w:top w:val="nil"/>
              <w:left w:val="nil"/>
              <w:bottom w:val="single" w:sz="4" w:space="0" w:color="auto"/>
              <w:right w:val="single" w:sz="4" w:space="0" w:color="auto"/>
            </w:tcBorders>
            <w:shd w:val="clear" w:color="auto" w:fill="auto"/>
            <w:vAlign w:val="center"/>
            <w:hideMark/>
          </w:tcPr>
          <w:p w14:paraId="50ACB1E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Arial"/>
                <w:spacing w:val="1"/>
                <w:lang w:eastAsia="fr-FR"/>
              </w:rPr>
              <w:t>1</w:t>
            </w:r>
          </w:p>
        </w:tc>
        <w:tc>
          <w:tcPr>
            <w:tcW w:w="1658" w:type="dxa"/>
            <w:tcBorders>
              <w:top w:val="nil"/>
              <w:left w:val="nil"/>
              <w:bottom w:val="single" w:sz="4" w:space="0" w:color="auto"/>
              <w:right w:val="single" w:sz="8" w:space="0" w:color="auto"/>
            </w:tcBorders>
            <w:shd w:val="clear" w:color="auto" w:fill="auto"/>
            <w:vAlign w:val="center"/>
            <w:hideMark/>
          </w:tcPr>
          <w:p w14:paraId="0C32B41E"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7E29F8">
              <w:rPr>
                <w:rFonts w:cs="Arial"/>
                <w:spacing w:val="1"/>
                <w:lang w:eastAsia="fr-FR"/>
              </w:rPr>
              <w:t>Yes</w:t>
            </w:r>
          </w:p>
        </w:tc>
      </w:tr>
      <w:tr w:rsidR="001E65DB" w:rsidRPr="007E29F8" w14:paraId="11293135" w14:textId="77777777" w:rsidTr="001B7765">
        <w:trPr>
          <w:trHeight w:val="216"/>
          <w:jc w:val="center"/>
        </w:trPr>
        <w:tc>
          <w:tcPr>
            <w:tcW w:w="2920" w:type="dxa"/>
            <w:tcBorders>
              <w:top w:val="nil"/>
              <w:left w:val="single" w:sz="8" w:space="0" w:color="auto"/>
              <w:bottom w:val="single" w:sz="4" w:space="0" w:color="auto"/>
              <w:right w:val="single" w:sz="4" w:space="0" w:color="auto"/>
            </w:tcBorders>
            <w:shd w:val="clear" w:color="auto" w:fill="auto"/>
            <w:vAlign w:val="center"/>
            <w:hideMark/>
          </w:tcPr>
          <w:p w14:paraId="4F902EF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Toddler (1 to &lt;2 years old)</w:t>
            </w:r>
          </w:p>
        </w:tc>
        <w:tc>
          <w:tcPr>
            <w:tcW w:w="736" w:type="dxa"/>
            <w:tcBorders>
              <w:top w:val="nil"/>
              <w:left w:val="nil"/>
              <w:bottom w:val="single" w:sz="4" w:space="0" w:color="auto"/>
              <w:right w:val="single" w:sz="4" w:space="0" w:color="auto"/>
            </w:tcBorders>
            <w:shd w:val="clear" w:color="auto" w:fill="auto"/>
            <w:vAlign w:val="center"/>
            <w:hideMark/>
          </w:tcPr>
          <w:p w14:paraId="69673E2E"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38C9533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1E8B0D8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4.50</w:t>
            </w:r>
          </w:p>
        </w:tc>
        <w:tc>
          <w:tcPr>
            <w:tcW w:w="1343" w:type="dxa"/>
            <w:tcBorders>
              <w:top w:val="nil"/>
              <w:left w:val="nil"/>
              <w:bottom w:val="single" w:sz="4" w:space="0" w:color="auto"/>
              <w:right w:val="single" w:sz="4" w:space="0" w:color="auto"/>
            </w:tcBorders>
            <w:shd w:val="clear" w:color="auto" w:fill="auto"/>
            <w:noWrap/>
            <w:vAlign w:val="center"/>
          </w:tcPr>
          <w:p w14:paraId="57938B26"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lang w:eastAsia="fr-FR"/>
              </w:rPr>
            </w:pPr>
            <w:r w:rsidRPr="007E29F8">
              <w:rPr>
                <w:rFonts w:cs="Calibri"/>
                <w:color w:val="000000"/>
              </w:rPr>
              <w:t>89.9%</w:t>
            </w:r>
          </w:p>
        </w:tc>
        <w:tc>
          <w:tcPr>
            <w:tcW w:w="1555" w:type="dxa"/>
            <w:tcBorders>
              <w:top w:val="nil"/>
              <w:left w:val="nil"/>
              <w:bottom w:val="single" w:sz="4" w:space="0" w:color="auto"/>
              <w:right w:val="single" w:sz="4" w:space="0" w:color="auto"/>
            </w:tcBorders>
            <w:shd w:val="clear" w:color="auto" w:fill="auto"/>
            <w:vAlign w:val="center"/>
            <w:hideMark/>
          </w:tcPr>
          <w:p w14:paraId="524E221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Arial"/>
                <w:spacing w:val="1"/>
                <w:lang w:eastAsia="fr-FR"/>
              </w:rPr>
              <w:t>1</w:t>
            </w:r>
          </w:p>
        </w:tc>
        <w:tc>
          <w:tcPr>
            <w:tcW w:w="1658" w:type="dxa"/>
            <w:tcBorders>
              <w:top w:val="nil"/>
              <w:left w:val="nil"/>
              <w:bottom w:val="single" w:sz="4" w:space="0" w:color="auto"/>
              <w:right w:val="single" w:sz="8" w:space="0" w:color="auto"/>
            </w:tcBorders>
            <w:shd w:val="clear" w:color="auto" w:fill="auto"/>
            <w:vAlign w:val="center"/>
            <w:hideMark/>
          </w:tcPr>
          <w:p w14:paraId="1A7EE52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7E29F8">
              <w:rPr>
                <w:rFonts w:cs="Arial"/>
                <w:spacing w:val="1"/>
                <w:lang w:eastAsia="fr-FR"/>
              </w:rPr>
              <w:t>Yes</w:t>
            </w:r>
          </w:p>
        </w:tc>
      </w:tr>
      <w:tr w:rsidR="001E65DB" w:rsidRPr="007E29F8" w14:paraId="6C20F1CD" w14:textId="77777777" w:rsidTr="001B7765">
        <w:trPr>
          <w:trHeight w:val="229"/>
          <w:jc w:val="center"/>
        </w:trPr>
        <w:tc>
          <w:tcPr>
            <w:tcW w:w="2920" w:type="dxa"/>
            <w:tcBorders>
              <w:top w:val="nil"/>
              <w:left w:val="single" w:sz="8" w:space="0" w:color="auto"/>
              <w:bottom w:val="double" w:sz="4" w:space="0" w:color="auto"/>
              <w:right w:val="single" w:sz="4" w:space="0" w:color="auto"/>
            </w:tcBorders>
            <w:shd w:val="clear" w:color="auto" w:fill="auto"/>
            <w:vAlign w:val="center"/>
            <w:hideMark/>
          </w:tcPr>
          <w:p w14:paraId="7451684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Infant (&lt;1 year old)</w:t>
            </w:r>
          </w:p>
        </w:tc>
        <w:tc>
          <w:tcPr>
            <w:tcW w:w="736" w:type="dxa"/>
            <w:tcBorders>
              <w:top w:val="nil"/>
              <w:left w:val="nil"/>
              <w:bottom w:val="double" w:sz="4" w:space="0" w:color="auto"/>
              <w:right w:val="single" w:sz="4" w:space="0" w:color="auto"/>
            </w:tcBorders>
            <w:shd w:val="clear" w:color="auto" w:fill="auto"/>
            <w:vAlign w:val="center"/>
            <w:hideMark/>
          </w:tcPr>
          <w:p w14:paraId="721AB4E6"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double" w:sz="4" w:space="0" w:color="auto"/>
              <w:right w:val="single" w:sz="4" w:space="0" w:color="auto"/>
            </w:tcBorders>
            <w:shd w:val="clear" w:color="auto" w:fill="auto"/>
            <w:vAlign w:val="center"/>
            <w:hideMark/>
          </w:tcPr>
          <w:p w14:paraId="059AC97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double" w:sz="4" w:space="0" w:color="auto"/>
              <w:right w:val="single" w:sz="4" w:space="0" w:color="auto"/>
            </w:tcBorders>
            <w:shd w:val="clear" w:color="auto" w:fill="auto"/>
            <w:vAlign w:val="bottom"/>
          </w:tcPr>
          <w:p w14:paraId="1E3012C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4.80</w:t>
            </w:r>
          </w:p>
        </w:tc>
        <w:tc>
          <w:tcPr>
            <w:tcW w:w="1343" w:type="dxa"/>
            <w:tcBorders>
              <w:top w:val="nil"/>
              <w:left w:val="nil"/>
              <w:bottom w:val="double" w:sz="4" w:space="0" w:color="auto"/>
              <w:right w:val="single" w:sz="4" w:space="0" w:color="auto"/>
            </w:tcBorders>
            <w:shd w:val="clear" w:color="auto" w:fill="auto"/>
            <w:noWrap/>
            <w:vAlign w:val="center"/>
          </w:tcPr>
          <w:p w14:paraId="354D44BE"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lang w:eastAsia="fr-FR"/>
              </w:rPr>
            </w:pPr>
            <w:r w:rsidRPr="007E29F8">
              <w:rPr>
                <w:rFonts w:cs="Calibri"/>
                <w:color w:val="000000"/>
              </w:rPr>
              <w:t>96.0%</w:t>
            </w:r>
          </w:p>
        </w:tc>
        <w:tc>
          <w:tcPr>
            <w:tcW w:w="1555" w:type="dxa"/>
            <w:tcBorders>
              <w:top w:val="nil"/>
              <w:left w:val="nil"/>
              <w:bottom w:val="double" w:sz="4" w:space="0" w:color="auto"/>
              <w:right w:val="single" w:sz="4" w:space="0" w:color="auto"/>
            </w:tcBorders>
            <w:shd w:val="clear" w:color="auto" w:fill="auto"/>
            <w:vAlign w:val="center"/>
            <w:hideMark/>
          </w:tcPr>
          <w:p w14:paraId="70530EC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Arial"/>
                <w:spacing w:val="1"/>
                <w:lang w:eastAsia="fr-FR"/>
              </w:rPr>
              <w:t>1</w:t>
            </w:r>
          </w:p>
        </w:tc>
        <w:tc>
          <w:tcPr>
            <w:tcW w:w="1658" w:type="dxa"/>
            <w:tcBorders>
              <w:top w:val="nil"/>
              <w:left w:val="nil"/>
              <w:bottom w:val="double" w:sz="4" w:space="0" w:color="auto"/>
              <w:right w:val="single" w:sz="8" w:space="0" w:color="auto"/>
            </w:tcBorders>
            <w:shd w:val="clear" w:color="auto" w:fill="auto"/>
            <w:vAlign w:val="center"/>
            <w:hideMark/>
          </w:tcPr>
          <w:p w14:paraId="3D6BD04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7E29F8">
              <w:rPr>
                <w:rFonts w:cs="Arial"/>
                <w:spacing w:val="1"/>
                <w:lang w:eastAsia="fr-FR"/>
              </w:rPr>
              <w:t>Yes</w:t>
            </w:r>
          </w:p>
        </w:tc>
      </w:tr>
      <w:tr w:rsidR="001E65DB" w:rsidRPr="007E29F8" w14:paraId="0A005779" w14:textId="77777777" w:rsidTr="001B7765">
        <w:trPr>
          <w:trHeight w:val="37"/>
          <w:jc w:val="center"/>
        </w:trPr>
        <w:tc>
          <w:tcPr>
            <w:tcW w:w="10485" w:type="dxa"/>
            <w:gridSpan w:val="7"/>
            <w:tcBorders>
              <w:top w:val="single" w:sz="2" w:space="0" w:color="auto"/>
              <w:left w:val="single" w:sz="8" w:space="0" w:color="auto"/>
              <w:bottom w:val="single" w:sz="8" w:space="0" w:color="auto"/>
              <w:right w:val="single" w:sz="8" w:space="0" w:color="000000"/>
            </w:tcBorders>
            <w:shd w:val="clear" w:color="auto" w:fill="auto"/>
          </w:tcPr>
          <w:p w14:paraId="384D569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b/>
                <w:bCs/>
                <w:spacing w:val="1"/>
                <w:lang w:eastAsia="fr-FR"/>
              </w:rPr>
            </w:pPr>
            <w:r w:rsidRPr="007E29F8">
              <w:rPr>
                <w:rFonts w:cs="Arial"/>
                <w:b/>
                <w:bCs/>
                <w:spacing w:val="1"/>
                <w:lang w:eastAsia="fr-FR"/>
              </w:rPr>
              <w:t>Scenario 1b: application to the skin - tropical conditions</w:t>
            </w:r>
          </w:p>
        </w:tc>
      </w:tr>
      <w:tr w:rsidR="001E65DB" w:rsidRPr="007E29F8" w14:paraId="688839F8" w14:textId="77777777" w:rsidTr="001B7765">
        <w:trPr>
          <w:trHeight w:val="216"/>
          <w:jc w:val="center"/>
        </w:trPr>
        <w:tc>
          <w:tcPr>
            <w:tcW w:w="29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28644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Adult</w:t>
            </w:r>
          </w:p>
        </w:tc>
        <w:tc>
          <w:tcPr>
            <w:tcW w:w="736" w:type="dxa"/>
            <w:tcBorders>
              <w:top w:val="nil"/>
              <w:left w:val="nil"/>
              <w:bottom w:val="single" w:sz="4" w:space="0" w:color="auto"/>
              <w:right w:val="single" w:sz="4" w:space="0" w:color="auto"/>
            </w:tcBorders>
            <w:shd w:val="clear" w:color="auto" w:fill="auto"/>
            <w:vAlign w:val="center"/>
            <w:hideMark/>
          </w:tcPr>
          <w:p w14:paraId="0A9C78F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2FD8C4B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2A0064E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7.16</w:t>
            </w:r>
          </w:p>
        </w:tc>
        <w:tc>
          <w:tcPr>
            <w:tcW w:w="1343" w:type="dxa"/>
            <w:tcBorders>
              <w:top w:val="nil"/>
              <w:left w:val="nil"/>
              <w:bottom w:val="single" w:sz="4" w:space="0" w:color="auto"/>
              <w:right w:val="single" w:sz="4" w:space="0" w:color="auto"/>
            </w:tcBorders>
            <w:shd w:val="clear" w:color="auto" w:fill="auto"/>
            <w:noWrap/>
            <w:vAlign w:val="bottom"/>
          </w:tcPr>
          <w:p w14:paraId="6C2C788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b/>
                <w:bCs/>
                <w:spacing w:val="1"/>
                <w:lang w:eastAsia="fr-FR"/>
              </w:rPr>
            </w:pPr>
            <w:r w:rsidRPr="007E29F8">
              <w:rPr>
                <w:rFonts w:cs="Calibri"/>
                <w:b/>
                <w:color w:val="000000"/>
              </w:rPr>
              <w:t>143%</w:t>
            </w:r>
          </w:p>
        </w:tc>
        <w:tc>
          <w:tcPr>
            <w:tcW w:w="1555" w:type="dxa"/>
            <w:tcBorders>
              <w:top w:val="nil"/>
              <w:left w:val="nil"/>
              <w:bottom w:val="single" w:sz="4" w:space="0" w:color="auto"/>
              <w:right w:val="single" w:sz="4" w:space="0" w:color="auto"/>
            </w:tcBorders>
            <w:shd w:val="clear" w:color="auto" w:fill="auto"/>
            <w:vAlign w:val="center"/>
            <w:hideMark/>
          </w:tcPr>
          <w:p w14:paraId="011938E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b/>
                <w:bCs/>
                <w:spacing w:val="1"/>
                <w:lang w:eastAsia="fr-FR"/>
              </w:rPr>
            </w:pPr>
            <w:r w:rsidRPr="007E29F8">
              <w:rPr>
                <w:rFonts w:cs="Arial"/>
                <w:b/>
                <w:bCs/>
                <w:spacing w:val="1"/>
                <w:lang w:eastAsia="fr-FR"/>
              </w:rPr>
              <w:t>2</w:t>
            </w:r>
          </w:p>
        </w:tc>
        <w:tc>
          <w:tcPr>
            <w:tcW w:w="1658" w:type="dxa"/>
            <w:tcBorders>
              <w:top w:val="nil"/>
              <w:left w:val="nil"/>
              <w:bottom w:val="single" w:sz="4" w:space="0" w:color="auto"/>
              <w:right w:val="single" w:sz="8" w:space="0" w:color="auto"/>
            </w:tcBorders>
            <w:shd w:val="clear" w:color="auto" w:fill="auto"/>
            <w:vAlign w:val="center"/>
            <w:hideMark/>
          </w:tcPr>
          <w:p w14:paraId="3FA99A1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b/>
                <w:bCs/>
                <w:spacing w:val="1"/>
                <w:lang w:eastAsia="fr-FR"/>
              </w:rPr>
              <w:t>No</w:t>
            </w:r>
          </w:p>
        </w:tc>
      </w:tr>
      <w:tr w:rsidR="001E65DB" w:rsidRPr="007E29F8" w14:paraId="7E4BE33E" w14:textId="77777777" w:rsidTr="001B7765">
        <w:trPr>
          <w:trHeight w:val="216"/>
          <w:jc w:val="center"/>
        </w:trPr>
        <w:tc>
          <w:tcPr>
            <w:tcW w:w="2920" w:type="dxa"/>
            <w:tcBorders>
              <w:top w:val="nil"/>
              <w:left w:val="single" w:sz="8" w:space="0" w:color="auto"/>
              <w:bottom w:val="single" w:sz="4" w:space="0" w:color="auto"/>
              <w:right w:val="single" w:sz="4" w:space="0" w:color="auto"/>
            </w:tcBorders>
            <w:shd w:val="clear" w:color="auto" w:fill="auto"/>
            <w:vAlign w:val="center"/>
            <w:hideMark/>
          </w:tcPr>
          <w:p w14:paraId="4D24C27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Adult</w:t>
            </w:r>
          </w:p>
        </w:tc>
        <w:tc>
          <w:tcPr>
            <w:tcW w:w="736" w:type="dxa"/>
            <w:tcBorders>
              <w:top w:val="nil"/>
              <w:left w:val="nil"/>
              <w:bottom w:val="single" w:sz="4" w:space="0" w:color="auto"/>
              <w:right w:val="single" w:sz="4" w:space="0" w:color="auto"/>
            </w:tcBorders>
            <w:shd w:val="clear" w:color="auto" w:fill="auto"/>
            <w:vAlign w:val="center"/>
            <w:hideMark/>
          </w:tcPr>
          <w:p w14:paraId="16448A1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5E71BBA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4C385A0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3.58</w:t>
            </w:r>
          </w:p>
        </w:tc>
        <w:tc>
          <w:tcPr>
            <w:tcW w:w="1343" w:type="dxa"/>
            <w:tcBorders>
              <w:top w:val="nil"/>
              <w:left w:val="nil"/>
              <w:bottom w:val="single" w:sz="4" w:space="0" w:color="auto"/>
              <w:right w:val="single" w:sz="4" w:space="0" w:color="auto"/>
            </w:tcBorders>
            <w:shd w:val="clear" w:color="auto" w:fill="auto"/>
            <w:noWrap/>
            <w:vAlign w:val="bottom"/>
          </w:tcPr>
          <w:p w14:paraId="28E24AA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lang w:eastAsia="fr-FR"/>
              </w:rPr>
            </w:pPr>
            <w:r w:rsidRPr="007E29F8">
              <w:rPr>
                <w:rFonts w:cs="Calibri"/>
                <w:color w:val="000000"/>
              </w:rPr>
              <w:t>71.6%</w:t>
            </w:r>
          </w:p>
        </w:tc>
        <w:tc>
          <w:tcPr>
            <w:tcW w:w="1555" w:type="dxa"/>
            <w:tcBorders>
              <w:top w:val="nil"/>
              <w:left w:val="nil"/>
              <w:bottom w:val="single" w:sz="4" w:space="0" w:color="auto"/>
              <w:right w:val="single" w:sz="4" w:space="0" w:color="auto"/>
            </w:tcBorders>
            <w:shd w:val="clear" w:color="auto" w:fill="auto"/>
            <w:vAlign w:val="center"/>
            <w:hideMark/>
          </w:tcPr>
          <w:p w14:paraId="0C57DF6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Arial"/>
                <w:spacing w:val="1"/>
                <w:lang w:eastAsia="fr-FR"/>
              </w:rPr>
              <w:t>1</w:t>
            </w:r>
          </w:p>
        </w:tc>
        <w:tc>
          <w:tcPr>
            <w:tcW w:w="1658" w:type="dxa"/>
            <w:tcBorders>
              <w:top w:val="nil"/>
              <w:left w:val="nil"/>
              <w:bottom w:val="single" w:sz="4" w:space="0" w:color="auto"/>
              <w:right w:val="single" w:sz="8" w:space="0" w:color="auto"/>
            </w:tcBorders>
            <w:shd w:val="clear" w:color="auto" w:fill="auto"/>
            <w:vAlign w:val="center"/>
            <w:hideMark/>
          </w:tcPr>
          <w:p w14:paraId="22219B3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7E29F8">
              <w:rPr>
                <w:rFonts w:cs="Arial"/>
                <w:spacing w:val="1"/>
                <w:lang w:eastAsia="fr-FR"/>
              </w:rPr>
              <w:t>Yes</w:t>
            </w:r>
          </w:p>
        </w:tc>
      </w:tr>
      <w:tr w:rsidR="001E65DB" w:rsidRPr="007E29F8" w14:paraId="5C182A05" w14:textId="77777777" w:rsidTr="001B7765">
        <w:trPr>
          <w:trHeight w:val="216"/>
          <w:jc w:val="center"/>
        </w:trPr>
        <w:tc>
          <w:tcPr>
            <w:tcW w:w="2920" w:type="dxa"/>
            <w:tcBorders>
              <w:top w:val="nil"/>
              <w:left w:val="single" w:sz="8" w:space="0" w:color="auto"/>
              <w:bottom w:val="single" w:sz="4" w:space="0" w:color="auto"/>
              <w:right w:val="single" w:sz="4" w:space="0" w:color="auto"/>
            </w:tcBorders>
            <w:shd w:val="clear" w:color="auto" w:fill="auto"/>
            <w:vAlign w:val="center"/>
            <w:hideMark/>
          </w:tcPr>
          <w:p w14:paraId="4059BB0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Child (6 to &lt;12 years old)</w:t>
            </w:r>
          </w:p>
        </w:tc>
        <w:tc>
          <w:tcPr>
            <w:tcW w:w="736" w:type="dxa"/>
            <w:tcBorders>
              <w:top w:val="nil"/>
              <w:left w:val="nil"/>
              <w:bottom w:val="single" w:sz="4" w:space="0" w:color="auto"/>
              <w:right w:val="single" w:sz="4" w:space="0" w:color="auto"/>
            </w:tcBorders>
            <w:shd w:val="clear" w:color="auto" w:fill="auto"/>
            <w:vAlign w:val="center"/>
            <w:hideMark/>
          </w:tcPr>
          <w:p w14:paraId="4D69F9E7"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75A4E96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529A45F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4.78</w:t>
            </w:r>
          </w:p>
        </w:tc>
        <w:tc>
          <w:tcPr>
            <w:tcW w:w="1343" w:type="dxa"/>
            <w:tcBorders>
              <w:top w:val="nil"/>
              <w:left w:val="nil"/>
              <w:bottom w:val="single" w:sz="4" w:space="0" w:color="auto"/>
              <w:right w:val="single" w:sz="4" w:space="0" w:color="auto"/>
            </w:tcBorders>
            <w:shd w:val="clear" w:color="auto" w:fill="auto"/>
            <w:noWrap/>
            <w:vAlign w:val="bottom"/>
          </w:tcPr>
          <w:p w14:paraId="037B0E3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lang w:eastAsia="fr-FR"/>
              </w:rPr>
            </w:pPr>
            <w:r w:rsidRPr="007E29F8">
              <w:rPr>
                <w:rFonts w:cs="Calibri"/>
                <w:color w:val="000000"/>
              </w:rPr>
              <w:t>95.5%</w:t>
            </w:r>
          </w:p>
        </w:tc>
        <w:tc>
          <w:tcPr>
            <w:tcW w:w="1555" w:type="dxa"/>
            <w:tcBorders>
              <w:top w:val="nil"/>
              <w:left w:val="nil"/>
              <w:bottom w:val="single" w:sz="4" w:space="0" w:color="auto"/>
              <w:right w:val="single" w:sz="4" w:space="0" w:color="auto"/>
            </w:tcBorders>
            <w:shd w:val="clear" w:color="auto" w:fill="auto"/>
            <w:vAlign w:val="center"/>
            <w:hideMark/>
          </w:tcPr>
          <w:p w14:paraId="22DC322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Arial"/>
                <w:spacing w:val="1"/>
                <w:lang w:eastAsia="fr-FR"/>
              </w:rPr>
              <w:t>1</w:t>
            </w:r>
          </w:p>
        </w:tc>
        <w:tc>
          <w:tcPr>
            <w:tcW w:w="1658" w:type="dxa"/>
            <w:tcBorders>
              <w:top w:val="nil"/>
              <w:left w:val="nil"/>
              <w:bottom w:val="single" w:sz="4" w:space="0" w:color="auto"/>
              <w:right w:val="single" w:sz="8" w:space="0" w:color="auto"/>
            </w:tcBorders>
            <w:shd w:val="clear" w:color="auto" w:fill="auto"/>
            <w:vAlign w:val="center"/>
            <w:hideMark/>
          </w:tcPr>
          <w:p w14:paraId="747C355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7E29F8">
              <w:rPr>
                <w:rFonts w:cs="Arial"/>
                <w:spacing w:val="1"/>
                <w:lang w:eastAsia="fr-FR"/>
              </w:rPr>
              <w:t>Yes</w:t>
            </w:r>
          </w:p>
        </w:tc>
      </w:tr>
      <w:tr w:rsidR="001E65DB" w:rsidRPr="007E29F8" w14:paraId="35E43A39" w14:textId="77777777" w:rsidTr="001B7765">
        <w:trPr>
          <w:trHeight w:val="216"/>
          <w:jc w:val="center"/>
        </w:trPr>
        <w:tc>
          <w:tcPr>
            <w:tcW w:w="2920" w:type="dxa"/>
            <w:tcBorders>
              <w:top w:val="nil"/>
              <w:left w:val="single" w:sz="8" w:space="0" w:color="auto"/>
              <w:bottom w:val="single" w:sz="4" w:space="0" w:color="auto"/>
              <w:right w:val="single" w:sz="4" w:space="0" w:color="auto"/>
            </w:tcBorders>
            <w:shd w:val="clear" w:color="auto" w:fill="auto"/>
            <w:vAlign w:val="center"/>
            <w:hideMark/>
          </w:tcPr>
          <w:p w14:paraId="2610D7C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Child (2 to &lt;6 years old)</w:t>
            </w:r>
          </w:p>
        </w:tc>
        <w:tc>
          <w:tcPr>
            <w:tcW w:w="736" w:type="dxa"/>
            <w:tcBorders>
              <w:top w:val="nil"/>
              <w:left w:val="nil"/>
              <w:bottom w:val="single" w:sz="4" w:space="0" w:color="auto"/>
              <w:right w:val="single" w:sz="4" w:space="0" w:color="auto"/>
            </w:tcBorders>
            <w:shd w:val="clear" w:color="auto" w:fill="auto"/>
            <w:vAlign w:val="center"/>
            <w:hideMark/>
          </w:tcPr>
          <w:p w14:paraId="6F32146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6F468977"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00147B6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5.43</w:t>
            </w:r>
          </w:p>
        </w:tc>
        <w:tc>
          <w:tcPr>
            <w:tcW w:w="1343" w:type="dxa"/>
            <w:tcBorders>
              <w:top w:val="nil"/>
              <w:left w:val="nil"/>
              <w:bottom w:val="single" w:sz="4" w:space="0" w:color="auto"/>
              <w:right w:val="single" w:sz="4" w:space="0" w:color="auto"/>
            </w:tcBorders>
            <w:shd w:val="clear" w:color="auto" w:fill="auto"/>
            <w:noWrap/>
            <w:vAlign w:val="bottom"/>
          </w:tcPr>
          <w:p w14:paraId="2CCF5B9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b/>
                <w:bCs/>
                <w:spacing w:val="1"/>
                <w:lang w:eastAsia="fr-FR"/>
              </w:rPr>
            </w:pPr>
            <w:r w:rsidRPr="007E29F8">
              <w:rPr>
                <w:rFonts w:cs="Calibri"/>
                <w:b/>
                <w:color w:val="000000"/>
              </w:rPr>
              <w:t>109%</w:t>
            </w:r>
          </w:p>
        </w:tc>
        <w:tc>
          <w:tcPr>
            <w:tcW w:w="1555" w:type="dxa"/>
            <w:tcBorders>
              <w:top w:val="nil"/>
              <w:left w:val="nil"/>
              <w:bottom w:val="single" w:sz="4" w:space="0" w:color="auto"/>
              <w:right w:val="single" w:sz="4" w:space="0" w:color="auto"/>
            </w:tcBorders>
            <w:shd w:val="clear" w:color="auto" w:fill="auto"/>
            <w:vAlign w:val="center"/>
            <w:hideMark/>
          </w:tcPr>
          <w:p w14:paraId="29FA622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bCs/>
                <w:spacing w:val="1"/>
                <w:lang w:eastAsia="fr-FR"/>
              </w:rPr>
            </w:pPr>
            <w:r w:rsidRPr="007E29F8">
              <w:rPr>
                <w:rFonts w:cs="Arial"/>
                <w:bCs/>
                <w:spacing w:val="1"/>
                <w:lang w:eastAsia="fr-FR"/>
              </w:rPr>
              <w:t>1</w:t>
            </w:r>
          </w:p>
        </w:tc>
        <w:tc>
          <w:tcPr>
            <w:tcW w:w="1658" w:type="dxa"/>
            <w:tcBorders>
              <w:top w:val="nil"/>
              <w:left w:val="nil"/>
              <w:bottom w:val="single" w:sz="4" w:space="0" w:color="auto"/>
              <w:right w:val="single" w:sz="8" w:space="0" w:color="auto"/>
            </w:tcBorders>
            <w:shd w:val="clear" w:color="auto" w:fill="auto"/>
            <w:vAlign w:val="center"/>
            <w:hideMark/>
          </w:tcPr>
          <w:p w14:paraId="0594BB5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b/>
                <w:bCs/>
                <w:spacing w:val="1"/>
                <w:lang w:eastAsia="fr-FR"/>
              </w:rPr>
              <w:t>No</w:t>
            </w:r>
          </w:p>
        </w:tc>
      </w:tr>
      <w:tr w:rsidR="001E65DB" w:rsidRPr="007E29F8" w14:paraId="521B8C1D" w14:textId="77777777" w:rsidTr="001B7765">
        <w:trPr>
          <w:trHeight w:val="216"/>
          <w:jc w:val="center"/>
        </w:trPr>
        <w:tc>
          <w:tcPr>
            <w:tcW w:w="2920" w:type="dxa"/>
            <w:tcBorders>
              <w:top w:val="nil"/>
              <w:left w:val="single" w:sz="8" w:space="0" w:color="auto"/>
              <w:bottom w:val="single" w:sz="4" w:space="0" w:color="auto"/>
              <w:right w:val="single" w:sz="4" w:space="0" w:color="auto"/>
            </w:tcBorders>
            <w:shd w:val="clear" w:color="auto" w:fill="auto"/>
            <w:vAlign w:val="center"/>
            <w:hideMark/>
          </w:tcPr>
          <w:p w14:paraId="0F9A5DF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Toddler (1 to &lt;2 years old)</w:t>
            </w:r>
          </w:p>
        </w:tc>
        <w:tc>
          <w:tcPr>
            <w:tcW w:w="736" w:type="dxa"/>
            <w:tcBorders>
              <w:top w:val="nil"/>
              <w:left w:val="nil"/>
              <w:bottom w:val="single" w:sz="4" w:space="0" w:color="auto"/>
              <w:right w:val="single" w:sz="4" w:space="0" w:color="auto"/>
            </w:tcBorders>
            <w:shd w:val="clear" w:color="auto" w:fill="auto"/>
            <w:vAlign w:val="center"/>
            <w:hideMark/>
          </w:tcPr>
          <w:p w14:paraId="3013D4F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nil"/>
              <w:left w:val="nil"/>
              <w:bottom w:val="single" w:sz="4" w:space="0" w:color="auto"/>
              <w:right w:val="single" w:sz="4" w:space="0" w:color="auto"/>
            </w:tcBorders>
            <w:shd w:val="clear" w:color="auto" w:fill="auto"/>
            <w:vAlign w:val="center"/>
            <w:hideMark/>
          </w:tcPr>
          <w:p w14:paraId="03DD50A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5C6C29D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6.00</w:t>
            </w:r>
          </w:p>
        </w:tc>
        <w:tc>
          <w:tcPr>
            <w:tcW w:w="1343" w:type="dxa"/>
            <w:tcBorders>
              <w:top w:val="nil"/>
              <w:left w:val="nil"/>
              <w:bottom w:val="single" w:sz="4" w:space="0" w:color="auto"/>
              <w:right w:val="single" w:sz="4" w:space="0" w:color="auto"/>
            </w:tcBorders>
            <w:shd w:val="clear" w:color="auto" w:fill="auto"/>
            <w:noWrap/>
            <w:vAlign w:val="bottom"/>
          </w:tcPr>
          <w:p w14:paraId="3C8D79F7"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b/>
                <w:bCs/>
                <w:spacing w:val="1"/>
                <w:lang w:eastAsia="fr-FR"/>
              </w:rPr>
            </w:pPr>
            <w:r w:rsidRPr="007E29F8">
              <w:rPr>
                <w:rFonts w:cs="Calibri"/>
                <w:b/>
                <w:color w:val="000000"/>
              </w:rPr>
              <w:t>120%</w:t>
            </w:r>
          </w:p>
        </w:tc>
        <w:tc>
          <w:tcPr>
            <w:tcW w:w="1555" w:type="dxa"/>
            <w:tcBorders>
              <w:top w:val="nil"/>
              <w:left w:val="nil"/>
              <w:bottom w:val="single" w:sz="4" w:space="0" w:color="auto"/>
              <w:right w:val="single" w:sz="4" w:space="0" w:color="auto"/>
            </w:tcBorders>
            <w:shd w:val="clear" w:color="auto" w:fill="auto"/>
            <w:vAlign w:val="center"/>
            <w:hideMark/>
          </w:tcPr>
          <w:p w14:paraId="1A8CCB4E"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bCs/>
                <w:spacing w:val="1"/>
                <w:lang w:eastAsia="fr-FR"/>
              </w:rPr>
            </w:pPr>
            <w:r w:rsidRPr="007E29F8">
              <w:rPr>
                <w:rFonts w:cs="Arial"/>
                <w:bCs/>
                <w:spacing w:val="1"/>
                <w:lang w:eastAsia="fr-FR"/>
              </w:rPr>
              <w:t>1</w:t>
            </w:r>
          </w:p>
        </w:tc>
        <w:tc>
          <w:tcPr>
            <w:tcW w:w="1658" w:type="dxa"/>
            <w:tcBorders>
              <w:top w:val="nil"/>
              <w:left w:val="nil"/>
              <w:bottom w:val="single" w:sz="4" w:space="0" w:color="auto"/>
              <w:right w:val="single" w:sz="8" w:space="0" w:color="auto"/>
            </w:tcBorders>
            <w:shd w:val="clear" w:color="auto" w:fill="auto"/>
            <w:vAlign w:val="center"/>
            <w:hideMark/>
          </w:tcPr>
          <w:p w14:paraId="2660294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b/>
                <w:bCs/>
                <w:spacing w:val="1"/>
                <w:lang w:eastAsia="fr-FR"/>
              </w:rPr>
              <w:t>No</w:t>
            </w:r>
          </w:p>
        </w:tc>
      </w:tr>
      <w:tr w:rsidR="001E65DB" w:rsidRPr="007E29F8" w14:paraId="7681851F" w14:textId="77777777" w:rsidTr="001B7765">
        <w:trPr>
          <w:trHeight w:val="229"/>
          <w:jc w:val="center"/>
        </w:trPr>
        <w:tc>
          <w:tcPr>
            <w:tcW w:w="29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DB04C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Infant (&lt;1 year old)</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3E535B1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1EDAC43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single" w:sz="4" w:space="0" w:color="auto"/>
              <w:left w:val="nil"/>
              <w:bottom w:val="single" w:sz="4" w:space="0" w:color="auto"/>
              <w:right w:val="single" w:sz="4" w:space="0" w:color="auto"/>
            </w:tcBorders>
            <w:shd w:val="clear" w:color="auto" w:fill="auto"/>
            <w:vAlign w:val="bottom"/>
          </w:tcPr>
          <w:p w14:paraId="49A7698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6.40</w:t>
            </w:r>
          </w:p>
        </w:tc>
        <w:tc>
          <w:tcPr>
            <w:tcW w:w="1343" w:type="dxa"/>
            <w:tcBorders>
              <w:top w:val="single" w:sz="4" w:space="0" w:color="auto"/>
              <w:left w:val="nil"/>
              <w:bottom w:val="single" w:sz="4" w:space="0" w:color="auto"/>
              <w:right w:val="single" w:sz="4" w:space="0" w:color="auto"/>
            </w:tcBorders>
            <w:shd w:val="clear" w:color="auto" w:fill="auto"/>
            <w:noWrap/>
            <w:vAlign w:val="bottom"/>
          </w:tcPr>
          <w:p w14:paraId="3687FBD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b/>
                <w:bCs/>
                <w:spacing w:val="1"/>
                <w:lang w:eastAsia="fr-FR"/>
              </w:rPr>
            </w:pPr>
            <w:r w:rsidRPr="007E29F8">
              <w:rPr>
                <w:rFonts w:cs="Calibri"/>
                <w:b/>
                <w:color w:val="000000"/>
              </w:rPr>
              <w:t>128%</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19D54FD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bCs/>
                <w:spacing w:val="1"/>
                <w:lang w:eastAsia="fr-FR"/>
              </w:rPr>
            </w:pPr>
            <w:r w:rsidRPr="007E29F8">
              <w:rPr>
                <w:rFonts w:cs="Arial"/>
                <w:bCs/>
                <w:spacing w:val="1"/>
                <w:lang w:eastAsia="fr-FR"/>
              </w:rPr>
              <w:t>1</w:t>
            </w:r>
          </w:p>
        </w:tc>
        <w:tc>
          <w:tcPr>
            <w:tcW w:w="1658" w:type="dxa"/>
            <w:tcBorders>
              <w:top w:val="single" w:sz="4" w:space="0" w:color="auto"/>
              <w:left w:val="nil"/>
              <w:bottom w:val="single" w:sz="4" w:space="0" w:color="auto"/>
              <w:right w:val="single" w:sz="8" w:space="0" w:color="auto"/>
            </w:tcBorders>
            <w:shd w:val="clear" w:color="auto" w:fill="auto"/>
            <w:vAlign w:val="center"/>
            <w:hideMark/>
          </w:tcPr>
          <w:p w14:paraId="27655BD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b/>
                <w:bCs/>
                <w:spacing w:val="1"/>
                <w:lang w:eastAsia="fr-FR"/>
              </w:rPr>
              <w:t>No</w:t>
            </w:r>
          </w:p>
        </w:tc>
      </w:tr>
      <w:tr w:rsidR="001E65DB" w:rsidRPr="007E29F8" w14:paraId="4EB44805" w14:textId="77777777" w:rsidTr="001B7765">
        <w:trPr>
          <w:trHeight w:val="229"/>
          <w:jc w:val="center"/>
        </w:trPr>
        <w:tc>
          <w:tcPr>
            <w:tcW w:w="10485"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38ACBA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b/>
                <w:bCs/>
                <w:spacing w:val="1"/>
                <w:lang w:eastAsia="fr-FR"/>
              </w:rPr>
              <w:t>Scenario 1c: application to the head - lice</w:t>
            </w:r>
          </w:p>
        </w:tc>
      </w:tr>
      <w:tr w:rsidR="001E65DB" w:rsidRPr="007E29F8" w14:paraId="46B51A50" w14:textId="77777777" w:rsidTr="001B7765">
        <w:trPr>
          <w:trHeight w:val="229"/>
          <w:jc w:val="center"/>
        </w:trPr>
        <w:tc>
          <w:tcPr>
            <w:tcW w:w="2920" w:type="dxa"/>
            <w:tcBorders>
              <w:top w:val="single" w:sz="2" w:space="0" w:color="auto"/>
              <w:left w:val="single" w:sz="2" w:space="0" w:color="auto"/>
              <w:bottom w:val="single" w:sz="2" w:space="0" w:color="auto"/>
              <w:right w:val="single" w:sz="2" w:space="0" w:color="auto"/>
            </w:tcBorders>
            <w:shd w:val="clear" w:color="auto" w:fill="auto"/>
            <w:vAlign w:val="center"/>
          </w:tcPr>
          <w:p w14:paraId="753BCD0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Adult</w:t>
            </w:r>
          </w:p>
        </w:tc>
        <w:tc>
          <w:tcPr>
            <w:tcW w:w="736" w:type="dxa"/>
            <w:tcBorders>
              <w:top w:val="single" w:sz="2" w:space="0" w:color="auto"/>
              <w:left w:val="single" w:sz="2" w:space="0" w:color="auto"/>
              <w:bottom w:val="single" w:sz="2" w:space="0" w:color="auto"/>
              <w:right w:val="single" w:sz="2" w:space="0" w:color="auto"/>
            </w:tcBorders>
            <w:shd w:val="clear" w:color="auto" w:fill="auto"/>
            <w:vAlign w:val="center"/>
          </w:tcPr>
          <w:p w14:paraId="1236080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single" w:sz="2" w:space="0" w:color="auto"/>
              <w:left w:val="single" w:sz="2" w:space="0" w:color="auto"/>
              <w:bottom w:val="single" w:sz="2" w:space="0" w:color="auto"/>
              <w:right w:val="single" w:sz="4" w:space="0" w:color="auto"/>
            </w:tcBorders>
            <w:shd w:val="clear" w:color="auto" w:fill="auto"/>
            <w:vAlign w:val="center"/>
          </w:tcPr>
          <w:p w14:paraId="3DDF815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4270A27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Calibri"/>
                <w:color w:val="000000"/>
              </w:rPr>
            </w:pPr>
            <w:r w:rsidRPr="007E29F8">
              <w:rPr>
                <w:rFonts w:cs="Calibri"/>
                <w:color w:val="000000"/>
              </w:rPr>
              <w:t>1.4</w:t>
            </w:r>
            <w:r>
              <w:rPr>
                <w:rFonts w:cs="Calibri"/>
                <w:color w:val="000000"/>
              </w:rPr>
              <w:t>7</w:t>
            </w:r>
          </w:p>
        </w:tc>
        <w:tc>
          <w:tcPr>
            <w:tcW w:w="134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7614B4B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Calibri"/>
                <w:b/>
                <w:bCs/>
                <w:color w:val="000000"/>
              </w:rPr>
            </w:pPr>
            <w:r w:rsidRPr="007E29F8">
              <w:rPr>
                <w:rFonts w:cs="Calibri"/>
                <w:color w:val="000000"/>
              </w:rPr>
              <w:t>29.</w:t>
            </w:r>
            <w:r>
              <w:rPr>
                <w:rFonts w:cs="Calibri"/>
                <w:color w:val="000000"/>
              </w:rPr>
              <w:t>4</w:t>
            </w:r>
            <w:r w:rsidRPr="007E29F8">
              <w:rPr>
                <w:rFonts w:cs="Calibri"/>
                <w:color w:val="000000"/>
              </w:rPr>
              <w:t>%</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center"/>
          </w:tcPr>
          <w:p w14:paraId="1365F7B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rPr>
              <w:t>3</w:t>
            </w:r>
          </w:p>
        </w:tc>
        <w:tc>
          <w:tcPr>
            <w:tcW w:w="1658" w:type="dxa"/>
            <w:tcBorders>
              <w:top w:val="single" w:sz="2" w:space="0" w:color="auto"/>
              <w:left w:val="single" w:sz="2" w:space="0" w:color="auto"/>
              <w:bottom w:val="single" w:sz="2" w:space="0" w:color="auto"/>
              <w:right w:val="single" w:sz="2" w:space="0" w:color="auto"/>
            </w:tcBorders>
            <w:shd w:val="clear" w:color="auto" w:fill="auto"/>
            <w:vAlign w:val="center"/>
          </w:tcPr>
          <w:p w14:paraId="49DD37DE"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spacing w:val="1"/>
                <w:lang w:eastAsia="fr-FR"/>
              </w:rPr>
              <w:t>Yes</w:t>
            </w:r>
          </w:p>
        </w:tc>
      </w:tr>
      <w:tr w:rsidR="001E65DB" w:rsidRPr="007E29F8" w14:paraId="3EE423D0" w14:textId="77777777" w:rsidTr="001B7765">
        <w:trPr>
          <w:trHeight w:val="229"/>
          <w:jc w:val="center"/>
        </w:trPr>
        <w:tc>
          <w:tcPr>
            <w:tcW w:w="2920" w:type="dxa"/>
            <w:tcBorders>
              <w:top w:val="single" w:sz="2" w:space="0" w:color="auto"/>
              <w:left w:val="single" w:sz="2" w:space="0" w:color="auto"/>
              <w:bottom w:val="single" w:sz="2" w:space="0" w:color="auto"/>
              <w:right w:val="single" w:sz="2" w:space="0" w:color="auto"/>
            </w:tcBorders>
            <w:shd w:val="clear" w:color="auto" w:fill="auto"/>
            <w:vAlign w:val="center"/>
          </w:tcPr>
          <w:p w14:paraId="2CBF40A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Child (6 to &lt;12 years old)</w:t>
            </w:r>
          </w:p>
        </w:tc>
        <w:tc>
          <w:tcPr>
            <w:tcW w:w="736" w:type="dxa"/>
            <w:tcBorders>
              <w:top w:val="single" w:sz="2" w:space="0" w:color="auto"/>
              <w:left w:val="single" w:sz="2" w:space="0" w:color="auto"/>
              <w:bottom w:val="single" w:sz="2" w:space="0" w:color="auto"/>
              <w:right w:val="single" w:sz="2" w:space="0" w:color="auto"/>
            </w:tcBorders>
            <w:shd w:val="clear" w:color="auto" w:fill="auto"/>
            <w:vAlign w:val="center"/>
          </w:tcPr>
          <w:p w14:paraId="402065D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single" w:sz="2" w:space="0" w:color="auto"/>
              <w:left w:val="single" w:sz="2" w:space="0" w:color="auto"/>
              <w:bottom w:val="single" w:sz="2" w:space="0" w:color="auto"/>
              <w:right w:val="single" w:sz="4" w:space="0" w:color="auto"/>
            </w:tcBorders>
            <w:shd w:val="clear" w:color="auto" w:fill="auto"/>
            <w:vAlign w:val="center"/>
          </w:tcPr>
          <w:p w14:paraId="35EED546"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2678A9C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Calibri"/>
                <w:color w:val="000000"/>
              </w:rPr>
            </w:pPr>
            <w:r w:rsidRPr="007E29F8">
              <w:rPr>
                <w:rFonts w:cs="Calibri"/>
                <w:color w:val="000000"/>
              </w:rPr>
              <w:t>1.7</w:t>
            </w:r>
            <w:r>
              <w:rPr>
                <w:rFonts w:cs="Calibri"/>
                <w:color w:val="000000"/>
              </w:rPr>
              <w:t>5</w:t>
            </w:r>
          </w:p>
        </w:tc>
        <w:tc>
          <w:tcPr>
            <w:tcW w:w="134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7E1739B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Calibri"/>
                <w:b/>
                <w:bCs/>
                <w:color w:val="000000"/>
              </w:rPr>
            </w:pPr>
            <w:r w:rsidRPr="007E29F8">
              <w:rPr>
                <w:rFonts w:cs="Calibri"/>
                <w:color w:val="000000"/>
              </w:rPr>
              <w:t>35.1%</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center"/>
          </w:tcPr>
          <w:p w14:paraId="5C0D5726"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rPr>
              <w:t>3</w:t>
            </w:r>
          </w:p>
        </w:tc>
        <w:tc>
          <w:tcPr>
            <w:tcW w:w="1658" w:type="dxa"/>
            <w:tcBorders>
              <w:top w:val="single" w:sz="2" w:space="0" w:color="auto"/>
              <w:left w:val="single" w:sz="2" w:space="0" w:color="auto"/>
              <w:bottom w:val="single" w:sz="2" w:space="0" w:color="auto"/>
              <w:right w:val="single" w:sz="2" w:space="0" w:color="auto"/>
            </w:tcBorders>
            <w:shd w:val="clear" w:color="auto" w:fill="auto"/>
            <w:vAlign w:val="center"/>
          </w:tcPr>
          <w:p w14:paraId="06D545D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spacing w:val="1"/>
                <w:lang w:eastAsia="fr-FR"/>
              </w:rPr>
              <w:t>Yes</w:t>
            </w:r>
          </w:p>
        </w:tc>
      </w:tr>
      <w:tr w:rsidR="001E65DB" w:rsidRPr="007E29F8" w14:paraId="40C84862" w14:textId="77777777" w:rsidTr="001B7765">
        <w:trPr>
          <w:trHeight w:val="229"/>
          <w:jc w:val="center"/>
        </w:trPr>
        <w:tc>
          <w:tcPr>
            <w:tcW w:w="2920" w:type="dxa"/>
            <w:tcBorders>
              <w:top w:val="single" w:sz="2" w:space="0" w:color="auto"/>
              <w:left w:val="single" w:sz="2" w:space="0" w:color="auto"/>
              <w:bottom w:val="single" w:sz="2" w:space="0" w:color="auto"/>
              <w:right w:val="single" w:sz="2" w:space="0" w:color="auto"/>
            </w:tcBorders>
            <w:shd w:val="clear" w:color="auto" w:fill="auto"/>
            <w:vAlign w:val="center"/>
          </w:tcPr>
          <w:p w14:paraId="513EC7F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Child (2 to &lt;6 years old)</w:t>
            </w:r>
          </w:p>
        </w:tc>
        <w:tc>
          <w:tcPr>
            <w:tcW w:w="736" w:type="dxa"/>
            <w:tcBorders>
              <w:top w:val="single" w:sz="2" w:space="0" w:color="auto"/>
              <w:left w:val="single" w:sz="2" w:space="0" w:color="auto"/>
              <w:bottom w:val="single" w:sz="2" w:space="0" w:color="auto"/>
              <w:right w:val="single" w:sz="2" w:space="0" w:color="auto"/>
            </w:tcBorders>
            <w:shd w:val="clear" w:color="auto" w:fill="auto"/>
            <w:vAlign w:val="center"/>
          </w:tcPr>
          <w:p w14:paraId="7089392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single" w:sz="2" w:space="0" w:color="auto"/>
              <w:left w:val="single" w:sz="2" w:space="0" w:color="auto"/>
              <w:bottom w:val="single" w:sz="2" w:space="0" w:color="auto"/>
              <w:right w:val="single" w:sz="4" w:space="0" w:color="auto"/>
            </w:tcBorders>
            <w:shd w:val="clear" w:color="auto" w:fill="auto"/>
            <w:vAlign w:val="center"/>
          </w:tcPr>
          <w:p w14:paraId="5B6337E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0864A0E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Calibri"/>
                <w:color w:val="000000"/>
              </w:rPr>
            </w:pPr>
            <w:r w:rsidRPr="007E29F8">
              <w:rPr>
                <w:rFonts w:cs="Calibri"/>
                <w:color w:val="000000"/>
              </w:rPr>
              <w:t>2.6</w:t>
            </w:r>
            <w:r>
              <w:rPr>
                <w:rFonts w:cs="Calibri"/>
                <w:color w:val="000000"/>
              </w:rPr>
              <w:t>9</w:t>
            </w:r>
          </w:p>
        </w:tc>
        <w:tc>
          <w:tcPr>
            <w:tcW w:w="134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177DFE7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Calibri"/>
                <w:b/>
                <w:bCs/>
                <w:color w:val="000000"/>
              </w:rPr>
            </w:pPr>
            <w:r w:rsidRPr="007E29F8">
              <w:rPr>
                <w:rFonts w:cs="Calibri"/>
                <w:color w:val="000000"/>
              </w:rPr>
              <w:t>53.</w:t>
            </w:r>
            <w:r>
              <w:rPr>
                <w:rFonts w:cs="Calibri"/>
                <w:color w:val="000000"/>
              </w:rPr>
              <w:t>8</w:t>
            </w:r>
            <w:r w:rsidRPr="007E29F8">
              <w:rPr>
                <w:rFonts w:cs="Calibri"/>
                <w:color w:val="000000"/>
              </w:rPr>
              <w:t>%</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center"/>
          </w:tcPr>
          <w:p w14:paraId="5798ADD7"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3</w:t>
            </w:r>
          </w:p>
        </w:tc>
        <w:tc>
          <w:tcPr>
            <w:tcW w:w="1658" w:type="dxa"/>
            <w:tcBorders>
              <w:top w:val="single" w:sz="2" w:space="0" w:color="auto"/>
              <w:left w:val="single" w:sz="2" w:space="0" w:color="auto"/>
              <w:bottom w:val="single" w:sz="2" w:space="0" w:color="auto"/>
              <w:right w:val="single" w:sz="2" w:space="0" w:color="auto"/>
            </w:tcBorders>
            <w:shd w:val="clear" w:color="auto" w:fill="auto"/>
            <w:vAlign w:val="center"/>
          </w:tcPr>
          <w:p w14:paraId="1752064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spacing w:val="1"/>
                <w:lang w:eastAsia="fr-FR"/>
              </w:rPr>
              <w:t>Yes</w:t>
            </w:r>
          </w:p>
        </w:tc>
      </w:tr>
      <w:tr w:rsidR="001E65DB" w:rsidRPr="007E29F8" w14:paraId="61731A25" w14:textId="77777777" w:rsidTr="001B7765">
        <w:trPr>
          <w:trHeight w:val="229"/>
          <w:jc w:val="center"/>
        </w:trPr>
        <w:tc>
          <w:tcPr>
            <w:tcW w:w="2920" w:type="dxa"/>
            <w:tcBorders>
              <w:top w:val="single" w:sz="2" w:space="0" w:color="auto"/>
              <w:left w:val="single" w:sz="2" w:space="0" w:color="auto"/>
              <w:bottom w:val="single" w:sz="2" w:space="0" w:color="auto"/>
              <w:right w:val="single" w:sz="2" w:space="0" w:color="auto"/>
            </w:tcBorders>
            <w:shd w:val="clear" w:color="auto" w:fill="auto"/>
            <w:vAlign w:val="center"/>
          </w:tcPr>
          <w:p w14:paraId="5E8DA8F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Toddler (1 to &lt;2 years old)</w:t>
            </w:r>
          </w:p>
        </w:tc>
        <w:tc>
          <w:tcPr>
            <w:tcW w:w="736" w:type="dxa"/>
            <w:tcBorders>
              <w:top w:val="single" w:sz="2" w:space="0" w:color="auto"/>
              <w:left w:val="single" w:sz="2" w:space="0" w:color="auto"/>
              <w:bottom w:val="single" w:sz="2" w:space="0" w:color="auto"/>
              <w:right w:val="single" w:sz="2" w:space="0" w:color="auto"/>
            </w:tcBorders>
            <w:shd w:val="clear" w:color="auto" w:fill="auto"/>
            <w:vAlign w:val="center"/>
          </w:tcPr>
          <w:p w14:paraId="7B983C5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single" w:sz="2" w:space="0" w:color="auto"/>
              <w:left w:val="single" w:sz="2" w:space="0" w:color="auto"/>
              <w:bottom w:val="single" w:sz="2" w:space="0" w:color="auto"/>
              <w:right w:val="single" w:sz="4" w:space="0" w:color="auto"/>
            </w:tcBorders>
            <w:shd w:val="clear" w:color="auto" w:fill="auto"/>
            <w:vAlign w:val="center"/>
          </w:tcPr>
          <w:p w14:paraId="1A4F8DF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790593E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Calibri"/>
                <w:color w:val="000000"/>
              </w:rPr>
            </w:pPr>
            <w:r>
              <w:rPr>
                <w:rFonts w:cs="Calibri"/>
                <w:color w:val="000000"/>
              </w:rPr>
              <w:t>4.2</w:t>
            </w:r>
          </w:p>
        </w:tc>
        <w:tc>
          <w:tcPr>
            <w:tcW w:w="134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66079241" w14:textId="77777777" w:rsidR="001E65DB" w:rsidRPr="0012172A"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Calibri"/>
                <w:color w:val="000000"/>
              </w:rPr>
            </w:pPr>
            <w:r>
              <w:rPr>
                <w:rFonts w:cs="Calibri"/>
                <w:color w:val="000000"/>
              </w:rPr>
              <w:t>84.0</w:t>
            </w:r>
            <w:r w:rsidRPr="007E29F8">
              <w:rPr>
                <w:rFonts w:cs="Calibri"/>
                <w:color w:val="000000"/>
              </w:rPr>
              <w:t>%</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center"/>
          </w:tcPr>
          <w:p w14:paraId="4B82AE57"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3</w:t>
            </w:r>
          </w:p>
        </w:tc>
        <w:tc>
          <w:tcPr>
            <w:tcW w:w="1658" w:type="dxa"/>
            <w:tcBorders>
              <w:top w:val="single" w:sz="2" w:space="0" w:color="auto"/>
              <w:left w:val="single" w:sz="2" w:space="0" w:color="auto"/>
              <w:bottom w:val="single" w:sz="2" w:space="0" w:color="auto"/>
              <w:right w:val="single" w:sz="2" w:space="0" w:color="auto"/>
            </w:tcBorders>
            <w:shd w:val="clear" w:color="auto" w:fill="auto"/>
            <w:vAlign w:val="center"/>
          </w:tcPr>
          <w:p w14:paraId="6F671A9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spacing w:val="1"/>
                <w:lang w:eastAsia="fr-FR"/>
              </w:rPr>
            </w:pPr>
            <w:r w:rsidRPr="007E29F8">
              <w:rPr>
                <w:rFonts w:cs="Arial"/>
                <w:spacing w:val="1"/>
                <w:lang w:eastAsia="fr-FR"/>
              </w:rPr>
              <w:t>Yes</w:t>
            </w:r>
          </w:p>
        </w:tc>
      </w:tr>
      <w:tr w:rsidR="001E65DB" w:rsidRPr="007E29F8" w14:paraId="4580B9E0" w14:textId="77777777" w:rsidTr="001B7765">
        <w:trPr>
          <w:trHeight w:val="229"/>
          <w:jc w:val="center"/>
        </w:trPr>
        <w:tc>
          <w:tcPr>
            <w:tcW w:w="2920" w:type="dxa"/>
            <w:tcBorders>
              <w:top w:val="single" w:sz="2" w:space="0" w:color="auto"/>
              <w:left w:val="single" w:sz="2" w:space="0" w:color="auto"/>
              <w:bottom w:val="single" w:sz="2" w:space="0" w:color="auto"/>
              <w:right w:val="single" w:sz="2" w:space="0" w:color="auto"/>
            </w:tcBorders>
            <w:shd w:val="clear" w:color="auto" w:fill="auto"/>
            <w:vAlign w:val="center"/>
          </w:tcPr>
          <w:p w14:paraId="17BEE5D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Infant (&lt;1 year old)</w:t>
            </w:r>
          </w:p>
        </w:tc>
        <w:tc>
          <w:tcPr>
            <w:tcW w:w="736" w:type="dxa"/>
            <w:tcBorders>
              <w:top w:val="single" w:sz="2" w:space="0" w:color="auto"/>
              <w:left w:val="single" w:sz="2" w:space="0" w:color="auto"/>
              <w:bottom w:val="single" w:sz="2" w:space="0" w:color="auto"/>
              <w:right w:val="single" w:sz="2" w:space="0" w:color="auto"/>
            </w:tcBorders>
            <w:shd w:val="clear" w:color="auto" w:fill="auto"/>
            <w:vAlign w:val="center"/>
          </w:tcPr>
          <w:p w14:paraId="11835DBE"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single" w:sz="2" w:space="0" w:color="auto"/>
              <w:left w:val="single" w:sz="2" w:space="0" w:color="auto"/>
              <w:bottom w:val="single" w:sz="2" w:space="0" w:color="auto"/>
              <w:right w:val="single" w:sz="4" w:space="0" w:color="auto"/>
            </w:tcBorders>
            <w:shd w:val="clear" w:color="auto" w:fill="auto"/>
            <w:vAlign w:val="center"/>
          </w:tcPr>
          <w:p w14:paraId="77AFFB3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3544775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Calibri"/>
                <w:color w:val="000000"/>
              </w:rPr>
            </w:pPr>
            <w:r w:rsidRPr="007E29F8">
              <w:rPr>
                <w:rFonts w:cs="Calibri"/>
                <w:color w:val="000000"/>
              </w:rPr>
              <w:t>3.</w:t>
            </w:r>
            <w:r>
              <w:rPr>
                <w:rFonts w:cs="Calibri"/>
                <w:color w:val="000000"/>
              </w:rPr>
              <w:t>5</w:t>
            </w:r>
          </w:p>
        </w:tc>
        <w:tc>
          <w:tcPr>
            <w:tcW w:w="134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1EA33E37"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Calibri"/>
                <w:b/>
                <w:bCs/>
                <w:color w:val="000000"/>
              </w:rPr>
            </w:pPr>
            <w:r>
              <w:rPr>
                <w:rFonts w:cs="Calibri"/>
                <w:color w:val="000000"/>
              </w:rPr>
              <w:t>70</w:t>
            </w:r>
            <w:r w:rsidRPr="007E29F8">
              <w:rPr>
                <w:rFonts w:cs="Calibri"/>
                <w:color w:val="000000"/>
              </w:rPr>
              <w:t>%</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center"/>
          </w:tcPr>
          <w:p w14:paraId="7796964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lang w:eastAsia="fr-FR"/>
              </w:rPr>
            </w:pPr>
            <w:r w:rsidRPr="007E29F8">
              <w:rPr>
                <w:rFonts w:cs="Calibri"/>
                <w:color w:val="000000"/>
              </w:rPr>
              <w:t>3</w:t>
            </w:r>
          </w:p>
        </w:tc>
        <w:tc>
          <w:tcPr>
            <w:tcW w:w="1658" w:type="dxa"/>
            <w:tcBorders>
              <w:top w:val="single" w:sz="2" w:space="0" w:color="auto"/>
              <w:left w:val="single" w:sz="2" w:space="0" w:color="auto"/>
              <w:bottom w:val="single" w:sz="2" w:space="0" w:color="auto"/>
              <w:right w:val="single" w:sz="2" w:space="0" w:color="auto"/>
            </w:tcBorders>
            <w:shd w:val="clear" w:color="auto" w:fill="auto"/>
            <w:vAlign w:val="center"/>
          </w:tcPr>
          <w:p w14:paraId="670F000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Cs/>
                <w:spacing w:val="1"/>
                <w:lang w:eastAsia="fr-FR"/>
              </w:rPr>
            </w:pPr>
            <w:r w:rsidRPr="007E29F8">
              <w:rPr>
                <w:rFonts w:cs="Arial"/>
                <w:bCs/>
                <w:spacing w:val="1"/>
                <w:lang w:eastAsia="fr-FR"/>
              </w:rPr>
              <w:t>Yes</w:t>
            </w:r>
          </w:p>
        </w:tc>
      </w:tr>
      <w:tr w:rsidR="001E65DB" w:rsidRPr="007E29F8" w14:paraId="7FDC16C3" w14:textId="77777777" w:rsidTr="001B7765">
        <w:trPr>
          <w:trHeight w:val="229"/>
          <w:jc w:val="center"/>
        </w:trPr>
        <w:tc>
          <w:tcPr>
            <w:tcW w:w="10485"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6679C17"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5"/>
              <w:jc w:val="center"/>
              <w:textAlignment w:val="baseline"/>
              <w:rPr>
                <w:rFonts w:cs="Arial"/>
                <w:spacing w:val="1"/>
                <w:lang w:eastAsia="fr-FR"/>
              </w:rPr>
            </w:pPr>
            <w:r w:rsidRPr="007E29F8">
              <w:rPr>
                <w:rFonts w:cs="Arial"/>
                <w:b/>
                <w:spacing w:val="1"/>
                <w:lang w:eastAsia="fr-FR"/>
              </w:rPr>
              <w:t>Scenario 2:</w:t>
            </w:r>
            <w:r w:rsidRPr="007E29F8">
              <w:rPr>
                <w:rFonts w:cs="Arial"/>
                <w:spacing w:val="1"/>
                <w:lang w:eastAsia="fr-FR"/>
              </w:rPr>
              <w:t xml:space="preserve"> </w:t>
            </w:r>
            <w:r w:rsidRPr="007E29F8">
              <w:rPr>
                <w:rFonts w:cs="Arial"/>
                <w:b/>
                <w:spacing w:val="1"/>
                <w:lang w:eastAsia="fr-FR"/>
              </w:rPr>
              <w:t>application to the bed linen/clothes – inhalation exposure</w:t>
            </w:r>
          </w:p>
        </w:tc>
      </w:tr>
      <w:tr w:rsidR="001E65DB" w:rsidRPr="007E29F8" w14:paraId="6260B676" w14:textId="77777777" w:rsidTr="001B7765">
        <w:trPr>
          <w:trHeight w:val="229"/>
          <w:jc w:val="center"/>
        </w:trPr>
        <w:tc>
          <w:tcPr>
            <w:tcW w:w="2920" w:type="dxa"/>
            <w:tcBorders>
              <w:top w:val="single" w:sz="2" w:space="0" w:color="auto"/>
              <w:left w:val="single" w:sz="2" w:space="0" w:color="auto"/>
              <w:bottom w:val="single" w:sz="2" w:space="0" w:color="auto"/>
              <w:right w:val="single" w:sz="2" w:space="0" w:color="auto"/>
            </w:tcBorders>
            <w:shd w:val="clear" w:color="auto" w:fill="auto"/>
            <w:vAlign w:val="center"/>
          </w:tcPr>
          <w:p w14:paraId="39623326"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lang w:eastAsia="fr-FR"/>
              </w:rPr>
            </w:pPr>
            <w:r w:rsidRPr="007E29F8">
              <w:rPr>
                <w:rFonts w:cs="Arial"/>
                <w:spacing w:val="1"/>
                <w:lang w:eastAsia="fr-FR"/>
              </w:rPr>
              <w:t>Adult</w:t>
            </w:r>
          </w:p>
        </w:tc>
        <w:tc>
          <w:tcPr>
            <w:tcW w:w="736" w:type="dxa"/>
            <w:tcBorders>
              <w:top w:val="single" w:sz="2" w:space="0" w:color="auto"/>
              <w:left w:val="single" w:sz="2" w:space="0" w:color="auto"/>
              <w:bottom w:val="single" w:sz="2" w:space="0" w:color="auto"/>
              <w:right w:val="single" w:sz="2" w:space="0" w:color="auto"/>
            </w:tcBorders>
            <w:shd w:val="clear" w:color="auto" w:fill="auto"/>
            <w:vAlign w:val="center"/>
          </w:tcPr>
          <w:p w14:paraId="0750F97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lang w:eastAsia="fr-FR"/>
              </w:rPr>
            </w:pPr>
            <w:r w:rsidRPr="007E29F8">
              <w:rPr>
                <w:rFonts w:cs="Arial"/>
                <w:spacing w:val="1"/>
                <w:lang w:eastAsia="fr-FR"/>
              </w:rPr>
              <w:t>1</w:t>
            </w:r>
          </w:p>
        </w:tc>
        <w:tc>
          <w:tcPr>
            <w:tcW w:w="1009" w:type="dxa"/>
            <w:tcBorders>
              <w:top w:val="single" w:sz="2" w:space="0" w:color="auto"/>
              <w:left w:val="single" w:sz="2" w:space="0" w:color="auto"/>
              <w:bottom w:val="single" w:sz="2" w:space="0" w:color="auto"/>
              <w:right w:val="single" w:sz="2" w:space="0" w:color="auto"/>
            </w:tcBorders>
            <w:shd w:val="clear" w:color="auto" w:fill="auto"/>
            <w:vAlign w:val="center"/>
          </w:tcPr>
          <w:p w14:paraId="487F411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lang w:eastAsia="fr-FR"/>
              </w:rPr>
            </w:pPr>
            <w:r w:rsidRPr="007E29F8">
              <w:rPr>
                <w:rFonts w:cs="Arial"/>
                <w:spacing w:val="1"/>
                <w:lang w:eastAsia="fr-FR"/>
              </w:rPr>
              <w:t>5</w:t>
            </w:r>
          </w:p>
        </w:tc>
        <w:tc>
          <w:tcPr>
            <w:tcW w:w="1264" w:type="dxa"/>
            <w:tcBorders>
              <w:top w:val="single" w:sz="2" w:space="0" w:color="auto"/>
              <w:left w:val="single" w:sz="2" w:space="0" w:color="auto"/>
              <w:bottom w:val="single" w:sz="2" w:space="0" w:color="auto"/>
              <w:right w:val="single" w:sz="2" w:space="0" w:color="auto"/>
            </w:tcBorders>
            <w:shd w:val="clear" w:color="auto" w:fill="auto"/>
            <w:vAlign w:val="bottom"/>
          </w:tcPr>
          <w:p w14:paraId="54F0062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Calibri"/>
                <w:color w:val="000000"/>
              </w:rPr>
            </w:pPr>
            <w:r>
              <w:rPr>
                <w:rFonts w:cs="Calibri"/>
                <w:color w:val="000000"/>
              </w:rPr>
              <w:t>0.22</w:t>
            </w:r>
          </w:p>
        </w:tc>
        <w:tc>
          <w:tcPr>
            <w:tcW w:w="13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7293CB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6"/>
              <w:jc w:val="center"/>
              <w:textAlignment w:val="baseline"/>
              <w:rPr>
                <w:rFonts w:cs="Calibri"/>
                <w:color w:val="000000"/>
              </w:rPr>
            </w:pPr>
            <w:r w:rsidRPr="007E29F8">
              <w:rPr>
                <w:rFonts w:cs="Calibri"/>
                <w:color w:val="000000"/>
              </w:rPr>
              <w:t>4.4%</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center"/>
          </w:tcPr>
          <w:p w14:paraId="240A3E6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center"/>
              <w:textAlignment w:val="baseline"/>
              <w:rPr>
                <w:rFonts w:cs="Calibri"/>
                <w:color w:val="000000"/>
              </w:rPr>
            </w:pPr>
            <w:r w:rsidRPr="007E29F8">
              <w:rPr>
                <w:rFonts w:cs="Calibri"/>
                <w:color w:val="000000"/>
              </w:rPr>
              <w:t>1</w:t>
            </w:r>
          </w:p>
        </w:tc>
        <w:tc>
          <w:tcPr>
            <w:tcW w:w="1658" w:type="dxa"/>
            <w:tcBorders>
              <w:top w:val="single" w:sz="2" w:space="0" w:color="auto"/>
              <w:left w:val="single" w:sz="2" w:space="0" w:color="auto"/>
              <w:bottom w:val="single" w:sz="2" w:space="0" w:color="auto"/>
              <w:right w:val="single" w:sz="2" w:space="0" w:color="auto"/>
            </w:tcBorders>
            <w:shd w:val="clear" w:color="auto" w:fill="auto"/>
            <w:vAlign w:val="center"/>
          </w:tcPr>
          <w:p w14:paraId="3809933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Cs/>
                <w:spacing w:val="1"/>
                <w:lang w:eastAsia="fr-FR"/>
              </w:rPr>
            </w:pPr>
            <w:r w:rsidRPr="007E29F8">
              <w:rPr>
                <w:rFonts w:cs="Arial"/>
                <w:spacing w:val="1"/>
                <w:lang w:eastAsia="fr-FR"/>
              </w:rPr>
              <w:t>Yes</w:t>
            </w:r>
          </w:p>
        </w:tc>
      </w:tr>
    </w:tbl>
    <w:p w14:paraId="3344A9C8" w14:textId="77777777" w:rsidR="001E65DB" w:rsidRPr="007E29F8" w:rsidRDefault="001E65DB" w:rsidP="001E65DB"/>
    <w:tbl>
      <w:tblPr>
        <w:tblW w:w="10622" w:type="dxa"/>
        <w:jc w:val="center"/>
        <w:tblLayout w:type="fixed"/>
        <w:tblCellMar>
          <w:left w:w="70" w:type="dxa"/>
          <w:right w:w="70" w:type="dxa"/>
        </w:tblCellMar>
        <w:tblLook w:val="04A0" w:firstRow="1" w:lastRow="0" w:firstColumn="1" w:lastColumn="0" w:noHBand="0" w:noVBand="1"/>
      </w:tblPr>
      <w:tblGrid>
        <w:gridCol w:w="2929"/>
        <w:gridCol w:w="14"/>
        <w:gridCol w:w="726"/>
        <w:gridCol w:w="20"/>
        <w:gridCol w:w="848"/>
        <w:gridCol w:w="1985"/>
        <w:gridCol w:w="1406"/>
        <w:gridCol w:w="1276"/>
        <w:gridCol w:w="1418"/>
      </w:tblGrid>
      <w:tr w:rsidR="001E65DB" w:rsidRPr="007E29F8" w14:paraId="707AA7C7" w14:textId="77777777" w:rsidTr="001E65DB">
        <w:trPr>
          <w:trHeight w:val="59"/>
          <w:jc w:val="center"/>
        </w:trPr>
        <w:tc>
          <w:tcPr>
            <w:tcW w:w="2943" w:type="dxa"/>
            <w:gridSpan w:val="2"/>
            <w:tcBorders>
              <w:top w:val="single" w:sz="8" w:space="0" w:color="auto"/>
              <w:left w:val="single" w:sz="8" w:space="0" w:color="auto"/>
              <w:right w:val="single" w:sz="8" w:space="0" w:color="auto"/>
            </w:tcBorders>
            <w:shd w:val="clear" w:color="000000" w:fill="FFFFCC"/>
            <w:vAlign w:val="center"/>
            <w:hideMark/>
          </w:tcPr>
          <w:p w14:paraId="6C321A1F" w14:textId="77777777" w:rsidR="001E65DB" w:rsidRPr="007E29F8" w:rsidRDefault="001E65DB" w:rsidP="001E65DB">
            <w:pPr>
              <w:keepNext/>
              <w:spacing w:before="0" w:after="0"/>
              <w:jc w:val="both"/>
              <w:rPr>
                <w:rFonts w:eastAsia="Calibri" w:cs="Arial"/>
                <w:b/>
                <w:szCs w:val="22"/>
                <w:lang w:eastAsia="en-US"/>
              </w:rPr>
            </w:pPr>
            <w:r w:rsidRPr="007E29F8">
              <w:rPr>
                <w:rFonts w:eastAsia="Calibri" w:cs="Arial"/>
                <w:b/>
                <w:szCs w:val="22"/>
                <w:lang w:eastAsia="en-US"/>
              </w:rPr>
              <w:t>Task/ Scenario</w:t>
            </w:r>
          </w:p>
        </w:tc>
        <w:tc>
          <w:tcPr>
            <w:tcW w:w="746" w:type="dxa"/>
            <w:gridSpan w:val="2"/>
            <w:tcBorders>
              <w:top w:val="single" w:sz="8" w:space="0" w:color="auto"/>
              <w:left w:val="single" w:sz="8" w:space="0" w:color="auto"/>
              <w:bottom w:val="single" w:sz="8" w:space="0" w:color="000000"/>
              <w:right w:val="single" w:sz="8" w:space="0" w:color="auto"/>
            </w:tcBorders>
            <w:shd w:val="clear" w:color="000000" w:fill="FFFFCC"/>
            <w:vAlign w:val="center"/>
            <w:hideMark/>
          </w:tcPr>
          <w:p w14:paraId="59210781" w14:textId="77777777" w:rsidR="001E65DB" w:rsidRPr="007E29F8" w:rsidRDefault="001E65DB" w:rsidP="001E65DB">
            <w:pPr>
              <w:keepNext/>
              <w:spacing w:before="0" w:after="0"/>
              <w:jc w:val="both"/>
              <w:rPr>
                <w:rFonts w:eastAsia="Calibri" w:cs="Arial"/>
                <w:b/>
                <w:szCs w:val="22"/>
                <w:lang w:eastAsia="en-US"/>
              </w:rPr>
            </w:pPr>
            <w:r w:rsidRPr="007E29F8">
              <w:rPr>
                <w:rFonts w:eastAsia="Calibri" w:cs="Arial"/>
                <w:b/>
                <w:szCs w:val="22"/>
                <w:lang w:eastAsia="en-US"/>
              </w:rPr>
              <w:t>Tier</w:t>
            </w:r>
          </w:p>
        </w:tc>
        <w:tc>
          <w:tcPr>
            <w:tcW w:w="848" w:type="dxa"/>
            <w:tcBorders>
              <w:top w:val="single" w:sz="8" w:space="0" w:color="auto"/>
              <w:left w:val="nil"/>
              <w:right w:val="single" w:sz="8" w:space="0" w:color="auto"/>
            </w:tcBorders>
            <w:shd w:val="clear" w:color="000000" w:fill="FFFFCC"/>
            <w:vAlign w:val="center"/>
            <w:hideMark/>
          </w:tcPr>
          <w:p w14:paraId="6329BD99" w14:textId="77777777" w:rsidR="001E65DB" w:rsidRPr="007E29F8" w:rsidRDefault="001E65DB" w:rsidP="001E65DB">
            <w:pPr>
              <w:keepNext/>
              <w:spacing w:before="0" w:after="0"/>
              <w:jc w:val="both"/>
              <w:rPr>
                <w:rFonts w:eastAsia="Calibri" w:cs="Arial"/>
                <w:b/>
                <w:szCs w:val="22"/>
                <w:lang w:eastAsia="en-US"/>
              </w:rPr>
            </w:pPr>
            <w:r w:rsidRPr="007E29F8">
              <w:rPr>
                <w:rFonts w:eastAsia="Calibri" w:cs="Arial"/>
                <w:b/>
                <w:szCs w:val="22"/>
                <w:lang w:eastAsia="en-US"/>
              </w:rPr>
              <w:t>AEL mg/kg bw/d</w:t>
            </w:r>
          </w:p>
        </w:tc>
        <w:tc>
          <w:tcPr>
            <w:tcW w:w="1985" w:type="dxa"/>
            <w:tcBorders>
              <w:top w:val="single" w:sz="8" w:space="0" w:color="auto"/>
              <w:left w:val="nil"/>
              <w:right w:val="single" w:sz="8" w:space="0" w:color="auto"/>
            </w:tcBorders>
            <w:shd w:val="clear" w:color="000000" w:fill="FFFFCC"/>
            <w:vAlign w:val="center"/>
            <w:hideMark/>
          </w:tcPr>
          <w:p w14:paraId="535B7956" w14:textId="77777777" w:rsidR="001E65DB" w:rsidRPr="007E29F8" w:rsidRDefault="001E65DB" w:rsidP="001E65DB">
            <w:pPr>
              <w:keepNext/>
              <w:spacing w:before="0" w:after="0"/>
              <w:jc w:val="both"/>
              <w:rPr>
                <w:rFonts w:eastAsia="Calibri" w:cs="Arial"/>
                <w:b/>
                <w:szCs w:val="22"/>
                <w:lang w:eastAsia="en-US"/>
              </w:rPr>
            </w:pPr>
            <w:r w:rsidRPr="007E29F8">
              <w:rPr>
                <w:rFonts w:eastAsia="Calibri" w:cs="Arial"/>
                <w:b/>
                <w:szCs w:val="22"/>
                <w:lang w:eastAsia="en-US"/>
              </w:rPr>
              <w:t>Skin surface area to put in the mouth to reach the AEL short-term (cm2)</w:t>
            </w:r>
          </w:p>
        </w:tc>
        <w:tc>
          <w:tcPr>
            <w:tcW w:w="1406" w:type="dxa"/>
            <w:tcBorders>
              <w:top w:val="single" w:sz="8" w:space="0" w:color="auto"/>
              <w:left w:val="nil"/>
              <w:right w:val="single" w:sz="8" w:space="0" w:color="auto"/>
            </w:tcBorders>
            <w:shd w:val="clear" w:color="000000" w:fill="FFFFCC"/>
            <w:vAlign w:val="center"/>
            <w:hideMark/>
          </w:tcPr>
          <w:p w14:paraId="774AC183" w14:textId="77777777" w:rsidR="001E65DB" w:rsidRPr="007E29F8" w:rsidRDefault="001E65DB" w:rsidP="001E65DB">
            <w:pPr>
              <w:keepNext/>
              <w:spacing w:before="0" w:after="0"/>
              <w:jc w:val="both"/>
              <w:rPr>
                <w:rFonts w:eastAsia="Calibri" w:cs="Arial"/>
                <w:b/>
                <w:szCs w:val="22"/>
                <w:lang w:eastAsia="en-US"/>
              </w:rPr>
            </w:pPr>
            <w:r w:rsidRPr="003804D4">
              <w:rPr>
                <w:rFonts w:eastAsia="Calibri" w:cs="Arial"/>
                <w:b/>
                <w:szCs w:val="22"/>
                <w:lang w:eastAsia="en-US"/>
              </w:rPr>
              <w:t xml:space="preserve">%  hand surface area to put in the mouth to reach the AEL </w:t>
            </w:r>
          </w:p>
        </w:tc>
        <w:tc>
          <w:tcPr>
            <w:tcW w:w="1276" w:type="dxa"/>
            <w:tcBorders>
              <w:top w:val="single" w:sz="8" w:space="0" w:color="auto"/>
              <w:left w:val="single" w:sz="8" w:space="0" w:color="auto"/>
              <w:bottom w:val="single" w:sz="8" w:space="0" w:color="000000"/>
              <w:right w:val="single" w:sz="8" w:space="0" w:color="auto"/>
            </w:tcBorders>
            <w:shd w:val="clear" w:color="000000" w:fill="FFFFCC"/>
            <w:vAlign w:val="center"/>
            <w:hideMark/>
          </w:tcPr>
          <w:p w14:paraId="09EEC6AA" w14:textId="77777777" w:rsidR="001E65DB" w:rsidRPr="007E29F8" w:rsidRDefault="001E65DB" w:rsidP="001E65DB">
            <w:pPr>
              <w:keepNext/>
              <w:spacing w:before="0" w:after="0"/>
              <w:jc w:val="both"/>
              <w:rPr>
                <w:rFonts w:eastAsia="Calibri" w:cs="Arial"/>
                <w:b/>
                <w:szCs w:val="22"/>
                <w:lang w:eastAsia="en-US"/>
              </w:rPr>
            </w:pPr>
            <w:r w:rsidRPr="007E29F8">
              <w:rPr>
                <w:rFonts w:eastAsia="Calibri" w:cs="Arial"/>
                <w:b/>
                <w:szCs w:val="22"/>
                <w:lang w:eastAsia="en-US"/>
              </w:rPr>
              <w:t>Number of applications claimed</w:t>
            </w:r>
          </w:p>
        </w:tc>
        <w:tc>
          <w:tcPr>
            <w:tcW w:w="1418" w:type="dxa"/>
            <w:tcBorders>
              <w:top w:val="single" w:sz="8" w:space="0" w:color="auto"/>
              <w:left w:val="nil"/>
              <w:right w:val="single" w:sz="8" w:space="0" w:color="auto"/>
            </w:tcBorders>
            <w:shd w:val="clear" w:color="000000" w:fill="FFFFCC"/>
            <w:vAlign w:val="center"/>
            <w:hideMark/>
          </w:tcPr>
          <w:p w14:paraId="284815D7" w14:textId="77777777" w:rsidR="001E65DB" w:rsidRPr="007E29F8" w:rsidRDefault="001E65DB" w:rsidP="001E65DB">
            <w:pPr>
              <w:keepNext/>
              <w:spacing w:before="0" w:after="0"/>
              <w:jc w:val="both"/>
              <w:rPr>
                <w:rFonts w:eastAsia="Calibri" w:cs="Arial"/>
                <w:b/>
                <w:szCs w:val="22"/>
                <w:lang w:eastAsia="en-US"/>
              </w:rPr>
            </w:pPr>
            <w:r w:rsidRPr="007E29F8">
              <w:rPr>
                <w:rFonts w:eastAsia="Calibri" w:cs="Arial"/>
                <w:b/>
                <w:szCs w:val="22"/>
                <w:lang w:eastAsia="en-US"/>
              </w:rPr>
              <w:t>Acceptable (yes/no)</w:t>
            </w:r>
          </w:p>
        </w:tc>
      </w:tr>
      <w:tr w:rsidR="001E65DB" w:rsidRPr="007E29F8" w14:paraId="49DA153F" w14:textId="77777777" w:rsidTr="001B7765">
        <w:trPr>
          <w:trHeight w:val="229"/>
          <w:jc w:val="center"/>
        </w:trPr>
        <w:tc>
          <w:tcPr>
            <w:tcW w:w="106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8372DB"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ind w:right="58"/>
              <w:jc w:val="center"/>
              <w:textAlignment w:val="baseline"/>
              <w:rPr>
                <w:rFonts w:cs="Arial"/>
                <w:spacing w:val="1"/>
                <w:u w:val="single"/>
                <w:lang w:eastAsia="fr-FR"/>
              </w:rPr>
            </w:pPr>
            <w:r w:rsidRPr="007E29F8">
              <w:rPr>
                <w:rFonts w:cs="Arial"/>
                <w:b/>
                <w:bCs/>
                <w:spacing w:val="1"/>
                <w:lang w:eastAsia="fr-FR"/>
              </w:rPr>
              <w:t>Scenario 3:</w:t>
            </w:r>
            <w:r w:rsidRPr="007E29F8">
              <w:t xml:space="preserve"> </w:t>
            </w:r>
            <w:r w:rsidRPr="007E29F8">
              <w:rPr>
                <w:rFonts w:cs="Arial"/>
                <w:b/>
                <w:bCs/>
                <w:spacing w:val="1"/>
                <w:lang w:eastAsia="fr-FR"/>
              </w:rPr>
              <w:t>Hand-to-mouth transfer (reverse scenario)</w:t>
            </w:r>
          </w:p>
        </w:tc>
      </w:tr>
      <w:tr w:rsidR="001E65DB" w:rsidRPr="007E29F8" w14:paraId="093E2CB8" w14:textId="77777777" w:rsidTr="001B7765">
        <w:trPr>
          <w:trHeight w:val="229"/>
          <w:jc w:val="center"/>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4E6DFBFC"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u w:val="single"/>
                <w:lang w:eastAsia="fr-FR"/>
              </w:rPr>
            </w:pPr>
            <w:r w:rsidRPr="007E29F8">
              <w:rPr>
                <w:rFonts w:cs="Arial"/>
                <w:spacing w:val="1"/>
                <w:lang w:eastAsia="fr-FR"/>
              </w:rPr>
              <w:t>Adult</w:t>
            </w:r>
          </w:p>
        </w:tc>
        <w:tc>
          <w:tcPr>
            <w:tcW w:w="740" w:type="dxa"/>
            <w:gridSpan w:val="2"/>
            <w:tcBorders>
              <w:top w:val="single" w:sz="4" w:space="0" w:color="auto"/>
              <w:left w:val="nil"/>
              <w:bottom w:val="single" w:sz="4" w:space="0" w:color="auto"/>
              <w:right w:val="single" w:sz="4" w:space="0" w:color="auto"/>
            </w:tcBorders>
            <w:shd w:val="clear" w:color="auto" w:fill="auto"/>
            <w:vAlign w:val="center"/>
          </w:tcPr>
          <w:p w14:paraId="6C68D42D"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u w:val="single"/>
                <w:lang w:eastAsia="fr-FR"/>
              </w:rPr>
            </w:pPr>
            <w:r w:rsidRPr="007E29F8">
              <w:rPr>
                <w:rFonts w:cs="Arial"/>
                <w:spacing w:val="1"/>
                <w:lang w:eastAsia="fr-FR"/>
              </w:rPr>
              <w:t>1</w:t>
            </w:r>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14:paraId="0CA0B631"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u w:val="single"/>
                <w:lang w:eastAsia="fr-FR"/>
              </w:rPr>
            </w:pPr>
            <w:r w:rsidRPr="007E29F8">
              <w:rPr>
                <w:rFonts w:cs="Arial"/>
                <w:spacing w:val="1"/>
                <w:lang w:eastAsia="fr-FR"/>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C7A2263" w14:textId="35BC987E" w:rsidR="001E65DB" w:rsidRPr="00602CBE" w:rsidRDefault="001E65DB" w:rsidP="001E65DB">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sidRPr="00602CBE">
              <w:rPr>
                <w:rFonts w:cs="Calibri"/>
                <w:color w:val="000000"/>
              </w:rPr>
              <w:t>937</w:t>
            </w:r>
            <w:r w:rsidR="00797F55" w:rsidRPr="00602CBE">
              <w:rPr>
                <w:rFonts w:cs="Calibri"/>
                <w:color w:val="000000"/>
              </w:rPr>
              <w:t>.</w:t>
            </w:r>
            <w:r w:rsidRPr="00602CBE">
              <w:rPr>
                <w:rFonts w:cs="Calibri"/>
                <w:color w:val="000000"/>
              </w:rPr>
              <w:t>5</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4485E65D" w14:textId="40DBFDC0" w:rsidR="001E65DB" w:rsidRPr="00937BBF" w:rsidRDefault="001E65DB" w:rsidP="001E65DB">
            <w:pPr>
              <w:keepNext/>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u w:val="single"/>
                <w:lang w:eastAsia="fr-FR"/>
              </w:rPr>
            </w:pPr>
            <w:r w:rsidRPr="00937BBF">
              <w:rPr>
                <w:rFonts w:cs="Calibri"/>
                <w:color w:val="000000"/>
              </w:rPr>
              <w:t>22</w:t>
            </w:r>
            <w:r w:rsidR="00602CBE" w:rsidRPr="00937BBF">
              <w:rPr>
                <w:rFonts w:cs="Calibri"/>
                <w:color w:val="000000"/>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E352AD" w14:textId="77777777" w:rsidR="001E65DB" w:rsidRPr="00937BBF" w:rsidRDefault="001E65DB" w:rsidP="001E65DB">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sidRPr="00937BBF">
              <w:rPr>
                <w:rFonts w:cs="Arial"/>
                <w:spacing w:val="1"/>
                <w:lang w:eastAsia="fr-FR"/>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E7AF55" w14:textId="51BA7FC3" w:rsidR="001E65DB" w:rsidRPr="00937BBF" w:rsidRDefault="001E65DB" w:rsidP="001E65DB">
            <w:pPr>
              <w:keepNext/>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937BBF">
              <w:rPr>
                <w:rFonts w:cs="Arial"/>
                <w:spacing w:val="1"/>
                <w:lang w:eastAsia="fr-FR"/>
              </w:rPr>
              <w:t>Yes</w:t>
            </w:r>
          </w:p>
        </w:tc>
      </w:tr>
      <w:tr w:rsidR="001E65DB" w:rsidRPr="007E29F8" w14:paraId="48D508ED" w14:textId="77777777" w:rsidTr="001B7765">
        <w:trPr>
          <w:trHeight w:val="74"/>
          <w:jc w:val="center"/>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31464458"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u w:val="single"/>
                <w:lang w:eastAsia="fr-FR"/>
              </w:rPr>
            </w:pPr>
            <w:r w:rsidRPr="007E29F8">
              <w:rPr>
                <w:rFonts w:cs="Arial"/>
                <w:spacing w:val="1"/>
                <w:lang w:eastAsia="fr-FR"/>
              </w:rPr>
              <w:t>Adult</w:t>
            </w:r>
          </w:p>
        </w:tc>
        <w:tc>
          <w:tcPr>
            <w:tcW w:w="740" w:type="dxa"/>
            <w:gridSpan w:val="2"/>
            <w:tcBorders>
              <w:top w:val="single" w:sz="4" w:space="0" w:color="auto"/>
              <w:left w:val="nil"/>
              <w:bottom w:val="single" w:sz="4" w:space="0" w:color="auto"/>
              <w:right w:val="single" w:sz="4" w:space="0" w:color="auto"/>
            </w:tcBorders>
            <w:shd w:val="clear" w:color="auto" w:fill="auto"/>
            <w:vAlign w:val="center"/>
          </w:tcPr>
          <w:p w14:paraId="6FB8B1F7"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u w:val="single"/>
                <w:lang w:eastAsia="fr-FR"/>
              </w:rPr>
            </w:pPr>
            <w:r w:rsidRPr="007E29F8">
              <w:rPr>
                <w:rFonts w:cs="Arial"/>
                <w:spacing w:val="1"/>
                <w:lang w:eastAsia="fr-FR"/>
              </w:rPr>
              <w:t>1</w:t>
            </w:r>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14:paraId="1B90544F"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u w:val="single"/>
                <w:lang w:eastAsia="fr-FR"/>
              </w:rPr>
            </w:pPr>
            <w:r w:rsidRPr="007E29F8">
              <w:rPr>
                <w:rFonts w:cs="Arial"/>
                <w:spacing w:val="1"/>
                <w:lang w:eastAsia="fr-FR"/>
              </w:rPr>
              <w:t>5</w:t>
            </w:r>
          </w:p>
        </w:tc>
        <w:tc>
          <w:tcPr>
            <w:tcW w:w="1985" w:type="dxa"/>
            <w:tcBorders>
              <w:top w:val="nil"/>
              <w:left w:val="single" w:sz="4" w:space="0" w:color="auto"/>
              <w:bottom w:val="single" w:sz="4" w:space="0" w:color="auto"/>
              <w:right w:val="single" w:sz="4" w:space="0" w:color="auto"/>
            </w:tcBorders>
            <w:shd w:val="clear" w:color="auto" w:fill="auto"/>
            <w:vAlign w:val="bottom"/>
          </w:tcPr>
          <w:p w14:paraId="0AFF0CAE" w14:textId="066FE46B" w:rsidR="001E65DB" w:rsidRPr="00602CBE" w:rsidRDefault="001E65DB" w:rsidP="001E65DB">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sidRPr="00BA4496">
              <w:rPr>
                <w:rFonts w:cs="Calibri"/>
                <w:bCs/>
                <w:color w:val="000000"/>
              </w:rPr>
              <w:t>1875</w:t>
            </w:r>
            <w:r w:rsidR="00797F55" w:rsidRPr="00BA4496">
              <w:rPr>
                <w:rFonts w:cs="Calibri"/>
                <w:bCs/>
                <w:color w:val="000000"/>
              </w:rPr>
              <w:t>.</w:t>
            </w:r>
            <w:r w:rsidRPr="00BA4496">
              <w:rPr>
                <w:rFonts w:cs="Calibri"/>
                <w:bCs/>
                <w:color w:val="000000"/>
              </w:rPr>
              <w:t>0</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7596289A" w14:textId="50708408" w:rsidR="001E65DB" w:rsidRPr="00937BBF" w:rsidRDefault="001E65DB" w:rsidP="001E65DB">
            <w:pPr>
              <w:keepNext/>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u w:val="single"/>
                <w:lang w:eastAsia="fr-FR"/>
              </w:rPr>
            </w:pPr>
            <w:r w:rsidRPr="00937BBF">
              <w:rPr>
                <w:rFonts w:cs="Calibri"/>
                <w:color w:val="000000"/>
              </w:rPr>
              <w:t>457</w:t>
            </w:r>
            <w:r w:rsidR="00602CBE" w:rsidRPr="00937BBF">
              <w:rPr>
                <w:rFonts w:cs="Calibri"/>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A0A165" w14:textId="77777777" w:rsidR="001E65DB" w:rsidRPr="00937BBF" w:rsidRDefault="001E65DB" w:rsidP="001E65DB">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sidRPr="00937BBF">
              <w:rPr>
                <w:rFonts w:cs="Arial"/>
                <w:spacing w:val="1"/>
                <w:lang w:eastAsia="fr-FR"/>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5C667F" w14:textId="7AC44A48" w:rsidR="001E65DB" w:rsidRPr="00937BBF" w:rsidRDefault="001E65DB" w:rsidP="001E65DB">
            <w:pPr>
              <w:keepNext/>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937BBF">
              <w:rPr>
                <w:rFonts w:cs="Arial"/>
                <w:spacing w:val="1"/>
                <w:lang w:eastAsia="fr-FR"/>
              </w:rPr>
              <w:t>Yes</w:t>
            </w:r>
          </w:p>
        </w:tc>
      </w:tr>
      <w:tr w:rsidR="00602CBE" w:rsidRPr="007E29F8" w14:paraId="4B374B12" w14:textId="77777777" w:rsidTr="001B7765">
        <w:trPr>
          <w:trHeight w:val="229"/>
          <w:jc w:val="center"/>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FC4506E"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u w:val="single"/>
                <w:lang w:eastAsia="fr-FR"/>
              </w:rPr>
            </w:pPr>
            <w:r w:rsidRPr="007E29F8">
              <w:rPr>
                <w:rFonts w:cs="Arial"/>
                <w:spacing w:val="1"/>
                <w:lang w:eastAsia="fr-FR"/>
              </w:rPr>
              <w:t>Child (6 to &lt;12 years old)</w:t>
            </w:r>
          </w:p>
        </w:tc>
        <w:tc>
          <w:tcPr>
            <w:tcW w:w="740" w:type="dxa"/>
            <w:gridSpan w:val="2"/>
            <w:tcBorders>
              <w:top w:val="single" w:sz="4" w:space="0" w:color="auto"/>
              <w:left w:val="nil"/>
              <w:bottom w:val="single" w:sz="4" w:space="0" w:color="auto"/>
              <w:right w:val="single" w:sz="4" w:space="0" w:color="auto"/>
            </w:tcBorders>
            <w:shd w:val="clear" w:color="auto" w:fill="auto"/>
            <w:vAlign w:val="center"/>
          </w:tcPr>
          <w:p w14:paraId="194E47C2"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u w:val="single"/>
                <w:lang w:eastAsia="fr-FR"/>
              </w:rPr>
            </w:pPr>
            <w:r w:rsidRPr="007E29F8">
              <w:rPr>
                <w:rFonts w:cs="Arial"/>
                <w:spacing w:val="1"/>
                <w:lang w:eastAsia="fr-FR"/>
              </w:rPr>
              <w:t>1</w:t>
            </w:r>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14:paraId="6B238F00"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u w:val="single"/>
                <w:lang w:eastAsia="fr-FR"/>
              </w:rPr>
            </w:pPr>
            <w:r w:rsidRPr="007E29F8">
              <w:rPr>
                <w:rFonts w:cs="Arial"/>
                <w:spacing w:val="1"/>
                <w:lang w:eastAsia="fr-FR"/>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E31F5AD"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Pr>
                <w:rFonts w:cs="Arial"/>
                <w:bCs/>
                <w:spacing w:val="1"/>
                <w:lang w:eastAsia="fr-FR"/>
              </w:rPr>
              <w:t>746.9</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6DAABF4B" w14:textId="4DCFD9A6"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u w:val="single"/>
                <w:lang w:eastAsia="fr-FR"/>
              </w:rPr>
            </w:pPr>
            <w:r w:rsidRPr="00937BBF">
              <w:rPr>
                <w:rFonts w:cs="Calibri"/>
                <w:color w:val="000000"/>
              </w:rPr>
              <w:t>349%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798B18" w14:textId="77777777"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sidRPr="00937BBF">
              <w:rPr>
                <w:rFonts w:cs="Arial"/>
                <w:spacing w:val="1"/>
                <w:lang w:eastAsia="fr-FR"/>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D9F275" w14:textId="5762A251"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937BBF">
              <w:rPr>
                <w:rFonts w:cs="Arial"/>
                <w:spacing w:val="1"/>
                <w:lang w:eastAsia="fr-FR"/>
              </w:rPr>
              <w:t>Yes</w:t>
            </w:r>
          </w:p>
        </w:tc>
      </w:tr>
      <w:tr w:rsidR="00602CBE" w:rsidRPr="007E29F8" w14:paraId="78A8C534" w14:textId="77777777" w:rsidTr="001B7765">
        <w:trPr>
          <w:trHeight w:val="229"/>
          <w:jc w:val="center"/>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347BFD7"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u w:val="single"/>
                <w:lang w:eastAsia="fr-FR"/>
              </w:rPr>
            </w:pPr>
            <w:r w:rsidRPr="007E29F8">
              <w:rPr>
                <w:rFonts w:cs="Arial"/>
                <w:spacing w:val="1"/>
                <w:lang w:eastAsia="fr-FR"/>
              </w:rPr>
              <w:t>Child (2 to &lt;6 years old)</w:t>
            </w:r>
          </w:p>
        </w:tc>
        <w:tc>
          <w:tcPr>
            <w:tcW w:w="740" w:type="dxa"/>
            <w:gridSpan w:val="2"/>
            <w:tcBorders>
              <w:top w:val="single" w:sz="4" w:space="0" w:color="auto"/>
              <w:left w:val="nil"/>
              <w:bottom w:val="single" w:sz="4" w:space="0" w:color="auto"/>
              <w:right w:val="single" w:sz="4" w:space="0" w:color="auto"/>
            </w:tcBorders>
            <w:shd w:val="clear" w:color="auto" w:fill="auto"/>
            <w:vAlign w:val="center"/>
          </w:tcPr>
          <w:p w14:paraId="12976DD4"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u w:val="single"/>
                <w:lang w:eastAsia="fr-FR"/>
              </w:rPr>
            </w:pPr>
            <w:r w:rsidRPr="007E29F8">
              <w:rPr>
                <w:rFonts w:cs="Arial"/>
                <w:spacing w:val="1"/>
                <w:lang w:eastAsia="fr-FR"/>
              </w:rPr>
              <w:t>1</w:t>
            </w:r>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14:paraId="565D25DF"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u w:val="single"/>
                <w:lang w:eastAsia="fr-FR"/>
              </w:rPr>
            </w:pPr>
            <w:r w:rsidRPr="007E29F8">
              <w:rPr>
                <w:rFonts w:cs="Arial"/>
                <w:spacing w:val="1"/>
                <w:lang w:eastAsia="fr-FR"/>
              </w:rPr>
              <w:t>5</w:t>
            </w:r>
          </w:p>
        </w:tc>
        <w:tc>
          <w:tcPr>
            <w:tcW w:w="1985" w:type="dxa"/>
            <w:tcBorders>
              <w:top w:val="single" w:sz="4" w:space="0" w:color="auto"/>
              <w:left w:val="nil"/>
              <w:bottom w:val="single" w:sz="4" w:space="0" w:color="auto"/>
              <w:right w:val="single" w:sz="4" w:space="0" w:color="auto"/>
            </w:tcBorders>
            <w:shd w:val="clear" w:color="auto" w:fill="auto"/>
            <w:vAlign w:val="bottom"/>
          </w:tcPr>
          <w:p w14:paraId="4E82BD45"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Pr>
                <w:rFonts w:cs="Arial"/>
                <w:bCs/>
                <w:spacing w:val="1"/>
                <w:lang w:eastAsia="fr-FR"/>
              </w:rPr>
              <w:t>487.5</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08A3D111" w14:textId="7A6EA381"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u w:val="single"/>
                <w:lang w:eastAsia="fr-FR"/>
              </w:rPr>
            </w:pPr>
            <w:r w:rsidRPr="00937BBF">
              <w:rPr>
                <w:rFonts w:cs="Calibri"/>
                <w:color w:val="000000"/>
              </w:rPr>
              <w:t>295%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983A38" w14:textId="77777777"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sidRPr="00937BBF">
              <w:rPr>
                <w:rFonts w:cs="Arial"/>
                <w:spacing w:val="1"/>
                <w:lang w:eastAsia="fr-FR"/>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FE1CEE" w14:textId="7DF9E87F"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937BBF">
              <w:rPr>
                <w:rFonts w:cs="Arial"/>
                <w:spacing w:val="1"/>
                <w:lang w:eastAsia="fr-FR"/>
              </w:rPr>
              <w:t>Yes</w:t>
            </w:r>
          </w:p>
        </w:tc>
      </w:tr>
      <w:tr w:rsidR="00602CBE" w:rsidRPr="007E29F8" w14:paraId="13611182" w14:textId="77777777" w:rsidTr="001B7765">
        <w:trPr>
          <w:trHeight w:val="229"/>
          <w:jc w:val="center"/>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7DA2478F"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u w:val="single"/>
                <w:lang w:eastAsia="fr-FR"/>
              </w:rPr>
            </w:pPr>
            <w:r w:rsidRPr="007E29F8">
              <w:rPr>
                <w:rFonts w:cs="Arial"/>
                <w:spacing w:val="1"/>
                <w:lang w:eastAsia="fr-FR"/>
              </w:rPr>
              <w:t>Toddler (1 to &lt;2 years old)</w:t>
            </w:r>
          </w:p>
        </w:tc>
        <w:tc>
          <w:tcPr>
            <w:tcW w:w="740" w:type="dxa"/>
            <w:gridSpan w:val="2"/>
            <w:tcBorders>
              <w:top w:val="single" w:sz="4" w:space="0" w:color="auto"/>
              <w:left w:val="nil"/>
              <w:bottom w:val="single" w:sz="4" w:space="0" w:color="auto"/>
              <w:right w:val="single" w:sz="4" w:space="0" w:color="auto"/>
            </w:tcBorders>
            <w:shd w:val="clear" w:color="auto" w:fill="auto"/>
            <w:vAlign w:val="center"/>
          </w:tcPr>
          <w:p w14:paraId="55A039E6"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u w:val="single"/>
                <w:lang w:eastAsia="fr-FR"/>
              </w:rPr>
            </w:pPr>
            <w:r w:rsidRPr="007E29F8">
              <w:rPr>
                <w:rFonts w:cs="Arial"/>
                <w:spacing w:val="1"/>
                <w:lang w:eastAsia="fr-FR"/>
              </w:rPr>
              <w:t>1</w:t>
            </w:r>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14:paraId="7EDA1D9E"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u w:val="single"/>
                <w:lang w:eastAsia="fr-FR"/>
              </w:rPr>
            </w:pPr>
            <w:r w:rsidRPr="007E29F8">
              <w:rPr>
                <w:rFonts w:cs="Arial"/>
                <w:spacing w:val="1"/>
                <w:lang w:eastAsia="fr-FR"/>
              </w:rPr>
              <w:t>5</w:t>
            </w:r>
          </w:p>
        </w:tc>
        <w:tc>
          <w:tcPr>
            <w:tcW w:w="1985" w:type="dxa"/>
            <w:tcBorders>
              <w:top w:val="single" w:sz="4" w:space="0" w:color="auto"/>
              <w:left w:val="nil"/>
              <w:bottom w:val="single" w:sz="4" w:space="0" w:color="auto"/>
              <w:right w:val="single" w:sz="4" w:space="0" w:color="auto"/>
            </w:tcBorders>
            <w:shd w:val="clear" w:color="auto" w:fill="auto"/>
            <w:vAlign w:val="bottom"/>
          </w:tcPr>
          <w:p w14:paraId="10AF3A47"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Pr>
                <w:rFonts w:cs="Arial"/>
                <w:bCs/>
                <w:spacing w:val="1"/>
                <w:lang w:eastAsia="fr-FR"/>
              </w:rPr>
              <w:t>312.5</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2D5B5D48" w14:textId="465181B0"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u w:val="single"/>
                <w:lang w:eastAsia="fr-FR"/>
              </w:rPr>
            </w:pPr>
            <w:r w:rsidRPr="00937BBF">
              <w:rPr>
                <w:rFonts w:cs="Calibri"/>
                <w:color w:val="000000"/>
              </w:rPr>
              <w:t>271%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16626F" w14:textId="77777777"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sidRPr="00937BBF">
              <w:rPr>
                <w:rFonts w:cs="Arial"/>
                <w:spacing w:val="1"/>
                <w:lang w:eastAsia="fr-FR"/>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CAF68B" w14:textId="77593FA1"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937BBF">
              <w:rPr>
                <w:rFonts w:cs="Arial"/>
                <w:spacing w:val="1"/>
                <w:lang w:eastAsia="fr-FR"/>
              </w:rPr>
              <w:t>Yes</w:t>
            </w:r>
          </w:p>
        </w:tc>
      </w:tr>
      <w:tr w:rsidR="00602CBE" w:rsidRPr="007E29F8" w14:paraId="456C068F" w14:textId="77777777" w:rsidTr="001B7765">
        <w:trPr>
          <w:trHeight w:val="229"/>
          <w:jc w:val="center"/>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DE967FE"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58"/>
              <w:jc w:val="both"/>
              <w:textAlignment w:val="baseline"/>
              <w:rPr>
                <w:rFonts w:cs="Arial"/>
                <w:spacing w:val="1"/>
                <w:u w:val="single"/>
                <w:lang w:eastAsia="fr-FR"/>
              </w:rPr>
            </w:pPr>
            <w:r w:rsidRPr="007E29F8">
              <w:rPr>
                <w:rFonts w:cs="Arial"/>
                <w:spacing w:val="1"/>
                <w:lang w:eastAsia="fr-FR"/>
              </w:rPr>
              <w:t>Infant (&lt;1 year old)</w:t>
            </w:r>
          </w:p>
        </w:tc>
        <w:tc>
          <w:tcPr>
            <w:tcW w:w="740" w:type="dxa"/>
            <w:gridSpan w:val="2"/>
            <w:tcBorders>
              <w:top w:val="single" w:sz="4" w:space="0" w:color="auto"/>
              <w:left w:val="nil"/>
              <w:bottom w:val="single" w:sz="4" w:space="0" w:color="auto"/>
              <w:right w:val="single" w:sz="4" w:space="0" w:color="auto"/>
            </w:tcBorders>
            <w:shd w:val="clear" w:color="auto" w:fill="auto"/>
            <w:vAlign w:val="center"/>
          </w:tcPr>
          <w:p w14:paraId="4E4744DA"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41"/>
              <w:jc w:val="center"/>
              <w:textAlignment w:val="baseline"/>
              <w:rPr>
                <w:rFonts w:cs="Arial"/>
                <w:spacing w:val="1"/>
                <w:u w:val="single"/>
                <w:lang w:eastAsia="fr-FR"/>
              </w:rPr>
            </w:pPr>
            <w:r w:rsidRPr="007E29F8">
              <w:rPr>
                <w:rFonts w:cs="Arial"/>
                <w:spacing w:val="1"/>
                <w:lang w:eastAsia="fr-FR"/>
              </w:rPr>
              <w:t>1</w:t>
            </w:r>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14:paraId="1F294746"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ind w:right="43"/>
              <w:jc w:val="center"/>
              <w:textAlignment w:val="baseline"/>
              <w:rPr>
                <w:rFonts w:cs="Arial"/>
                <w:spacing w:val="1"/>
                <w:u w:val="single"/>
                <w:lang w:eastAsia="fr-FR"/>
              </w:rPr>
            </w:pPr>
            <w:r w:rsidRPr="007E29F8">
              <w:rPr>
                <w:rFonts w:cs="Arial"/>
                <w:spacing w:val="1"/>
                <w:lang w:eastAsia="fr-FR"/>
              </w:rPr>
              <w:t>5</w:t>
            </w:r>
          </w:p>
        </w:tc>
        <w:tc>
          <w:tcPr>
            <w:tcW w:w="1985" w:type="dxa"/>
            <w:tcBorders>
              <w:top w:val="single" w:sz="4" w:space="0" w:color="auto"/>
              <w:left w:val="nil"/>
              <w:bottom w:val="single" w:sz="4" w:space="0" w:color="auto"/>
              <w:right w:val="single" w:sz="4" w:space="0" w:color="auto"/>
            </w:tcBorders>
            <w:shd w:val="clear" w:color="auto" w:fill="auto"/>
            <w:vAlign w:val="bottom"/>
          </w:tcPr>
          <w:p w14:paraId="0DA0075F" w14:textId="77777777" w:rsidR="00602CBE" w:rsidRPr="007E29F8" w:rsidRDefault="00602CBE" w:rsidP="00602CBE">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Pr>
                <w:rFonts w:cs="Arial"/>
                <w:bCs/>
                <w:spacing w:val="1"/>
                <w:lang w:eastAsia="fr-FR"/>
              </w:rPr>
              <w:t>250</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4F47912A" w14:textId="1709E1D1"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ind w:right="56"/>
              <w:jc w:val="center"/>
              <w:textAlignment w:val="baseline"/>
              <w:rPr>
                <w:rFonts w:cs="Arial"/>
                <w:spacing w:val="1"/>
                <w:u w:val="single"/>
                <w:lang w:eastAsia="fr-FR"/>
              </w:rPr>
            </w:pPr>
            <w:r w:rsidRPr="00937BBF">
              <w:rPr>
                <w:rFonts w:cs="Calibri"/>
                <w:color w:val="000000"/>
              </w:rPr>
              <w:t>254%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98E74E" w14:textId="77777777"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jc w:val="center"/>
              <w:textAlignment w:val="baseline"/>
              <w:rPr>
                <w:rFonts w:cs="Arial"/>
                <w:spacing w:val="1"/>
                <w:u w:val="single"/>
                <w:lang w:eastAsia="fr-FR"/>
              </w:rPr>
            </w:pPr>
            <w:r w:rsidRPr="00937BBF">
              <w:rPr>
                <w:rFonts w:cs="Arial"/>
                <w:spacing w:val="1"/>
                <w:lang w:eastAsia="fr-FR"/>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EE5628" w14:textId="35EAE81E" w:rsidR="00602CBE" w:rsidRPr="00937BBF" w:rsidRDefault="00602CBE" w:rsidP="00602CBE">
            <w:pPr>
              <w:keepNext/>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spacing w:val="1"/>
                <w:lang w:eastAsia="fr-FR"/>
              </w:rPr>
            </w:pPr>
            <w:r w:rsidRPr="00937BBF">
              <w:rPr>
                <w:rFonts w:cs="Arial"/>
                <w:spacing w:val="1"/>
                <w:lang w:eastAsia="fr-FR"/>
              </w:rPr>
              <w:t>Yes</w:t>
            </w:r>
          </w:p>
        </w:tc>
      </w:tr>
    </w:tbl>
    <w:p w14:paraId="5C448778" w14:textId="77777777" w:rsidR="001E65DB" w:rsidRPr="007E29F8" w:rsidRDefault="001E65DB" w:rsidP="001E65DB"/>
    <w:tbl>
      <w:tblPr>
        <w:tblW w:w="11105" w:type="dxa"/>
        <w:jc w:val="center"/>
        <w:tblCellMar>
          <w:left w:w="70" w:type="dxa"/>
          <w:right w:w="70" w:type="dxa"/>
        </w:tblCellMar>
        <w:tblLook w:val="04A0" w:firstRow="1" w:lastRow="0" w:firstColumn="1" w:lastColumn="0" w:noHBand="0" w:noVBand="1"/>
      </w:tblPr>
      <w:tblGrid>
        <w:gridCol w:w="3020"/>
        <w:gridCol w:w="715"/>
        <w:gridCol w:w="16"/>
        <w:gridCol w:w="1044"/>
        <w:gridCol w:w="37"/>
        <w:gridCol w:w="1249"/>
        <w:gridCol w:w="1492"/>
        <w:gridCol w:w="43"/>
        <w:gridCol w:w="1512"/>
        <w:gridCol w:w="41"/>
        <w:gridCol w:w="9"/>
        <w:gridCol w:w="1927"/>
      </w:tblGrid>
      <w:tr w:rsidR="001E65DB" w:rsidRPr="007E29F8" w14:paraId="175920C1" w14:textId="77777777" w:rsidTr="00797F55">
        <w:trPr>
          <w:trHeight w:val="59"/>
          <w:jc w:val="center"/>
        </w:trPr>
        <w:tc>
          <w:tcPr>
            <w:tcW w:w="3020" w:type="dxa"/>
            <w:tcBorders>
              <w:top w:val="single" w:sz="8" w:space="0" w:color="auto"/>
              <w:left w:val="single" w:sz="8" w:space="0" w:color="auto"/>
              <w:right w:val="single" w:sz="8" w:space="0" w:color="auto"/>
            </w:tcBorders>
            <w:shd w:val="clear" w:color="000000" w:fill="FFFFCC"/>
            <w:vAlign w:val="center"/>
            <w:hideMark/>
          </w:tcPr>
          <w:p w14:paraId="4C0DF989"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Task/ Scenario</w:t>
            </w:r>
          </w:p>
        </w:tc>
        <w:tc>
          <w:tcPr>
            <w:tcW w:w="715" w:type="dxa"/>
            <w:tcBorders>
              <w:top w:val="single" w:sz="8" w:space="0" w:color="auto"/>
              <w:left w:val="single" w:sz="8" w:space="0" w:color="auto"/>
              <w:bottom w:val="single" w:sz="8" w:space="0" w:color="000000"/>
              <w:right w:val="single" w:sz="8" w:space="0" w:color="auto"/>
            </w:tcBorders>
            <w:shd w:val="clear" w:color="000000" w:fill="FFFFCC"/>
            <w:vAlign w:val="center"/>
            <w:hideMark/>
          </w:tcPr>
          <w:p w14:paraId="4F2AC8AC"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Tier</w:t>
            </w:r>
          </w:p>
        </w:tc>
        <w:tc>
          <w:tcPr>
            <w:tcW w:w="1060" w:type="dxa"/>
            <w:gridSpan w:val="2"/>
            <w:tcBorders>
              <w:top w:val="single" w:sz="8" w:space="0" w:color="auto"/>
              <w:left w:val="nil"/>
              <w:right w:val="single" w:sz="8" w:space="0" w:color="auto"/>
            </w:tcBorders>
            <w:shd w:val="clear" w:color="000000" w:fill="FFFFCC"/>
            <w:vAlign w:val="center"/>
            <w:hideMark/>
          </w:tcPr>
          <w:p w14:paraId="37614866"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AEL mg/kg bw/d</w:t>
            </w:r>
          </w:p>
        </w:tc>
        <w:tc>
          <w:tcPr>
            <w:tcW w:w="1286" w:type="dxa"/>
            <w:gridSpan w:val="2"/>
            <w:tcBorders>
              <w:top w:val="single" w:sz="8" w:space="0" w:color="auto"/>
              <w:left w:val="nil"/>
              <w:right w:val="single" w:sz="8" w:space="0" w:color="auto"/>
            </w:tcBorders>
            <w:shd w:val="clear" w:color="000000" w:fill="FFFFCC"/>
            <w:vAlign w:val="center"/>
            <w:hideMark/>
          </w:tcPr>
          <w:p w14:paraId="2A2349B2"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Estimated uptake mg/kg bw/d</w:t>
            </w:r>
          </w:p>
        </w:tc>
        <w:tc>
          <w:tcPr>
            <w:tcW w:w="1535" w:type="dxa"/>
            <w:gridSpan w:val="2"/>
            <w:tcBorders>
              <w:top w:val="single" w:sz="8" w:space="0" w:color="auto"/>
              <w:left w:val="nil"/>
              <w:right w:val="single" w:sz="8" w:space="0" w:color="auto"/>
            </w:tcBorders>
            <w:shd w:val="clear" w:color="000000" w:fill="FFFFCC"/>
            <w:vAlign w:val="center"/>
            <w:hideMark/>
          </w:tcPr>
          <w:p w14:paraId="26CF06EF"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Estimated uptake/ AEL (%)</w:t>
            </w:r>
          </w:p>
        </w:tc>
        <w:tc>
          <w:tcPr>
            <w:tcW w:w="1562" w:type="dxa"/>
            <w:gridSpan w:val="3"/>
            <w:tcBorders>
              <w:top w:val="single" w:sz="8" w:space="0" w:color="auto"/>
              <w:left w:val="single" w:sz="8" w:space="0" w:color="auto"/>
              <w:bottom w:val="single" w:sz="8" w:space="0" w:color="000000"/>
              <w:right w:val="single" w:sz="8" w:space="0" w:color="auto"/>
            </w:tcBorders>
            <w:shd w:val="clear" w:color="000000" w:fill="FFFFCC"/>
            <w:vAlign w:val="center"/>
            <w:hideMark/>
          </w:tcPr>
          <w:p w14:paraId="6F49CD6C"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 xml:space="preserve">Number of applications claimed </w:t>
            </w:r>
          </w:p>
        </w:tc>
        <w:tc>
          <w:tcPr>
            <w:tcW w:w="1927" w:type="dxa"/>
            <w:tcBorders>
              <w:top w:val="single" w:sz="8" w:space="0" w:color="auto"/>
              <w:left w:val="nil"/>
              <w:right w:val="single" w:sz="8" w:space="0" w:color="auto"/>
            </w:tcBorders>
            <w:shd w:val="clear" w:color="000000" w:fill="FFFFCC"/>
            <w:vAlign w:val="center"/>
            <w:hideMark/>
          </w:tcPr>
          <w:p w14:paraId="7D5A96D3" w14:textId="77777777" w:rsidR="001E65DB" w:rsidRPr="007E29F8" w:rsidRDefault="001E65DB" w:rsidP="001E65DB">
            <w:pPr>
              <w:spacing w:before="0" w:after="0"/>
              <w:jc w:val="both"/>
              <w:rPr>
                <w:rFonts w:eastAsia="Calibri" w:cs="Arial"/>
                <w:b/>
                <w:szCs w:val="22"/>
                <w:lang w:eastAsia="en-US"/>
              </w:rPr>
            </w:pPr>
            <w:r w:rsidRPr="007E29F8">
              <w:rPr>
                <w:rFonts w:eastAsia="Calibri" w:cs="Arial"/>
                <w:b/>
                <w:szCs w:val="22"/>
                <w:lang w:eastAsia="en-US"/>
              </w:rPr>
              <w:t>Acceptable (yes/no)</w:t>
            </w:r>
          </w:p>
        </w:tc>
      </w:tr>
      <w:tr w:rsidR="001E65DB" w:rsidRPr="007E29F8" w14:paraId="29CF4603" w14:textId="77777777" w:rsidTr="001B7765">
        <w:trPr>
          <w:trHeight w:val="60"/>
          <w:jc w:val="center"/>
        </w:trPr>
        <w:tc>
          <w:tcPr>
            <w:tcW w:w="11105" w:type="dxa"/>
            <w:gridSpan w:val="12"/>
            <w:tcBorders>
              <w:top w:val="single" w:sz="8" w:space="0" w:color="auto"/>
              <w:left w:val="single" w:sz="8" w:space="0" w:color="auto"/>
              <w:right w:val="single" w:sz="8" w:space="0" w:color="auto"/>
            </w:tcBorders>
            <w:shd w:val="clear" w:color="auto" w:fill="auto"/>
            <w:vAlign w:val="center"/>
          </w:tcPr>
          <w:p w14:paraId="514A489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b/>
                <w:bCs/>
                <w:color w:val="000000"/>
              </w:rPr>
            </w:pPr>
            <w:r w:rsidRPr="007E29F8">
              <w:rPr>
                <w:b/>
                <w:bCs/>
                <w:color w:val="000000"/>
              </w:rPr>
              <w:t xml:space="preserve">Scenario 5: </w:t>
            </w:r>
            <w:r w:rsidRPr="007E29F8">
              <w:rPr>
                <w:rFonts w:cs="Arial"/>
                <w:b/>
                <w:spacing w:val="1"/>
                <w:lang w:eastAsia="fr-FR"/>
              </w:rPr>
              <w:t>inhalation of volatilised residues</w:t>
            </w:r>
          </w:p>
        </w:tc>
      </w:tr>
      <w:tr w:rsidR="001E65DB" w:rsidRPr="007E29F8" w14:paraId="568999B2" w14:textId="77777777" w:rsidTr="001B7765">
        <w:trPr>
          <w:trHeight w:val="260"/>
          <w:jc w:val="center"/>
        </w:trPr>
        <w:tc>
          <w:tcPr>
            <w:tcW w:w="3020" w:type="dxa"/>
            <w:tcBorders>
              <w:top w:val="single" w:sz="8" w:space="0" w:color="auto"/>
              <w:left w:val="single" w:sz="8" w:space="0" w:color="auto"/>
              <w:right w:val="single" w:sz="8" w:space="0" w:color="auto"/>
            </w:tcBorders>
            <w:shd w:val="clear" w:color="auto" w:fill="auto"/>
            <w:vAlign w:val="center"/>
          </w:tcPr>
          <w:p w14:paraId="0FBD985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Adult</w:t>
            </w:r>
          </w:p>
        </w:tc>
        <w:tc>
          <w:tcPr>
            <w:tcW w:w="715" w:type="dxa"/>
            <w:tcBorders>
              <w:top w:val="single" w:sz="8" w:space="0" w:color="auto"/>
              <w:left w:val="single" w:sz="8" w:space="0" w:color="auto"/>
              <w:right w:val="single" w:sz="8" w:space="0" w:color="auto"/>
            </w:tcBorders>
            <w:shd w:val="clear" w:color="auto" w:fill="auto"/>
            <w:vAlign w:val="center"/>
          </w:tcPr>
          <w:p w14:paraId="778909E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60" w:type="dxa"/>
            <w:gridSpan w:val="2"/>
            <w:tcBorders>
              <w:top w:val="single" w:sz="8" w:space="0" w:color="auto"/>
              <w:left w:val="single" w:sz="8" w:space="0" w:color="auto"/>
              <w:right w:val="single" w:sz="8" w:space="0" w:color="auto"/>
            </w:tcBorders>
            <w:shd w:val="clear" w:color="auto" w:fill="auto"/>
            <w:vAlign w:val="center"/>
          </w:tcPr>
          <w:p w14:paraId="5F4CEE4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86" w:type="dxa"/>
            <w:gridSpan w:val="2"/>
            <w:tcBorders>
              <w:top w:val="single" w:sz="8" w:space="0" w:color="auto"/>
              <w:left w:val="single" w:sz="8" w:space="0" w:color="auto"/>
              <w:right w:val="single" w:sz="8" w:space="0" w:color="auto"/>
            </w:tcBorders>
            <w:shd w:val="clear" w:color="auto" w:fill="auto"/>
            <w:vAlign w:val="bottom"/>
          </w:tcPr>
          <w:p w14:paraId="255D14A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3.53E-02</w:t>
            </w:r>
          </w:p>
        </w:tc>
        <w:tc>
          <w:tcPr>
            <w:tcW w:w="1492" w:type="dxa"/>
            <w:tcBorders>
              <w:top w:val="single" w:sz="8" w:space="0" w:color="auto"/>
              <w:left w:val="single" w:sz="8" w:space="0" w:color="auto"/>
              <w:right w:val="single" w:sz="8" w:space="0" w:color="auto"/>
            </w:tcBorders>
            <w:shd w:val="clear" w:color="auto" w:fill="auto"/>
          </w:tcPr>
          <w:p w14:paraId="7EEDE06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0.7%</w:t>
            </w:r>
          </w:p>
        </w:tc>
        <w:tc>
          <w:tcPr>
            <w:tcW w:w="1555" w:type="dxa"/>
            <w:gridSpan w:val="2"/>
            <w:tcBorders>
              <w:top w:val="single" w:sz="8" w:space="0" w:color="auto"/>
              <w:left w:val="single" w:sz="8" w:space="0" w:color="auto"/>
              <w:right w:val="single" w:sz="8" w:space="0" w:color="auto"/>
            </w:tcBorders>
            <w:shd w:val="clear" w:color="auto" w:fill="auto"/>
            <w:vAlign w:val="center"/>
          </w:tcPr>
          <w:p w14:paraId="06C6767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77" w:type="dxa"/>
            <w:gridSpan w:val="3"/>
            <w:tcBorders>
              <w:top w:val="single" w:sz="8" w:space="0" w:color="auto"/>
              <w:left w:val="single" w:sz="8" w:space="0" w:color="auto"/>
              <w:right w:val="single" w:sz="8" w:space="0" w:color="auto"/>
            </w:tcBorders>
            <w:shd w:val="clear" w:color="auto" w:fill="auto"/>
            <w:vAlign w:val="center"/>
          </w:tcPr>
          <w:p w14:paraId="06BB326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46A2F51B" w14:textId="77777777" w:rsidTr="001B7765">
        <w:trPr>
          <w:trHeight w:val="260"/>
          <w:jc w:val="center"/>
        </w:trPr>
        <w:tc>
          <w:tcPr>
            <w:tcW w:w="3020" w:type="dxa"/>
            <w:tcBorders>
              <w:top w:val="single" w:sz="8" w:space="0" w:color="auto"/>
              <w:left w:val="single" w:sz="8" w:space="0" w:color="auto"/>
              <w:right w:val="single" w:sz="8" w:space="0" w:color="auto"/>
            </w:tcBorders>
            <w:shd w:val="clear" w:color="auto" w:fill="auto"/>
            <w:vAlign w:val="center"/>
          </w:tcPr>
          <w:p w14:paraId="77DA1A4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(6 to &lt;12 years old)</w:t>
            </w:r>
          </w:p>
        </w:tc>
        <w:tc>
          <w:tcPr>
            <w:tcW w:w="715" w:type="dxa"/>
            <w:tcBorders>
              <w:top w:val="single" w:sz="8" w:space="0" w:color="auto"/>
              <w:left w:val="single" w:sz="8" w:space="0" w:color="auto"/>
              <w:right w:val="single" w:sz="8" w:space="0" w:color="auto"/>
            </w:tcBorders>
            <w:shd w:val="clear" w:color="auto" w:fill="auto"/>
            <w:vAlign w:val="center"/>
          </w:tcPr>
          <w:p w14:paraId="052FF79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60" w:type="dxa"/>
            <w:gridSpan w:val="2"/>
            <w:tcBorders>
              <w:top w:val="single" w:sz="8" w:space="0" w:color="auto"/>
              <w:left w:val="single" w:sz="8" w:space="0" w:color="auto"/>
              <w:right w:val="single" w:sz="8" w:space="0" w:color="auto"/>
            </w:tcBorders>
            <w:shd w:val="clear" w:color="auto" w:fill="auto"/>
            <w:vAlign w:val="center"/>
          </w:tcPr>
          <w:p w14:paraId="1C3AC41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86" w:type="dxa"/>
            <w:gridSpan w:val="2"/>
            <w:tcBorders>
              <w:top w:val="single" w:sz="8" w:space="0" w:color="auto"/>
              <w:left w:val="single" w:sz="8" w:space="0" w:color="auto"/>
              <w:right w:val="single" w:sz="8" w:space="0" w:color="auto"/>
            </w:tcBorders>
            <w:shd w:val="clear" w:color="auto" w:fill="auto"/>
          </w:tcPr>
          <w:p w14:paraId="1580499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6.66E-02</w:t>
            </w:r>
          </w:p>
        </w:tc>
        <w:tc>
          <w:tcPr>
            <w:tcW w:w="1492" w:type="dxa"/>
            <w:tcBorders>
              <w:top w:val="single" w:sz="8" w:space="0" w:color="auto"/>
              <w:left w:val="single" w:sz="8" w:space="0" w:color="auto"/>
              <w:right w:val="single" w:sz="8" w:space="0" w:color="auto"/>
            </w:tcBorders>
            <w:shd w:val="clear" w:color="auto" w:fill="auto"/>
          </w:tcPr>
          <w:p w14:paraId="759507E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1.3%</w:t>
            </w:r>
          </w:p>
        </w:tc>
        <w:tc>
          <w:tcPr>
            <w:tcW w:w="1555" w:type="dxa"/>
            <w:gridSpan w:val="2"/>
            <w:tcBorders>
              <w:top w:val="single" w:sz="8" w:space="0" w:color="auto"/>
              <w:left w:val="single" w:sz="8" w:space="0" w:color="auto"/>
              <w:right w:val="single" w:sz="8" w:space="0" w:color="auto"/>
            </w:tcBorders>
            <w:shd w:val="clear" w:color="auto" w:fill="auto"/>
            <w:vAlign w:val="center"/>
          </w:tcPr>
          <w:p w14:paraId="715C995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77" w:type="dxa"/>
            <w:gridSpan w:val="3"/>
            <w:tcBorders>
              <w:top w:val="single" w:sz="8" w:space="0" w:color="auto"/>
              <w:left w:val="single" w:sz="8" w:space="0" w:color="auto"/>
              <w:right w:val="single" w:sz="8" w:space="0" w:color="auto"/>
            </w:tcBorders>
            <w:shd w:val="clear" w:color="auto" w:fill="auto"/>
            <w:vAlign w:val="center"/>
          </w:tcPr>
          <w:p w14:paraId="0873341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58AB9997" w14:textId="77777777" w:rsidTr="001B7765">
        <w:trPr>
          <w:trHeight w:val="260"/>
          <w:jc w:val="center"/>
        </w:trPr>
        <w:tc>
          <w:tcPr>
            <w:tcW w:w="3020" w:type="dxa"/>
            <w:tcBorders>
              <w:top w:val="single" w:sz="8" w:space="0" w:color="auto"/>
              <w:left w:val="single" w:sz="8" w:space="0" w:color="auto"/>
              <w:right w:val="single" w:sz="8" w:space="0" w:color="auto"/>
            </w:tcBorders>
            <w:shd w:val="clear" w:color="auto" w:fill="auto"/>
            <w:vAlign w:val="center"/>
          </w:tcPr>
          <w:p w14:paraId="74A1EBF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(2 to &lt;6 years old)</w:t>
            </w:r>
          </w:p>
        </w:tc>
        <w:tc>
          <w:tcPr>
            <w:tcW w:w="715" w:type="dxa"/>
            <w:tcBorders>
              <w:top w:val="single" w:sz="8" w:space="0" w:color="auto"/>
              <w:left w:val="single" w:sz="8" w:space="0" w:color="auto"/>
              <w:right w:val="single" w:sz="8" w:space="0" w:color="auto"/>
            </w:tcBorders>
            <w:shd w:val="clear" w:color="auto" w:fill="auto"/>
            <w:vAlign w:val="center"/>
          </w:tcPr>
          <w:p w14:paraId="02E656C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60" w:type="dxa"/>
            <w:gridSpan w:val="2"/>
            <w:tcBorders>
              <w:top w:val="single" w:sz="8" w:space="0" w:color="auto"/>
              <w:left w:val="single" w:sz="8" w:space="0" w:color="auto"/>
              <w:right w:val="single" w:sz="8" w:space="0" w:color="auto"/>
            </w:tcBorders>
            <w:shd w:val="clear" w:color="auto" w:fill="auto"/>
            <w:vAlign w:val="center"/>
          </w:tcPr>
          <w:p w14:paraId="599C918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86" w:type="dxa"/>
            <w:gridSpan w:val="2"/>
            <w:tcBorders>
              <w:top w:val="single" w:sz="8" w:space="0" w:color="auto"/>
              <w:left w:val="single" w:sz="8" w:space="0" w:color="auto"/>
              <w:right w:val="single" w:sz="8" w:space="0" w:color="auto"/>
            </w:tcBorders>
            <w:shd w:val="clear" w:color="auto" w:fill="auto"/>
          </w:tcPr>
          <w:p w14:paraId="66878B1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8.58E-02</w:t>
            </w:r>
          </w:p>
        </w:tc>
        <w:tc>
          <w:tcPr>
            <w:tcW w:w="1492" w:type="dxa"/>
            <w:tcBorders>
              <w:top w:val="single" w:sz="8" w:space="0" w:color="auto"/>
              <w:left w:val="single" w:sz="8" w:space="0" w:color="auto"/>
              <w:right w:val="single" w:sz="8" w:space="0" w:color="auto"/>
            </w:tcBorders>
            <w:shd w:val="clear" w:color="auto" w:fill="auto"/>
          </w:tcPr>
          <w:p w14:paraId="78F0A24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1.7%</w:t>
            </w:r>
          </w:p>
        </w:tc>
        <w:tc>
          <w:tcPr>
            <w:tcW w:w="1555" w:type="dxa"/>
            <w:gridSpan w:val="2"/>
            <w:tcBorders>
              <w:top w:val="single" w:sz="8" w:space="0" w:color="auto"/>
              <w:left w:val="single" w:sz="8" w:space="0" w:color="auto"/>
              <w:right w:val="single" w:sz="8" w:space="0" w:color="auto"/>
            </w:tcBorders>
            <w:shd w:val="clear" w:color="auto" w:fill="auto"/>
            <w:vAlign w:val="center"/>
          </w:tcPr>
          <w:p w14:paraId="428FBB8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77" w:type="dxa"/>
            <w:gridSpan w:val="3"/>
            <w:tcBorders>
              <w:top w:val="single" w:sz="8" w:space="0" w:color="auto"/>
              <w:left w:val="single" w:sz="8" w:space="0" w:color="auto"/>
              <w:right w:val="single" w:sz="8" w:space="0" w:color="auto"/>
            </w:tcBorders>
            <w:shd w:val="clear" w:color="auto" w:fill="auto"/>
            <w:vAlign w:val="center"/>
          </w:tcPr>
          <w:p w14:paraId="1F1A8D4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0943B3D3" w14:textId="77777777" w:rsidTr="001B7765">
        <w:trPr>
          <w:trHeight w:val="260"/>
          <w:jc w:val="center"/>
        </w:trPr>
        <w:tc>
          <w:tcPr>
            <w:tcW w:w="3020" w:type="dxa"/>
            <w:tcBorders>
              <w:top w:val="single" w:sz="8" w:space="0" w:color="auto"/>
              <w:left w:val="single" w:sz="8" w:space="0" w:color="auto"/>
              <w:right w:val="single" w:sz="8" w:space="0" w:color="auto"/>
            </w:tcBorders>
            <w:shd w:val="clear" w:color="auto" w:fill="auto"/>
            <w:vAlign w:val="center"/>
          </w:tcPr>
          <w:p w14:paraId="4A300EC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Toddler (1 to &lt;2 years old)</w:t>
            </w:r>
          </w:p>
        </w:tc>
        <w:tc>
          <w:tcPr>
            <w:tcW w:w="715" w:type="dxa"/>
            <w:tcBorders>
              <w:top w:val="single" w:sz="8" w:space="0" w:color="auto"/>
              <w:left w:val="single" w:sz="8" w:space="0" w:color="auto"/>
              <w:right w:val="single" w:sz="8" w:space="0" w:color="auto"/>
            </w:tcBorders>
            <w:shd w:val="clear" w:color="auto" w:fill="auto"/>
            <w:vAlign w:val="center"/>
          </w:tcPr>
          <w:p w14:paraId="30B472E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60" w:type="dxa"/>
            <w:gridSpan w:val="2"/>
            <w:tcBorders>
              <w:top w:val="single" w:sz="8" w:space="0" w:color="auto"/>
              <w:left w:val="single" w:sz="8" w:space="0" w:color="auto"/>
              <w:right w:val="single" w:sz="8" w:space="0" w:color="auto"/>
            </w:tcBorders>
            <w:shd w:val="clear" w:color="auto" w:fill="auto"/>
            <w:vAlign w:val="center"/>
          </w:tcPr>
          <w:p w14:paraId="15A852F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86" w:type="dxa"/>
            <w:gridSpan w:val="2"/>
            <w:tcBorders>
              <w:top w:val="single" w:sz="8" w:space="0" w:color="auto"/>
              <w:left w:val="single" w:sz="8" w:space="0" w:color="auto"/>
              <w:right w:val="single" w:sz="8" w:space="0" w:color="auto"/>
            </w:tcBorders>
            <w:shd w:val="clear" w:color="auto" w:fill="auto"/>
          </w:tcPr>
          <w:p w14:paraId="7582D7A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1.06E-01</w:t>
            </w:r>
          </w:p>
        </w:tc>
        <w:tc>
          <w:tcPr>
            <w:tcW w:w="1492" w:type="dxa"/>
            <w:tcBorders>
              <w:top w:val="single" w:sz="8" w:space="0" w:color="auto"/>
              <w:left w:val="single" w:sz="8" w:space="0" w:color="auto"/>
              <w:right w:val="single" w:sz="8" w:space="0" w:color="auto"/>
            </w:tcBorders>
            <w:shd w:val="clear" w:color="auto" w:fill="auto"/>
          </w:tcPr>
          <w:p w14:paraId="3797A49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2.1%</w:t>
            </w:r>
          </w:p>
        </w:tc>
        <w:tc>
          <w:tcPr>
            <w:tcW w:w="1555" w:type="dxa"/>
            <w:gridSpan w:val="2"/>
            <w:tcBorders>
              <w:top w:val="single" w:sz="8" w:space="0" w:color="auto"/>
              <w:left w:val="single" w:sz="8" w:space="0" w:color="auto"/>
              <w:right w:val="single" w:sz="8" w:space="0" w:color="auto"/>
            </w:tcBorders>
            <w:shd w:val="clear" w:color="auto" w:fill="auto"/>
            <w:vAlign w:val="center"/>
          </w:tcPr>
          <w:p w14:paraId="4F9211F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77" w:type="dxa"/>
            <w:gridSpan w:val="3"/>
            <w:tcBorders>
              <w:top w:val="single" w:sz="8" w:space="0" w:color="auto"/>
              <w:left w:val="single" w:sz="8" w:space="0" w:color="auto"/>
              <w:right w:val="single" w:sz="8" w:space="0" w:color="auto"/>
            </w:tcBorders>
            <w:shd w:val="clear" w:color="auto" w:fill="auto"/>
            <w:vAlign w:val="center"/>
          </w:tcPr>
          <w:p w14:paraId="31C90EA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5B4DE451" w14:textId="77777777" w:rsidTr="001B7765">
        <w:trPr>
          <w:trHeight w:val="260"/>
          <w:jc w:val="center"/>
        </w:trPr>
        <w:tc>
          <w:tcPr>
            <w:tcW w:w="3020" w:type="dxa"/>
            <w:tcBorders>
              <w:top w:val="single" w:sz="8" w:space="0" w:color="auto"/>
              <w:left w:val="single" w:sz="8" w:space="0" w:color="auto"/>
              <w:right w:val="single" w:sz="8" w:space="0" w:color="auto"/>
            </w:tcBorders>
            <w:shd w:val="clear" w:color="auto" w:fill="auto"/>
            <w:vAlign w:val="center"/>
          </w:tcPr>
          <w:p w14:paraId="05565E0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Infant (&lt;1 year old)</w:t>
            </w:r>
          </w:p>
        </w:tc>
        <w:tc>
          <w:tcPr>
            <w:tcW w:w="715" w:type="dxa"/>
            <w:tcBorders>
              <w:top w:val="single" w:sz="8" w:space="0" w:color="auto"/>
              <w:left w:val="single" w:sz="8" w:space="0" w:color="auto"/>
              <w:right w:val="single" w:sz="8" w:space="0" w:color="auto"/>
            </w:tcBorders>
            <w:shd w:val="clear" w:color="auto" w:fill="auto"/>
            <w:vAlign w:val="center"/>
          </w:tcPr>
          <w:p w14:paraId="5D60F04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60" w:type="dxa"/>
            <w:gridSpan w:val="2"/>
            <w:tcBorders>
              <w:top w:val="single" w:sz="8" w:space="0" w:color="auto"/>
              <w:left w:val="single" w:sz="8" w:space="0" w:color="auto"/>
              <w:right w:val="single" w:sz="8" w:space="0" w:color="auto"/>
            </w:tcBorders>
            <w:shd w:val="clear" w:color="auto" w:fill="auto"/>
            <w:vAlign w:val="center"/>
          </w:tcPr>
          <w:p w14:paraId="6AEDC7A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86" w:type="dxa"/>
            <w:gridSpan w:val="2"/>
            <w:tcBorders>
              <w:top w:val="single" w:sz="8" w:space="0" w:color="auto"/>
              <w:left w:val="single" w:sz="8" w:space="0" w:color="auto"/>
              <w:right w:val="single" w:sz="8" w:space="0" w:color="auto"/>
            </w:tcBorders>
            <w:shd w:val="clear" w:color="auto" w:fill="auto"/>
          </w:tcPr>
          <w:p w14:paraId="3F121E6D" w14:textId="319465FF" w:rsidR="001E65DB" w:rsidRPr="00762A41" w:rsidRDefault="001E65DB" w:rsidP="00762A41">
            <w:pPr>
              <w:spacing w:before="0" w:after="0"/>
              <w:jc w:val="center"/>
              <w:rPr>
                <w:rFonts w:eastAsia="Calibri" w:cs="Arial"/>
                <w:lang w:eastAsia="en-US"/>
              </w:rPr>
            </w:pPr>
            <w:r w:rsidRPr="00762A41">
              <w:rPr>
                <w:rFonts w:eastAsia="Calibri" w:cs="Arial"/>
                <w:lang w:eastAsia="en-US"/>
              </w:rPr>
              <w:t>8.95</w:t>
            </w:r>
            <w:r w:rsidR="00797F55" w:rsidRPr="00762A41">
              <w:rPr>
                <w:rFonts w:eastAsia="Calibri" w:cs="Arial"/>
                <w:lang w:eastAsia="en-US"/>
              </w:rPr>
              <w:t>E</w:t>
            </w:r>
            <w:r w:rsidRPr="00762A41">
              <w:rPr>
                <w:rFonts w:eastAsia="Calibri" w:cs="Arial"/>
                <w:lang w:eastAsia="en-US"/>
              </w:rPr>
              <w:t>-02</w:t>
            </w:r>
          </w:p>
        </w:tc>
        <w:tc>
          <w:tcPr>
            <w:tcW w:w="1492" w:type="dxa"/>
            <w:tcBorders>
              <w:top w:val="single" w:sz="8" w:space="0" w:color="auto"/>
              <w:left w:val="single" w:sz="8" w:space="0" w:color="auto"/>
              <w:right w:val="single" w:sz="8" w:space="0" w:color="auto"/>
            </w:tcBorders>
            <w:shd w:val="clear" w:color="auto" w:fill="auto"/>
          </w:tcPr>
          <w:p w14:paraId="352608B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1.8%</w:t>
            </w:r>
          </w:p>
        </w:tc>
        <w:tc>
          <w:tcPr>
            <w:tcW w:w="1555" w:type="dxa"/>
            <w:gridSpan w:val="2"/>
            <w:tcBorders>
              <w:top w:val="single" w:sz="8" w:space="0" w:color="auto"/>
              <w:left w:val="single" w:sz="8" w:space="0" w:color="auto"/>
              <w:right w:val="single" w:sz="8" w:space="0" w:color="auto"/>
            </w:tcBorders>
            <w:shd w:val="clear" w:color="auto" w:fill="auto"/>
            <w:vAlign w:val="center"/>
          </w:tcPr>
          <w:p w14:paraId="0F28915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77" w:type="dxa"/>
            <w:gridSpan w:val="3"/>
            <w:tcBorders>
              <w:top w:val="single" w:sz="8" w:space="0" w:color="auto"/>
              <w:left w:val="single" w:sz="8" w:space="0" w:color="auto"/>
              <w:right w:val="single" w:sz="8" w:space="0" w:color="auto"/>
            </w:tcBorders>
            <w:shd w:val="clear" w:color="auto" w:fill="auto"/>
            <w:vAlign w:val="center"/>
          </w:tcPr>
          <w:p w14:paraId="225CC06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77939F98" w14:textId="77777777" w:rsidTr="001B7765">
        <w:trPr>
          <w:trHeight w:val="60"/>
          <w:jc w:val="center"/>
        </w:trPr>
        <w:tc>
          <w:tcPr>
            <w:tcW w:w="11105" w:type="dxa"/>
            <w:gridSpan w:val="12"/>
            <w:tcBorders>
              <w:top w:val="single" w:sz="8" w:space="0" w:color="auto"/>
              <w:left w:val="single" w:sz="8" w:space="0" w:color="auto"/>
              <w:bottom w:val="single" w:sz="8" w:space="0" w:color="auto"/>
              <w:right w:val="single" w:sz="8" w:space="0" w:color="auto"/>
            </w:tcBorders>
            <w:shd w:val="clear" w:color="auto" w:fill="auto"/>
          </w:tcPr>
          <w:p w14:paraId="563CDA6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b/>
                <w:bCs/>
                <w:color w:val="000000"/>
              </w:rPr>
            </w:pPr>
            <w:r w:rsidRPr="007E29F8">
              <w:rPr>
                <w:b/>
                <w:bCs/>
                <w:color w:val="000000"/>
              </w:rPr>
              <w:t>Scenario 6a: treated clothes - ticks</w:t>
            </w:r>
          </w:p>
        </w:tc>
      </w:tr>
      <w:tr w:rsidR="001E65DB" w:rsidRPr="007E29F8" w14:paraId="553757F0"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755E85E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Adult</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644AAB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57062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4C94CD4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2.86</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39504D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57.3%</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E6E42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CC5DC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68032434"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4735838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(6 to &lt;12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04B19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1E6B0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5FFD2F7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3.98</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F135B2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79.6%</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9C95F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3345A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1E31C922"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5B90BC4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(2 to &lt;6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92C98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4A178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5176A8C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4.35</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035E6B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87.0%</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E096B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0349C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16E11839"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76FDEA8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Toddler (1 to &lt;2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1B1A5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CDE7E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6E46452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4.74</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8D8113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94.8%</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19EE7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DDD92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601F00DF" w14:textId="77777777" w:rsidTr="001B7765">
        <w:trPr>
          <w:trHeight w:val="229"/>
          <w:jc w:val="center"/>
        </w:trPr>
        <w:tc>
          <w:tcPr>
            <w:tcW w:w="3020" w:type="dxa"/>
            <w:tcBorders>
              <w:top w:val="single" w:sz="8" w:space="0" w:color="auto"/>
              <w:left w:val="single" w:sz="8" w:space="0" w:color="auto"/>
              <w:bottom w:val="double" w:sz="4" w:space="0" w:color="auto"/>
              <w:right w:val="single" w:sz="8" w:space="0" w:color="auto"/>
            </w:tcBorders>
            <w:shd w:val="clear" w:color="auto" w:fill="auto"/>
            <w:vAlign w:val="center"/>
          </w:tcPr>
          <w:p w14:paraId="546AEEC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Infant (&lt;1 year old)</w:t>
            </w:r>
          </w:p>
        </w:tc>
        <w:tc>
          <w:tcPr>
            <w:tcW w:w="731" w:type="dxa"/>
            <w:gridSpan w:val="2"/>
            <w:tcBorders>
              <w:top w:val="single" w:sz="8" w:space="0" w:color="auto"/>
              <w:left w:val="single" w:sz="8" w:space="0" w:color="auto"/>
              <w:bottom w:val="double" w:sz="4" w:space="0" w:color="auto"/>
              <w:right w:val="single" w:sz="8" w:space="0" w:color="auto"/>
            </w:tcBorders>
            <w:shd w:val="clear" w:color="auto" w:fill="auto"/>
            <w:vAlign w:val="center"/>
          </w:tcPr>
          <w:p w14:paraId="2556A78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double" w:sz="4" w:space="0" w:color="auto"/>
              <w:right w:val="single" w:sz="8" w:space="0" w:color="auto"/>
            </w:tcBorders>
            <w:shd w:val="clear" w:color="auto" w:fill="auto"/>
            <w:vAlign w:val="center"/>
          </w:tcPr>
          <w:p w14:paraId="0866979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double" w:sz="4" w:space="0" w:color="auto"/>
              <w:right w:val="single" w:sz="8" w:space="0" w:color="auto"/>
            </w:tcBorders>
            <w:shd w:val="clear" w:color="auto" w:fill="auto"/>
            <w:vAlign w:val="bottom"/>
          </w:tcPr>
          <w:p w14:paraId="62D2BE7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5.06</w:t>
            </w:r>
          </w:p>
        </w:tc>
        <w:tc>
          <w:tcPr>
            <w:tcW w:w="1535" w:type="dxa"/>
            <w:gridSpan w:val="2"/>
            <w:tcBorders>
              <w:top w:val="single" w:sz="8" w:space="0" w:color="auto"/>
              <w:left w:val="single" w:sz="8" w:space="0" w:color="auto"/>
              <w:bottom w:val="double" w:sz="4" w:space="0" w:color="auto"/>
              <w:right w:val="single" w:sz="8" w:space="0" w:color="auto"/>
            </w:tcBorders>
            <w:shd w:val="clear" w:color="auto" w:fill="auto"/>
            <w:noWrap/>
            <w:vAlign w:val="bottom"/>
          </w:tcPr>
          <w:p w14:paraId="49E0EA8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101%</w:t>
            </w:r>
          </w:p>
        </w:tc>
        <w:tc>
          <w:tcPr>
            <w:tcW w:w="1553" w:type="dxa"/>
            <w:gridSpan w:val="2"/>
            <w:tcBorders>
              <w:top w:val="single" w:sz="8" w:space="0" w:color="auto"/>
              <w:left w:val="single" w:sz="8" w:space="0" w:color="auto"/>
              <w:bottom w:val="double" w:sz="4" w:space="0" w:color="auto"/>
              <w:right w:val="single" w:sz="8" w:space="0" w:color="auto"/>
            </w:tcBorders>
            <w:shd w:val="clear" w:color="auto" w:fill="auto"/>
            <w:vAlign w:val="center"/>
          </w:tcPr>
          <w:p w14:paraId="549282C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double" w:sz="4" w:space="0" w:color="auto"/>
              <w:right w:val="single" w:sz="8" w:space="0" w:color="auto"/>
            </w:tcBorders>
            <w:shd w:val="clear" w:color="auto" w:fill="auto"/>
            <w:vAlign w:val="center"/>
          </w:tcPr>
          <w:p w14:paraId="13AFF38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No</w:t>
            </w:r>
          </w:p>
        </w:tc>
      </w:tr>
      <w:tr w:rsidR="001E65DB" w:rsidRPr="007E29F8" w14:paraId="38C95E8F" w14:textId="77777777" w:rsidTr="001B7765">
        <w:trPr>
          <w:trHeight w:val="229"/>
          <w:jc w:val="center"/>
        </w:trPr>
        <w:tc>
          <w:tcPr>
            <w:tcW w:w="11105"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2071620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58"/>
              <w:jc w:val="center"/>
              <w:textAlignment w:val="baseline"/>
              <w:rPr>
                <w:rFonts w:cs="Arial"/>
                <w:spacing w:val="1"/>
                <w:lang w:eastAsia="fr-FR"/>
              </w:rPr>
            </w:pPr>
            <w:r w:rsidRPr="007E29F8">
              <w:rPr>
                <w:b/>
                <w:bCs/>
                <w:color w:val="000000"/>
              </w:rPr>
              <w:t>Scenario 6b: treated clothes - mosquitoes</w:t>
            </w:r>
          </w:p>
        </w:tc>
      </w:tr>
      <w:tr w:rsidR="001E65DB" w:rsidRPr="007E29F8" w14:paraId="662A180E"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203D758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Adult</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D1C2B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287D3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3E58756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2.02</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29DDD9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40.4%</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4BDC6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5230E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6D8230C1"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77E9B5A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(6 to &lt;12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EA254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A4E06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1041671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2.81</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81CECD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56.2%</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B6EE3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DE76D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755212E5"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369558B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(2 to &lt;6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79676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7FDA9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49F1B15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3.07</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82D325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61.4%</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F033D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0217A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727B5AC2"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68ABC1F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Toddler (1 to &lt;2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3E0F3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DA273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572037D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3.35</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A0ADD1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66.9%</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CFA43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1DC10C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45215607"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0155A97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Infant (&lt;1 year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53BEE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CFA15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216DBB2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3.57</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9B2CAA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71.5%</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B1419B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2B672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0D0D943E" w14:textId="77777777" w:rsidTr="001B7765">
        <w:trPr>
          <w:trHeight w:val="229"/>
          <w:jc w:val="center"/>
        </w:trPr>
        <w:tc>
          <w:tcPr>
            <w:tcW w:w="11105"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2AEE24F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color w:val="000000"/>
              </w:rPr>
            </w:pPr>
            <w:r w:rsidRPr="007E29F8">
              <w:rPr>
                <w:b/>
                <w:bCs/>
                <w:color w:val="000000"/>
              </w:rPr>
              <w:t>Scenario 6</w:t>
            </w:r>
            <w:r>
              <w:rPr>
                <w:b/>
                <w:bCs/>
                <w:color w:val="000000"/>
              </w:rPr>
              <w:t>c</w:t>
            </w:r>
            <w:r w:rsidRPr="007E29F8">
              <w:rPr>
                <w:b/>
                <w:bCs/>
                <w:color w:val="000000"/>
              </w:rPr>
              <w:t xml:space="preserve">: treated clothes </w:t>
            </w:r>
            <w:r>
              <w:rPr>
                <w:b/>
                <w:bCs/>
                <w:color w:val="000000"/>
              </w:rPr>
              <w:t>combined with skin application</w:t>
            </w:r>
            <w:r w:rsidRPr="007E29F8">
              <w:rPr>
                <w:b/>
                <w:bCs/>
                <w:color w:val="000000"/>
              </w:rPr>
              <w:t>- ticks</w:t>
            </w:r>
          </w:p>
        </w:tc>
      </w:tr>
      <w:tr w:rsidR="001E65DB" w:rsidRPr="007E29F8" w14:paraId="5494AC54"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5CFCC6F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Adult</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69032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FAA2BA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5E59B2F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2.04</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234370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40.8%</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30CED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7B847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nr</w:t>
            </w:r>
          </w:p>
        </w:tc>
      </w:tr>
      <w:tr w:rsidR="001E65DB" w:rsidRPr="007E29F8" w14:paraId="5E078E7E"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66A4051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(6 to &lt;12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63C60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7B1CF3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3B68544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2.84</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C7681C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56.8%</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5CD86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E5C01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nr</w:t>
            </w:r>
          </w:p>
        </w:tc>
      </w:tr>
      <w:tr w:rsidR="001E65DB" w:rsidRPr="007E29F8" w14:paraId="53CB42B3"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62F26AF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(2 to &lt;6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FD5A0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72592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0FD4603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3.22</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17B75B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64.3%</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60E57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50189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nr</w:t>
            </w:r>
          </w:p>
        </w:tc>
      </w:tr>
      <w:tr w:rsidR="001E65DB" w:rsidRPr="007E29F8" w14:paraId="4E708371"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37CAA69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Toddler (1 to &lt;2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64E4D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ABCF9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2348AD3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3.54</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6295E5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70.8%</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14D6C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681038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nr</w:t>
            </w:r>
          </w:p>
        </w:tc>
      </w:tr>
      <w:tr w:rsidR="001E65DB" w:rsidRPr="007E29F8" w14:paraId="3B1DD0F6"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4D6F719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Infant (&lt;1 year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64E0F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17C91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1F8A2AE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3.78</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29CDEE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75.6%</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20D90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31C9F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nr</w:t>
            </w:r>
          </w:p>
        </w:tc>
      </w:tr>
      <w:tr w:rsidR="001E65DB" w:rsidRPr="007E29F8" w14:paraId="7ADC0733" w14:textId="77777777" w:rsidTr="001B7765">
        <w:trPr>
          <w:trHeight w:val="229"/>
          <w:jc w:val="center"/>
        </w:trPr>
        <w:tc>
          <w:tcPr>
            <w:tcW w:w="11105"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01E64B1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color w:val="000000"/>
              </w:rPr>
            </w:pPr>
            <w:r w:rsidRPr="007E29F8">
              <w:rPr>
                <w:b/>
                <w:bCs/>
                <w:color w:val="000000"/>
              </w:rPr>
              <w:t>Scenario 6</w:t>
            </w:r>
            <w:r>
              <w:rPr>
                <w:b/>
                <w:bCs/>
                <w:color w:val="000000"/>
              </w:rPr>
              <w:t>d</w:t>
            </w:r>
            <w:r w:rsidRPr="007E29F8">
              <w:rPr>
                <w:b/>
                <w:bCs/>
                <w:color w:val="000000"/>
              </w:rPr>
              <w:t xml:space="preserve">: treated clothes </w:t>
            </w:r>
            <w:r>
              <w:rPr>
                <w:b/>
                <w:bCs/>
                <w:color w:val="000000"/>
              </w:rPr>
              <w:t>combined with skin application</w:t>
            </w:r>
            <w:r w:rsidRPr="007E29F8">
              <w:rPr>
                <w:b/>
                <w:bCs/>
                <w:color w:val="000000"/>
              </w:rPr>
              <w:t xml:space="preserve"> - mosquitoes</w:t>
            </w:r>
          </w:p>
        </w:tc>
      </w:tr>
      <w:tr w:rsidR="001E65DB" w:rsidRPr="007E29F8" w14:paraId="7C6589B1"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660D18C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Adult</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F7D692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38FB7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0A1360A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1.44</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6F42B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28.8%</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5EC60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E02E8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nr</w:t>
            </w:r>
          </w:p>
        </w:tc>
      </w:tr>
      <w:tr w:rsidR="001E65DB" w:rsidRPr="007E29F8" w14:paraId="281B1873"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5E60424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(6 to &lt;12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DBD57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98319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1AB3F42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2.00</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04AB5FA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40.1%</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8071F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9FE4D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nr</w:t>
            </w:r>
          </w:p>
        </w:tc>
      </w:tr>
      <w:tr w:rsidR="001E65DB" w:rsidRPr="007E29F8" w14:paraId="3CB0955B"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3285AF6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(2 to &lt;6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A78C3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B9F1F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0B856DF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2.27</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18D8B4F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45.4%</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A404F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5FFE6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nr</w:t>
            </w:r>
          </w:p>
        </w:tc>
      </w:tr>
      <w:tr w:rsidR="001E65DB" w:rsidRPr="007E29F8" w14:paraId="6AA185BC"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5D5EA44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Toddler (1 to &lt;2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D0A73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AC7D2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194AA25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2.50</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5F4243D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50.0%</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C3141F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BD20D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nr</w:t>
            </w:r>
          </w:p>
        </w:tc>
      </w:tr>
      <w:tr w:rsidR="001E65DB" w:rsidRPr="007E29F8" w14:paraId="70E840E6"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51946EE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Infant (&lt;1 year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66EE26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EFEDB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5D7E978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2.67</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5C89373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53.4%</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192DC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FCEBA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nr</w:t>
            </w:r>
          </w:p>
        </w:tc>
      </w:tr>
      <w:tr w:rsidR="001E65DB" w:rsidRPr="007E29F8" w14:paraId="6236DB78" w14:textId="77777777" w:rsidTr="001B7765">
        <w:trPr>
          <w:trHeight w:val="229"/>
          <w:jc w:val="center"/>
        </w:trPr>
        <w:tc>
          <w:tcPr>
            <w:tcW w:w="11105"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190EA75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color w:val="000000"/>
              </w:rPr>
            </w:pPr>
            <w:r w:rsidRPr="007E29F8">
              <w:rPr>
                <w:b/>
                <w:bCs/>
                <w:color w:val="000000"/>
              </w:rPr>
              <w:t>Scenario 6</w:t>
            </w:r>
            <w:r>
              <w:rPr>
                <w:b/>
                <w:bCs/>
                <w:color w:val="000000"/>
              </w:rPr>
              <w:t>e</w:t>
            </w:r>
            <w:r w:rsidRPr="007E29F8">
              <w:rPr>
                <w:b/>
                <w:bCs/>
                <w:color w:val="000000"/>
              </w:rPr>
              <w:t xml:space="preserve">: treated clothes </w:t>
            </w:r>
            <w:r>
              <w:rPr>
                <w:b/>
                <w:bCs/>
                <w:color w:val="000000"/>
              </w:rPr>
              <w:t>–</w:t>
            </w:r>
            <w:r w:rsidRPr="007E29F8">
              <w:rPr>
                <w:b/>
                <w:bCs/>
                <w:color w:val="000000"/>
              </w:rPr>
              <w:t xml:space="preserve"> </w:t>
            </w:r>
            <w:r>
              <w:rPr>
                <w:b/>
                <w:bCs/>
                <w:color w:val="000000"/>
              </w:rPr>
              <w:t>head lice</w:t>
            </w:r>
          </w:p>
        </w:tc>
      </w:tr>
      <w:tr w:rsidR="001E65DB" w:rsidRPr="007E29F8" w14:paraId="2B9D9532"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6D8E782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Adult</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A3C5F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EEF245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17522EF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2.0</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E0A241" w14:textId="5C8C61A3" w:rsidR="001E65DB" w:rsidRPr="00762A41" w:rsidRDefault="001E65DB" w:rsidP="00762A41">
            <w:pPr>
              <w:spacing w:before="0" w:after="0"/>
              <w:jc w:val="center"/>
              <w:rPr>
                <w:rFonts w:eastAsia="Calibri" w:cs="Arial"/>
                <w:lang w:eastAsia="en-US"/>
              </w:rPr>
            </w:pPr>
            <w:r w:rsidRPr="00762A41">
              <w:rPr>
                <w:rFonts w:eastAsia="Calibri" w:cs="Arial"/>
                <w:lang w:eastAsia="en-US"/>
              </w:rPr>
              <w:t>40</w:t>
            </w:r>
            <w:r w:rsidR="00797F55" w:rsidRPr="00762A41">
              <w:rPr>
                <w:rFonts w:eastAsia="Calibri" w:cs="Arial"/>
                <w:lang w:eastAsia="en-US"/>
              </w:rPr>
              <w:t>.</w:t>
            </w:r>
            <w:r w:rsidRPr="00762A41">
              <w:rPr>
                <w:rFonts w:eastAsia="Calibri" w:cs="Arial"/>
                <w:lang w:eastAsia="en-US"/>
              </w:rPr>
              <w:t>9%</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BD805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F2471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40D21FA3"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57716B3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(6 to &lt;12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2B04D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652FC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1AE6BB5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3.0</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20ACB39F" w14:textId="053F1ABA" w:rsidR="001E65DB" w:rsidRPr="00762A41" w:rsidRDefault="001E65DB" w:rsidP="00762A41">
            <w:pPr>
              <w:spacing w:before="0" w:after="0"/>
              <w:jc w:val="center"/>
              <w:rPr>
                <w:rFonts w:eastAsia="Calibri" w:cs="Arial"/>
                <w:lang w:eastAsia="en-US"/>
              </w:rPr>
            </w:pPr>
            <w:r w:rsidRPr="00762A41">
              <w:rPr>
                <w:rFonts w:eastAsia="Calibri" w:cs="Arial"/>
                <w:lang w:eastAsia="en-US"/>
              </w:rPr>
              <w:t>60</w:t>
            </w:r>
            <w:r w:rsidR="00797F55" w:rsidRPr="00762A41">
              <w:rPr>
                <w:rFonts w:eastAsia="Calibri" w:cs="Arial"/>
                <w:lang w:eastAsia="en-US"/>
              </w:rPr>
              <w:t>.</w:t>
            </w:r>
            <w:r w:rsidRPr="00762A41">
              <w:rPr>
                <w:rFonts w:eastAsia="Calibri" w:cs="Arial"/>
                <w:lang w:eastAsia="en-US"/>
              </w:rPr>
              <w:t>5%</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73A02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D38CE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6034A153"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58148B4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(2 to &lt;6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2F0AB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B9E61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40BDE11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3.6</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4F721C08" w14:textId="4D44492C" w:rsidR="001E65DB" w:rsidRPr="00762A41" w:rsidRDefault="001E65DB" w:rsidP="00762A41">
            <w:pPr>
              <w:spacing w:before="0" w:after="0"/>
              <w:jc w:val="center"/>
              <w:rPr>
                <w:rFonts w:eastAsia="Calibri" w:cs="Arial"/>
                <w:lang w:eastAsia="en-US"/>
              </w:rPr>
            </w:pPr>
            <w:r w:rsidRPr="00762A41">
              <w:rPr>
                <w:rFonts w:eastAsia="Calibri" w:cs="Arial"/>
                <w:lang w:eastAsia="en-US"/>
              </w:rPr>
              <w:t>71</w:t>
            </w:r>
            <w:r w:rsidR="00797F55" w:rsidRPr="00762A41">
              <w:rPr>
                <w:rFonts w:eastAsia="Calibri" w:cs="Arial"/>
                <w:lang w:eastAsia="en-US"/>
              </w:rPr>
              <w:t>.</w:t>
            </w:r>
            <w:r w:rsidRPr="00762A41">
              <w:rPr>
                <w:rFonts w:eastAsia="Calibri" w:cs="Arial"/>
                <w:lang w:eastAsia="en-US"/>
              </w:rPr>
              <w:t>5%</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AA3A7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1E61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3556DD52"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5E1DC3F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Toddler (1 to &lt;2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F4D51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A0C4A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57A6067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4.0</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17524F4F" w14:textId="40D634A7" w:rsidR="001E65DB" w:rsidRPr="00762A41" w:rsidRDefault="001E65DB" w:rsidP="00762A41">
            <w:pPr>
              <w:spacing w:before="0" w:after="0"/>
              <w:jc w:val="center"/>
              <w:rPr>
                <w:rFonts w:eastAsia="Calibri" w:cs="Arial"/>
                <w:lang w:eastAsia="en-US"/>
              </w:rPr>
            </w:pPr>
            <w:r w:rsidRPr="00762A41">
              <w:rPr>
                <w:rFonts w:eastAsia="Calibri" w:cs="Arial"/>
                <w:lang w:eastAsia="en-US"/>
              </w:rPr>
              <w:t>80</w:t>
            </w:r>
            <w:r w:rsidR="00797F55" w:rsidRPr="00762A41">
              <w:rPr>
                <w:rFonts w:eastAsia="Calibri" w:cs="Arial"/>
                <w:lang w:eastAsia="en-US"/>
              </w:rPr>
              <w:t>.</w:t>
            </w:r>
            <w:r w:rsidRPr="00762A41">
              <w:rPr>
                <w:rFonts w:eastAsia="Calibri" w:cs="Arial"/>
                <w:lang w:eastAsia="en-US"/>
              </w:rPr>
              <w:t>1%</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B941E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21D0E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65C4ACC3"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6075524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Infant (&lt;1 year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E15BB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871AC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bottom"/>
          </w:tcPr>
          <w:p w14:paraId="011ADB6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4.3</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7E5EA340" w14:textId="3BEE1E9C" w:rsidR="001E65DB" w:rsidRPr="00762A41" w:rsidRDefault="001E65DB" w:rsidP="00762A41">
            <w:pPr>
              <w:spacing w:before="0" w:after="0"/>
              <w:jc w:val="center"/>
              <w:rPr>
                <w:rFonts w:eastAsia="Calibri" w:cs="Arial"/>
                <w:lang w:eastAsia="en-US"/>
              </w:rPr>
            </w:pPr>
            <w:r w:rsidRPr="00762A41">
              <w:rPr>
                <w:rFonts w:eastAsia="Calibri" w:cs="Arial"/>
                <w:lang w:eastAsia="en-US"/>
              </w:rPr>
              <w:t>85</w:t>
            </w:r>
            <w:r w:rsidR="00797F55" w:rsidRPr="00762A41">
              <w:rPr>
                <w:rFonts w:eastAsia="Calibri" w:cs="Arial"/>
                <w:lang w:eastAsia="en-US"/>
              </w:rPr>
              <w:t>.</w:t>
            </w:r>
            <w:r w:rsidRPr="00762A41">
              <w:rPr>
                <w:rFonts w:eastAsia="Calibri" w:cs="Arial"/>
                <w:lang w:eastAsia="en-US"/>
              </w:rPr>
              <w:t>5%</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A9C2F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A492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2A53CEEA" w14:textId="77777777" w:rsidTr="001B7765">
        <w:trPr>
          <w:trHeight w:val="229"/>
          <w:jc w:val="center"/>
        </w:trPr>
        <w:tc>
          <w:tcPr>
            <w:tcW w:w="11105" w:type="dxa"/>
            <w:gridSpan w:val="12"/>
            <w:tcBorders>
              <w:top w:val="single" w:sz="8" w:space="0" w:color="auto"/>
              <w:left w:val="single" w:sz="8" w:space="0" w:color="auto"/>
              <w:bottom w:val="single" w:sz="8" w:space="0" w:color="auto"/>
              <w:right w:val="single" w:sz="8" w:space="0" w:color="auto"/>
            </w:tcBorders>
            <w:shd w:val="clear" w:color="auto" w:fill="auto"/>
          </w:tcPr>
          <w:p w14:paraId="4524A82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b/>
                <w:bCs/>
                <w:color w:val="000000"/>
              </w:rPr>
            </w:pPr>
            <w:r w:rsidRPr="007E29F8">
              <w:rPr>
                <w:b/>
                <w:bCs/>
                <w:color w:val="000000"/>
              </w:rPr>
              <w:t>Scenario 7</w:t>
            </w:r>
            <w:r>
              <w:rPr>
                <w:b/>
                <w:bCs/>
                <w:color w:val="000000"/>
              </w:rPr>
              <w:t xml:space="preserve">a </w:t>
            </w:r>
            <w:r w:rsidRPr="007E29F8">
              <w:rPr>
                <w:b/>
                <w:bCs/>
                <w:color w:val="000000"/>
              </w:rPr>
              <w:t>: treated bed linen</w:t>
            </w:r>
            <w:r>
              <w:rPr>
                <w:b/>
                <w:bCs/>
                <w:color w:val="000000"/>
              </w:rPr>
              <w:t xml:space="preserve"> – head lice</w:t>
            </w:r>
          </w:p>
        </w:tc>
      </w:tr>
      <w:tr w:rsidR="001E65DB" w:rsidRPr="007E29F8" w14:paraId="2794E147"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6C35AC5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Adult</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2079F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F2D63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bottom w:val="single" w:sz="8" w:space="0" w:color="auto"/>
            </w:tcBorders>
            <w:shd w:val="clear" w:color="auto" w:fill="auto"/>
            <w:vAlign w:val="center"/>
          </w:tcPr>
          <w:p w14:paraId="0910B04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1.42</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478BC0" w14:textId="4A9BCEBC" w:rsidR="001E65DB" w:rsidRPr="00762A41" w:rsidRDefault="001E65DB" w:rsidP="00762A41">
            <w:pPr>
              <w:spacing w:before="0" w:after="0"/>
              <w:jc w:val="center"/>
              <w:rPr>
                <w:rFonts w:eastAsia="Calibri" w:cs="Arial"/>
                <w:lang w:eastAsia="en-US"/>
              </w:rPr>
            </w:pPr>
            <w:r w:rsidRPr="00762A41">
              <w:rPr>
                <w:rFonts w:eastAsia="Calibri" w:cs="Arial"/>
                <w:lang w:eastAsia="en-US"/>
              </w:rPr>
              <w:t>28</w:t>
            </w:r>
            <w:r w:rsidR="00797F55" w:rsidRPr="00762A41">
              <w:rPr>
                <w:rFonts w:eastAsia="Calibri" w:cs="Arial"/>
                <w:lang w:eastAsia="en-US"/>
              </w:rPr>
              <w:t>.</w:t>
            </w:r>
            <w:r w:rsidRPr="00762A41">
              <w:rPr>
                <w:rFonts w:eastAsia="Calibri" w:cs="Arial"/>
                <w:lang w:eastAsia="en-US"/>
              </w:rPr>
              <w:t>4%</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C93D8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4A831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4F87CD9A"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1593304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(6 to &lt;12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B07C5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A01B2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bottom w:val="single" w:sz="8" w:space="0" w:color="auto"/>
            </w:tcBorders>
            <w:shd w:val="clear" w:color="auto" w:fill="auto"/>
            <w:vAlign w:val="center"/>
          </w:tcPr>
          <w:p w14:paraId="6C3EB4C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2.06</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3CAA422F" w14:textId="6FF54DE3" w:rsidR="001E65DB" w:rsidRPr="00762A41" w:rsidRDefault="001E65DB" w:rsidP="00762A41">
            <w:pPr>
              <w:spacing w:before="0" w:after="0"/>
              <w:jc w:val="center"/>
              <w:rPr>
                <w:rFonts w:eastAsia="Calibri" w:cs="Arial"/>
                <w:lang w:eastAsia="en-US"/>
              </w:rPr>
            </w:pPr>
            <w:r w:rsidRPr="00762A41">
              <w:rPr>
                <w:rFonts w:eastAsia="Calibri" w:cs="Arial"/>
                <w:lang w:eastAsia="en-US"/>
              </w:rPr>
              <w:t>41</w:t>
            </w:r>
            <w:r w:rsidR="00797F55" w:rsidRPr="00762A41">
              <w:rPr>
                <w:rFonts w:eastAsia="Calibri" w:cs="Arial"/>
                <w:lang w:eastAsia="en-US"/>
              </w:rPr>
              <w:t>.</w:t>
            </w:r>
            <w:r w:rsidRPr="00762A41">
              <w:rPr>
                <w:rFonts w:eastAsia="Calibri" w:cs="Arial"/>
                <w:lang w:eastAsia="en-US"/>
              </w:rPr>
              <w:t>1%</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B9E3B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61806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50EE9B7F"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27E7733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(2 to &lt;6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3C293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064F8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bottom w:val="single" w:sz="8" w:space="0" w:color="auto"/>
            </w:tcBorders>
            <w:shd w:val="clear" w:color="auto" w:fill="auto"/>
            <w:vAlign w:val="center"/>
          </w:tcPr>
          <w:p w14:paraId="2D26474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2.46</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30889EEC" w14:textId="564B2386" w:rsidR="001E65DB" w:rsidRPr="00762A41" w:rsidRDefault="001E65DB" w:rsidP="00762A41">
            <w:pPr>
              <w:spacing w:before="0" w:after="0"/>
              <w:jc w:val="center"/>
              <w:rPr>
                <w:rFonts w:eastAsia="Calibri" w:cs="Arial"/>
                <w:lang w:eastAsia="en-US"/>
              </w:rPr>
            </w:pPr>
            <w:r w:rsidRPr="00762A41">
              <w:rPr>
                <w:rFonts w:eastAsia="Calibri" w:cs="Arial"/>
                <w:lang w:eastAsia="en-US"/>
              </w:rPr>
              <w:t>49</w:t>
            </w:r>
            <w:r w:rsidR="00797F55" w:rsidRPr="00762A41">
              <w:rPr>
                <w:rFonts w:eastAsia="Calibri" w:cs="Arial"/>
                <w:lang w:eastAsia="en-US"/>
              </w:rPr>
              <w:t>.</w:t>
            </w:r>
            <w:r w:rsidRPr="00762A41">
              <w:rPr>
                <w:rFonts w:eastAsia="Calibri" w:cs="Arial"/>
                <w:lang w:eastAsia="en-US"/>
              </w:rPr>
              <w:t>3%</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45857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1D4BB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6351B3E3"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6CD0464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Toddler (1 to &lt;2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2413C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170C43"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bottom w:val="single" w:sz="8" w:space="0" w:color="auto"/>
            </w:tcBorders>
            <w:shd w:val="clear" w:color="auto" w:fill="auto"/>
            <w:vAlign w:val="center"/>
          </w:tcPr>
          <w:p w14:paraId="5B3E39C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2.77</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7D3CA15F" w14:textId="16AFC82E" w:rsidR="001E65DB" w:rsidRPr="00762A41" w:rsidRDefault="001E65DB" w:rsidP="00762A41">
            <w:pPr>
              <w:spacing w:before="0" w:after="0"/>
              <w:jc w:val="center"/>
              <w:rPr>
                <w:rFonts w:eastAsia="Calibri" w:cs="Arial"/>
                <w:lang w:eastAsia="en-US"/>
              </w:rPr>
            </w:pPr>
            <w:r w:rsidRPr="00762A41">
              <w:rPr>
                <w:rFonts w:eastAsia="Calibri" w:cs="Arial"/>
                <w:lang w:eastAsia="en-US"/>
              </w:rPr>
              <w:t>55</w:t>
            </w:r>
            <w:r w:rsidR="00797F55" w:rsidRPr="00762A41">
              <w:rPr>
                <w:rFonts w:eastAsia="Calibri" w:cs="Arial"/>
                <w:lang w:eastAsia="en-US"/>
              </w:rPr>
              <w:t>.</w:t>
            </w:r>
            <w:r w:rsidRPr="00762A41">
              <w:rPr>
                <w:rFonts w:eastAsia="Calibri" w:cs="Arial"/>
                <w:lang w:eastAsia="en-US"/>
              </w:rPr>
              <w:t>3%</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07BE4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1BCB4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4BFB6145"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506EF08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Infant (&lt;1 year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0EDF9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A538B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bottom w:val="single" w:sz="8" w:space="0" w:color="auto"/>
            </w:tcBorders>
            <w:shd w:val="clear" w:color="auto" w:fill="auto"/>
            <w:vAlign w:val="center"/>
          </w:tcPr>
          <w:p w14:paraId="217DA48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2.95</w:t>
            </w:r>
          </w:p>
        </w:tc>
        <w:tc>
          <w:tcPr>
            <w:tcW w:w="1535" w:type="dxa"/>
            <w:gridSpan w:val="2"/>
            <w:tcBorders>
              <w:top w:val="nil"/>
              <w:left w:val="single" w:sz="4" w:space="0" w:color="auto"/>
              <w:bottom w:val="single" w:sz="4" w:space="0" w:color="auto"/>
              <w:right w:val="single" w:sz="4" w:space="0" w:color="auto"/>
            </w:tcBorders>
            <w:shd w:val="clear" w:color="auto" w:fill="auto"/>
            <w:noWrap/>
            <w:vAlign w:val="bottom"/>
          </w:tcPr>
          <w:p w14:paraId="6C1E16B9" w14:textId="3185C5EE" w:rsidR="001E65DB" w:rsidRPr="00762A41" w:rsidRDefault="001E65DB" w:rsidP="00762A41">
            <w:pPr>
              <w:spacing w:before="0" w:after="0"/>
              <w:jc w:val="center"/>
              <w:rPr>
                <w:rFonts w:eastAsia="Calibri" w:cs="Arial"/>
                <w:lang w:eastAsia="en-US"/>
              </w:rPr>
            </w:pPr>
            <w:r w:rsidRPr="00762A41">
              <w:rPr>
                <w:rFonts w:eastAsia="Calibri" w:cs="Arial"/>
                <w:lang w:eastAsia="en-US"/>
              </w:rPr>
              <w:t>59</w:t>
            </w:r>
            <w:r w:rsidR="00797F55" w:rsidRPr="00762A41">
              <w:rPr>
                <w:rFonts w:eastAsia="Calibri" w:cs="Arial"/>
                <w:lang w:eastAsia="en-US"/>
              </w:rPr>
              <w:t>.</w:t>
            </w:r>
            <w:r w:rsidRPr="00762A41">
              <w:rPr>
                <w:rFonts w:eastAsia="Calibri" w:cs="Arial"/>
                <w:lang w:eastAsia="en-US"/>
              </w:rPr>
              <w:t>1%</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5ABA2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A5640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020E6B14" w14:textId="77777777" w:rsidTr="001B7765">
        <w:trPr>
          <w:trHeight w:val="229"/>
          <w:jc w:val="center"/>
        </w:trPr>
        <w:tc>
          <w:tcPr>
            <w:tcW w:w="11105"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05CF702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color w:val="000000"/>
              </w:rPr>
            </w:pPr>
            <w:r w:rsidRPr="007E29F8">
              <w:rPr>
                <w:b/>
                <w:bCs/>
                <w:color w:val="000000"/>
              </w:rPr>
              <w:t>Scenario 7</w:t>
            </w:r>
            <w:r>
              <w:rPr>
                <w:b/>
                <w:bCs/>
                <w:color w:val="000000"/>
              </w:rPr>
              <w:t xml:space="preserve">b </w:t>
            </w:r>
            <w:r w:rsidRPr="007E29F8">
              <w:rPr>
                <w:b/>
                <w:bCs/>
                <w:color w:val="000000"/>
              </w:rPr>
              <w:t>: treated bed linen</w:t>
            </w:r>
            <w:r>
              <w:rPr>
                <w:b/>
                <w:bCs/>
                <w:color w:val="000000"/>
              </w:rPr>
              <w:t xml:space="preserve"> – dust mites</w:t>
            </w:r>
          </w:p>
        </w:tc>
      </w:tr>
      <w:tr w:rsidR="001E65DB" w:rsidRPr="007E29F8" w14:paraId="4B6B3467"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7E2E88B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Adult</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41073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BEB54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center"/>
          </w:tcPr>
          <w:p w14:paraId="2E3C4426"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2.32</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90F2ED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46.5%</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858B9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48AEE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485E9DB4"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6AC634B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(6 to &lt;12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E281B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972CE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center"/>
          </w:tcPr>
          <w:p w14:paraId="6EA2C1E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3.23</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4F5C44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64.7%</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77163C"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9CB1D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5B3127E8"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70D4E91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Child (2 to &lt;6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FFFED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E12B8B"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center"/>
          </w:tcPr>
          <w:p w14:paraId="5650435E"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3.66</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0355F1D"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73.2%</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8EBFF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66435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17FABAE1"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07D4D2F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Toddler (1 to &lt;2 years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AD0AF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B8B88E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center"/>
          </w:tcPr>
          <w:p w14:paraId="230F6BC5"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4.03</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1A62F59"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80.6%</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732772"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BD3081"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r w:rsidR="001E65DB" w:rsidRPr="007E29F8" w14:paraId="04A5A48A" w14:textId="77777777" w:rsidTr="001B7765">
        <w:trPr>
          <w:trHeight w:val="229"/>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08E00084"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Infant (&lt;1 year old)</w:t>
            </w:r>
          </w:p>
        </w:tc>
        <w:tc>
          <w:tcPr>
            <w:tcW w:w="7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8072F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0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C72B40"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5</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center"/>
          </w:tcPr>
          <w:p w14:paraId="59D2EE98"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4.31</w:t>
            </w:r>
          </w:p>
        </w:tc>
        <w:tc>
          <w:tcPr>
            <w:tcW w:w="15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C182DD7"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86.1%</w:t>
            </w: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A344CF"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1</w:t>
            </w:r>
          </w:p>
        </w:tc>
        <w:tc>
          <w:tcPr>
            <w:tcW w:w="19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93796A" w14:textId="77777777" w:rsidR="001E65DB" w:rsidRPr="00762A41" w:rsidRDefault="001E65DB" w:rsidP="00762A41">
            <w:pPr>
              <w:spacing w:before="0" w:after="0"/>
              <w:jc w:val="center"/>
              <w:rPr>
                <w:rFonts w:eastAsia="Calibri" w:cs="Arial"/>
                <w:lang w:eastAsia="en-US"/>
              </w:rPr>
            </w:pPr>
            <w:r w:rsidRPr="00762A41">
              <w:rPr>
                <w:rFonts w:eastAsia="Calibri" w:cs="Arial"/>
                <w:lang w:eastAsia="en-US"/>
              </w:rPr>
              <w:t>Yes</w:t>
            </w:r>
          </w:p>
        </w:tc>
      </w:tr>
    </w:tbl>
    <w:p w14:paraId="2B8D0043" w14:textId="77777777" w:rsidR="001E65DB" w:rsidRPr="007E29F8" w:rsidRDefault="001E65DB" w:rsidP="003E3E25">
      <w:pPr>
        <w:widowControl w:val="0"/>
        <w:kinsoku w:val="0"/>
        <w:overflowPunct w:val="0"/>
        <w:autoSpaceDE w:val="0"/>
        <w:autoSpaceDN w:val="0"/>
        <w:adjustRightInd w:val="0"/>
        <w:spacing w:before="292" w:after="0" w:line="290" w:lineRule="exact"/>
        <w:ind w:right="216"/>
        <w:jc w:val="both"/>
        <w:textAlignment w:val="baseline"/>
        <w:rPr>
          <w:rFonts w:cs="Arial"/>
          <w:b/>
          <w:i/>
          <w:spacing w:val="1"/>
          <w:u w:val="single"/>
          <w:lang w:eastAsia="fr-FR"/>
        </w:rPr>
      </w:pPr>
      <w:r w:rsidRPr="007E29F8">
        <w:rPr>
          <w:rFonts w:cs="Arial"/>
          <w:b/>
          <w:i/>
          <w:spacing w:val="1"/>
          <w:u w:val="single"/>
          <w:lang w:eastAsia="fr-FR"/>
        </w:rPr>
        <w:t>Combined scenarios</w:t>
      </w:r>
    </w:p>
    <w:p w14:paraId="5B4FCD66" w14:textId="77777777" w:rsidR="001E65DB" w:rsidRPr="007E29F8"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p>
    <w:p w14:paraId="1F87B1B3" w14:textId="77777777" w:rsidR="001E65DB"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r w:rsidRPr="007E29F8">
        <w:rPr>
          <w:rFonts w:cs="Arial"/>
          <w:b/>
          <w:spacing w:val="1"/>
          <w:lang w:eastAsia="fr-FR"/>
        </w:rPr>
        <w:t>Co</w:t>
      </w:r>
      <w:r>
        <w:rPr>
          <w:rFonts w:cs="Arial"/>
          <w:b/>
          <w:spacing w:val="1"/>
          <w:lang w:eastAsia="fr-FR"/>
        </w:rPr>
        <w:t xml:space="preserve">mbined scenarios head lice: treated skin [1c], during </w:t>
      </w:r>
      <w:r w:rsidRPr="007E29F8">
        <w:rPr>
          <w:rFonts w:cs="Arial"/>
          <w:b/>
          <w:spacing w:val="1"/>
          <w:lang w:eastAsia="fr-FR"/>
        </w:rPr>
        <w:t>application</w:t>
      </w:r>
      <w:r>
        <w:rPr>
          <w:rFonts w:cs="Arial"/>
          <w:b/>
          <w:spacing w:val="1"/>
          <w:lang w:eastAsia="fr-FR"/>
        </w:rPr>
        <w:t xml:space="preserve"> on clothes [2] for adult only, </w:t>
      </w:r>
      <w:r w:rsidRPr="007E29F8">
        <w:rPr>
          <w:rFonts w:cs="Arial"/>
          <w:b/>
          <w:spacing w:val="1"/>
          <w:lang w:eastAsia="fr-FR"/>
        </w:rPr>
        <w:t xml:space="preserve">and </w:t>
      </w:r>
      <w:r>
        <w:rPr>
          <w:rFonts w:cs="Arial"/>
          <w:b/>
          <w:spacing w:val="1"/>
          <w:lang w:eastAsia="fr-FR"/>
        </w:rPr>
        <w:t xml:space="preserve">by </w:t>
      </w:r>
      <w:r w:rsidRPr="007E29F8">
        <w:rPr>
          <w:rFonts w:cs="Arial"/>
          <w:b/>
          <w:spacing w:val="1"/>
          <w:lang w:eastAsia="fr-FR"/>
        </w:rPr>
        <w:t>treated clothes</w:t>
      </w:r>
      <w:r>
        <w:rPr>
          <w:rFonts w:cs="Arial"/>
          <w:b/>
          <w:spacing w:val="1"/>
          <w:lang w:eastAsia="fr-FR"/>
        </w:rPr>
        <w:t xml:space="preserve"> [6e]</w:t>
      </w:r>
      <w:r w:rsidRPr="007E29F8">
        <w:rPr>
          <w:rFonts w:cs="Arial"/>
          <w:b/>
          <w:spacing w:val="1"/>
          <w:lang w:eastAsia="fr-FR"/>
        </w:rPr>
        <w:t>:</w:t>
      </w:r>
    </w:p>
    <w:p w14:paraId="33B8EC3B" w14:textId="77777777" w:rsidR="001E65DB" w:rsidRDefault="001E65DB" w:rsidP="001E65DB">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p>
    <w:tbl>
      <w:tblPr>
        <w:tblW w:w="10485" w:type="dxa"/>
        <w:jc w:val="center"/>
        <w:tblCellMar>
          <w:left w:w="70" w:type="dxa"/>
          <w:right w:w="70" w:type="dxa"/>
        </w:tblCellMar>
        <w:tblLook w:val="04A0" w:firstRow="1" w:lastRow="0" w:firstColumn="1" w:lastColumn="0" w:noHBand="0" w:noVBand="1"/>
      </w:tblPr>
      <w:tblGrid>
        <w:gridCol w:w="3109"/>
        <w:gridCol w:w="577"/>
        <w:gridCol w:w="1002"/>
        <w:gridCol w:w="1264"/>
        <w:gridCol w:w="1343"/>
        <w:gridCol w:w="1551"/>
        <w:gridCol w:w="1639"/>
      </w:tblGrid>
      <w:tr w:rsidR="001E65DB" w:rsidRPr="00C9116A" w14:paraId="7655D9D5" w14:textId="77777777" w:rsidTr="001E65DB">
        <w:trPr>
          <w:trHeight w:val="59"/>
          <w:jc w:val="center"/>
        </w:trPr>
        <w:tc>
          <w:tcPr>
            <w:tcW w:w="3109"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584B62DB"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Task/ Scenario</w:t>
            </w:r>
          </w:p>
        </w:tc>
        <w:tc>
          <w:tcPr>
            <w:tcW w:w="577"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5F1C5A14"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Tier</w:t>
            </w:r>
          </w:p>
        </w:tc>
        <w:tc>
          <w:tcPr>
            <w:tcW w:w="1002" w:type="dxa"/>
            <w:tcBorders>
              <w:top w:val="single" w:sz="8" w:space="0" w:color="auto"/>
              <w:left w:val="nil"/>
              <w:bottom w:val="single" w:sz="4" w:space="0" w:color="auto"/>
              <w:right w:val="single" w:sz="8" w:space="0" w:color="auto"/>
            </w:tcBorders>
            <w:shd w:val="clear" w:color="000000" w:fill="FFFFCC"/>
            <w:vAlign w:val="center"/>
            <w:hideMark/>
          </w:tcPr>
          <w:p w14:paraId="5DB88808"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AEL mg/kg bw/d</w:t>
            </w:r>
          </w:p>
        </w:tc>
        <w:tc>
          <w:tcPr>
            <w:tcW w:w="1264" w:type="dxa"/>
            <w:tcBorders>
              <w:top w:val="single" w:sz="8" w:space="0" w:color="auto"/>
              <w:left w:val="nil"/>
              <w:bottom w:val="single" w:sz="4" w:space="0" w:color="auto"/>
              <w:right w:val="single" w:sz="8" w:space="0" w:color="auto"/>
            </w:tcBorders>
            <w:shd w:val="clear" w:color="000000" w:fill="FFFFCC"/>
            <w:vAlign w:val="center"/>
            <w:hideMark/>
          </w:tcPr>
          <w:p w14:paraId="0B4781C9"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Estimated uptake mg/kg bw/d</w:t>
            </w:r>
          </w:p>
        </w:tc>
        <w:tc>
          <w:tcPr>
            <w:tcW w:w="1343" w:type="dxa"/>
            <w:tcBorders>
              <w:top w:val="single" w:sz="8" w:space="0" w:color="auto"/>
              <w:left w:val="nil"/>
              <w:bottom w:val="single" w:sz="4" w:space="0" w:color="auto"/>
              <w:right w:val="single" w:sz="8" w:space="0" w:color="auto"/>
            </w:tcBorders>
            <w:shd w:val="clear" w:color="000000" w:fill="FFFFCC"/>
            <w:vAlign w:val="center"/>
            <w:hideMark/>
          </w:tcPr>
          <w:p w14:paraId="514ABE8E"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Estimated uptake/ AEL (%)</w:t>
            </w:r>
          </w:p>
        </w:tc>
        <w:tc>
          <w:tcPr>
            <w:tcW w:w="1551"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3B7D32D1"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 xml:space="preserve">Number of applications claimed </w:t>
            </w:r>
            <w:r w:rsidRPr="00C9116A">
              <w:rPr>
                <w:rFonts w:eastAsia="Calibri" w:cs="Arial"/>
                <w:b/>
                <w:i/>
                <w:szCs w:val="22"/>
                <w:lang w:eastAsia="en-US"/>
              </w:rPr>
              <w:t>(on skin)</w:t>
            </w:r>
          </w:p>
        </w:tc>
        <w:tc>
          <w:tcPr>
            <w:tcW w:w="1639" w:type="dxa"/>
            <w:tcBorders>
              <w:top w:val="single" w:sz="8" w:space="0" w:color="auto"/>
              <w:left w:val="nil"/>
              <w:bottom w:val="single" w:sz="4" w:space="0" w:color="auto"/>
              <w:right w:val="single" w:sz="8" w:space="0" w:color="auto"/>
            </w:tcBorders>
            <w:shd w:val="clear" w:color="000000" w:fill="FFFFCC"/>
            <w:vAlign w:val="center"/>
            <w:hideMark/>
          </w:tcPr>
          <w:p w14:paraId="4D133E9D"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Acceptable (yes/no)</w:t>
            </w:r>
          </w:p>
        </w:tc>
      </w:tr>
      <w:tr w:rsidR="001E65DB" w:rsidRPr="00C9116A" w14:paraId="2999C67B"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692C78C" w14:textId="77777777" w:rsidR="001E65DB" w:rsidRPr="001A3961" w:rsidRDefault="001E65DB" w:rsidP="001E65DB">
            <w:pPr>
              <w:spacing w:before="0" w:after="0"/>
              <w:jc w:val="both"/>
              <w:rPr>
                <w:rFonts w:eastAsia="Calibri" w:cs="Arial"/>
                <w:b/>
                <w:lang w:eastAsia="en-US"/>
              </w:rPr>
            </w:pPr>
            <w:r w:rsidRPr="001A3961">
              <w:rPr>
                <w:rFonts w:cs="Arial"/>
                <w:color w:val="000000"/>
                <w:lang w:eastAsia="fr-FR"/>
              </w:rPr>
              <w:t>Adult</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7FE39C6"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4EFB3AB1"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707895F" w14:textId="77777777" w:rsidR="001E65DB" w:rsidRPr="001A3961" w:rsidRDefault="001E65DB" w:rsidP="00797F55">
            <w:pPr>
              <w:spacing w:before="0" w:after="0"/>
              <w:jc w:val="center"/>
              <w:rPr>
                <w:rFonts w:eastAsia="Calibri" w:cs="Arial"/>
                <w:b/>
                <w:lang w:eastAsia="en-US"/>
              </w:rPr>
            </w:pPr>
            <w:r w:rsidRPr="001A3961">
              <w:rPr>
                <w:rFonts w:cs="Calibri"/>
                <w:color w:val="000000"/>
              </w:rPr>
              <w:t>3.74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172DB8A9" w14:textId="32018064" w:rsidR="001E65DB" w:rsidRPr="001A3961" w:rsidRDefault="001E65DB" w:rsidP="001A3961">
            <w:pPr>
              <w:spacing w:before="0" w:after="0"/>
              <w:jc w:val="center"/>
              <w:rPr>
                <w:rFonts w:eastAsia="Calibri" w:cs="Arial"/>
                <w:b/>
                <w:lang w:eastAsia="en-US"/>
              </w:rPr>
            </w:pPr>
            <w:r w:rsidRPr="008E6261">
              <w:rPr>
                <w:rFonts w:cs="Calibri"/>
                <w:color w:val="000000"/>
              </w:rPr>
              <w:t>7</w:t>
            </w:r>
            <w:r w:rsidR="001A3961" w:rsidRPr="008E6261">
              <w:rPr>
                <w:rFonts w:cs="Calibri"/>
                <w:color w:val="000000"/>
              </w:rPr>
              <w:t>4.7</w:t>
            </w:r>
            <w:r w:rsidRPr="008E6261">
              <w:rPr>
                <w:rFonts w:cs="Calibri"/>
                <w:color w:val="000000"/>
              </w:rPr>
              <w:t>%</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011F93F"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5C93B529"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Yes</w:t>
            </w:r>
          </w:p>
        </w:tc>
      </w:tr>
      <w:tr w:rsidR="001E65DB" w:rsidRPr="00C9116A" w14:paraId="47C3EA65"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B601555" w14:textId="77777777" w:rsidR="001E65DB" w:rsidRPr="001A3961" w:rsidRDefault="001E65DB" w:rsidP="001E65DB">
            <w:pPr>
              <w:spacing w:before="0" w:after="0"/>
              <w:jc w:val="both"/>
              <w:rPr>
                <w:rFonts w:eastAsia="Calibri" w:cs="Arial"/>
                <w:b/>
                <w:lang w:eastAsia="en-US"/>
              </w:rPr>
            </w:pPr>
            <w:r w:rsidRPr="001A3961">
              <w:rPr>
                <w:rFonts w:cs="Arial"/>
                <w:color w:val="000000"/>
                <w:lang w:eastAsia="fr-FR"/>
              </w:rPr>
              <w:t>Child (6 to &lt;12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01F1DA6"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44C10C85"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D0A3265" w14:textId="77777777" w:rsidR="001E65DB" w:rsidRPr="001A3961" w:rsidRDefault="001E65DB" w:rsidP="00797F55">
            <w:pPr>
              <w:spacing w:before="0" w:after="0"/>
              <w:jc w:val="center"/>
              <w:rPr>
                <w:rFonts w:eastAsia="Calibri" w:cs="Arial"/>
                <w:b/>
                <w:lang w:eastAsia="en-US"/>
              </w:rPr>
            </w:pPr>
            <w:r w:rsidRPr="001A3961">
              <w:rPr>
                <w:rFonts w:cs="Arial"/>
                <w:spacing w:val="1"/>
                <w:lang w:eastAsia="fr-FR"/>
              </w:rPr>
              <w:t>4.78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4B3C1A04" w14:textId="3C5F84DC" w:rsidR="001E65DB" w:rsidRPr="001A3961" w:rsidRDefault="001E65DB" w:rsidP="00797F55">
            <w:pPr>
              <w:spacing w:before="0" w:after="0"/>
              <w:jc w:val="center"/>
              <w:rPr>
                <w:rFonts w:eastAsia="Calibri" w:cs="Arial"/>
                <w:b/>
                <w:lang w:eastAsia="en-US"/>
              </w:rPr>
            </w:pPr>
            <w:r w:rsidRPr="008E6261">
              <w:rPr>
                <w:rFonts w:cs="Calibri"/>
                <w:color w:val="000000"/>
              </w:rPr>
              <w:t>9</w:t>
            </w:r>
            <w:r w:rsidR="001A3961" w:rsidRPr="008E6261">
              <w:rPr>
                <w:rFonts w:cs="Calibri"/>
                <w:color w:val="000000"/>
              </w:rPr>
              <w:t>5.6</w:t>
            </w:r>
            <w:r w:rsidRPr="008E6261">
              <w:rPr>
                <w:rFonts w:cs="Calibri"/>
                <w:color w:val="000000"/>
              </w:rPr>
              <w:t>%</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BBEF6AD"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480A21EA"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Yes</w:t>
            </w:r>
          </w:p>
        </w:tc>
      </w:tr>
      <w:tr w:rsidR="001E65DB" w:rsidRPr="00C9116A" w14:paraId="7CF28139"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203FD1B" w14:textId="77777777" w:rsidR="001E65DB" w:rsidRPr="001A3961" w:rsidRDefault="001E65DB" w:rsidP="001E65DB">
            <w:pPr>
              <w:spacing w:before="0" w:after="0"/>
              <w:jc w:val="both"/>
              <w:rPr>
                <w:rFonts w:eastAsia="Calibri" w:cs="Arial"/>
                <w:b/>
                <w:lang w:eastAsia="en-US"/>
              </w:rPr>
            </w:pPr>
            <w:r w:rsidRPr="001A3961">
              <w:rPr>
                <w:rFonts w:cs="Arial"/>
                <w:color w:val="000000"/>
                <w:lang w:eastAsia="fr-FR"/>
              </w:rPr>
              <w:t>Child (2 to &lt;6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E11DB89"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E1FF1BB"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A898068" w14:textId="77777777" w:rsidR="001E65DB" w:rsidRPr="001A3961" w:rsidRDefault="001E65DB" w:rsidP="00797F55">
            <w:pPr>
              <w:spacing w:before="0" w:after="0"/>
              <w:jc w:val="center"/>
              <w:rPr>
                <w:rFonts w:eastAsia="Calibri" w:cs="Arial"/>
                <w:b/>
                <w:lang w:eastAsia="en-US"/>
              </w:rPr>
            </w:pPr>
            <w:r w:rsidRPr="001A3961">
              <w:rPr>
                <w:rFonts w:cs="Arial"/>
                <w:spacing w:val="1"/>
                <w:lang w:eastAsia="fr-FR"/>
              </w:rPr>
              <w:t>6.27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780FD7CA" w14:textId="77777777" w:rsidR="001E65DB" w:rsidRPr="001A3961" w:rsidRDefault="001E65DB" w:rsidP="00797F55">
            <w:pPr>
              <w:spacing w:before="0" w:after="0"/>
              <w:jc w:val="center"/>
              <w:rPr>
                <w:rFonts w:eastAsia="Calibri" w:cs="Arial"/>
                <w:b/>
                <w:lang w:eastAsia="en-US"/>
              </w:rPr>
            </w:pPr>
            <w:r w:rsidRPr="008E6261">
              <w:rPr>
                <w:rFonts w:cs="Calibri"/>
                <w:b/>
                <w:color w:val="000000"/>
              </w:rPr>
              <w:t>125%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2D66190"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45698A7C" w14:textId="77777777" w:rsidR="001E65DB" w:rsidRPr="008E6261" w:rsidRDefault="001E65DB" w:rsidP="00797F55">
            <w:pPr>
              <w:spacing w:before="0" w:after="0"/>
              <w:jc w:val="center"/>
              <w:rPr>
                <w:rFonts w:eastAsia="Calibri" w:cs="Arial"/>
                <w:b/>
                <w:lang w:eastAsia="en-US"/>
              </w:rPr>
            </w:pPr>
            <w:r w:rsidRPr="008E6261">
              <w:rPr>
                <w:rFonts w:eastAsia="Calibri" w:cs="Arial"/>
                <w:b/>
                <w:lang w:eastAsia="en-US"/>
              </w:rPr>
              <w:t>No</w:t>
            </w:r>
          </w:p>
        </w:tc>
      </w:tr>
      <w:tr w:rsidR="001E65DB" w:rsidRPr="00C9116A" w14:paraId="6865D280"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E54612A" w14:textId="77777777" w:rsidR="001E65DB" w:rsidRPr="001A3961" w:rsidRDefault="001E65DB" w:rsidP="001E65DB">
            <w:pPr>
              <w:spacing w:before="0" w:after="0"/>
              <w:jc w:val="both"/>
              <w:rPr>
                <w:rFonts w:eastAsia="Calibri" w:cs="Arial"/>
                <w:b/>
                <w:lang w:eastAsia="en-US"/>
              </w:rPr>
            </w:pPr>
            <w:r w:rsidRPr="001A3961">
              <w:rPr>
                <w:rFonts w:cs="Arial"/>
                <w:color w:val="000000"/>
                <w:lang w:eastAsia="fr-FR"/>
              </w:rPr>
              <w:t>Toddler (1 to &lt;2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6207309"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5E9CD9A"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58162AB" w14:textId="77777777" w:rsidR="001E65DB" w:rsidRPr="001A3961" w:rsidRDefault="001E65DB" w:rsidP="00797F55">
            <w:pPr>
              <w:spacing w:before="0" w:after="0"/>
              <w:jc w:val="center"/>
              <w:rPr>
                <w:rFonts w:eastAsia="Calibri" w:cs="Arial"/>
                <w:b/>
                <w:lang w:eastAsia="en-US"/>
              </w:rPr>
            </w:pPr>
            <w:r w:rsidRPr="001A3961">
              <w:rPr>
                <w:rFonts w:cs="Arial"/>
                <w:spacing w:val="1"/>
                <w:lang w:eastAsia="fr-FR"/>
              </w:rPr>
              <w:t>8.21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1FB2E5CE" w14:textId="77777777" w:rsidR="001E65DB" w:rsidRPr="001A3961" w:rsidRDefault="001E65DB" w:rsidP="00797F55">
            <w:pPr>
              <w:spacing w:before="0" w:after="0"/>
              <w:jc w:val="center"/>
              <w:rPr>
                <w:rFonts w:eastAsia="Calibri" w:cs="Arial"/>
                <w:b/>
                <w:lang w:eastAsia="en-US"/>
              </w:rPr>
            </w:pPr>
            <w:r w:rsidRPr="008E6261">
              <w:rPr>
                <w:rFonts w:cs="Calibri"/>
                <w:b/>
                <w:color w:val="000000"/>
              </w:rPr>
              <w:t>164%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D26E5B5"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48470A60" w14:textId="77777777" w:rsidR="001E65DB" w:rsidRPr="008E6261" w:rsidRDefault="001E65DB" w:rsidP="00797F55">
            <w:pPr>
              <w:spacing w:before="0" w:after="0"/>
              <w:jc w:val="center"/>
              <w:rPr>
                <w:rFonts w:eastAsia="Calibri" w:cs="Arial"/>
                <w:b/>
                <w:lang w:eastAsia="en-US"/>
              </w:rPr>
            </w:pPr>
            <w:r w:rsidRPr="008E6261">
              <w:rPr>
                <w:rFonts w:eastAsia="Calibri" w:cs="Arial"/>
                <w:b/>
                <w:lang w:eastAsia="en-US"/>
              </w:rPr>
              <w:t>No</w:t>
            </w:r>
          </w:p>
        </w:tc>
      </w:tr>
      <w:tr w:rsidR="001E65DB" w:rsidRPr="00C9116A" w14:paraId="62210985"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549593C" w14:textId="77777777" w:rsidR="001E65DB" w:rsidRPr="001A3961" w:rsidRDefault="001E65DB" w:rsidP="001E65DB">
            <w:pPr>
              <w:spacing w:before="0" w:after="0"/>
              <w:jc w:val="both"/>
              <w:rPr>
                <w:rFonts w:eastAsia="Calibri" w:cs="Arial"/>
                <w:b/>
                <w:lang w:eastAsia="en-US"/>
              </w:rPr>
            </w:pPr>
            <w:r w:rsidRPr="001A3961">
              <w:rPr>
                <w:rFonts w:cs="Arial"/>
                <w:color w:val="000000"/>
                <w:lang w:eastAsia="fr-FR"/>
              </w:rPr>
              <w:t>Infant (&lt;1 year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9F11962"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1677C21"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A11A1F3" w14:textId="77777777" w:rsidR="001E65DB" w:rsidRPr="001A3961" w:rsidRDefault="001E65DB" w:rsidP="00797F55">
            <w:pPr>
              <w:spacing w:before="0" w:after="0"/>
              <w:jc w:val="center"/>
              <w:rPr>
                <w:rFonts w:eastAsia="Calibri" w:cs="Arial"/>
                <w:b/>
                <w:lang w:eastAsia="en-US"/>
              </w:rPr>
            </w:pPr>
            <w:r w:rsidRPr="001A3961">
              <w:rPr>
                <w:rFonts w:cs="Arial"/>
                <w:spacing w:val="1"/>
                <w:lang w:eastAsia="fr-FR"/>
              </w:rPr>
              <w:t>7.78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117EEEAD" w14:textId="77777777" w:rsidR="001E65DB" w:rsidRPr="001A3961" w:rsidRDefault="001E65DB" w:rsidP="00797F55">
            <w:pPr>
              <w:spacing w:before="0" w:after="0"/>
              <w:jc w:val="center"/>
              <w:rPr>
                <w:rFonts w:eastAsia="Calibri" w:cs="Arial"/>
                <w:b/>
                <w:lang w:eastAsia="en-US"/>
              </w:rPr>
            </w:pPr>
            <w:r w:rsidRPr="008E6261">
              <w:rPr>
                <w:rFonts w:cs="Calibri"/>
                <w:b/>
                <w:color w:val="000000"/>
              </w:rPr>
              <w:t>156%</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D972A8E" w14:textId="77777777" w:rsidR="001E65DB" w:rsidRPr="008E6261" w:rsidRDefault="001E65DB" w:rsidP="00797F55">
            <w:pPr>
              <w:spacing w:before="0" w:after="0"/>
              <w:jc w:val="center"/>
              <w:rPr>
                <w:rFonts w:eastAsia="Calibri" w:cs="Arial"/>
                <w:lang w:eastAsia="en-US"/>
              </w:rPr>
            </w:pPr>
            <w:r w:rsidRPr="008E6261">
              <w:rPr>
                <w:rFonts w:eastAsia="Calibri" w:cs="Arial"/>
                <w:lang w:eastAsia="en-US"/>
              </w:rPr>
              <w:t>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3B485CE8" w14:textId="77777777" w:rsidR="001E65DB" w:rsidRPr="008E6261" w:rsidRDefault="001E65DB" w:rsidP="00797F55">
            <w:pPr>
              <w:spacing w:before="0" w:after="0"/>
              <w:jc w:val="center"/>
              <w:rPr>
                <w:rFonts w:eastAsia="Calibri" w:cs="Arial"/>
                <w:b/>
                <w:lang w:eastAsia="en-US"/>
              </w:rPr>
            </w:pPr>
            <w:r w:rsidRPr="008E6261">
              <w:rPr>
                <w:rFonts w:eastAsia="Calibri" w:cs="Arial"/>
                <w:b/>
                <w:lang w:eastAsia="en-US"/>
              </w:rPr>
              <w:t>No</w:t>
            </w:r>
          </w:p>
        </w:tc>
      </w:tr>
    </w:tbl>
    <w:p w14:paraId="733FB3E6" w14:textId="77777777" w:rsidR="001E65DB" w:rsidRPr="007E29F8" w:rsidRDefault="001E65DB" w:rsidP="001E65DB">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p>
    <w:p w14:paraId="6DE566B4" w14:textId="77777777" w:rsidR="001E65DB" w:rsidRDefault="001E65DB" w:rsidP="001E65DB">
      <w:pPr>
        <w:widowControl w:val="0"/>
        <w:kinsoku w:val="0"/>
        <w:overflowPunct w:val="0"/>
        <w:autoSpaceDE w:val="0"/>
        <w:autoSpaceDN w:val="0"/>
        <w:adjustRightInd w:val="0"/>
        <w:spacing w:before="0" w:after="0"/>
        <w:ind w:right="216"/>
        <w:jc w:val="both"/>
        <w:textAlignment w:val="baseline"/>
        <w:rPr>
          <w:rFonts w:cs="Arial"/>
          <w:spacing w:val="1"/>
          <w:lang w:eastAsia="fr-FR"/>
        </w:rPr>
      </w:pPr>
    </w:p>
    <w:p w14:paraId="14A1F3D1" w14:textId="77777777" w:rsidR="001E65DB"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r w:rsidRPr="007E29F8">
        <w:rPr>
          <w:rFonts w:cs="Arial"/>
          <w:b/>
          <w:spacing w:val="1"/>
          <w:lang w:eastAsia="fr-FR"/>
        </w:rPr>
        <w:t>Co</w:t>
      </w:r>
      <w:r>
        <w:rPr>
          <w:rFonts w:cs="Arial"/>
          <w:b/>
          <w:spacing w:val="1"/>
          <w:lang w:eastAsia="fr-FR"/>
        </w:rPr>
        <w:t xml:space="preserve">mbined scenarios head lice: treated skin [1c], during </w:t>
      </w:r>
      <w:r w:rsidRPr="007E29F8">
        <w:rPr>
          <w:rFonts w:cs="Arial"/>
          <w:b/>
          <w:spacing w:val="1"/>
          <w:lang w:eastAsia="fr-FR"/>
        </w:rPr>
        <w:t>application</w:t>
      </w:r>
      <w:r>
        <w:rPr>
          <w:rFonts w:cs="Arial"/>
          <w:b/>
          <w:spacing w:val="1"/>
          <w:lang w:eastAsia="fr-FR"/>
        </w:rPr>
        <w:t xml:space="preserve"> on bed linen [2] for adult only, </w:t>
      </w:r>
      <w:r w:rsidRPr="007E29F8">
        <w:rPr>
          <w:rFonts w:cs="Arial"/>
          <w:b/>
          <w:spacing w:val="1"/>
          <w:lang w:eastAsia="fr-FR"/>
        </w:rPr>
        <w:t xml:space="preserve">and </w:t>
      </w:r>
      <w:r>
        <w:rPr>
          <w:rFonts w:cs="Arial"/>
          <w:b/>
          <w:spacing w:val="1"/>
          <w:lang w:eastAsia="fr-FR"/>
        </w:rPr>
        <w:t xml:space="preserve">by </w:t>
      </w:r>
      <w:r w:rsidRPr="007E29F8">
        <w:rPr>
          <w:rFonts w:cs="Arial"/>
          <w:b/>
          <w:spacing w:val="1"/>
          <w:lang w:eastAsia="fr-FR"/>
        </w:rPr>
        <w:t xml:space="preserve">treated </w:t>
      </w:r>
      <w:r>
        <w:rPr>
          <w:rFonts w:cs="Arial"/>
          <w:b/>
          <w:spacing w:val="1"/>
          <w:lang w:eastAsia="fr-FR"/>
        </w:rPr>
        <w:t>bed linen [7a]</w:t>
      </w:r>
      <w:r w:rsidRPr="007E29F8">
        <w:rPr>
          <w:rFonts w:cs="Arial"/>
          <w:b/>
          <w:spacing w:val="1"/>
          <w:lang w:eastAsia="fr-FR"/>
        </w:rPr>
        <w:t>:</w:t>
      </w:r>
    </w:p>
    <w:p w14:paraId="2413461C" w14:textId="77777777" w:rsidR="001E65DB" w:rsidRDefault="001E65DB" w:rsidP="001E65DB">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p>
    <w:tbl>
      <w:tblPr>
        <w:tblW w:w="10485" w:type="dxa"/>
        <w:jc w:val="center"/>
        <w:tblCellMar>
          <w:left w:w="70" w:type="dxa"/>
          <w:right w:w="70" w:type="dxa"/>
        </w:tblCellMar>
        <w:tblLook w:val="04A0" w:firstRow="1" w:lastRow="0" w:firstColumn="1" w:lastColumn="0" w:noHBand="0" w:noVBand="1"/>
      </w:tblPr>
      <w:tblGrid>
        <w:gridCol w:w="3109"/>
        <w:gridCol w:w="577"/>
        <w:gridCol w:w="1002"/>
        <w:gridCol w:w="1264"/>
        <w:gridCol w:w="1343"/>
        <w:gridCol w:w="1551"/>
        <w:gridCol w:w="1639"/>
      </w:tblGrid>
      <w:tr w:rsidR="001E65DB" w:rsidRPr="00C9116A" w14:paraId="70F8522E" w14:textId="77777777" w:rsidTr="00797F55">
        <w:trPr>
          <w:trHeight w:val="59"/>
          <w:jc w:val="center"/>
        </w:trPr>
        <w:tc>
          <w:tcPr>
            <w:tcW w:w="3109"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127567F5"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Task/ Scenario</w:t>
            </w:r>
          </w:p>
        </w:tc>
        <w:tc>
          <w:tcPr>
            <w:tcW w:w="577"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3D21D5EE"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Tier</w:t>
            </w:r>
          </w:p>
        </w:tc>
        <w:tc>
          <w:tcPr>
            <w:tcW w:w="1002" w:type="dxa"/>
            <w:tcBorders>
              <w:top w:val="single" w:sz="8" w:space="0" w:color="auto"/>
              <w:left w:val="nil"/>
              <w:bottom w:val="single" w:sz="4" w:space="0" w:color="auto"/>
              <w:right w:val="single" w:sz="8" w:space="0" w:color="auto"/>
            </w:tcBorders>
            <w:shd w:val="clear" w:color="000000" w:fill="FFFFCC"/>
            <w:vAlign w:val="center"/>
            <w:hideMark/>
          </w:tcPr>
          <w:p w14:paraId="5618E094"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AEL mg/kg bw/d</w:t>
            </w:r>
          </w:p>
        </w:tc>
        <w:tc>
          <w:tcPr>
            <w:tcW w:w="1264" w:type="dxa"/>
            <w:tcBorders>
              <w:top w:val="single" w:sz="8" w:space="0" w:color="auto"/>
              <w:left w:val="nil"/>
              <w:bottom w:val="single" w:sz="4" w:space="0" w:color="auto"/>
              <w:right w:val="single" w:sz="8" w:space="0" w:color="auto"/>
            </w:tcBorders>
            <w:shd w:val="clear" w:color="000000" w:fill="FFFFCC"/>
            <w:vAlign w:val="center"/>
            <w:hideMark/>
          </w:tcPr>
          <w:p w14:paraId="136C74CC"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Estimated uptake mg/kg bw/d</w:t>
            </w:r>
          </w:p>
        </w:tc>
        <w:tc>
          <w:tcPr>
            <w:tcW w:w="1343" w:type="dxa"/>
            <w:tcBorders>
              <w:top w:val="single" w:sz="8" w:space="0" w:color="auto"/>
              <w:left w:val="nil"/>
              <w:bottom w:val="single" w:sz="4" w:space="0" w:color="auto"/>
              <w:right w:val="single" w:sz="8" w:space="0" w:color="auto"/>
            </w:tcBorders>
            <w:shd w:val="clear" w:color="000000" w:fill="FFFFCC"/>
            <w:vAlign w:val="center"/>
            <w:hideMark/>
          </w:tcPr>
          <w:p w14:paraId="42C96038"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Estimated uptake/ AEL (%)</w:t>
            </w:r>
          </w:p>
        </w:tc>
        <w:tc>
          <w:tcPr>
            <w:tcW w:w="1551"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427D2154"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 xml:space="preserve">Number of applications claimed </w:t>
            </w:r>
            <w:r w:rsidRPr="00C9116A">
              <w:rPr>
                <w:rFonts w:eastAsia="Calibri" w:cs="Arial"/>
                <w:b/>
                <w:i/>
                <w:szCs w:val="22"/>
                <w:lang w:eastAsia="en-US"/>
              </w:rPr>
              <w:t>(on skin)</w:t>
            </w:r>
          </w:p>
        </w:tc>
        <w:tc>
          <w:tcPr>
            <w:tcW w:w="1639" w:type="dxa"/>
            <w:tcBorders>
              <w:top w:val="single" w:sz="8" w:space="0" w:color="auto"/>
              <w:left w:val="nil"/>
              <w:bottom w:val="single" w:sz="4" w:space="0" w:color="auto"/>
              <w:right w:val="single" w:sz="8" w:space="0" w:color="auto"/>
            </w:tcBorders>
            <w:shd w:val="clear" w:color="000000" w:fill="FFFFCC"/>
            <w:vAlign w:val="center"/>
            <w:hideMark/>
          </w:tcPr>
          <w:p w14:paraId="55747D50"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Acceptable (yes/no)</w:t>
            </w:r>
          </w:p>
        </w:tc>
      </w:tr>
      <w:tr w:rsidR="001E65DB" w:rsidRPr="00C9116A" w14:paraId="4BFB8F2F"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175B30A" w14:textId="77777777" w:rsidR="001E65DB" w:rsidRPr="001A3961" w:rsidRDefault="001E65DB" w:rsidP="003E3E25">
            <w:pPr>
              <w:spacing w:before="0" w:after="0"/>
              <w:jc w:val="both"/>
              <w:rPr>
                <w:rFonts w:eastAsia="Calibri" w:cs="Arial"/>
                <w:b/>
                <w:lang w:eastAsia="en-US"/>
              </w:rPr>
            </w:pPr>
            <w:r w:rsidRPr="001A3961">
              <w:rPr>
                <w:rFonts w:cs="Arial"/>
                <w:color w:val="000000"/>
                <w:lang w:eastAsia="fr-FR"/>
              </w:rPr>
              <w:t>Adult</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1B6231B8"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11A2455"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nil"/>
              <w:bottom w:val="single" w:sz="4" w:space="0" w:color="auto"/>
              <w:right w:val="single" w:sz="4" w:space="0" w:color="auto"/>
            </w:tcBorders>
            <w:shd w:val="clear" w:color="auto" w:fill="auto"/>
            <w:vAlign w:val="bottom"/>
          </w:tcPr>
          <w:p w14:paraId="02F0909C" w14:textId="2742CE02" w:rsidR="001E65DB" w:rsidRPr="001A3961" w:rsidRDefault="001E65DB" w:rsidP="003E3E25">
            <w:pPr>
              <w:spacing w:before="0" w:after="0"/>
              <w:jc w:val="center"/>
              <w:rPr>
                <w:rFonts w:eastAsia="Calibri" w:cs="Arial"/>
                <w:b/>
                <w:lang w:eastAsia="en-US"/>
              </w:rPr>
            </w:pPr>
            <w:r w:rsidRPr="008E6261">
              <w:rPr>
                <w:rFonts w:cs="Calibri"/>
                <w:color w:val="000000"/>
              </w:rPr>
              <w:t>3</w:t>
            </w:r>
            <w:r w:rsidR="00797F55" w:rsidRPr="008E6261">
              <w:rPr>
                <w:rFonts w:cs="Calibri"/>
                <w:color w:val="000000"/>
              </w:rPr>
              <w:t>.</w:t>
            </w:r>
            <w:r w:rsidRPr="008E6261">
              <w:rPr>
                <w:rFonts w:cs="Calibri"/>
                <w:color w:val="000000"/>
              </w:rPr>
              <w:t>15</w:t>
            </w:r>
          </w:p>
        </w:tc>
        <w:tc>
          <w:tcPr>
            <w:tcW w:w="1343" w:type="dxa"/>
            <w:tcBorders>
              <w:top w:val="single" w:sz="4" w:space="0" w:color="auto"/>
              <w:left w:val="single" w:sz="4" w:space="0" w:color="auto"/>
              <w:bottom w:val="single" w:sz="4" w:space="0" w:color="auto"/>
              <w:right w:val="nil"/>
            </w:tcBorders>
            <w:shd w:val="clear" w:color="auto" w:fill="auto"/>
            <w:vAlign w:val="bottom"/>
          </w:tcPr>
          <w:p w14:paraId="61E86395" w14:textId="6363A47C" w:rsidR="001E65DB" w:rsidRPr="001A3961" w:rsidRDefault="001E65DB" w:rsidP="003E3E25">
            <w:pPr>
              <w:spacing w:before="0" w:after="0"/>
              <w:jc w:val="center"/>
              <w:rPr>
                <w:rFonts w:eastAsia="Calibri" w:cs="Arial"/>
                <w:b/>
                <w:lang w:eastAsia="en-US"/>
              </w:rPr>
            </w:pPr>
            <w:r w:rsidRPr="008E6261">
              <w:rPr>
                <w:rFonts w:cs="Calibri"/>
                <w:color w:val="000000"/>
              </w:rPr>
              <w:t>6</w:t>
            </w:r>
            <w:r w:rsidR="001A3961" w:rsidRPr="008E6261">
              <w:rPr>
                <w:rFonts w:cs="Calibri"/>
                <w:color w:val="000000"/>
              </w:rPr>
              <w:t>2.9</w:t>
            </w:r>
            <w:r w:rsidRPr="008E6261">
              <w:rPr>
                <w:rFonts w:cs="Calibri"/>
                <w:color w:val="000000"/>
              </w:rPr>
              <w:t>%</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B414873"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2853980"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Yes</w:t>
            </w:r>
          </w:p>
        </w:tc>
      </w:tr>
      <w:tr w:rsidR="001E65DB" w:rsidRPr="00C9116A" w14:paraId="7C579376"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CB0D3F3" w14:textId="77777777" w:rsidR="001E65DB" w:rsidRPr="001A3961" w:rsidRDefault="001E65DB" w:rsidP="003E3E25">
            <w:pPr>
              <w:spacing w:before="0" w:after="0"/>
              <w:jc w:val="both"/>
              <w:rPr>
                <w:rFonts w:eastAsia="Calibri" w:cs="Arial"/>
                <w:b/>
                <w:lang w:eastAsia="en-US"/>
              </w:rPr>
            </w:pPr>
            <w:r w:rsidRPr="001A3961">
              <w:rPr>
                <w:rFonts w:cs="Arial"/>
                <w:color w:val="000000"/>
                <w:lang w:eastAsia="fr-FR"/>
              </w:rPr>
              <w:t>Child (6 to &lt;12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6BFBB89"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348A61B1"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nil"/>
              <w:bottom w:val="single" w:sz="4" w:space="0" w:color="auto"/>
              <w:right w:val="single" w:sz="4" w:space="0" w:color="auto"/>
            </w:tcBorders>
            <w:shd w:val="clear" w:color="auto" w:fill="auto"/>
            <w:vAlign w:val="bottom"/>
          </w:tcPr>
          <w:p w14:paraId="3BD2A4EF" w14:textId="06FA8666" w:rsidR="001E65DB" w:rsidRPr="001A3961" w:rsidRDefault="001E65DB" w:rsidP="003E3E25">
            <w:pPr>
              <w:spacing w:before="0" w:after="0"/>
              <w:jc w:val="center"/>
              <w:rPr>
                <w:rFonts w:eastAsia="Calibri" w:cs="Arial"/>
                <w:b/>
                <w:lang w:eastAsia="en-US"/>
              </w:rPr>
            </w:pPr>
            <w:r w:rsidRPr="008E6261">
              <w:rPr>
                <w:rFonts w:cs="Calibri"/>
                <w:color w:val="000000"/>
              </w:rPr>
              <w:t>3</w:t>
            </w:r>
            <w:r w:rsidR="00797F55" w:rsidRPr="008E6261">
              <w:rPr>
                <w:rFonts w:cs="Calibri"/>
                <w:color w:val="000000"/>
              </w:rPr>
              <w:t>.</w:t>
            </w:r>
            <w:r w:rsidRPr="008E6261">
              <w:rPr>
                <w:rFonts w:cs="Calibri"/>
                <w:color w:val="000000"/>
              </w:rPr>
              <w:t>88</w:t>
            </w:r>
          </w:p>
        </w:tc>
        <w:tc>
          <w:tcPr>
            <w:tcW w:w="1343" w:type="dxa"/>
            <w:tcBorders>
              <w:top w:val="single" w:sz="4" w:space="0" w:color="auto"/>
              <w:left w:val="single" w:sz="4" w:space="0" w:color="auto"/>
              <w:bottom w:val="single" w:sz="4" w:space="0" w:color="auto"/>
              <w:right w:val="nil"/>
            </w:tcBorders>
            <w:shd w:val="clear" w:color="auto" w:fill="auto"/>
            <w:vAlign w:val="bottom"/>
          </w:tcPr>
          <w:p w14:paraId="1B0E324D" w14:textId="094633EC" w:rsidR="001E65DB" w:rsidRPr="001A3961" w:rsidRDefault="001E65DB" w:rsidP="003E3E25">
            <w:pPr>
              <w:spacing w:before="0" w:after="0"/>
              <w:jc w:val="center"/>
              <w:rPr>
                <w:rFonts w:eastAsia="Calibri" w:cs="Arial"/>
                <w:b/>
                <w:lang w:eastAsia="en-US"/>
              </w:rPr>
            </w:pPr>
            <w:r w:rsidRPr="008E6261">
              <w:rPr>
                <w:rFonts w:cs="Calibri"/>
                <w:color w:val="000000"/>
              </w:rPr>
              <w:t>7</w:t>
            </w:r>
            <w:r w:rsidR="001A3961" w:rsidRPr="008E6261">
              <w:rPr>
                <w:rFonts w:cs="Calibri"/>
                <w:color w:val="000000"/>
              </w:rPr>
              <w:t>7.6</w:t>
            </w:r>
            <w:r w:rsidRPr="008E6261">
              <w:rPr>
                <w:rFonts w:cs="Calibri"/>
                <w:color w:val="000000"/>
              </w:rPr>
              <w:t>%</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AAC86C6"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17BB0265"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Yes</w:t>
            </w:r>
          </w:p>
        </w:tc>
      </w:tr>
      <w:tr w:rsidR="001E65DB" w:rsidRPr="00C9116A" w14:paraId="0D88DDEB"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6C10D9A" w14:textId="77777777" w:rsidR="001E65DB" w:rsidRPr="001A3961" w:rsidRDefault="001E65DB" w:rsidP="003E3E25">
            <w:pPr>
              <w:spacing w:before="0" w:after="0"/>
              <w:jc w:val="both"/>
              <w:rPr>
                <w:rFonts w:eastAsia="Calibri" w:cs="Arial"/>
                <w:b/>
                <w:lang w:eastAsia="en-US"/>
              </w:rPr>
            </w:pPr>
            <w:r w:rsidRPr="001A3961">
              <w:rPr>
                <w:rFonts w:cs="Arial"/>
                <w:color w:val="000000"/>
                <w:lang w:eastAsia="fr-FR"/>
              </w:rPr>
              <w:t>Child (2 to &lt;6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733B0F9"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15192D1B"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nil"/>
              <w:bottom w:val="single" w:sz="4" w:space="0" w:color="auto"/>
              <w:right w:val="single" w:sz="4" w:space="0" w:color="auto"/>
            </w:tcBorders>
            <w:shd w:val="clear" w:color="auto" w:fill="auto"/>
            <w:vAlign w:val="bottom"/>
          </w:tcPr>
          <w:p w14:paraId="01E426F9" w14:textId="0DB9AF71" w:rsidR="001E65DB" w:rsidRPr="001A3961" w:rsidRDefault="001E65DB" w:rsidP="003E3E25">
            <w:pPr>
              <w:spacing w:before="0" w:after="0"/>
              <w:jc w:val="center"/>
              <w:rPr>
                <w:rFonts w:eastAsia="Calibri" w:cs="Arial"/>
                <w:b/>
                <w:lang w:eastAsia="en-US"/>
              </w:rPr>
            </w:pPr>
            <w:r w:rsidRPr="008E6261">
              <w:rPr>
                <w:rFonts w:cs="Calibri"/>
                <w:color w:val="000000"/>
              </w:rPr>
              <w:t>5</w:t>
            </w:r>
            <w:r w:rsidR="00797F55" w:rsidRPr="008E6261">
              <w:rPr>
                <w:rFonts w:cs="Calibri"/>
                <w:color w:val="000000"/>
              </w:rPr>
              <w:t>.</w:t>
            </w:r>
            <w:r w:rsidRPr="008E6261">
              <w:rPr>
                <w:rFonts w:cs="Calibri"/>
                <w:color w:val="000000"/>
              </w:rPr>
              <w:t>24</w:t>
            </w:r>
          </w:p>
        </w:tc>
        <w:tc>
          <w:tcPr>
            <w:tcW w:w="1343" w:type="dxa"/>
            <w:tcBorders>
              <w:top w:val="single" w:sz="4" w:space="0" w:color="auto"/>
              <w:left w:val="single" w:sz="4" w:space="0" w:color="auto"/>
              <w:bottom w:val="single" w:sz="4" w:space="0" w:color="auto"/>
              <w:right w:val="nil"/>
            </w:tcBorders>
            <w:shd w:val="clear" w:color="auto" w:fill="auto"/>
            <w:vAlign w:val="bottom"/>
          </w:tcPr>
          <w:p w14:paraId="28B7E0D8" w14:textId="77777777" w:rsidR="001E65DB" w:rsidRPr="001A3961" w:rsidRDefault="001E65DB" w:rsidP="003E3E25">
            <w:pPr>
              <w:spacing w:before="0" w:after="0"/>
              <w:jc w:val="center"/>
              <w:rPr>
                <w:rFonts w:eastAsia="Calibri" w:cs="Arial"/>
                <w:b/>
                <w:lang w:eastAsia="en-US"/>
              </w:rPr>
            </w:pPr>
            <w:r w:rsidRPr="008E6261">
              <w:rPr>
                <w:rFonts w:cs="Calibri"/>
                <w:b/>
                <w:color w:val="000000"/>
              </w:rPr>
              <w:t>105%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13995C4"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9333BC6" w14:textId="77777777" w:rsidR="001E65DB" w:rsidRPr="008E6261" w:rsidRDefault="001E65DB" w:rsidP="003E3E25">
            <w:pPr>
              <w:spacing w:before="0" w:after="0"/>
              <w:jc w:val="center"/>
              <w:rPr>
                <w:rFonts w:eastAsia="Calibri" w:cs="Arial"/>
                <w:b/>
                <w:lang w:eastAsia="en-US"/>
              </w:rPr>
            </w:pPr>
            <w:r w:rsidRPr="008E6261">
              <w:rPr>
                <w:rFonts w:eastAsia="Calibri" w:cs="Arial"/>
                <w:b/>
                <w:lang w:eastAsia="en-US"/>
              </w:rPr>
              <w:t>No</w:t>
            </w:r>
          </w:p>
        </w:tc>
      </w:tr>
      <w:tr w:rsidR="001E65DB" w:rsidRPr="00C9116A" w14:paraId="6C8223FB"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6B642AE" w14:textId="77777777" w:rsidR="001E65DB" w:rsidRPr="001A3961" w:rsidRDefault="001E65DB" w:rsidP="003E3E25">
            <w:pPr>
              <w:spacing w:before="0" w:after="0"/>
              <w:jc w:val="both"/>
              <w:rPr>
                <w:rFonts w:eastAsia="Calibri" w:cs="Arial"/>
                <w:b/>
                <w:lang w:eastAsia="en-US"/>
              </w:rPr>
            </w:pPr>
            <w:r w:rsidRPr="001A3961">
              <w:rPr>
                <w:rFonts w:cs="Arial"/>
                <w:color w:val="000000"/>
                <w:lang w:eastAsia="fr-FR"/>
              </w:rPr>
              <w:t>Toddler (1 to &lt;2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92903E6"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5875D9B"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nil"/>
              <w:bottom w:val="single" w:sz="4" w:space="0" w:color="auto"/>
              <w:right w:val="single" w:sz="4" w:space="0" w:color="auto"/>
            </w:tcBorders>
            <w:shd w:val="clear" w:color="auto" w:fill="auto"/>
            <w:vAlign w:val="bottom"/>
          </w:tcPr>
          <w:p w14:paraId="551ECEFC" w14:textId="37A78AD1" w:rsidR="001E65DB" w:rsidRPr="001A3961" w:rsidRDefault="001E65DB" w:rsidP="003E3E25">
            <w:pPr>
              <w:spacing w:before="0" w:after="0"/>
              <w:jc w:val="center"/>
              <w:rPr>
                <w:rFonts w:eastAsia="Calibri" w:cs="Arial"/>
                <w:b/>
                <w:lang w:eastAsia="en-US"/>
              </w:rPr>
            </w:pPr>
            <w:r w:rsidRPr="008E6261">
              <w:rPr>
                <w:rFonts w:cs="Calibri"/>
                <w:color w:val="000000"/>
              </w:rPr>
              <w:t>7</w:t>
            </w:r>
            <w:r w:rsidR="00797F55" w:rsidRPr="008E6261">
              <w:rPr>
                <w:rFonts w:cs="Calibri"/>
                <w:color w:val="000000"/>
              </w:rPr>
              <w:t>.</w:t>
            </w:r>
            <w:r w:rsidRPr="008E6261">
              <w:rPr>
                <w:rFonts w:cs="Calibri"/>
                <w:color w:val="000000"/>
              </w:rPr>
              <w:t>07</w:t>
            </w:r>
          </w:p>
        </w:tc>
        <w:tc>
          <w:tcPr>
            <w:tcW w:w="1343" w:type="dxa"/>
            <w:tcBorders>
              <w:top w:val="single" w:sz="4" w:space="0" w:color="auto"/>
              <w:left w:val="single" w:sz="4" w:space="0" w:color="auto"/>
              <w:bottom w:val="single" w:sz="4" w:space="0" w:color="auto"/>
              <w:right w:val="nil"/>
            </w:tcBorders>
            <w:shd w:val="clear" w:color="auto" w:fill="auto"/>
            <w:vAlign w:val="bottom"/>
          </w:tcPr>
          <w:p w14:paraId="19F784EC" w14:textId="77777777" w:rsidR="001E65DB" w:rsidRPr="001A3961" w:rsidRDefault="001E65DB" w:rsidP="003E3E25">
            <w:pPr>
              <w:spacing w:before="0" w:after="0"/>
              <w:jc w:val="center"/>
              <w:rPr>
                <w:rFonts w:eastAsia="Calibri" w:cs="Arial"/>
                <w:b/>
                <w:lang w:eastAsia="en-US"/>
              </w:rPr>
            </w:pPr>
            <w:r w:rsidRPr="008E6261">
              <w:rPr>
                <w:rFonts w:cs="Calibri"/>
                <w:b/>
                <w:color w:val="000000"/>
              </w:rPr>
              <w:t>141%</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7B31060"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3B880705" w14:textId="77777777" w:rsidR="001E65DB" w:rsidRPr="008E6261" w:rsidRDefault="001E65DB" w:rsidP="003E3E25">
            <w:pPr>
              <w:spacing w:before="0" w:after="0"/>
              <w:jc w:val="center"/>
              <w:rPr>
                <w:rFonts w:eastAsia="Calibri" w:cs="Arial"/>
                <w:b/>
                <w:lang w:eastAsia="en-US"/>
              </w:rPr>
            </w:pPr>
            <w:r w:rsidRPr="008E6261">
              <w:rPr>
                <w:rFonts w:eastAsia="Calibri" w:cs="Arial"/>
                <w:b/>
                <w:lang w:eastAsia="en-US"/>
              </w:rPr>
              <w:t>No</w:t>
            </w:r>
          </w:p>
        </w:tc>
      </w:tr>
      <w:tr w:rsidR="001E65DB" w:rsidRPr="00C9116A" w14:paraId="0D99F1B6"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7AB33DE" w14:textId="77777777" w:rsidR="001E65DB" w:rsidRPr="001A3961" w:rsidRDefault="001E65DB" w:rsidP="003E3E25">
            <w:pPr>
              <w:spacing w:before="0" w:after="0"/>
              <w:jc w:val="both"/>
              <w:rPr>
                <w:rFonts w:eastAsia="Calibri" w:cs="Arial"/>
                <w:b/>
                <w:lang w:eastAsia="en-US"/>
              </w:rPr>
            </w:pPr>
            <w:r w:rsidRPr="001A3961">
              <w:rPr>
                <w:rFonts w:cs="Arial"/>
                <w:color w:val="000000"/>
                <w:lang w:eastAsia="fr-FR"/>
              </w:rPr>
              <w:t>Infant (&lt;1 year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DF1A3D6"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1A2740EE"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nil"/>
              <w:bottom w:val="single" w:sz="4" w:space="0" w:color="auto"/>
              <w:right w:val="single" w:sz="4" w:space="0" w:color="auto"/>
            </w:tcBorders>
            <w:shd w:val="clear" w:color="auto" w:fill="auto"/>
            <w:vAlign w:val="bottom"/>
          </w:tcPr>
          <w:p w14:paraId="6EF2AB6C" w14:textId="217DEC0E" w:rsidR="001E65DB" w:rsidRPr="001A3961" w:rsidRDefault="001E65DB" w:rsidP="003E3E25">
            <w:pPr>
              <w:spacing w:before="0" w:after="0"/>
              <w:jc w:val="center"/>
              <w:rPr>
                <w:rFonts w:eastAsia="Calibri" w:cs="Arial"/>
                <w:b/>
                <w:lang w:eastAsia="en-US"/>
              </w:rPr>
            </w:pPr>
            <w:r w:rsidRPr="008E6261">
              <w:rPr>
                <w:rFonts w:cs="Calibri"/>
                <w:color w:val="000000"/>
              </w:rPr>
              <w:t>6</w:t>
            </w:r>
            <w:r w:rsidR="00797F55" w:rsidRPr="008E6261">
              <w:rPr>
                <w:rFonts w:cs="Calibri"/>
                <w:color w:val="000000"/>
              </w:rPr>
              <w:t>.</w:t>
            </w:r>
            <w:r w:rsidRPr="008E6261">
              <w:rPr>
                <w:rFonts w:cs="Calibri"/>
                <w:color w:val="000000"/>
              </w:rPr>
              <w:t>54</w:t>
            </w:r>
          </w:p>
        </w:tc>
        <w:tc>
          <w:tcPr>
            <w:tcW w:w="1343" w:type="dxa"/>
            <w:tcBorders>
              <w:top w:val="single" w:sz="4" w:space="0" w:color="auto"/>
              <w:left w:val="single" w:sz="4" w:space="0" w:color="auto"/>
              <w:bottom w:val="single" w:sz="4" w:space="0" w:color="auto"/>
              <w:right w:val="nil"/>
            </w:tcBorders>
            <w:shd w:val="clear" w:color="auto" w:fill="auto"/>
            <w:vAlign w:val="bottom"/>
          </w:tcPr>
          <w:p w14:paraId="6EA73A94" w14:textId="77777777" w:rsidR="001E65DB" w:rsidRPr="001A3961" w:rsidRDefault="001E65DB" w:rsidP="003E3E25">
            <w:pPr>
              <w:spacing w:before="0" w:after="0"/>
              <w:jc w:val="center"/>
              <w:rPr>
                <w:rFonts w:eastAsia="Calibri" w:cs="Arial"/>
                <w:b/>
                <w:lang w:eastAsia="en-US"/>
              </w:rPr>
            </w:pPr>
            <w:r w:rsidRPr="008E6261">
              <w:rPr>
                <w:rFonts w:cs="Calibri"/>
                <w:b/>
                <w:color w:val="000000"/>
              </w:rPr>
              <w:t>131%</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07F32C8" w14:textId="77777777" w:rsidR="001E65DB" w:rsidRPr="008E6261" w:rsidRDefault="001E65DB" w:rsidP="003E3E25">
            <w:pPr>
              <w:spacing w:before="0" w:after="0"/>
              <w:jc w:val="center"/>
              <w:rPr>
                <w:rFonts w:eastAsia="Calibri" w:cs="Arial"/>
                <w:lang w:eastAsia="en-US"/>
              </w:rPr>
            </w:pPr>
            <w:r w:rsidRPr="008E6261">
              <w:rPr>
                <w:rFonts w:eastAsia="Calibri" w:cs="Arial"/>
                <w:lang w:eastAsia="en-US"/>
              </w:rPr>
              <w:t>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4ACBF59A" w14:textId="77777777" w:rsidR="001E65DB" w:rsidRPr="008E6261" w:rsidRDefault="001E65DB" w:rsidP="003E3E25">
            <w:pPr>
              <w:spacing w:before="0" w:after="0"/>
              <w:jc w:val="center"/>
              <w:rPr>
                <w:rFonts w:eastAsia="Calibri" w:cs="Arial"/>
                <w:b/>
                <w:lang w:eastAsia="en-US"/>
              </w:rPr>
            </w:pPr>
            <w:r w:rsidRPr="008E6261">
              <w:rPr>
                <w:rFonts w:eastAsia="Calibri" w:cs="Arial"/>
                <w:b/>
                <w:lang w:eastAsia="en-US"/>
              </w:rPr>
              <w:t>No</w:t>
            </w:r>
          </w:p>
        </w:tc>
      </w:tr>
    </w:tbl>
    <w:p w14:paraId="48EE6B83" w14:textId="77777777" w:rsidR="001E65DB"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p>
    <w:p w14:paraId="7D9F5555" w14:textId="77777777" w:rsidR="001E65DB" w:rsidRPr="007E29F8"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p>
    <w:p w14:paraId="6499886D" w14:textId="77777777" w:rsidR="001E65DB"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r w:rsidRPr="007E29F8">
        <w:rPr>
          <w:rFonts w:cs="Arial"/>
          <w:b/>
          <w:spacing w:val="1"/>
          <w:lang w:eastAsia="fr-FR"/>
        </w:rPr>
        <w:t>Co</w:t>
      </w:r>
      <w:r>
        <w:rPr>
          <w:rFonts w:cs="Arial"/>
          <w:b/>
          <w:spacing w:val="1"/>
          <w:lang w:eastAsia="fr-FR"/>
        </w:rPr>
        <w:t xml:space="preserve">mbined scenarios mosquitos (tropical zone): treated skin [1b], during </w:t>
      </w:r>
      <w:r w:rsidRPr="007E29F8">
        <w:rPr>
          <w:rFonts w:cs="Arial"/>
          <w:b/>
          <w:spacing w:val="1"/>
          <w:lang w:eastAsia="fr-FR"/>
        </w:rPr>
        <w:t>application</w:t>
      </w:r>
      <w:r>
        <w:rPr>
          <w:rFonts w:cs="Arial"/>
          <w:b/>
          <w:spacing w:val="1"/>
          <w:lang w:eastAsia="fr-FR"/>
        </w:rPr>
        <w:t xml:space="preserve"> on clothes [2] for adult only, </w:t>
      </w:r>
      <w:r w:rsidRPr="007E29F8">
        <w:rPr>
          <w:rFonts w:cs="Arial"/>
          <w:b/>
          <w:spacing w:val="1"/>
          <w:lang w:eastAsia="fr-FR"/>
        </w:rPr>
        <w:t xml:space="preserve">and </w:t>
      </w:r>
      <w:r>
        <w:rPr>
          <w:rFonts w:cs="Arial"/>
          <w:b/>
          <w:spacing w:val="1"/>
          <w:lang w:eastAsia="fr-FR"/>
        </w:rPr>
        <w:t xml:space="preserve">by </w:t>
      </w:r>
      <w:r w:rsidRPr="007E29F8">
        <w:rPr>
          <w:rFonts w:cs="Arial"/>
          <w:b/>
          <w:spacing w:val="1"/>
          <w:lang w:eastAsia="fr-FR"/>
        </w:rPr>
        <w:t xml:space="preserve">treated </w:t>
      </w:r>
      <w:r>
        <w:rPr>
          <w:rFonts w:cs="Arial"/>
          <w:b/>
          <w:spacing w:val="1"/>
          <w:lang w:eastAsia="fr-FR"/>
        </w:rPr>
        <w:t>clothes [6d]</w:t>
      </w:r>
      <w:r w:rsidRPr="007E29F8">
        <w:rPr>
          <w:rFonts w:cs="Arial"/>
          <w:b/>
          <w:spacing w:val="1"/>
          <w:lang w:eastAsia="fr-FR"/>
        </w:rPr>
        <w:t>:</w:t>
      </w:r>
    </w:p>
    <w:p w14:paraId="7113A2D3" w14:textId="77777777" w:rsidR="001E65DB" w:rsidRDefault="001E65DB" w:rsidP="001E65DB">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p>
    <w:tbl>
      <w:tblPr>
        <w:tblW w:w="10485" w:type="dxa"/>
        <w:jc w:val="center"/>
        <w:tblCellMar>
          <w:left w:w="70" w:type="dxa"/>
          <w:right w:w="70" w:type="dxa"/>
        </w:tblCellMar>
        <w:tblLook w:val="04A0" w:firstRow="1" w:lastRow="0" w:firstColumn="1" w:lastColumn="0" w:noHBand="0" w:noVBand="1"/>
      </w:tblPr>
      <w:tblGrid>
        <w:gridCol w:w="3109"/>
        <w:gridCol w:w="577"/>
        <w:gridCol w:w="1002"/>
        <w:gridCol w:w="1264"/>
        <w:gridCol w:w="1343"/>
        <w:gridCol w:w="1551"/>
        <w:gridCol w:w="1639"/>
      </w:tblGrid>
      <w:tr w:rsidR="001E65DB" w:rsidRPr="00937BBF" w14:paraId="36657371" w14:textId="77777777" w:rsidTr="004C342D">
        <w:trPr>
          <w:trHeight w:val="59"/>
          <w:jc w:val="center"/>
        </w:trPr>
        <w:tc>
          <w:tcPr>
            <w:tcW w:w="3109"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195A61B4"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Task/ Scenario</w:t>
            </w:r>
          </w:p>
        </w:tc>
        <w:tc>
          <w:tcPr>
            <w:tcW w:w="577"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3B630358"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Tier</w:t>
            </w:r>
          </w:p>
        </w:tc>
        <w:tc>
          <w:tcPr>
            <w:tcW w:w="1002" w:type="dxa"/>
            <w:tcBorders>
              <w:top w:val="single" w:sz="8" w:space="0" w:color="auto"/>
              <w:left w:val="nil"/>
              <w:bottom w:val="single" w:sz="4" w:space="0" w:color="auto"/>
              <w:right w:val="single" w:sz="8" w:space="0" w:color="auto"/>
            </w:tcBorders>
            <w:shd w:val="clear" w:color="000000" w:fill="FFFFCC"/>
            <w:vAlign w:val="center"/>
            <w:hideMark/>
          </w:tcPr>
          <w:p w14:paraId="60840F59"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AEL mg/kg bw/d</w:t>
            </w:r>
          </w:p>
        </w:tc>
        <w:tc>
          <w:tcPr>
            <w:tcW w:w="1264" w:type="dxa"/>
            <w:tcBorders>
              <w:top w:val="single" w:sz="8" w:space="0" w:color="auto"/>
              <w:left w:val="nil"/>
              <w:bottom w:val="single" w:sz="4" w:space="0" w:color="auto"/>
              <w:right w:val="single" w:sz="8" w:space="0" w:color="auto"/>
            </w:tcBorders>
            <w:shd w:val="clear" w:color="000000" w:fill="FFFFCC"/>
            <w:vAlign w:val="center"/>
            <w:hideMark/>
          </w:tcPr>
          <w:p w14:paraId="454DB501"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Estimated uptake mg/kg bw/d</w:t>
            </w:r>
          </w:p>
        </w:tc>
        <w:tc>
          <w:tcPr>
            <w:tcW w:w="1343" w:type="dxa"/>
            <w:tcBorders>
              <w:top w:val="single" w:sz="8" w:space="0" w:color="auto"/>
              <w:left w:val="nil"/>
              <w:bottom w:val="single" w:sz="4" w:space="0" w:color="auto"/>
              <w:right w:val="single" w:sz="8" w:space="0" w:color="auto"/>
            </w:tcBorders>
            <w:shd w:val="clear" w:color="000000" w:fill="FFFFCC"/>
            <w:vAlign w:val="center"/>
            <w:hideMark/>
          </w:tcPr>
          <w:p w14:paraId="5125C1E0"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Estimated uptake/ AEL (%)</w:t>
            </w:r>
          </w:p>
        </w:tc>
        <w:tc>
          <w:tcPr>
            <w:tcW w:w="1551"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308B9866"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 xml:space="preserve">Number of applications claimed </w:t>
            </w:r>
            <w:r w:rsidRPr="00937BBF">
              <w:rPr>
                <w:rFonts w:eastAsia="Calibri" w:cs="Arial"/>
                <w:b/>
                <w:i/>
                <w:lang w:eastAsia="en-US"/>
              </w:rPr>
              <w:t>(on skin)</w:t>
            </w:r>
          </w:p>
        </w:tc>
        <w:tc>
          <w:tcPr>
            <w:tcW w:w="1639" w:type="dxa"/>
            <w:tcBorders>
              <w:top w:val="single" w:sz="8" w:space="0" w:color="auto"/>
              <w:left w:val="nil"/>
              <w:bottom w:val="single" w:sz="4" w:space="0" w:color="auto"/>
              <w:right w:val="single" w:sz="8" w:space="0" w:color="auto"/>
            </w:tcBorders>
            <w:shd w:val="clear" w:color="000000" w:fill="FFFFCC"/>
            <w:vAlign w:val="center"/>
            <w:hideMark/>
          </w:tcPr>
          <w:p w14:paraId="76625BB7"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Acceptable (yes/no)</w:t>
            </w:r>
          </w:p>
        </w:tc>
      </w:tr>
      <w:tr w:rsidR="001A3961" w:rsidRPr="00937BBF" w14:paraId="483524A5"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D0A888B" w14:textId="77777777" w:rsidR="001A3961" w:rsidRPr="00937BBF" w:rsidRDefault="001A3961" w:rsidP="008E6261">
            <w:pPr>
              <w:spacing w:before="0" w:after="0"/>
              <w:rPr>
                <w:rFonts w:eastAsia="Calibri" w:cs="Arial"/>
                <w:b/>
                <w:lang w:eastAsia="en-US"/>
              </w:rPr>
            </w:pPr>
            <w:r w:rsidRPr="00937BBF">
              <w:rPr>
                <w:rFonts w:cs="Arial"/>
                <w:color w:val="000000"/>
                <w:lang w:eastAsia="fr-FR"/>
              </w:rPr>
              <w:t>Adult (1 application)</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8253C2C" w14:textId="08190212" w:rsidR="001A3961" w:rsidRPr="00937BBF" w:rsidRDefault="001A3961" w:rsidP="001A3961">
            <w:pPr>
              <w:spacing w:before="0" w:after="0"/>
              <w:jc w:val="center"/>
              <w:rPr>
                <w:rFonts w:eastAsia="Calibri" w:cs="Arial"/>
                <w:b/>
                <w:lang w:eastAsia="en-US"/>
              </w:rPr>
            </w:pPr>
            <w:r w:rsidRPr="00937BBF">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782519A" w14:textId="7C4B5042" w:rsidR="001A3961" w:rsidRPr="00937BBF" w:rsidRDefault="001A3961" w:rsidP="001A3961">
            <w:pPr>
              <w:spacing w:before="0" w:after="0"/>
              <w:jc w:val="center"/>
              <w:rPr>
                <w:rFonts w:eastAsia="Calibri" w:cs="Arial"/>
                <w:b/>
                <w:lang w:eastAsia="en-US"/>
              </w:rPr>
            </w:pPr>
            <w:r w:rsidRPr="00937BBF">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3D81772F" w14:textId="31232BD3" w:rsidR="001A3961" w:rsidRPr="00937BBF" w:rsidRDefault="001A3961" w:rsidP="001A3961">
            <w:pPr>
              <w:spacing w:before="0" w:after="0"/>
              <w:jc w:val="center"/>
              <w:rPr>
                <w:rFonts w:eastAsia="Calibri" w:cs="Arial"/>
                <w:b/>
                <w:lang w:eastAsia="en-US"/>
              </w:rPr>
            </w:pPr>
            <w:r w:rsidRPr="00937BBF">
              <w:rPr>
                <w:rFonts w:cs="Calibri"/>
                <w:color w:val="000000"/>
              </w:rPr>
              <w:t>4.78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2AC611AE" w14:textId="25E19322" w:rsidR="001A3961" w:rsidRPr="00937BBF" w:rsidRDefault="001A3961" w:rsidP="001A3961">
            <w:pPr>
              <w:spacing w:before="0" w:after="0"/>
              <w:jc w:val="center"/>
              <w:rPr>
                <w:rFonts w:eastAsia="Calibri" w:cs="Arial"/>
                <w:b/>
                <w:lang w:eastAsia="en-US"/>
              </w:rPr>
            </w:pPr>
            <w:r w:rsidRPr="00937BBF">
              <w:rPr>
                <w:rFonts w:cs="Calibri"/>
                <w:color w:val="000000"/>
              </w:rPr>
              <w:t>95.6%</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BA0FE41" w14:textId="77777777"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A46C660" w14:textId="2111B4AB" w:rsidR="001A3961" w:rsidRPr="00937BBF" w:rsidRDefault="001A3961" w:rsidP="001A3961">
            <w:pPr>
              <w:spacing w:before="0" w:after="0"/>
              <w:jc w:val="center"/>
              <w:rPr>
                <w:rFonts w:eastAsia="Calibri" w:cs="Arial"/>
                <w:lang w:eastAsia="en-US"/>
              </w:rPr>
            </w:pPr>
            <w:r w:rsidRPr="00937BBF">
              <w:rPr>
                <w:rFonts w:eastAsia="Calibri" w:cs="Arial"/>
                <w:lang w:eastAsia="en-US"/>
              </w:rPr>
              <w:t>Yes</w:t>
            </w:r>
          </w:p>
        </w:tc>
      </w:tr>
      <w:tr w:rsidR="001A3961" w:rsidRPr="00937BBF" w14:paraId="6141FD76"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FEA94E9" w14:textId="04772F27" w:rsidR="001A3961" w:rsidRPr="00937BBF" w:rsidRDefault="001A3961" w:rsidP="008E6261">
            <w:pPr>
              <w:spacing w:before="0" w:after="0"/>
              <w:rPr>
                <w:rFonts w:cs="Arial"/>
                <w:color w:val="000000"/>
                <w:lang w:eastAsia="fr-FR"/>
              </w:rPr>
            </w:pPr>
            <w:r w:rsidRPr="00937BBF">
              <w:rPr>
                <w:rFonts w:cs="Arial"/>
                <w:color w:val="000000"/>
                <w:lang w:eastAsia="fr-FR"/>
              </w:rPr>
              <w:t>Child (6 to &lt;12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55F7980" w14:textId="3CA6BAE4" w:rsidR="001A3961" w:rsidRPr="00937BBF" w:rsidRDefault="001A3961" w:rsidP="001A3961">
            <w:pPr>
              <w:spacing w:before="0" w:after="0"/>
              <w:jc w:val="center"/>
              <w:rPr>
                <w:rFonts w:eastAsia="Calibri" w:cs="Arial"/>
                <w:b/>
                <w:lang w:eastAsia="en-US"/>
              </w:rPr>
            </w:pPr>
            <w:r w:rsidRPr="00937BBF">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3AC4E896" w14:textId="635C885B" w:rsidR="001A3961" w:rsidRPr="00937BBF" w:rsidRDefault="001A3961" w:rsidP="001A3961">
            <w:pPr>
              <w:spacing w:before="0" w:after="0"/>
              <w:jc w:val="center"/>
              <w:rPr>
                <w:rFonts w:eastAsia="Calibri" w:cs="Arial"/>
                <w:b/>
                <w:lang w:eastAsia="en-US"/>
              </w:rPr>
            </w:pPr>
            <w:r w:rsidRPr="00937BBF">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2F1B881A" w14:textId="282F090C" w:rsidR="001A3961" w:rsidRPr="00937BBF" w:rsidRDefault="001A3961" w:rsidP="001A3961">
            <w:pPr>
              <w:spacing w:before="0" w:after="0"/>
              <w:jc w:val="center"/>
              <w:rPr>
                <w:rFonts w:cs="Calibri"/>
                <w:color w:val="000000"/>
              </w:rPr>
            </w:pPr>
            <w:r w:rsidRPr="00937BBF">
              <w:rPr>
                <w:rFonts w:cs="Calibri"/>
                <w:color w:val="000000"/>
              </w:rPr>
              <w:t>6.22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4E411D78" w14:textId="7491FECE" w:rsidR="001A3961" w:rsidRPr="00937BBF" w:rsidRDefault="001A3961" w:rsidP="001A3961">
            <w:pPr>
              <w:spacing w:before="0" w:after="0"/>
              <w:jc w:val="center"/>
              <w:rPr>
                <w:rFonts w:cs="Calibri"/>
                <w:color w:val="000000"/>
              </w:rPr>
            </w:pPr>
            <w:r w:rsidRPr="00937BBF">
              <w:rPr>
                <w:rFonts w:cs="Calibri"/>
                <w:b/>
                <w:bCs/>
                <w:color w:val="000000"/>
              </w:rPr>
              <w:t>124%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3145E22" w14:textId="2771431A"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2F6C1A84" w14:textId="658F857F" w:rsidR="001A3961" w:rsidRPr="00937BBF" w:rsidRDefault="001A3961" w:rsidP="001A3961">
            <w:pPr>
              <w:spacing w:before="0" w:after="0"/>
              <w:jc w:val="center"/>
              <w:rPr>
                <w:rFonts w:eastAsia="Calibri" w:cs="Arial"/>
                <w:b/>
                <w:lang w:eastAsia="en-US"/>
              </w:rPr>
            </w:pPr>
            <w:r w:rsidRPr="00937BBF">
              <w:rPr>
                <w:rFonts w:eastAsia="Calibri" w:cs="Arial"/>
                <w:b/>
                <w:lang w:eastAsia="en-US"/>
              </w:rPr>
              <w:t>No</w:t>
            </w:r>
          </w:p>
        </w:tc>
      </w:tr>
      <w:tr w:rsidR="001A3961" w:rsidRPr="00937BBF" w14:paraId="66C4EBED"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8C34912" w14:textId="6B5894FA" w:rsidR="001A3961" w:rsidRPr="00937BBF" w:rsidRDefault="001A3961" w:rsidP="008E6261">
            <w:pPr>
              <w:spacing w:before="0" w:after="0"/>
              <w:rPr>
                <w:rFonts w:cs="Arial"/>
                <w:color w:val="000000"/>
                <w:lang w:eastAsia="fr-FR"/>
              </w:rPr>
            </w:pPr>
            <w:r w:rsidRPr="00937BBF">
              <w:rPr>
                <w:rFonts w:cs="Arial"/>
                <w:color w:val="000000"/>
                <w:lang w:eastAsia="fr-FR"/>
              </w:rPr>
              <w:t>Child (2 to &lt;6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6D7217D" w14:textId="6FE7E87E" w:rsidR="001A3961" w:rsidRPr="00937BBF" w:rsidRDefault="001A3961" w:rsidP="001A3961">
            <w:pPr>
              <w:spacing w:before="0" w:after="0"/>
              <w:jc w:val="center"/>
              <w:rPr>
                <w:rFonts w:eastAsia="Calibri" w:cs="Arial"/>
                <w:b/>
                <w:lang w:eastAsia="en-US"/>
              </w:rPr>
            </w:pPr>
            <w:r w:rsidRPr="00937BBF">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62C8C1B" w14:textId="2ECF1705" w:rsidR="001A3961" w:rsidRPr="00937BBF" w:rsidRDefault="001A3961" w:rsidP="001A3961">
            <w:pPr>
              <w:spacing w:before="0" w:after="0"/>
              <w:jc w:val="center"/>
              <w:rPr>
                <w:rFonts w:eastAsia="Calibri" w:cs="Arial"/>
                <w:b/>
                <w:lang w:eastAsia="en-US"/>
              </w:rPr>
            </w:pPr>
            <w:r w:rsidRPr="00937BBF">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1607BD88" w14:textId="2F7ADFF6" w:rsidR="001A3961" w:rsidRPr="00937BBF" w:rsidRDefault="001A3961" w:rsidP="001A3961">
            <w:pPr>
              <w:spacing w:before="0" w:after="0"/>
              <w:jc w:val="center"/>
              <w:rPr>
                <w:rFonts w:cs="Calibri"/>
                <w:color w:val="000000"/>
              </w:rPr>
            </w:pPr>
            <w:r w:rsidRPr="00937BBF">
              <w:rPr>
                <w:rFonts w:cs="Calibri"/>
                <w:color w:val="000000"/>
              </w:rPr>
              <w:t>7.05</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41FEB617" w14:textId="4B536401" w:rsidR="001A3961" w:rsidRPr="00937BBF" w:rsidRDefault="001A3961" w:rsidP="001A3961">
            <w:pPr>
              <w:spacing w:before="0" w:after="0"/>
              <w:jc w:val="center"/>
              <w:rPr>
                <w:rFonts w:cs="Calibri"/>
                <w:color w:val="000000"/>
              </w:rPr>
            </w:pPr>
            <w:r w:rsidRPr="00937BBF">
              <w:rPr>
                <w:rFonts w:cs="Calibri"/>
                <w:b/>
                <w:bCs/>
                <w:color w:val="000000"/>
              </w:rPr>
              <w:t>141%</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39C6639" w14:textId="439F3151"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20A78B2" w14:textId="4E013812" w:rsidR="001A3961" w:rsidRPr="00937BBF" w:rsidRDefault="001A3961" w:rsidP="001A3961">
            <w:pPr>
              <w:spacing w:before="0" w:after="0"/>
              <w:jc w:val="center"/>
              <w:rPr>
                <w:rFonts w:eastAsia="Calibri" w:cs="Arial"/>
                <w:b/>
                <w:lang w:eastAsia="en-US"/>
              </w:rPr>
            </w:pPr>
            <w:r w:rsidRPr="00937BBF">
              <w:rPr>
                <w:rFonts w:eastAsia="Calibri" w:cs="Arial"/>
                <w:b/>
                <w:lang w:eastAsia="en-US"/>
              </w:rPr>
              <w:t>No</w:t>
            </w:r>
          </w:p>
        </w:tc>
      </w:tr>
      <w:tr w:rsidR="001A3961" w:rsidRPr="00937BBF" w14:paraId="687C8D18"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66EB2B5" w14:textId="4058224C" w:rsidR="001A3961" w:rsidRPr="00937BBF" w:rsidRDefault="001A3961" w:rsidP="008E6261">
            <w:pPr>
              <w:spacing w:before="0" w:after="0"/>
              <w:rPr>
                <w:rFonts w:cs="Arial"/>
                <w:color w:val="000000"/>
                <w:lang w:eastAsia="fr-FR"/>
              </w:rPr>
            </w:pPr>
            <w:r w:rsidRPr="00937BBF">
              <w:rPr>
                <w:rFonts w:cs="Arial"/>
                <w:color w:val="000000"/>
                <w:lang w:eastAsia="fr-FR"/>
              </w:rPr>
              <w:t>Toddler (1 to &lt;2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FCA8206" w14:textId="59B2EE5C" w:rsidR="001A3961" w:rsidRPr="00937BBF" w:rsidRDefault="001A3961" w:rsidP="001A3961">
            <w:pPr>
              <w:spacing w:before="0" w:after="0"/>
              <w:jc w:val="center"/>
              <w:rPr>
                <w:rFonts w:eastAsia="Calibri" w:cs="Arial"/>
                <w:b/>
                <w:lang w:eastAsia="en-US"/>
              </w:rPr>
            </w:pPr>
            <w:r w:rsidRPr="00937BBF">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6EB09D3" w14:textId="406F2D91" w:rsidR="001A3961" w:rsidRPr="00937BBF" w:rsidRDefault="001A3961" w:rsidP="001A3961">
            <w:pPr>
              <w:spacing w:before="0" w:after="0"/>
              <w:jc w:val="center"/>
              <w:rPr>
                <w:rFonts w:eastAsia="Calibri" w:cs="Arial"/>
                <w:b/>
                <w:lang w:eastAsia="en-US"/>
              </w:rPr>
            </w:pPr>
            <w:r w:rsidRPr="00937BBF">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31E4E834" w14:textId="17EEA89A" w:rsidR="001A3961" w:rsidRPr="00937BBF" w:rsidRDefault="001A3961" w:rsidP="001A3961">
            <w:pPr>
              <w:spacing w:before="0" w:after="0"/>
              <w:jc w:val="center"/>
              <w:rPr>
                <w:rFonts w:cs="Calibri"/>
                <w:color w:val="000000"/>
              </w:rPr>
            </w:pPr>
            <w:r w:rsidRPr="00937BBF">
              <w:rPr>
                <w:rFonts w:cs="Calibri"/>
                <w:color w:val="000000"/>
              </w:rPr>
              <w:t>7.78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35ACD2CE" w14:textId="2EADB9F8" w:rsidR="001A3961" w:rsidRPr="00937BBF" w:rsidRDefault="001A3961" w:rsidP="001A3961">
            <w:pPr>
              <w:spacing w:before="0" w:after="0"/>
              <w:jc w:val="center"/>
              <w:rPr>
                <w:rFonts w:cs="Calibri"/>
                <w:color w:val="000000"/>
              </w:rPr>
            </w:pPr>
            <w:r w:rsidRPr="00937BBF">
              <w:rPr>
                <w:rFonts w:cs="Calibri"/>
                <w:b/>
                <w:bCs/>
                <w:color w:val="000000"/>
              </w:rPr>
              <w:t>156%</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220005A" w14:textId="2AE664B7"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60BA5C87" w14:textId="1FD0E9B3" w:rsidR="001A3961" w:rsidRPr="00937BBF" w:rsidRDefault="001A3961" w:rsidP="001A3961">
            <w:pPr>
              <w:spacing w:before="0" w:after="0"/>
              <w:jc w:val="center"/>
              <w:rPr>
                <w:rFonts w:eastAsia="Calibri" w:cs="Arial"/>
                <w:b/>
                <w:lang w:eastAsia="en-US"/>
              </w:rPr>
            </w:pPr>
            <w:r w:rsidRPr="00937BBF">
              <w:rPr>
                <w:rFonts w:eastAsia="Calibri" w:cs="Arial"/>
                <w:b/>
                <w:lang w:eastAsia="en-US"/>
              </w:rPr>
              <w:t>No</w:t>
            </w:r>
          </w:p>
        </w:tc>
      </w:tr>
      <w:tr w:rsidR="001A3961" w:rsidRPr="00937BBF" w14:paraId="45CA3048"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6F4A99E" w14:textId="1028919B" w:rsidR="001A3961" w:rsidRPr="00937BBF" w:rsidRDefault="001A3961" w:rsidP="008E6261">
            <w:pPr>
              <w:spacing w:before="0" w:after="0"/>
              <w:rPr>
                <w:rFonts w:cs="Arial"/>
                <w:color w:val="000000"/>
                <w:lang w:eastAsia="fr-FR"/>
              </w:rPr>
            </w:pPr>
            <w:r w:rsidRPr="00937BBF">
              <w:rPr>
                <w:rFonts w:cs="Arial"/>
                <w:color w:val="000000"/>
                <w:lang w:eastAsia="fr-FR"/>
              </w:rPr>
              <w:t>Infant (&lt;1 year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131BD024" w14:textId="0433EDF8" w:rsidR="001A3961" w:rsidRPr="00937BBF" w:rsidRDefault="001A3961" w:rsidP="001A3961">
            <w:pPr>
              <w:spacing w:before="0" w:after="0"/>
              <w:jc w:val="center"/>
              <w:rPr>
                <w:rFonts w:eastAsia="Calibri" w:cs="Arial"/>
                <w:b/>
                <w:lang w:eastAsia="en-US"/>
              </w:rPr>
            </w:pPr>
            <w:r w:rsidRPr="00937BBF">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D0CC255" w14:textId="573CF1D9" w:rsidR="001A3961" w:rsidRPr="00937BBF" w:rsidRDefault="001A3961" w:rsidP="001A3961">
            <w:pPr>
              <w:spacing w:before="0" w:after="0"/>
              <w:jc w:val="center"/>
              <w:rPr>
                <w:rFonts w:eastAsia="Calibri" w:cs="Arial"/>
                <w:b/>
                <w:lang w:eastAsia="en-US"/>
              </w:rPr>
            </w:pPr>
            <w:r w:rsidRPr="00937BBF">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5D87F4C5" w14:textId="39C6D351" w:rsidR="001A3961" w:rsidRPr="00937BBF" w:rsidRDefault="001A3961" w:rsidP="001A3961">
            <w:pPr>
              <w:spacing w:before="0" w:after="0"/>
              <w:jc w:val="center"/>
              <w:rPr>
                <w:rFonts w:cs="Calibri"/>
                <w:color w:val="000000"/>
              </w:rPr>
            </w:pPr>
            <w:r w:rsidRPr="00937BBF">
              <w:rPr>
                <w:rFonts w:cs="Calibri"/>
                <w:color w:val="000000"/>
              </w:rPr>
              <w:t>8.31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43C604C1" w14:textId="54F77AF5" w:rsidR="001A3961" w:rsidRPr="00937BBF" w:rsidRDefault="001A3961" w:rsidP="001A3961">
            <w:pPr>
              <w:spacing w:before="0" w:after="0"/>
              <w:jc w:val="center"/>
              <w:rPr>
                <w:rFonts w:cs="Calibri"/>
                <w:color w:val="000000"/>
              </w:rPr>
            </w:pPr>
            <w:r w:rsidRPr="00937BBF">
              <w:rPr>
                <w:rFonts w:cs="Calibri"/>
                <w:b/>
                <w:bCs/>
                <w:color w:val="000000"/>
              </w:rPr>
              <w:t>166%</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EB13C21" w14:textId="45592485"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105C7391" w14:textId="2CA245BB" w:rsidR="001A3961" w:rsidRPr="00937BBF" w:rsidRDefault="001A3961" w:rsidP="001A3961">
            <w:pPr>
              <w:spacing w:before="0" w:after="0"/>
              <w:jc w:val="center"/>
              <w:rPr>
                <w:rFonts w:eastAsia="Calibri" w:cs="Arial"/>
                <w:b/>
                <w:lang w:eastAsia="en-US"/>
              </w:rPr>
            </w:pPr>
            <w:r w:rsidRPr="00937BBF">
              <w:rPr>
                <w:rFonts w:eastAsia="Calibri" w:cs="Arial"/>
                <w:b/>
                <w:lang w:eastAsia="en-US"/>
              </w:rPr>
              <w:t>No</w:t>
            </w:r>
          </w:p>
        </w:tc>
      </w:tr>
    </w:tbl>
    <w:p w14:paraId="4818D77A" w14:textId="77777777" w:rsidR="001E65DB" w:rsidRDefault="001E65DB" w:rsidP="001E65DB">
      <w:pPr>
        <w:widowControl w:val="0"/>
        <w:kinsoku w:val="0"/>
        <w:overflowPunct w:val="0"/>
        <w:autoSpaceDE w:val="0"/>
        <w:autoSpaceDN w:val="0"/>
        <w:adjustRightInd w:val="0"/>
        <w:spacing w:before="0" w:after="0"/>
        <w:ind w:right="216"/>
        <w:jc w:val="both"/>
        <w:textAlignment w:val="baseline"/>
        <w:rPr>
          <w:rFonts w:cs="Arial"/>
          <w:spacing w:val="1"/>
          <w:lang w:eastAsia="fr-FR"/>
        </w:rPr>
      </w:pPr>
    </w:p>
    <w:p w14:paraId="7C0F48B2" w14:textId="77777777" w:rsidR="001E65DB" w:rsidRDefault="001E65DB" w:rsidP="001E65DB">
      <w:pPr>
        <w:widowControl w:val="0"/>
        <w:kinsoku w:val="0"/>
        <w:overflowPunct w:val="0"/>
        <w:autoSpaceDE w:val="0"/>
        <w:autoSpaceDN w:val="0"/>
        <w:adjustRightInd w:val="0"/>
        <w:spacing w:before="0" w:after="0"/>
        <w:ind w:right="216"/>
        <w:jc w:val="both"/>
        <w:textAlignment w:val="baseline"/>
        <w:rPr>
          <w:rFonts w:cs="Arial"/>
          <w:spacing w:val="1"/>
          <w:lang w:eastAsia="fr-FR"/>
        </w:rPr>
      </w:pPr>
    </w:p>
    <w:p w14:paraId="7164CBA6" w14:textId="77777777" w:rsidR="001E65DB"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r w:rsidRPr="007E29F8">
        <w:rPr>
          <w:rFonts w:cs="Arial"/>
          <w:b/>
          <w:spacing w:val="1"/>
          <w:lang w:eastAsia="fr-FR"/>
        </w:rPr>
        <w:t>Co</w:t>
      </w:r>
      <w:r>
        <w:rPr>
          <w:rFonts w:cs="Arial"/>
          <w:b/>
          <w:spacing w:val="1"/>
          <w:lang w:eastAsia="fr-FR"/>
        </w:rPr>
        <w:t xml:space="preserve">mbined scenarios mosquitos (temperate zone): treated skin [1a], during </w:t>
      </w:r>
      <w:r w:rsidRPr="007E29F8">
        <w:rPr>
          <w:rFonts w:cs="Arial"/>
          <w:b/>
          <w:spacing w:val="1"/>
          <w:lang w:eastAsia="fr-FR"/>
        </w:rPr>
        <w:t>application</w:t>
      </w:r>
      <w:r>
        <w:rPr>
          <w:rFonts w:cs="Arial"/>
          <w:b/>
          <w:spacing w:val="1"/>
          <w:lang w:eastAsia="fr-FR"/>
        </w:rPr>
        <w:t xml:space="preserve"> on clothes [2] for adult only, </w:t>
      </w:r>
      <w:r w:rsidRPr="007E29F8">
        <w:rPr>
          <w:rFonts w:cs="Arial"/>
          <w:b/>
          <w:spacing w:val="1"/>
          <w:lang w:eastAsia="fr-FR"/>
        </w:rPr>
        <w:t xml:space="preserve">and </w:t>
      </w:r>
      <w:r>
        <w:rPr>
          <w:rFonts w:cs="Arial"/>
          <w:b/>
          <w:spacing w:val="1"/>
          <w:lang w:eastAsia="fr-FR"/>
        </w:rPr>
        <w:t xml:space="preserve">by </w:t>
      </w:r>
      <w:r w:rsidRPr="007E29F8">
        <w:rPr>
          <w:rFonts w:cs="Arial"/>
          <w:b/>
          <w:spacing w:val="1"/>
          <w:lang w:eastAsia="fr-FR"/>
        </w:rPr>
        <w:t xml:space="preserve">treated </w:t>
      </w:r>
      <w:r>
        <w:rPr>
          <w:rFonts w:cs="Arial"/>
          <w:b/>
          <w:spacing w:val="1"/>
          <w:lang w:eastAsia="fr-FR"/>
        </w:rPr>
        <w:t>clothes [6d]</w:t>
      </w:r>
      <w:r w:rsidRPr="007E29F8">
        <w:rPr>
          <w:rFonts w:cs="Arial"/>
          <w:b/>
          <w:spacing w:val="1"/>
          <w:lang w:eastAsia="fr-FR"/>
        </w:rPr>
        <w:t>:</w:t>
      </w:r>
    </w:p>
    <w:p w14:paraId="42E58A3A" w14:textId="77777777" w:rsidR="001E65DB" w:rsidRDefault="001E65DB" w:rsidP="001E65DB">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p>
    <w:tbl>
      <w:tblPr>
        <w:tblW w:w="10485" w:type="dxa"/>
        <w:jc w:val="center"/>
        <w:tblCellMar>
          <w:left w:w="70" w:type="dxa"/>
          <w:right w:w="70" w:type="dxa"/>
        </w:tblCellMar>
        <w:tblLook w:val="04A0" w:firstRow="1" w:lastRow="0" w:firstColumn="1" w:lastColumn="0" w:noHBand="0" w:noVBand="1"/>
      </w:tblPr>
      <w:tblGrid>
        <w:gridCol w:w="3109"/>
        <w:gridCol w:w="577"/>
        <w:gridCol w:w="1002"/>
        <w:gridCol w:w="1264"/>
        <w:gridCol w:w="1343"/>
        <w:gridCol w:w="1551"/>
        <w:gridCol w:w="1639"/>
      </w:tblGrid>
      <w:tr w:rsidR="001E65DB" w:rsidRPr="00937BBF" w14:paraId="46090956" w14:textId="77777777" w:rsidTr="004C342D">
        <w:trPr>
          <w:trHeight w:val="59"/>
          <w:jc w:val="center"/>
        </w:trPr>
        <w:tc>
          <w:tcPr>
            <w:tcW w:w="3109"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7AF4B4B3"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Task/ Scenario</w:t>
            </w:r>
          </w:p>
        </w:tc>
        <w:tc>
          <w:tcPr>
            <w:tcW w:w="577"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18C52ADF"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Tier</w:t>
            </w:r>
          </w:p>
        </w:tc>
        <w:tc>
          <w:tcPr>
            <w:tcW w:w="1002" w:type="dxa"/>
            <w:tcBorders>
              <w:top w:val="single" w:sz="8" w:space="0" w:color="auto"/>
              <w:left w:val="nil"/>
              <w:bottom w:val="single" w:sz="4" w:space="0" w:color="auto"/>
              <w:right w:val="single" w:sz="8" w:space="0" w:color="auto"/>
            </w:tcBorders>
            <w:shd w:val="clear" w:color="000000" w:fill="FFFFCC"/>
            <w:vAlign w:val="center"/>
            <w:hideMark/>
          </w:tcPr>
          <w:p w14:paraId="5F0A5998"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AEL mg/kg bw/d</w:t>
            </w:r>
          </w:p>
        </w:tc>
        <w:tc>
          <w:tcPr>
            <w:tcW w:w="1264" w:type="dxa"/>
            <w:tcBorders>
              <w:top w:val="single" w:sz="8" w:space="0" w:color="auto"/>
              <w:left w:val="nil"/>
              <w:bottom w:val="single" w:sz="4" w:space="0" w:color="auto"/>
              <w:right w:val="single" w:sz="8" w:space="0" w:color="auto"/>
            </w:tcBorders>
            <w:shd w:val="clear" w:color="000000" w:fill="FFFFCC"/>
            <w:vAlign w:val="center"/>
            <w:hideMark/>
          </w:tcPr>
          <w:p w14:paraId="2B1BF8FB"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Estimated uptake mg/kg bw/d</w:t>
            </w:r>
          </w:p>
        </w:tc>
        <w:tc>
          <w:tcPr>
            <w:tcW w:w="1343" w:type="dxa"/>
            <w:tcBorders>
              <w:top w:val="single" w:sz="8" w:space="0" w:color="auto"/>
              <w:left w:val="nil"/>
              <w:bottom w:val="single" w:sz="4" w:space="0" w:color="auto"/>
              <w:right w:val="single" w:sz="8" w:space="0" w:color="auto"/>
            </w:tcBorders>
            <w:shd w:val="clear" w:color="000000" w:fill="FFFFCC"/>
            <w:vAlign w:val="center"/>
            <w:hideMark/>
          </w:tcPr>
          <w:p w14:paraId="6B2B8A13"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Estimated uptake/ AEL (%)</w:t>
            </w:r>
          </w:p>
        </w:tc>
        <w:tc>
          <w:tcPr>
            <w:tcW w:w="1551"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005CF364"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 xml:space="preserve">Number of applications claimed </w:t>
            </w:r>
            <w:r w:rsidRPr="00937BBF">
              <w:rPr>
                <w:rFonts w:eastAsia="Calibri" w:cs="Arial"/>
                <w:b/>
                <w:i/>
                <w:lang w:eastAsia="en-US"/>
              </w:rPr>
              <w:t>(on skin)</w:t>
            </w:r>
          </w:p>
        </w:tc>
        <w:tc>
          <w:tcPr>
            <w:tcW w:w="1639" w:type="dxa"/>
            <w:tcBorders>
              <w:top w:val="single" w:sz="8" w:space="0" w:color="auto"/>
              <w:left w:val="nil"/>
              <w:bottom w:val="single" w:sz="4" w:space="0" w:color="auto"/>
              <w:right w:val="single" w:sz="8" w:space="0" w:color="auto"/>
            </w:tcBorders>
            <w:shd w:val="clear" w:color="000000" w:fill="FFFFCC"/>
            <w:vAlign w:val="center"/>
            <w:hideMark/>
          </w:tcPr>
          <w:p w14:paraId="08F1F9CE" w14:textId="77777777" w:rsidR="001E65DB" w:rsidRPr="00937BBF" w:rsidRDefault="001E65DB" w:rsidP="001E65DB">
            <w:pPr>
              <w:spacing w:before="0" w:after="0"/>
              <w:jc w:val="both"/>
              <w:rPr>
                <w:rFonts w:eastAsia="Calibri" w:cs="Arial"/>
                <w:b/>
                <w:lang w:eastAsia="en-US"/>
              </w:rPr>
            </w:pPr>
            <w:r w:rsidRPr="00937BBF">
              <w:rPr>
                <w:rFonts w:eastAsia="Calibri" w:cs="Arial"/>
                <w:b/>
                <w:lang w:eastAsia="en-US"/>
              </w:rPr>
              <w:t>Acceptable (yes/no)</w:t>
            </w:r>
          </w:p>
        </w:tc>
      </w:tr>
      <w:tr w:rsidR="001A3961" w:rsidRPr="00937BBF" w14:paraId="48B80DD7"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3B8049E" w14:textId="77777777" w:rsidR="001A3961" w:rsidRPr="00937BBF" w:rsidRDefault="001A3961" w:rsidP="008E6261">
            <w:pPr>
              <w:spacing w:before="0" w:after="0"/>
              <w:rPr>
                <w:rFonts w:eastAsia="Calibri" w:cs="Arial"/>
                <w:b/>
                <w:lang w:eastAsia="en-US"/>
              </w:rPr>
            </w:pPr>
            <w:r w:rsidRPr="00937BBF">
              <w:rPr>
                <w:rFonts w:cs="Arial"/>
                <w:color w:val="000000"/>
                <w:lang w:eastAsia="fr-FR"/>
              </w:rPr>
              <w:t>Adult (1 application)</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59610E5" w14:textId="77777777"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912DF76" w14:textId="77777777" w:rsidR="001A3961" w:rsidRPr="00937BBF" w:rsidRDefault="001A3961" w:rsidP="001A3961">
            <w:pPr>
              <w:spacing w:before="0" w:after="0"/>
              <w:jc w:val="center"/>
              <w:rPr>
                <w:rFonts w:eastAsia="Calibri" w:cs="Arial"/>
                <w:lang w:eastAsia="en-US"/>
              </w:rPr>
            </w:pPr>
            <w:r w:rsidRPr="00937BBF">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3413632C" w14:textId="60FEC058" w:rsidR="001A3961" w:rsidRPr="00937BBF" w:rsidRDefault="001A3961" w:rsidP="001A3961">
            <w:pPr>
              <w:spacing w:before="0" w:after="0"/>
              <w:jc w:val="center"/>
              <w:rPr>
                <w:rFonts w:eastAsia="Calibri" w:cs="Arial"/>
                <w:b/>
                <w:lang w:eastAsia="en-US"/>
              </w:rPr>
            </w:pPr>
            <w:r w:rsidRPr="00937BBF">
              <w:rPr>
                <w:rFonts w:cs="Calibri"/>
                <w:color w:val="000000"/>
              </w:rPr>
              <w:t>3.89</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66D05664" w14:textId="72742CF5" w:rsidR="001A3961" w:rsidRPr="00937BBF" w:rsidRDefault="001A3961" w:rsidP="001A3961">
            <w:pPr>
              <w:spacing w:before="0" w:after="0"/>
              <w:jc w:val="center"/>
              <w:rPr>
                <w:rFonts w:eastAsia="Calibri" w:cs="Arial"/>
                <w:b/>
                <w:lang w:eastAsia="en-US"/>
              </w:rPr>
            </w:pPr>
            <w:r w:rsidRPr="00937BBF">
              <w:rPr>
                <w:rFonts w:cs="Calibri"/>
                <w:color w:val="000000"/>
              </w:rPr>
              <w:t>77.7%</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18F1823" w14:textId="77777777"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99DE070" w14:textId="77777777" w:rsidR="001A3961" w:rsidRPr="00937BBF" w:rsidRDefault="001A3961" w:rsidP="001A3961">
            <w:pPr>
              <w:spacing w:before="0" w:after="0"/>
              <w:jc w:val="center"/>
              <w:rPr>
                <w:rFonts w:eastAsia="Calibri" w:cs="Arial"/>
                <w:lang w:eastAsia="en-US"/>
              </w:rPr>
            </w:pPr>
            <w:r w:rsidRPr="00937BBF">
              <w:rPr>
                <w:rFonts w:eastAsia="Calibri" w:cs="Arial"/>
                <w:lang w:eastAsia="en-US"/>
              </w:rPr>
              <w:t>Yes</w:t>
            </w:r>
          </w:p>
        </w:tc>
      </w:tr>
      <w:tr w:rsidR="001A3961" w:rsidRPr="00937BBF" w14:paraId="5F78F718"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7789CFC" w14:textId="0F77F6A2" w:rsidR="001A3961" w:rsidRPr="00937BBF" w:rsidRDefault="001A3961" w:rsidP="008E6261">
            <w:pPr>
              <w:spacing w:before="0" w:after="0"/>
              <w:rPr>
                <w:rFonts w:cs="Arial"/>
                <w:color w:val="000000"/>
                <w:lang w:eastAsia="fr-FR"/>
              </w:rPr>
            </w:pPr>
            <w:r w:rsidRPr="00937BBF">
              <w:rPr>
                <w:rFonts w:cs="Arial"/>
                <w:color w:val="000000"/>
                <w:lang w:eastAsia="fr-FR"/>
              </w:rPr>
              <w:t>Child (6 to &lt;12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92B427D" w14:textId="083D6106" w:rsidR="001A3961" w:rsidRPr="00937BBF" w:rsidRDefault="001A3961" w:rsidP="001A3961">
            <w:pPr>
              <w:spacing w:before="0" w:after="0"/>
              <w:jc w:val="center"/>
              <w:rPr>
                <w:rFonts w:eastAsia="Calibri" w:cs="Arial"/>
                <w:b/>
                <w:lang w:eastAsia="en-US"/>
              </w:rPr>
            </w:pPr>
            <w:r w:rsidRPr="00937BBF">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BA2B88A" w14:textId="35BFD130" w:rsidR="001A3961" w:rsidRPr="00937BBF" w:rsidRDefault="001A3961" w:rsidP="001A3961">
            <w:pPr>
              <w:spacing w:before="0" w:after="0"/>
              <w:jc w:val="center"/>
              <w:rPr>
                <w:rFonts w:eastAsia="Calibri" w:cs="Arial"/>
                <w:b/>
                <w:lang w:eastAsia="en-US"/>
              </w:rPr>
            </w:pPr>
            <w:r w:rsidRPr="00937BBF">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7C8E34CF" w14:textId="49BA69C3" w:rsidR="001A3961" w:rsidRPr="00937BBF" w:rsidRDefault="001A3961" w:rsidP="001A3961">
            <w:pPr>
              <w:spacing w:before="0" w:after="0"/>
              <w:jc w:val="center"/>
              <w:rPr>
                <w:rFonts w:cs="Calibri"/>
                <w:color w:val="000000"/>
              </w:rPr>
            </w:pPr>
            <w:r w:rsidRPr="00937BBF">
              <w:rPr>
                <w:rFonts w:cs="Calibri"/>
                <w:color w:val="000000"/>
              </w:rPr>
              <w:t>5.02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768CEF9E" w14:textId="2F8D9F65" w:rsidR="001A3961" w:rsidRPr="00937BBF" w:rsidRDefault="001A3961" w:rsidP="001A3961">
            <w:pPr>
              <w:spacing w:before="0" w:after="0"/>
              <w:jc w:val="center"/>
              <w:rPr>
                <w:rFonts w:cs="Calibri"/>
                <w:color w:val="000000"/>
              </w:rPr>
            </w:pPr>
            <w:r w:rsidRPr="00937BBF">
              <w:rPr>
                <w:rFonts w:cs="Calibri"/>
                <w:b/>
                <w:bCs/>
                <w:color w:val="000000"/>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7D17B82" w14:textId="1E54CE15"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5A7BEE7C" w14:textId="3672BBEB" w:rsidR="001A3961" w:rsidRPr="00937BBF" w:rsidRDefault="001A3961" w:rsidP="001A3961">
            <w:pPr>
              <w:spacing w:before="0" w:after="0"/>
              <w:jc w:val="center"/>
              <w:rPr>
                <w:rFonts w:eastAsia="Calibri" w:cs="Arial"/>
                <w:b/>
                <w:lang w:eastAsia="en-US"/>
              </w:rPr>
            </w:pPr>
            <w:r w:rsidRPr="00937BBF">
              <w:rPr>
                <w:rFonts w:eastAsia="Calibri" w:cs="Arial"/>
                <w:b/>
                <w:lang w:eastAsia="en-US"/>
              </w:rPr>
              <w:t>No</w:t>
            </w:r>
          </w:p>
        </w:tc>
      </w:tr>
      <w:tr w:rsidR="001A3961" w:rsidRPr="00937BBF" w14:paraId="27319356"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63A29E1" w14:textId="6A9FFA5D" w:rsidR="001A3961" w:rsidRPr="00937BBF" w:rsidRDefault="001A3961" w:rsidP="008E6261">
            <w:pPr>
              <w:spacing w:before="0" w:after="0"/>
              <w:rPr>
                <w:rFonts w:cs="Arial"/>
                <w:color w:val="000000"/>
                <w:lang w:eastAsia="fr-FR"/>
              </w:rPr>
            </w:pPr>
            <w:r w:rsidRPr="00937BBF">
              <w:rPr>
                <w:rFonts w:cs="Arial"/>
                <w:color w:val="000000"/>
                <w:lang w:eastAsia="fr-FR"/>
              </w:rPr>
              <w:t>Child (2 to &lt;6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0654009" w14:textId="1654B361" w:rsidR="001A3961" w:rsidRPr="00937BBF" w:rsidRDefault="001A3961" w:rsidP="001A3961">
            <w:pPr>
              <w:spacing w:before="0" w:after="0"/>
              <w:jc w:val="center"/>
              <w:rPr>
                <w:rFonts w:eastAsia="Calibri" w:cs="Arial"/>
                <w:b/>
                <w:lang w:eastAsia="en-US"/>
              </w:rPr>
            </w:pPr>
            <w:r w:rsidRPr="00937BBF">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47563B96" w14:textId="4A7251CD" w:rsidR="001A3961" w:rsidRPr="00937BBF" w:rsidRDefault="001A3961" w:rsidP="001A3961">
            <w:pPr>
              <w:spacing w:before="0" w:after="0"/>
              <w:jc w:val="center"/>
              <w:rPr>
                <w:rFonts w:eastAsia="Calibri" w:cs="Arial"/>
                <w:b/>
                <w:lang w:eastAsia="en-US"/>
              </w:rPr>
            </w:pPr>
            <w:r w:rsidRPr="00937BBF">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5238CAAD" w14:textId="11282975" w:rsidR="001A3961" w:rsidRPr="00937BBF" w:rsidRDefault="001A3961" w:rsidP="001A3961">
            <w:pPr>
              <w:spacing w:before="0" w:after="0"/>
              <w:jc w:val="center"/>
              <w:rPr>
                <w:rFonts w:cs="Calibri"/>
                <w:color w:val="000000"/>
              </w:rPr>
            </w:pPr>
            <w:r w:rsidRPr="00937BBF">
              <w:rPr>
                <w:rFonts w:cs="Calibri"/>
                <w:color w:val="000000"/>
              </w:rPr>
              <w:t>5.70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67C42743" w14:textId="6728C4C6" w:rsidR="001A3961" w:rsidRPr="00937BBF" w:rsidRDefault="001A3961" w:rsidP="001A3961">
            <w:pPr>
              <w:spacing w:before="0" w:after="0"/>
              <w:jc w:val="center"/>
              <w:rPr>
                <w:rFonts w:cs="Calibri"/>
                <w:color w:val="000000"/>
              </w:rPr>
            </w:pPr>
            <w:r w:rsidRPr="00937BBF">
              <w:rPr>
                <w:rFonts w:cs="Calibri"/>
                <w:b/>
                <w:bCs/>
                <w:color w:val="000000"/>
              </w:rPr>
              <w:t>114%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B231C10" w14:textId="5F2F6C4B"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3CF89324" w14:textId="395A6179" w:rsidR="001A3961" w:rsidRPr="00937BBF" w:rsidRDefault="001A3961" w:rsidP="001A3961">
            <w:pPr>
              <w:spacing w:before="0" w:after="0"/>
              <w:jc w:val="center"/>
              <w:rPr>
                <w:rFonts w:eastAsia="Calibri" w:cs="Arial"/>
                <w:b/>
                <w:lang w:eastAsia="en-US"/>
              </w:rPr>
            </w:pPr>
            <w:r w:rsidRPr="00937BBF">
              <w:rPr>
                <w:rFonts w:eastAsia="Calibri" w:cs="Arial"/>
                <w:b/>
                <w:lang w:eastAsia="en-US"/>
              </w:rPr>
              <w:t>No</w:t>
            </w:r>
          </w:p>
        </w:tc>
      </w:tr>
      <w:tr w:rsidR="001A3961" w:rsidRPr="00937BBF" w14:paraId="5B54BADB"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5431790" w14:textId="5B5A2BD5" w:rsidR="001A3961" w:rsidRPr="00937BBF" w:rsidRDefault="001A3961" w:rsidP="008E6261">
            <w:pPr>
              <w:spacing w:before="0" w:after="0"/>
              <w:rPr>
                <w:rFonts w:cs="Arial"/>
                <w:color w:val="000000"/>
                <w:lang w:eastAsia="fr-FR"/>
              </w:rPr>
            </w:pPr>
            <w:r w:rsidRPr="00937BBF">
              <w:rPr>
                <w:rFonts w:cs="Arial"/>
                <w:color w:val="000000"/>
                <w:lang w:eastAsia="fr-FR"/>
              </w:rPr>
              <w:t>Toddler (1 to &lt;2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9EBA1E3" w14:textId="2D507228" w:rsidR="001A3961" w:rsidRPr="00937BBF" w:rsidRDefault="001A3961" w:rsidP="001A3961">
            <w:pPr>
              <w:spacing w:before="0" w:after="0"/>
              <w:jc w:val="center"/>
              <w:rPr>
                <w:rFonts w:eastAsia="Calibri" w:cs="Arial"/>
                <w:b/>
                <w:lang w:eastAsia="en-US"/>
              </w:rPr>
            </w:pPr>
            <w:r w:rsidRPr="00937BBF">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FAE729B" w14:textId="023831F7" w:rsidR="001A3961" w:rsidRPr="00937BBF" w:rsidRDefault="001A3961" w:rsidP="001A3961">
            <w:pPr>
              <w:spacing w:before="0" w:after="0"/>
              <w:jc w:val="center"/>
              <w:rPr>
                <w:rFonts w:eastAsia="Calibri" w:cs="Arial"/>
                <w:b/>
                <w:lang w:eastAsia="en-US"/>
              </w:rPr>
            </w:pPr>
            <w:r w:rsidRPr="00937BBF">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426F88F0" w14:textId="276112FF" w:rsidR="001A3961" w:rsidRPr="00937BBF" w:rsidRDefault="001A3961" w:rsidP="001A3961">
            <w:pPr>
              <w:spacing w:before="0" w:after="0"/>
              <w:jc w:val="center"/>
              <w:rPr>
                <w:rFonts w:cs="Calibri"/>
                <w:color w:val="000000"/>
              </w:rPr>
            </w:pPr>
            <w:r w:rsidRPr="00937BBF">
              <w:rPr>
                <w:rFonts w:cs="Calibri"/>
                <w:color w:val="000000"/>
              </w:rPr>
              <w:t>6.28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4BE536DA" w14:textId="2211CD07" w:rsidR="001A3961" w:rsidRPr="00937BBF" w:rsidRDefault="001A3961" w:rsidP="001A3961">
            <w:pPr>
              <w:spacing w:before="0" w:after="0"/>
              <w:jc w:val="center"/>
              <w:rPr>
                <w:rFonts w:cs="Calibri"/>
                <w:color w:val="000000"/>
              </w:rPr>
            </w:pPr>
            <w:r w:rsidRPr="00937BBF">
              <w:rPr>
                <w:rFonts w:cs="Calibri"/>
                <w:b/>
                <w:bCs/>
                <w:color w:val="000000"/>
              </w:rPr>
              <w:t>126%</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37636F7" w14:textId="2B253A0E"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59277F8A" w14:textId="4E30F1BE" w:rsidR="001A3961" w:rsidRPr="00937BBF" w:rsidRDefault="001A3961" w:rsidP="001A3961">
            <w:pPr>
              <w:spacing w:before="0" w:after="0"/>
              <w:jc w:val="center"/>
              <w:rPr>
                <w:rFonts w:eastAsia="Calibri" w:cs="Arial"/>
                <w:b/>
                <w:lang w:eastAsia="en-US"/>
              </w:rPr>
            </w:pPr>
            <w:r w:rsidRPr="00937BBF">
              <w:rPr>
                <w:rFonts w:eastAsia="Calibri" w:cs="Arial"/>
                <w:b/>
                <w:lang w:eastAsia="en-US"/>
              </w:rPr>
              <w:t>No</w:t>
            </w:r>
          </w:p>
        </w:tc>
      </w:tr>
      <w:tr w:rsidR="001A3961" w:rsidRPr="00937BBF" w14:paraId="25E4F797"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9DBF9B4" w14:textId="46B6EAE0" w:rsidR="001A3961" w:rsidRPr="00937BBF" w:rsidRDefault="001A3961" w:rsidP="008E6261">
            <w:pPr>
              <w:spacing w:before="0" w:after="0"/>
              <w:rPr>
                <w:rFonts w:cs="Arial"/>
                <w:color w:val="000000"/>
                <w:lang w:eastAsia="fr-FR"/>
              </w:rPr>
            </w:pPr>
            <w:r w:rsidRPr="00937BBF">
              <w:rPr>
                <w:rFonts w:cs="Arial"/>
                <w:color w:val="000000"/>
                <w:lang w:eastAsia="fr-FR"/>
              </w:rPr>
              <w:t>Infant (&lt;1 year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7076049" w14:textId="725D7FF1" w:rsidR="001A3961" w:rsidRPr="00937BBF" w:rsidRDefault="001A3961" w:rsidP="001A3961">
            <w:pPr>
              <w:spacing w:before="0" w:after="0"/>
              <w:jc w:val="center"/>
              <w:rPr>
                <w:rFonts w:eastAsia="Calibri" w:cs="Arial"/>
                <w:b/>
                <w:lang w:eastAsia="en-US"/>
              </w:rPr>
            </w:pPr>
            <w:r w:rsidRPr="00937BBF">
              <w:rPr>
                <w:rFonts w:eastAsia="Calibri" w:cs="Arial"/>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41058798" w14:textId="08024853" w:rsidR="001A3961" w:rsidRPr="00937BBF" w:rsidRDefault="001A3961" w:rsidP="001A3961">
            <w:pPr>
              <w:spacing w:before="0" w:after="0"/>
              <w:jc w:val="center"/>
              <w:rPr>
                <w:rFonts w:eastAsia="Calibri" w:cs="Arial"/>
                <w:b/>
                <w:lang w:eastAsia="en-US"/>
              </w:rPr>
            </w:pPr>
            <w:r w:rsidRPr="00937BBF">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0C2F991B" w14:textId="113FF204" w:rsidR="001A3961" w:rsidRPr="00937BBF" w:rsidRDefault="001A3961" w:rsidP="001A3961">
            <w:pPr>
              <w:spacing w:before="0" w:after="0"/>
              <w:jc w:val="center"/>
              <w:rPr>
                <w:rFonts w:cs="Calibri"/>
                <w:color w:val="000000"/>
              </w:rPr>
            </w:pPr>
            <w:r w:rsidRPr="00937BBF">
              <w:rPr>
                <w:rFonts w:cs="Calibri"/>
                <w:color w:val="000000"/>
              </w:rPr>
              <w:t>6.71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19114DD8" w14:textId="1FF34B01" w:rsidR="001A3961" w:rsidRPr="00937BBF" w:rsidRDefault="001A3961" w:rsidP="001A3961">
            <w:pPr>
              <w:spacing w:before="0" w:after="0"/>
              <w:jc w:val="center"/>
              <w:rPr>
                <w:rFonts w:cs="Calibri"/>
                <w:color w:val="000000"/>
              </w:rPr>
            </w:pPr>
            <w:r w:rsidRPr="00937BBF">
              <w:rPr>
                <w:rFonts w:cs="Calibri"/>
                <w:b/>
                <w:bCs/>
                <w:color w:val="000000"/>
              </w:rPr>
              <w:t>134%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7E41150" w14:textId="78FDEBD9" w:rsidR="001A3961" w:rsidRPr="00937BBF" w:rsidRDefault="001A3961" w:rsidP="001A3961">
            <w:pPr>
              <w:spacing w:before="0" w:after="0"/>
              <w:jc w:val="center"/>
              <w:rPr>
                <w:rFonts w:eastAsia="Calibri" w:cs="Arial"/>
                <w:lang w:eastAsia="en-US"/>
              </w:rPr>
            </w:pPr>
            <w:r w:rsidRPr="00937BBF">
              <w:rPr>
                <w:rFonts w:eastAsia="Calibri" w:cs="Arial"/>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13790C99" w14:textId="404DCB88" w:rsidR="001A3961" w:rsidRPr="00937BBF" w:rsidRDefault="001A3961" w:rsidP="001A3961">
            <w:pPr>
              <w:spacing w:before="0" w:after="0"/>
              <w:jc w:val="center"/>
              <w:rPr>
                <w:rFonts w:eastAsia="Calibri" w:cs="Arial"/>
                <w:b/>
                <w:lang w:eastAsia="en-US"/>
              </w:rPr>
            </w:pPr>
            <w:r w:rsidRPr="00937BBF">
              <w:rPr>
                <w:rFonts w:eastAsia="Calibri" w:cs="Arial"/>
                <w:b/>
                <w:lang w:eastAsia="en-US"/>
              </w:rPr>
              <w:t>No</w:t>
            </w:r>
          </w:p>
        </w:tc>
      </w:tr>
    </w:tbl>
    <w:p w14:paraId="67E29675" w14:textId="77777777" w:rsidR="001E65DB" w:rsidRDefault="001E65DB" w:rsidP="001E65DB">
      <w:pPr>
        <w:widowControl w:val="0"/>
        <w:kinsoku w:val="0"/>
        <w:overflowPunct w:val="0"/>
        <w:autoSpaceDE w:val="0"/>
        <w:autoSpaceDN w:val="0"/>
        <w:adjustRightInd w:val="0"/>
        <w:spacing w:before="0" w:after="0"/>
        <w:ind w:right="216"/>
        <w:jc w:val="both"/>
        <w:textAlignment w:val="baseline"/>
        <w:rPr>
          <w:rFonts w:cs="Arial"/>
          <w:spacing w:val="1"/>
          <w:lang w:eastAsia="fr-FR"/>
        </w:rPr>
      </w:pPr>
    </w:p>
    <w:p w14:paraId="7AB302CF"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p>
    <w:p w14:paraId="407FA627" w14:textId="77777777" w:rsidR="001E65DB"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r w:rsidRPr="007E29F8">
        <w:rPr>
          <w:rFonts w:cs="Arial"/>
          <w:b/>
          <w:spacing w:val="1"/>
          <w:lang w:eastAsia="fr-FR"/>
        </w:rPr>
        <w:t>Co</w:t>
      </w:r>
      <w:r>
        <w:rPr>
          <w:rFonts w:cs="Arial"/>
          <w:b/>
          <w:spacing w:val="1"/>
          <w:lang w:eastAsia="fr-FR"/>
        </w:rPr>
        <w:t xml:space="preserve">mbined scenarios ticks: treated skin [1a], during </w:t>
      </w:r>
      <w:r w:rsidRPr="007E29F8">
        <w:rPr>
          <w:rFonts w:cs="Arial"/>
          <w:b/>
          <w:spacing w:val="1"/>
          <w:lang w:eastAsia="fr-FR"/>
        </w:rPr>
        <w:t>application</w:t>
      </w:r>
      <w:r>
        <w:rPr>
          <w:rFonts w:cs="Arial"/>
          <w:b/>
          <w:spacing w:val="1"/>
          <w:lang w:eastAsia="fr-FR"/>
        </w:rPr>
        <w:t xml:space="preserve"> on clothes [2] for adult only, </w:t>
      </w:r>
      <w:r w:rsidRPr="007E29F8">
        <w:rPr>
          <w:rFonts w:cs="Arial"/>
          <w:b/>
          <w:spacing w:val="1"/>
          <w:lang w:eastAsia="fr-FR"/>
        </w:rPr>
        <w:t xml:space="preserve">and </w:t>
      </w:r>
      <w:r>
        <w:rPr>
          <w:rFonts w:cs="Arial"/>
          <w:b/>
          <w:spacing w:val="1"/>
          <w:lang w:eastAsia="fr-FR"/>
        </w:rPr>
        <w:t xml:space="preserve">by </w:t>
      </w:r>
      <w:r w:rsidRPr="007E29F8">
        <w:rPr>
          <w:rFonts w:cs="Arial"/>
          <w:b/>
          <w:spacing w:val="1"/>
          <w:lang w:eastAsia="fr-FR"/>
        </w:rPr>
        <w:t xml:space="preserve">treated </w:t>
      </w:r>
      <w:r>
        <w:rPr>
          <w:rFonts w:cs="Arial"/>
          <w:b/>
          <w:spacing w:val="1"/>
          <w:lang w:eastAsia="fr-FR"/>
        </w:rPr>
        <w:t>clothes [6c]</w:t>
      </w:r>
      <w:r w:rsidRPr="007E29F8">
        <w:rPr>
          <w:rFonts w:cs="Arial"/>
          <w:b/>
          <w:spacing w:val="1"/>
          <w:lang w:eastAsia="fr-FR"/>
        </w:rPr>
        <w:t>:</w:t>
      </w:r>
    </w:p>
    <w:p w14:paraId="7C15EFD2" w14:textId="77777777" w:rsidR="001E65DB" w:rsidRDefault="001E65DB" w:rsidP="001E65DB">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p>
    <w:tbl>
      <w:tblPr>
        <w:tblW w:w="10485" w:type="dxa"/>
        <w:jc w:val="center"/>
        <w:tblCellMar>
          <w:left w:w="70" w:type="dxa"/>
          <w:right w:w="70" w:type="dxa"/>
        </w:tblCellMar>
        <w:tblLook w:val="04A0" w:firstRow="1" w:lastRow="0" w:firstColumn="1" w:lastColumn="0" w:noHBand="0" w:noVBand="1"/>
      </w:tblPr>
      <w:tblGrid>
        <w:gridCol w:w="3090"/>
        <w:gridCol w:w="577"/>
        <w:gridCol w:w="1001"/>
        <w:gridCol w:w="1264"/>
        <w:gridCol w:w="1342"/>
        <w:gridCol w:w="1575"/>
        <w:gridCol w:w="1636"/>
      </w:tblGrid>
      <w:tr w:rsidR="001E65DB" w:rsidRPr="00C9116A" w14:paraId="6F5E4396" w14:textId="77777777" w:rsidTr="00DD50A8">
        <w:trPr>
          <w:trHeight w:val="59"/>
          <w:jc w:val="center"/>
        </w:trPr>
        <w:tc>
          <w:tcPr>
            <w:tcW w:w="3090"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709E3A55"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Task/ Scenario</w:t>
            </w:r>
          </w:p>
        </w:tc>
        <w:tc>
          <w:tcPr>
            <w:tcW w:w="577"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0130B037"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Tier</w:t>
            </w:r>
          </w:p>
        </w:tc>
        <w:tc>
          <w:tcPr>
            <w:tcW w:w="1001" w:type="dxa"/>
            <w:tcBorders>
              <w:top w:val="single" w:sz="8" w:space="0" w:color="auto"/>
              <w:left w:val="nil"/>
              <w:bottom w:val="single" w:sz="4" w:space="0" w:color="auto"/>
              <w:right w:val="single" w:sz="8" w:space="0" w:color="auto"/>
            </w:tcBorders>
            <w:shd w:val="clear" w:color="000000" w:fill="FFFFCC"/>
            <w:vAlign w:val="center"/>
            <w:hideMark/>
          </w:tcPr>
          <w:p w14:paraId="43E4DFA8"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AEL mg/kg bw/d</w:t>
            </w:r>
          </w:p>
        </w:tc>
        <w:tc>
          <w:tcPr>
            <w:tcW w:w="1264" w:type="dxa"/>
            <w:tcBorders>
              <w:top w:val="single" w:sz="8" w:space="0" w:color="auto"/>
              <w:left w:val="nil"/>
              <w:bottom w:val="single" w:sz="4" w:space="0" w:color="auto"/>
              <w:right w:val="single" w:sz="8" w:space="0" w:color="auto"/>
            </w:tcBorders>
            <w:shd w:val="clear" w:color="000000" w:fill="FFFFCC"/>
            <w:vAlign w:val="center"/>
            <w:hideMark/>
          </w:tcPr>
          <w:p w14:paraId="3E651A48"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Estimated uptake mg/kg bw/d</w:t>
            </w:r>
          </w:p>
        </w:tc>
        <w:tc>
          <w:tcPr>
            <w:tcW w:w="1342" w:type="dxa"/>
            <w:tcBorders>
              <w:top w:val="single" w:sz="8" w:space="0" w:color="auto"/>
              <w:left w:val="nil"/>
              <w:bottom w:val="single" w:sz="4" w:space="0" w:color="auto"/>
              <w:right w:val="single" w:sz="8" w:space="0" w:color="auto"/>
            </w:tcBorders>
            <w:shd w:val="clear" w:color="000000" w:fill="FFFFCC"/>
            <w:vAlign w:val="center"/>
            <w:hideMark/>
          </w:tcPr>
          <w:p w14:paraId="47AE10D3"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Estimated uptake/ AEL (%)</w:t>
            </w:r>
          </w:p>
        </w:tc>
        <w:tc>
          <w:tcPr>
            <w:tcW w:w="1575"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7BC8523B"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 xml:space="preserve">Number of applications claimed </w:t>
            </w:r>
            <w:r w:rsidRPr="00C9116A">
              <w:rPr>
                <w:rFonts w:eastAsia="Calibri" w:cs="Arial"/>
                <w:b/>
                <w:i/>
                <w:szCs w:val="22"/>
                <w:lang w:eastAsia="en-US"/>
              </w:rPr>
              <w:t>(on skin)</w:t>
            </w:r>
          </w:p>
        </w:tc>
        <w:tc>
          <w:tcPr>
            <w:tcW w:w="1636" w:type="dxa"/>
            <w:tcBorders>
              <w:top w:val="single" w:sz="8" w:space="0" w:color="auto"/>
              <w:left w:val="nil"/>
              <w:bottom w:val="single" w:sz="4" w:space="0" w:color="auto"/>
              <w:right w:val="single" w:sz="8" w:space="0" w:color="auto"/>
            </w:tcBorders>
            <w:shd w:val="clear" w:color="000000" w:fill="FFFFCC"/>
            <w:vAlign w:val="center"/>
            <w:hideMark/>
          </w:tcPr>
          <w:p w14:paraId="4F078AA2"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Acceptable (yes/no)</w:t>
            </w:r>
          </w:p>
        </w:tc>
      </w:tr>
      <w:tr w:rsidR="00DD50A8" w:rsidRPr="00C9116A" w14:paraId="39A553A0" w14:textId="77777777" w:rsidTr="003E3E25">
        <w:trPr>
          <w:trHeight w:val="59"/>
          <w:jc w:val="center"/>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E53D06D" w14:textId="77777777" w:rsidR="00DD50A8" w:rsidRPr="00C9116A" w:rsidRDefault="00DD50A8" w:rsidP="003E3E25">
            <w:pPr>
              <w:spacing w:before="0" w:after="0"/>
              <w:rPr>
                <w:rFonts w:eastAsia="Calibri" w:cs="Arial"/>
                <w:b/>
                <w:szCs w:val="22"/>
                <w:lang w:eastAsia="en-US"/>
              </w:rPr>
            </w:pPr>
            <w:r w:rsidRPr="007E29F8">
              <w:rPr>
                <w:rFonts w:cs="Arial"/>
                <w:color w:val="000000"/>
                <w:szCs w:val="18"/>
                <w:lang w:eastAsia="fr-FR"/>
              </w:rPr>
              <w:t>Adult</w:t>
            </w:r>
            <w:r>
              <w:rPr>
                <w:rFonts w:cs="Arial"/>
                <w:color w:val="000000"/>
                <w:szCs w:val="18"/>
                <w:lang w:eastAsia="fr-FR"/>
              </w:rPr>
              <w:t xml:space="preserve"> (1 application)</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06F8DAF" w14:textId="77777777" w:rsidR="00DD50A8" w:rsidRPr="008E6261" w:rsidRDefault="00DD50A8" w:rsidP="003E3E25">
            <w:pPr>
              <w:spacing w:before="0" w:after="0"/>
              <w:jc w:val="center"/>
              <w:rPr>
                <w:rFonts w:eastAsia="Calibri" w:cs="Arial"/>
                <w:szCs w:val="22"/>
                <w:lang w:eastAsia="en-US"/>
              </w:rPr>
            </w:pPr>
            <w:r w:rsidRPr="008E6261">
              <w:rPr>
                <w:rFonts w:eastAsia="Calibri" w:cs="Arial"/>
                <w:szCs w:val="22"/>
                <w:lang w:eastAsia="en-US"/>
              </w:rPr>
              <w:t>1</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29B533C" w14:textId="77777777" w:rsidR="00DD50A8" w:rsidRPr="008E6261" w:rsidRDefault="00DD50A8" w:rsidP="003E3E2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6BD4E469" w14:textId="5B4116FD" w:rsidR="00DD50A8" w:rsidRPr="008E6261" w:rsidRDefault="00DD50A8" w:rsidP="003E3E25">
            <w:pPr>
              <w:spacing w:before="0" w:after="0"/>
              <w:jc w:val="center"/>
              <w:rPr>
                <w:rFonts w:eastAsia="Calibri" w:cs="Arial"/>
                <w:b/>
                <w:lang w:eastAsia="en-US"/>
              </w:rPr>
            </w:pPr>
            <w:r>
              <w:rPr>
                <w:rFonts w:cs="Calibri"/>
                <w:color w:val="000000"/>
              </w:rPr>
              <w:t>4.30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bottom"/>
          </w:tcPr>
          <w:p w14:paraId="614B7226" w14:textId="77777777" w:rsidR="00DD50A8" w:rsidRPr="008E6261" w:rsidRDefault="00DD50A8" w:rsidP="003E3E25">
            <w:pPr>
              <w:spacing w:before="0" w:after="0"/>
              <w:jc w:val="center"/>
              <w:rPr>
                <w:rFonts w:eastAsia="Calibri" w:cs="Arial"/>
                <w:b/>
                <w:lang w:eastAsia="en-US"/>
              </w:rPr>
            </w:pPr>
            <w:r w:rsidRPr="008E6261">
              <w:rPr>
                <w:rFonts w:cs="Calibri"/>
                <w:color w:val="000000"/>
              </w:rPr>
              <w:t>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26670C20" w14:textId="06F69254" w:rsidR="00DD50A8" w:rsidRPr="008E6261" w:rsidRDefault="00DD50A8" w:rsidP="003E3E25">
            <w:pPr>
              <w:spacing w:before="0" w:after="0"/>
              <w:jc w:val="center"/>
              <w:rPr>
                <w:rFonts w:eastAsia="Calibri" w:cs="Arial"/>
                <w:b/>
                <w:lang w:eastAsia="en-US"/>
              </w:rPr>
            </w:pPr>
            <w:r w:rsidRPr="00DD50A8">
              <w:rPr>
                <w:rFonts w:cs="Calibri"/>
                <w:color w:val="000000"/>
              </w:rPr>
              <w:t>85.9%</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5A48E5D0" w14:textId="1683AD7A" w:rsidR="00DD50A8" w:rsidRPr="00DD50A8" w:rsidRDefault="00DD50A8" w:rsidP="003E3E25">
            <w:pPr>
              <w:spacing w:before="0" w:after="0"/>
              <w:jc w:val="center"/>
              <w:rPr>
                <w:rFonts w:eastAsia="Calibri" w:cs="Arial"/>
                <w:lang w:eastAsia="en-US"/>
              </w:rPr>
            </w:pPr>
            <w:r w:rsidRPr="00DD50A8">
              <w:rPr>
                <w:rFonts w:eastAsia="Calibri" w:cs="Arial"/>
                <w:lang w:eastAsia="en-US"/>
              </w:rPr>
              <w:t>Yes</w:t>
            </w:r>
          </w:p>
        </w:tc>
      </w:tr>
      <w:tr w:rsidR="00DD50A8" w:rsidRPr="00C9116A" w14:paraId="1530D83A" w14:textId="77777777" w:rsidTr="003E3E25">
        <w:trPr>
          <w:trHeight w:val="59"/>
          <w:jc w:val="center"/>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685ECA8" w14:textId="77777777" w:rsidR="00DD50A8" w:rsidRPr="00C9116A" w:rsidRDefault="00DD50A8" w:rsidP="003E3E25">
            <w:pPr>
              <w:spacing w:before="0" w:after="0"/>
              <w:rPr>
                <w:rFonts w:eastAsia="Calibri" w:cs="Arial"/>
                <w:b/>
                <w:szCs w:val="22"/>
                <w:lang w:eastAsia="en-US"/>
              </w:rPr>
            </w:pPr>
            <w:r w:rsidRPr="007E29F8">
              <w:rPr>
                <w:rFonts w:cs="Arial"/>
                <w:color w:val="000000"/>
                <w:szCs w:val="18"/>
                <w:lang w:eastAsia="fr-FR"/>
              </w:rPr>
              <w:t>Child (6 to &lt;12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AD4A01B" w14:textId="6490E291" w:rsidR="00DD50A8" w:rsidRPr="008E6261" w:rsidRDefault="00DD50A8" w:rsidP="003E3E25">
            <w:pPr>
              <w:spacing w:before="0" w:after="0"/>
              <w:jc w:val="center"/>
              <w:rPr>
                <w:rFonts w:eastAsia="Calibri" w:cs="Arial"/>
                <w:szCs w:val="22"/>
                <w:lang w:eastAsia="en-US"/>
              </w:rPr>
            </w:pPr>
            <w:r>
              <w:rPr>
                <w:rFonts w:eastAsia="Calibri" w:cs="Arial"/>
                <w:szCs w:val="22"/>
                <w:lang w:eastAsia="en-US"/>
              </w:rPr>
              <w:t>1</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3A0EF2B1" w14:textId="77777777" w:rsidR="00DD50A8" w:rsidRPr="008E6261" w:rsidRDefault="00DD50A8" w:rsidP="003E3E2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6A8143B2" w14:textId="20E6E9B2" w:rsidR="00DD50A8" w:rsidRPr="008E6261" w:rsidRDefault="00DD50A8" w:rsidP="003E3E25">
            <w:pPr>
              <w:spacing w:before="0" w:after="0"/>
              <w:jc w:val="center"/>
              <w:rPr>
                <w:rFonts w:eastAsia="Calibri" w:cs="Arial"/>
                <w:b/>
                <w:lang w:eastAsia="en-US"/>
              </w:rPr>
            </w:pPr>
            <w:r>
              <w:rPr>
                <w:rFonts w:cs="Calibri"/>
                <w:color w:val="000000"/>
              </w:rPr>
              <w:t>5.63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bottom"/>
          </w:tcPr>
          <w:p w14:paraId="7C0EE3DE" w14:textId="77777777" w:rsidR="00DD50A8" w:rsidRPr="008E6261" w:rsidRDefault="00DD50A8" w:rsidP="003E3E25">
            <w:pPr>
              <w:spacing w:before="0" w:after="0"/>
              <w:jc w:val="center"/>
              <w:rPr>
                <w:rFonts w:eastAsia="Calibri" w:cs="Arial"/>
                <w:b/>
                <w:lang w:eastAsia="en-US"/>
              </w:rPr>
            </w:pPr>
            <w:r w:rsidRPr="008E6261">
              <w:rPr>
                <w:rFonts w:cs="Calibri"/>
                <w:color w:val="000000"/>
              </w:rPr>
              <w:t>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6248C48A" w14:textId="66F50E7D" w:rsidR="00DD50A8" w:rsidRPr="008E6261" w:rsidRDefault="00DD50A8" w:rsidP="003E3E25">
            <w:pPr>
              <w:spacing w:before="0" w:after="0"/>
              <w:jc w:val="center"/>
              <w:rPr>
                <w:rFonts w:eastAsia="Calibri" w:cs="Arial"/>
                <w:b/>
                <w:lang w:eastAsia="en-US"/>
              </w:rPr>
            </w:pPr>
            <w:r>
              <w:rPr>
                <w:rFonts w:cs="Calibri"/>
                <w:b/>
                <w:bCs/>
                <w:color w:val="000000"/>
              </w:rPr>
              <w:t>113%</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1CA8DCF1" w14:textId="77777777" w:rsidR="00DD50A8" w:rsidRPr="008E6261" w:rsidRDefault="00DD50A8" w:rsidP="003E3E25">
            <w:pPr>
              <w:spacing w:before="0" w:after="0"/>
              <w:jc w:val="center"/>
              <w:rPr>
                <w:rFonts w:eastAsia="Calibri" w:cs="Arial"/>
                <w:b/>
                <w:lang w:eastAsia="en-US"/>
              </w:rPr>
            </w:pPr>
            <w:r w:rsidRPr="008E6261">
              <w:rPr>
                <w:rFonts w:eastAsia="Calibri" w:cs="Arial"/>
                <w:b/>
                <w:lang w:eastAsia="en-US"/>
              </w:rPr>
              <w:t>No</w:t>
            </w:r>
          </w:p>
        </w:tc>
      </w:tr>
      <w:tr w:rsidR="00DD50A8" w:rsidRPr="00C9116A" w14:paraId="03F93DD0" w14:textId="77777777" w:rsidTr="003E3E25">
        <w:trPr>
          <w:trHeight w:val="59"/>
          <w:jc w:val="center"/>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DE3F846" w14:textId="77777777" w:rsidR="00DD50A8" w:rsidRPr="00C9116A" w:rsidRDefault="00DD50A8" w:rsidP="003E3E25">
            <w:pPr>
              <w:spacing w:before="0" w:after="0"/>
              <w:rPr>
                <w:rFonts w:eastAsia="Calibri" w:cs="Arial"/>
                <w:b/>
                <w:szCs w:val="22"/>
                <w:lang w:eastAsia="en-US"/>
              </w:rPr>
            </w:pPr>
            <w:r w:rsidRPr="007E29F8">
              <w:rPr>
                <w:rFonts w:cs="Arial"/>
                <w:color w:val="000000"/>
                <w:szCs w:val="18"/>
                <w:lang w:eastAsia="fr-FR"/>
              </w:rPr>
              <w:t>Child (2 to &lt;6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DB848AD" w14:textId="3BF26C4D" w:rsidR="00DD50A8" w:rsidRPr="008E6261" w:rsidRDefault="00DD50A8" w:rsidP="003E3E25">
            <w:pPr>
              <w:spacing w:before="0" w:after="0"/>
              <w:jc w:val="center"/>
              <w:rPr>
                <w:rFonts w:eastAsia="Calibri" w:cs="Arial"/>
                <w:szCs w:val="22"/>
                <w:lang w:eastAsia="en-US"/>
              </w:rPr>
            </w:pPr>
            <w:r>
              <w:rPr>
                <w:rFonts w:eastAsia="Calibri" w:cs="Arial"/>
                <w:szCs w:val="22"/>
                <w:lang w:eastAsia="en-US"/>
              </w:rPr>
              <w:t>1</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1C91E58" w14:textId="77777777" w:rsidR="00DD50A8" w:rsidRPr="008E6261" w:rsidRDefault="00DD50A8" w:rsidP="003E3E2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3B9DD56F" w14:textId="602A85D7" w:rsidR="00DD50A8" w:rsidRPr="008E6261" w:rsidRDefault="00DD50A8" w:rsidP="003E3E25">
            <w:pPr>
              <w:spacing w:before="0" w:after="0"/>
              <w:jc w:val="center"/>
              <w:rPr>
                <w:rFonts w:eastAsia="Calibri" w:cs="Arial"/>
                <w:b/>
                <w:lang w:eastAsia="en-US"/>
              </w:rPr>
            </w:pPr>
            <w:r>
              <w:rPr>
                <w:rFonts w:cs="Calibri"/>
                <w:color w:val="000000"/>
              </w:rPr>
              <w:t>6.37</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bottom"/>
          </w:tcPr>
          <w:p w14:paraId="3111D765" w14:textId="77777777" w:rsidR="00DD50A8" w:rsidRPr="008E6261" w:rsidRDefault="00DD50A8" w:rsidP="003E3E25">
            <w:pPr>
              <w:spacing w:before="0" w:after="0"/>
              <w:jc w:val="center"/>
              <w:rPr>
                <w:rFonts w:eastAsia="Calibri" w:cs="Arial"/>
                <w:b/>
                <w:lang w:eastAsia="en-US"/>
              </w:rPr>
            </w:pPr>
            <w:r w:rsidRPr="008E6261">
              <w:rPr>
                <w:rFonts w:cs="Calibri"/>
                <w:color w:val="000000"/>
              </w:rPr>
              <w:t>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14810FE4" w14:textId="5D361DEC" w:rsidR="00DD50A8" w:rsidRPr="008E6261" w:rsidRDefault="00DD50A8" w:rsidP="003E3E25">
            <w:pPr>
              <w:spacing w:before="0" w:after="0"/>
              <w:jc w:val="center"/>
              <w:rPr>
                <w:rFonts w:eastAsia="Calibri" w:cs="Arial"/>
                <w:b/>
                <w:lang w:eastAsia="en-US"/>
              </w:rPr>
            </w:pPr>
            <w:r>
              <w:rPr>
                <w:rFonts w:cs="Calibri"/>
                <w:b/>
                <w:bCs/>
                <w:color w:val="000000"/>
              </w:rPr>
              <w:t>127%</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364B5B45" w14:textId="77777777" w:rsidR="00DD50A8" w:rsidRPr="008E6261" w:rsidRDefault="00DD50A8" w:rsidP="003E3E25">
            <w:pPr>
              <w:spacing w:before="0" w:after="0"/>
              <w:jc w:val="center"/>
              <w:rPr>
                <w:rFonts w:eastAsia="Calibri" w:cs="Arial"/>
                <w:b/>
                <w:lang w:eastAsia="en-US"/>
              </w:rPr>
            </w:pPr>
            <w:r w:rsidRPr="008E6261">
              <w:rPr>
                <w:rFonts w:eastAsia="Calibri" w:cs="Arial"/>
                <w:b/>
                <w:lang w:eastAsia="en-US"/>
              </w:rPr>
              <w:t>No</w:t>
            </w:r>
          </w:p>
        </w:tc>
      </w:tr>
      <w:tr w:rsidR="00DD50A8" w:rsidRPr="00C9116A" w14:paraId="6136A9FE" w14:textId="77777777" w:rsidTr="003E3E25">
        <w:trPr>
          <w:trHeight w:val="59"/>
          <w:jc w:val="center"/>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BC4FC94" w14:textId="77777777" w:rsidR="00DD50A8" w:rsidRPr="00C9116A" w:rsidRDefault="00DD50A8" w:rsidP="003E3E25">
            <w:pPr>
              <w:spacing w:before="0" w:after="0"/>
              <w:rPr>
                <w:rFonts w:eastAsia="Calibri" w:cs="Arial"/>
                <w:b/>
                <w:szCs w:val="22"/>
                <w:lang w:eastAsia="en-US"/>
              </w:rPr>
            </w:pPr>
            <w:r w:rsidRPr="007E29F8">
              <w:rPr>
                <w:rFonts w:cs="Arial"/>
                <w:color w:val="000000"/>
                <w:szCs w:val="18"/>
                <w:lang w:eastAsia="fr-FR"/>
              </w:rPr>
              <w:t>Toddler (1 to &lt;2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1F1A6D18" w14:textId="70852007" w:rsidR="00DD50A8" w:rsidRPr="008E6261" w:rsidRDefault="00DD50A8" w:rsidP="003E3E25">
            <w:pPr>
              <w:spacing w:before="0" w:after="0"/>
              <w:jc w:val="center"/>
              <w:rPr>
                <w:rFonts w:eastAsia="Calibri" w:cs="Arial"/>
                <w:szCs w:val="22"/>
                <w:lang w:eastAsia="en-US"/>
              </w:rPr>
            </w:pPr>
            <w:r>
              <w:rPr>
                <w:rFonts w:eastAsia="Calibri" w:cs="Arial"/>
                <w:szCs w:val="22"/>
                <w:lang w:eastAsia="en-US"/>
              </w:rPr>
              <w:t>1</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3D7F574" w14:textId="77777777" w:rsidR="00DD50A8" w:rsidRPr="008E6261" w:rsidRDefault="00DD50A8" w:rsidP="003E3E2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1EF044C6" w14:textId="7D9C5216" w:rsidR="00DD50A8" w:rsidRPr="008E6261" w:rsidRDefault="00DD50A8" w:rsidP="003E3E25">
            <w:pPr>
              <w:spacing w:before="0" w:after="0"/>
              <w:jc w:val="center"/>
              <w:rPr>
                <w:rFonts w:eastAsia="Calibri" w:cs="Arial"/>
                <w:b/>
                <w:lang w:eastAsia="en-US"/>
              </w:rPr>
            </w:pPr>
            <w:r>
              <w:rPr>
                <w:rFonts w:cs="Calibri"/>
                <w:color w:val="000000"/>
              </w:rPr>
              <w:t>7.02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bottom"/>
          </w:tcPr>
          <w:p w14:paraId="028B2D69" w14:textId="77777777" w:rsidR="00DD50A8" w:rsidRPr="008E6261" w:rsidRDefault="00DD50A8" w:rsidP="003E3E25">
            <w:pPr>
              <w:spacing w:before="0" w:after="0"/>
              <w:jc w:val="center"/>
              <w:rPr>
                <w:rFonts w:eastAsia="Calibri" w:cs="Arial"/>
                <w:b/>
                <w:lang w:eastAsia="en-US"/>
              </w:rPr>
            </w:pPr>
            <w:r w:rsidRPr="008E6261">
              <w:rPr>
                <w:rFonts w:cs="Calibri"/>
                <w:color w:val="000000"/>
              </w:rPr>
              <w:t>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3059C194" w14:textId="160118D4" w:rsidR="00DD50A8" w:rsidRPr="008E6261" w:rsidRDefault="00DD50A8" w:rsidP="003E3E25">
            <w:pPr>
              <w:spacing w:before="0" w:after="0"/>
              <w:jc w:val="center"/>
              <w:rPr>
                <w:rFonts w:eastAsia="Calibri" w:cs="Arial"/>
                <w:b/>
                <w:lang w:eastAsia="en-US"/>
              </w:rPr>
            </w:pPr>
            <w:r>
              <w:rPr>
                <w:rFonts w:cs="Calibri"/>
                <w:b/>
                <w:bCs/>
                <w:color w:val="000000"/>
              </w:rPr>
              <w:t>140%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7E641997" w14:textId="77777777" w:rsidR="00DD50A8" w:rsidRPr="008E6261" w:rsidRDefault="00DD50A8" w:rsidP="003E3E25">
            <w:pPr>
              <w:spacing w:before="0" w:after="0"/>
              <w:jc w:val="center"/>
              <w:rPr>
                <w:rFonts w:eastAsia="Calibri" w:cs="Arial"/>
                <w:b/>
                <w:lang w:eastAsia="en-US"/>
              </w:rPr>
            </w:pPr>
            <w:r w:rsidRPr="008E6261">
              <w:rPr>
                <w:rFonts w:eastAsia="Calibri" w:cs="Arial"/>
                <w:b/>
                <w:lang w:eastAsia="en-US"/>
              </w:rPr>
              <w:t>No</w:t>
            </w:r>
          </w:p>
        </w:tc>
      </w:tr>
      <w:tr w:rsidR="00DD50A8" w:rsidRPr="00C9116A" w14:paraId="1AF9C042" w14:textId="77777777" w:rsidTr="003E3E25">
        <w:trPr>
          <w:trHeight w:val="59"/>
          <w:jc w:val="center"/>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9246419" w14:textId="77777777" w:rsidR="00DD50A8" w:rsidRPr="00C9116A" w:rsidRDefault="00DD50A8" w:rsidP="003E3E25">
            <w:pPr>
              <w:spacing w:before="0" w:after="0"/>
              <w:rPr>
                <w:rFonts w:eastAsia="Calibri" w:cs="Arial"/>
                <w:b/>
                <w:szCs w:val="22"/>
                <w:lang w:eastAsia="en-US"/>
              </w:rPr>
            </w:pPr>
            <w:r w:rsidRPr="007E29F8">
              <w:rPr>
                <w:rFonts w:cs="Arial"/>
                <w:color w:val="000000"/>
                <w:szCs w:val="18"/>
                <w:lang w:eastAsia="fr-FR"/>
              </w:rPr>
              <w:t>Infant (&lt;1 year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420B8FF" w14:textId="166188F1" w:rsidR="00DD50A8" w:rsidRPr="008E6261" w:rsidRDefault="00DD50A8" w:rsidP="003E3E25">
            <w:pPr>
              <w:spacing w:before="0" w:after="0"/>
              <w:jc w:val="center"/>
              <w:rPr>
                <w:rFonts w:eastAsia="Calibri" w:cs="Arial"/>
                <w:szCs w:val="22"/>
                <w:lang w:eastAsia="en-US"/>
              </w:rPr>
            </w:pPr>
            <w:r>
              <w:rPr>
                <w:rFonts w:eastAsia="Calibri" w:cs="Arial"/>
                <w:szCs w:val="22"/>
                <w:lang w:eastAsia="en-US"/>
              </w:rPr>
              <w:t>1</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665E508" w14:textId="77777777" w:rsidR="00DD50A8" w:rsidRPr="008E6261" w:rsidRDefault="00DD50A8" w:rsidP="003E3E25">
            <w:pPr>
              <w:spacing w:before="0" w:after="0"/>
              <w:jc w:val="center"/>
              <w:rPr>
                <w:rFonts w:eastAsia="Calibri" w:cs="Arial"/>
                <w:lang w:eastAsia="en-US"/>
              </w:rPr>
            </w:pPr>
            <w:r w:rsidRPr="008E6261">
              <w:rPr>
                <w:rFonts w:eastAsia="Calibri" w:cs="Arial"/>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0E1027F2" w14:textId="73B56F6D" w:rsidR="00DD50A8" w:rsidRPr="008E6261" w:rsidRDefault="00DD50A8" w:rsidP="003E3E25">
            <w:pPr>
              <w:spacing w:before="0" w:after="0"/>
              <w:jc w:val="center"/>
              <w:rPr>
                <w:rFonts w:eastAsia="Calibri" w:cs="Arial"/>
                <w:b/>
                <w:lang w:eastAsia="en-US"/>
              </w:rPr>
            </w:pPr>
            <w:r>
              <w:rPr>
                <w:rFonts w:cs="Calibri"/>
                <w:color w:val="000000"/>
              </w:rPr>
              <w:t>7.50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bottom"/>
          </w:tcPr>
          <w:p w14:paraId="1CD91FB2" w14:textId="77777777" w:rsidR="00DD50A8" w:rsidRPr="008E6261" w:rsidRDefault="00DD50A8" w:rsidP="003E3E25">
            <w:pPr>
              <w:spacing w:before="0" w:after="0"/>
              <w:jc w:val="center"/>
              <w:rPr>
                <w:rFonts w:eastAsia="Calibri" w:cs="Arial"/>
                <w:b/>
                <w:lang w:eastAsia="en-US"/>
              </w:rPr>
            </w:pPr>
            <w:r w:rsidRPr="008E6261">
              <w:rPr>
                <w:rFonts w:cs="Calibri"/>
                <w:color w:val="000000"/>
              </w:rPr>
              <w:t>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50A1ACA8" w14:textId="1BB6B7B4" w:rsidR="00DD50A8" w:rsidRPr="008E6261" w:rsidRDefault="00DD50A8" w:rsidP="003E3E25">
            <w:pPr>
              <w:spacing w:before="0" w:after="0"/>
              <w:jc w:val="center"/>
              <w:rPr>
                <w:rFonts w:eastAsia="Calibri" w:cs="Arial"/>
                <w:b/>
                <w:lang w:eastAsia="en-US"/>
              </w:rPr>
            </w:pPr>
            <w:r>
              <w:rPr>
                <w:rFonts w:cs="Calibri"/>
                <w:b/>
                <w:bCs/>
                <w:color w:val="000000"/>
              </w:rPr>
              <w:t>150%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65697D53" w14:textId="77777777" w:rsidR="00DD50A8" w:rsidRPr="008E6261" w:rsidRDefault="00DD50A8" w:rsidP="003E3E25">
            <w:pPr>
              <w:spacing w:before="0" w:after="0"/>
              <w:jc w:val="center"/>
              <w:rPr>
                <w:rFonts w:eastAsia="Calibri" w:cs="Arial"/>
                <w:b/>
                <w:lang w:eastAsia="en-US"/>
              </w:rPr>
            </w:pPr>
            <w:r w:rsidRPr="008E6261">
              <w:rPr>
                <w:rFonts w:eastAsia="Calibri" w:cs="Arial"/>
                <w:b/>
                <w:lang w:eastAsia="en-US"/>
              </w:rPr>
              <w:t>No</w:t>
            </w:r>
          </w:p>
        </w:tc>
      </w:tr>
    </w:tbl>
    <w:p w14:paraId="5ADD6B28"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p>
    <w:p w14:paraId="7B64B305" w14:textId="77777777" w:rsidR="001E65DB"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r w:rsidRPr="007E29F8">
        <w:rPr>
          <w:rFonts w:cs="Arial"/>
          <w:b/>
          <w:spacing w:val="1"/>
          <w:lang w:eastAsia="fr-FR"/>
        </w:rPr>
        <w:t>Co</w:t>
      </w:r>
      <w:r>
        <w:rPr>
          <w:rFonts w:cs="Arial"/>
          <w:b/>
          <w:spacing w:val="1"/>
          <w:lang w:eastAsia="fr-FR"/>
        </w:rPr>
        <w:t xml:space="preserve">mbined scenarios dust mites: during </w:t>
      </w:r>
      <w:r w:rsidRPr="007E29F8">
        <w:rPr>
          <w:rFonts w:cs="Arial"/>
          <w:b/>
          <w:spacing w:val="1"/>
          <w:lang w:eastAsia="fr-FR"/>
        </w:rPr>
        <w:t>application</w:t>
      </w:r>
      <w:r>
        <w:rPr>
          <w:rFonts w:cs="Arial"/>
          <w:b/>
          <w:spacing w:val="1"/>
          <w:lang w:eastAsia="fr-FR"/>
        </w:rPr>
        <w:t xml:space="preserve"> on bed linen [2] for adult only, inhalation to volatilised residues [5] </w:t>
      </w:r>
      <w:r w:rsidRPr="007E29F8">
        <w:rPr>
          <w:rFonts w:cs="Arial"/>
          <w:b/>
          <w:spacing w:val="1"/>
          <w:lang w:eastAsia="fr-FR"/>
        </w:rPr>
        <w:t xml:space="preserve">and </w:t>
      </w:r>
      <w:r>
        <w:rPr>
          <w:rFonts w:cs="Arial"/>
          <w:b/>
          <w:spacing w:val="1"/>
          <w:lang w:eastAsia="fr-FR"/>
        </w:rPr>
        <w:t xml:space="preserve">by </w:t>
      </w:r>
      <w:r w:rsidRPr="007E29F8">
        <w:rPr>
          <w:rFonts w:cs="Arial"/>
          <w:b/>
          <w:spacing w:val="1"/>
          <w:lang w:eastAsia="fr-FR"/>
        </w:rPr>
        <w:t xml:space="preserve">treated </w:t>
      </w:r>
      <w:r>
        <w:rPr>
          <w:rFonts w:cs="Arial"/>
          <w:b/>
          <w:spacing w:val="1"/>
          <w:lang w:eastAsia="fr-FR"/>
        </w:rPr>
        <w:t>bed linen [7b]</w:t>
      </w:r>
      <w:r w:rsidRPr="007E29F8">
        <w:rPr>
          <w:rFonts w:cs="Arial"/>
          <w:b/>
          <w:spacing w:val="1"/>
          <w:lang w:eastAsia="fr-FR"/>
        </w:rPr>
        <w:t>:</w:t>
      </w:r>
    </w:p>
    <w:p w14:paraId="6134D0AF" w14:textId="77777777" w:rsidR="001E65DB" w:rsidRDefault="001E65DB" w:rsidP="001E65DB">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p>
    <w:tbl>
      <w:tblPr>
        <w:tblW w:w="10485" w:type="dxa"/>
        <w:jc w:val="center"/>
        <w:tblCellMar>
          <w:left w:w="70" w:type="dxa"/>
          <w:right w:w="70" w:type="dxa"/>
        </w:tblCellMar>
        <w:tblLook w:val="04A0" w:firstRow="1" w:lastRow="0" w:firstColumn="1" w:lastColumn="0" w:noHBand="0" w:noVBand="1"/>
      </w:tblPr>
      <w:tblGrid>
        <w:gridCol w:w="3109"/>
        <w:gridCol w:w="577"/>
        <w:gridCol w:w="1002"/>
        <w:gridCol w:w="1264"/>
        <w:gridCol w:w="1343"/>
        <w:gridCol w:w="1551"/>
        <w:gridCol w:w="1639"/>
      </w:tblGrid>
      <w:tr w:rsidR="001E65DB" w:rsidRPr="00C9116A" w14:paraId="2AB4F291" w14:textId="77777777" w:rsidTr="004C342D">
        <w:trPr>
          <w:trHeight w:val="59"/>
          <w:jc w:val="center"/>
        </w:trPr>
        <w:tc>
          <w:tcPr>
            <w:tcW w:w="3109"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4236ABCE"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Task/ Scenario</w:t>
            </w:r>
          </w:p>
        </w:tc>
        <w:tc>
          <w:tcPr>
            <w:tcW w:w="577"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4669DCB2"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Tier</w:t>
            </w:r>
          </w:p>
        </w:tc>
        <w:tc>
          <w:tcPr>
            <w:tcW w:w="1002" w:type="dxa"/>
            <w:tcBorders>
              <w:top w:val="single" w:sz="8" w:space="0" w:color="auto"/>
              <w:left w:val="nil"/>
              <w:bottom w:val="single" w:sz="4" w:space="0" w:color="auto"/>
              <w:right w:val="single" w:sz="8" w:space="0" w:color="auto"/>
            </w:tcBorders>
            <w:shd w:val="clear" w:color="000000" w:fill="FFFFCC"/>
            <w:vAlign w:val="center"/>
            <w:hideMark/>
          </w:tcPr>
          <w:p w14:paraId="664470DA"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AEL mg/kg bw/d</w:t>
            </w:r>
          </w:p>
        </w:tc>
        <w:tc>
          <w:tcPr>
            <w:tcW w:w="1264" w:type="dxa"/>
            <w:tcBorders>
              <w:top w:val="single" w:sz="8" w:space="0" w:color="auto"/>
              <w:left w:val="nil"/>
              <w:bottom w:val="single" w:sz="4" w:space="0" w:color="auto"/>
              <w:right w:val="single" w:sz="8" w:space="0" w:color="auto"/>
            </w:tcBorders>
            <w:shd w:val="clear" w:color="000000" w:fill="FFFFCC"/>
            <w:vAlign w:val="center"/>
            <w:hideMark/>
          </w:tcPr>
          <w:p w14:paraId="6AAA5361"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Estimated uptake mg/kg bw/d</w:t>
            </w:r>
          </w:p>
        </w:tc>
        <w:tc>
          <w:tcPr>
            <w:tcW w:w="1343" w:type="dxa"/>
            <w:tcBorders>
              <w:top w:val="single" w:sz="8" w:space="0" w:color="auto"/>
              <w:left w:val="nil"/>
              <w:bottom w:val="single" w:sz="4" w:space="0" w:color="auto"/>
              <w:right w:val="single" w:sz="8" w:space="0" w:color="auto"/>
            </w:tcBorders>
            <w:shd w:val="clear" w:color="000000" w:fill="FFFFCC"/>
            <w:vAlign w:val="center"/>
            <w:hideMark/>
          </w:tcPr>
          <w:p w14:paraId="234D9791"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Estimated uptake/ AEL (%)</w:t>
            </w:r>
          </w:p>
        </w:tc>
        <w:tc>
          <w:tcPr>
            <w:tcW w:w="1551"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72BC5BA8"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 xml:space="preserve">Number of applications claimed </w:t>
            </w:r>
            <w:r w:rsidRPr="00C9116A">
              <w:rPr>
                <w:rFonts w:eastAsia="Calibri" w:cs="Arial"/>
                <w:b/>
                <w:i/>
                <w:szCs w:val="22"/>
                <w:lang w:eastAsia="en-US"/>
              </w:rPr>
              <w:t>(on skin)</w:t>
            </w:r>
          </w:p>
        </w:tc>
        <w:tc>
          <w:tcPr>
            <w:tcW w:w="1639" w:type="dxa"/>
            <w:tcBorders>
              <w:top w:val="single" w:sz="8" w:space="0" w:color="auto"/>
              <w:left w:val="nil"/>
              <w:bottom w:val="single" w:sz="4" w:space="0" w:color="auto"/>
              <w:right w:val="single" w:sz="8" w:space="0" w:color="auto"/>
            </w:tcBorders>
            <w:shd w:val="clear" w:color="000000" w:fill="FFFFCC"/>
            <w:vAlign w:val="center"/>
            <w:hideMark/>
          </w:tcPr>
          <w:p w14:paraId="3F152EE6" w14:textId="77777777" w:rsidR="001E65DB" w:rsidRPr="00C9116A" w:rsidRDefault="001E65DB" w:rsidP="001E65DB">
            <w:pPr>
              <w:spacing w:before="0" w:after="0"/>
              <w:jc w:val="both"/>
              <w:rPr>
                <w:rFonts w:eastAsia="Calibri" w:cs="Arial"/>
                <w:b/>
                <w:szCs w:val="22"/>
                <w:lang w:eastAsia="en-US"/>
              </w:rPr>
            </w:pPr>
            <w:r w:rsidRPr="00C9116A">
              <w:rPr>
                <w:rFonts w:eastAsia="Calibri" w:cs="Arial"/>
                <w:b/>
                <w:szCs w:val="22"/>
                <w:lang w:eastAsia="en-US"/>
              </w:rPr>
              <w:t>Acceptable (yes/no)</w:t>
            </w:r>
          </w:p>
        </w:tc>
      </w:tr>
      <w:tr w:rsidR="001E65DB" w:rsidRPr="00C9116A" w14:paraId="28C35A0E"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ACA6350" w14:textId="77777777" w:rsidR="001E65DB" w:rsidRPr="00C9116A" w:rsidRDefault="001E65DB" w:rsidP="00DD50A8">
            <w:pPr>
              <w:spacing w:before="0" w:after="0"/>
              <w:rPr>
                <w:rFonts w:eastAsia="Calibri" w:cs="Arial"/>
                <w:b/>
                <w:szCs w:val="22"/>
                <w:lang w:eastAsia="en-US"/>
              </w:rPr>
            </w:pPr>
            <w:r w:rsidRPr="007E29F8">
              <w:rPr>
                <w:rFonts w:cs="Arial"/>
                <w:color w:val="000000"/>
                <w:szCs w:val="18"/>
                <w:lang w:eastAsia="fr-FR"/>
              </w:rPr>
              <w:t>Adult</w:t>
            </w:r>
            <w:r>
              <w:rPr>
                <w:rFonts w:cs="Arial"/>
                <w:color w:val="000000"/>
                <w:szCs w:val="18"/>
                <w:lang w:eastAsia="fr-FR"/>
              </w:rPr>
              <w:t xml:space="preserve"> (1 application)</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150EE92" w14:textId="77777777" w:rsidR="001E65DB" w:rsidRPr="008E6261" w:rsidRDefault="001E65DB" w:rsidP="004C342D">
            <w:pPr>
              <w:spacing w:before="0" w:after="0"/>
              <w:jc w:val="center"/>
              <w:rPr>
                <w:rFonts w:eastAsia="Calibri" w:cs="Arial"/>
                <w:szCs w:val="22"/>
                <w:lang w:eastAsia="en-US"/>
              </w:rPr>
            </w:pPr>
            <w:r w:rsidRPr="008E6261">
              <w:rPr>
                <w:rFonts w:eastAsia="Calibri" w:cs="Arial"/>
                <w:szCs w:val="22"/>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8DD3047" w14:textId="77777777" w:rsidR="001E65DB" w:rsidRPr="008E6261" w:rsidRDefault="001E65DB" w:rsidP="004C342D">
            <w:pPr>
              <w:spacing w:before="0" w:after="0"/>
              <w:jc w:val="center"/>
              <w:rPr>
                <w:rFonts w:eastAsia="Calibri" w:cs="Arial"/>
                <w:szCs w:val="22"/>
                <w:lang w:eastAsia="en-US"/>
              </w:rPr>
            </w:pPr>
            <w:r w:rsidRPr="008E6261">
              <w:rPr>
                <w:rFonts w:eastAsia="Calibri" w:cs="Arial"/>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3891FA72" w14:textId="6F1AAE3C" w:rsidR="001E65DB" w:rsidRPr="008E6261" w:rsidRDefault="001E65DB" w:rsidP="004C342D">
            <w:pPr>
              <w:spacing w:before="0" w:after="0"/>
              <w:jc w:val="center"/>
              <w:rPr>
                <w:rFonts w:eastAsia="Calibri" w:cs="Arial"/>
                <w:b/>
                <w:lang w:eastAsia="en-US"/>
              </w:rPr>
            </w:pPr>
            <w:r w:rsidRPr="008E6261">
              <w:rPr>
                <w:rFonts w:cs="Calibri"/>
                <w:color w:val="000000"/>
              </w:rPr>
              <w:t>2</w:t>
            </w:r>
            <w:r w:rsidR="004C342D" w:rsidRPr="008E6261">
              <w:rPr>
                <w:rFonts w:cs="Calibri"/>
                <w:color w:val="000000"/>
              </w:rPr>
              <w:t>.</w:t>
            </w:r>
            <w:r w:rsidRPr="008E6261">
              <w:rPr>
                <w:rFonts w:cs="Calibri"/>
                <w:color w:val="000000"/>
              </w:rPr>
              <w:t>58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5341BB68" w14:textId="77777777" w:rsidR="001E65DB" w:rsidRPr="008E6261" w:rsidRDefault="001E65DB" w:rsidP="004C342D">
            <w:pPr>
              <w:spacing w:before="0" w:after="0"/>
              <w:jc w:val="center"/>
              <w:rPr>
                <w:rFonts w:eastAsia="Calibri" w:cs="Arial"/>
                <w:b/>
                <w:lang w:eastAsia="en-US"/>
              </w:rPr>
            </w:pPr>
            <w:r w:rsidRPr="008E6261">
              <w:rPr>
                <w:rFonts w:cs="Calibri"/>
                <w:color w:val="000000"/>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14:paraId="1BBF7660" w14:textId="2099BE81" w:rsidR="001E65DB" w:rsidRPr="008E6261" w:rsidRDefault="001E65DB" w:rsidP="004C342D">
            <w:pPr>
              <w:spacing w:before="0" w:after="0"/>
              <w:jc w:val="center"/>
              <w:rPr>
                <w:rFonts w:eastAsia="Calibri" w:cs="Arial"/>
                <w:b/>
                <w:lang w:eastAsia="en-US"/>
              </w:rPr>
            </w:pPr>
            <w:r w:rsidRPr="008E6261">
              <w:rPr>
                <w:rFonts w:cs="Calibri"/>
                <w:color w:val="000000"/>
              </w:rPr>
              <w:t>5</w:t>
            </w:r>
            <w:r w:rsidR="008E6261" w:rsidRPr="008E6261">
              <w:rPr>
                <w:rFonts w:cs="Calibri"/>
                <w:color w:val="000000"/>
              </w:rPr>
              <w:t>1.6</w:t>
            </w:r>
            <w:r w:rsidRPr="008E6261">
              <w:rPr>
                <w:rFonts w:cs="Calibri"/>
                <w:color w:val="000000"/>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B2D0271" w14:textId="77777777" w:rsidR="001E65DB" w:rsidRPr="008E6261" w:rsidRDefault="001E65DB" w:rsidP="004C342D">
            <w:pPr>
              <w:spacing w:before="0" w:after="0"/>
              <w:jc w:val="center"/>
              <w:rPr>
                <w:rFonts w:eastAsia="Calibri" w:cs="Arial"/>
                <w:lang w:eastAsia="en-US"/>
              </w:rPr>
            </w:pPr>
            <w:r w:rsidRPr="008E6261">
              <w:rPr>
                <w:rFonts w:eastAsia="Calibri" w:cs="Arial"/>
                <w:lang w:eastAsia="en-US"/>
              </w:rPr>
              <w:t>Yes</w:t>
            </w:r>
          </w:p>
        </w:tc>
      </w:tr>
      <w:tr w:rsidR="001E65DB" w:rsidRPr="00C9116A" w14:paraId="4D87DE67"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9629CFB" w14:textId="77777777" w:rsidR="001E65DB" w:rsidRPr="00C9116A" w:rsidRDefault="001E65DB" w:rsidP="00DD50A8">
            <w:pPr>
              <w:spacing w:before="0" w:after="0"/>
              <w:rPr>
                <w:rFonts w:eastAsia="Calibri" w:cs="Arial"/>
                <w:b/>
                <w:szCs w:val="22"/>
                <w:lang w:eastAsia="en-US"/>
              </w:rPr>
            </w:pPr>
            <w:r w:rsidRPr="007E29F8">
              <w:rPr>
                <w:rFonts w:cs="Arial"/>
                <w:color w:val="000000"/>
                <w:szCs w:val="18"/>
                <w:lang w:eastAsia="fr-FR"/>
              </w:rPr>
              <w:t>Child (6 to &lt;12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72D377B" w14:textId="77777777" w:rsidR="001E65DB" w:rsidRPr="008E6261" w:rsidRDefault="001E65DB" w:rsidP="004C342D">
            <w:pPr>
              <w:spacing w:before="0" w:after="0"/>
              <w:jc w:val="center"/>
              <w:rPr>
                <w:rFonts w:eastAsia="Calibri" w:cs="Arial"/>
                <w:szCs w:val="22"/>
                <w:lang w:eastAsia="en-US"/>
              </w:rPr>
            </w:pPr>
            <w:r w:rsidRPr="008E6261">
              <w:rPr>
                <w:rFonts w:eastAsia="Calibri" w:cs="Arial"/>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6CB62B8B" w14:textId="77777777" w:rsidR="001E65DB" w:rsidRPr="008E6261" w:rsidRDefault="001E65DB" w:rsidP="004C342D">
            <w:pPr>
              <w:spacing w:before="0" w:after="0"/>
              <w:jc w:val="center"/>
              <w:rPr>
                <w:rFonts w:eastAsia="Calibri" w:cs="Arial"/>
                <w:szCs w:val="22"/>
                <w:lang w:eastAsia="en-US"/>
              </w:rPr>
            </w:pPr>
            <w:r w:rsidRPr="008E6261">
              <w:rPr>
                <w:rFonts w:eastAsia="Calibri" w:cs="Arial"/>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23B166BD" w14:textId="43517120" w:rsidR="001E65DB" w:rsidRPr="008E6261" w:rsidRDefault="001E65DB" w:rsidP="004C342D">
            <w:pPr>
              <w:spacing w:before="0" w:after="0"/>
              <w:jc w:val="center"/>
              <w:rPr>
                <w:rFonts w:eastAsia="Calibri" w:cs="Arial"/>
                <w:b/>
                <w:lang w:eastAsia="en-US"/>
              </w:rPr>
            </w:pPr>
            <w:r w:rsidRPr="008E6261">
              <w:rPr>
                <w:rFonts w:cs="Calibri"/>
                <w:color w:val="000000"/>
              </w:rPr>
              <w:t>3</w:t>
            </w:r>
            <w:r w:rsidR="004C342D" w:rsidRPr="008E6261">
              <w:rPr>
                <w:rFonts w:cs="Calibri"/>
                <w:color w:val="000000"/>
              </w:rPr>
              <w:t>.</w:t>
            </w:r>
            <w:r w:rsidRPr="008E6261">
              <w:rPr>
                <w:rFonts w:cs="Calibri"/>
                <w:color w:val="000000"/>
              </w:rPr>
              <w:t>30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67BF2238" w14:textId="77777777" w:rsidR="001E65DB" w:rsidRPr="008E6261" w:rsidRDefault="001E65DB" w:rsidP="004C342D">
            <w:pPr>
              <w:spacing w:before="0" w:after="0"/>
              <w:jc w:val="center"/>
              <w:rPr>
                <w:rFonts w:eastAsia="Calibri" w:cs="Arial"/>
                <w:b/>
                <w:lang w:eastAsia="en-US"/>
              </w:rPr>
            </w:pPr>
            <w:r w:rsidRPr="008E6261">
              <w:rPr>
                <w:rFonts w:cs="Calibri"/>
                <w:color w:val="000000"/>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14:paraId="2A90BC13" w14:textId="2553813B" w:rsidR="001E65DB" w:rsidRPr="008E6261" w:rsidRDefault="001E65DB" w:rsidP="004C342D">
            <w:pPr>
              <w:spacing w:before="0" w:after="0"/>
              <w:jc w:val="center"/>
              <w:rPr>
                <w:rFonts w:eastAsia="Calibri" w:cs="Arial"/>
                <w:b/>
                <w:lang w:eastAsia="en-US"/>
              </w:rPr>
            </w:pPr>
            <w:r w:rsidRPr="008E6261">
              <w:rPr>
                <w:rFonts w:cs="Calibri"/>
                <w:color w:val="000000"/>
              </w:rPr>
              <w:t>66</w:t>
            </w:r>
            <w:r w:rsidR="008E6261" w:rsidRPr="008E6261">
              <w:rPr>
                <w:rFonts w:cs="Calibri"/>
                <w:color w:val="000000"/>
              </w:rPr>
              <w:t>.0</w:t>
            </w:r>
            <w:r w:rsidRPr="008E6261">
              <w:rPr>
                <w:rFonts w:cs="Calibri"/>
                <w:color w:val="000000"/>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D8BF6CD" w14:textId="77777777" w:rsidR="001E65DB" w:rsidRPr="008E6261" w:rsidRDefault="001E65DB" w:rsidP="004C342D">
            <w:pPr>
              <w:spacing w:before="0" w:after="0"/>
              <w:jc w:val="center"/>
              <w:rPr>
                <w:rFonts w:eastAsia="Calibri" w:cs="Arial"/>
                <w:lang w:eastAsia="en-US"/>
              </w:rPr>
            </w:pPr>
            <w:r w:rsidRPr="008E6261">
              <w:rPr>
                <w:rFonts w:eastAsia="Calibri" w:cs="Arial"/>
                <w:lang w:eastAsia="en-US"/>
              </w:rPr>
              <w:t>Yes</w:t>
            </w:r>
          </w:p>
        </w:tc>
      </w:tr>
      <w:tr w:rsidR="001E65DB" w:rsidRPr="00C9116A" w14:paraId="77CF3A3C"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06BFDA4" w14:textId="77777777" w:rsidR="001E65DB" w:rsidRPr="00C9116A" w:rsidRDefault="001E65DB" w:rsidP="00DD50A8">
            <w:pPr>
              <w:spacing w:before="0" w:after="0"/>
              <w:rPr>
                <w:rFonts w:eastAsia="Calibri" w:cs="Arial"/>
                <w:b/>
                <w:szCs w:val="22"/>
                <w:lang w:eastAsia="en-US"/>
              </w:rPr>
            </w:pPr>
            <w:r w:rsidRPr="007E29F8">
              <w:rPr>
                <w:rFonts w:cs="Arial"/>
                <w:color w:val="000000"/>
                <w:szCs w:val="18"/>
                <w:lang w:eastAsia="fr-FR"/>
              </w:rPr>
              <w:t>Child (2 to &lt;6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9EE6FD1" w14:textId="77777777" w:rsidR="001E65DB" w:rsidRPr="008E6261" w:rsidRDefault="001E65DB" w:rsidP="004C342D">
            <w:pPr>
              <w:spacing w:before="0" w:after="0"/>
              <w:jc w:val="center"/>
              <w:rPr>
                <w:rFonts w:eastAsia="Calibri" w:cs="Arial"/>
                <w:szCs w:val="22"/>
                <w:lang w:eastAsia="en-US"/>
              </w:rPr>
            </w:pPr>
            <w:r w:rsidRPr="008E6261">
              <w:rPr>
                <w:rFonts w:eastAsia="Calibri" w:cs="Arial"/>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4B448CDA" w14:textId="77777777" w:rsidR="001E65DB" w:rsidRPr="008E6261" w:rsidRDefault="001E65DB" w:rsidP="004C342D">
            <w:pPr>
              <w:spacing w:before="0" w:after="0"/>
              <w:jc w:val="center"/>
              <w:rPr>
                <w:rFonts w:eastAsia="Calibri" w:cs="Arial"/>
                <w:szCs w:val="22"/>
                <w:lang w:eastAsia="en-US"/>
              </w:rPr>
            </w:pPr>
            <w:r w:rsidRPr="008E6261">
              <w:rPr>
                <w:rFonts w:eastAsia="Calibri" w:cs="Arial"/>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1FDC5EA4" w14:textId="35297CDB" w:rsidR="001E65DB" w:rsidRPr="008E6261" w:rsidRDefault="001E65DB" w:rsidP="004C342D">
            <w:pPr>
              <w:spacing w:before="0" w:after="0"/>
              <w:jc w:val="center"/>
              <w:rPr>
                <w:rFonts w:eastAsia="Calibri" w:cs="Arial"/>
                <w:b/>
                <w:lang w:eastAsia="en-US"/>
              </w:rPr>
            </w:pPr>
            <w:r w:rsidRPr="008E6261">
              <w:rPr>
                <w:rFonts w:cs="Calibri"/>
                <w:color w:val="000000"/>
              </w:rPr>
              <w:t>3</w:t>
            </w:r>
            <w:r w:rsidR="004C342D" w:rsidRPr="008E6261">
              <w:rPr>
                <w:rFonts w:cs="Calibri"/>
                <w:color w:val="000000"/>
              </w:rPr>
              <w:t>.</w:t>
            </w:r>
            <w:r w:rsidRPr="008E6261">
              <w:rPr>
                <w:rFonts w:cs="Calibri"/>
                <w:color w:val="000000"/>
              </w:rPr>
              <w:t>75</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64276C14" w14:textId="77777777" w:rsidR="001E65DB" w:rsidRPr="008E6261" w:rsidRDefault="001E65DB" w:rsidP="004C342D">
            <w:pPr>
              <w:spacing w:before="0" w:after="0"/>
              <w:jc w:val="center"/>
              <w:rPr>
                <w:rFonts w:eastAsia="Calibri" w:cs="Arial"/>
                <w:b/>
                <w:lang w:eastAsia="en-US"/>
              </w:rPr>
            </w:pPr>
            <w:r w:rsidRPr="008E6261">
              <w:rPr>
                <w:rFonts w:cs="Calibri"/>
                <w:color w:val="000000"/>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14:paraId="576A2570" w14:textId="48E0611D" w:rsidR="001E65DB" w:rsidRPr="008E6261" w:rsidRDefault="001E65DB" w:rsidP="004C342D">
            <w:pPr>
              <w:spacing w:before="0" w:after="0"/>
              <w:jc w:val="center"/>
              <w:rPr>
                <w:rFonts w:eastAsia="Calibri" w:cs="Arial"/>
                <w:b/>
                <w:lang w:eastAsia="en-US"/>
              </w:rPr>
            </w:pPr>
            <w:r w:rsidRPr="008E6261">
              <w:rPr>
                <w:rFonts w:cs="Calibri"/>
                <w:color w:val="000000"/>
              </w:rPr>
              <w:t>7</w:t>
            </w:r>
            <w:r w:rsidR="008E6261" w:rsidRPr="008E6261">
              <w:rPr>
                <w:rFonts w:cs="Calibri"/>
                <w:color w:val="000000"/>
              </w:rPr>
              <w:t>4.9</w:t>
            </w:r>
            <w:r w:rsidRPr="008E6261">
              <w:rPr>
                <w:rFonts w:cs="Calibri"/>
                <w:color w:val="000000"/>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E2B224A" w14:textId="77777777" w:rsidR="001E65DB" w:rsidRPr="008E6261" w:rsidRDefault="001E65DB" w:rsidP="004C342D">
            <w:pPr>
              <w:spacing w:before="0" w:after="0"/>
              <w:jc w:val="center"/>
              <w:rPr>
                <w:rFonts w:eastAsia="Calibri" w:cs="Arial"/>
                <w:lang w:eastAsia="en-US"/>
              </w:rPr>
            </w:pPr>
            <w:r w:rsidRPr="008E6261">
              <w:rPr>
                <w:rFonts w:eastAsia="Calibri" w:cs="Arial"/>
                <w:lang w:eastAsia="en-US"/>
              </w:rPr>
              <w:t>Yes</w:t>
            </w:r>
          </w:p>
        </w:tc>
      </w:tr>
      <w:tr w:rsidR="001E65DB" w:rsidRPr="00C9116A" w14:paraId="1619DF90"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3FA0954" w14:textId="77777777" w:rsidR="001E65DB" w:rsidRPr="00C9116A" w:rsidRDefault="001E65DB" w:rsidP="00DD50A8">
            <w:pPr>
              <w:spacing w:before="0" w:after="0"/>
              <w:rPr>
                <w:rFonts w:eastAsia="Calibri" w:cs="Arial"/>
                <w:b/>
                <w:szCs w:val="22"/>
                <w:lang w:eastAsia="en-US"/>
              </w:rPr>
            </w:pPr>
            <w:r w:rsidRPr="007E29F8">
              <w:rPr>
                <w:rFonts w:cs="Arial"/>
                <w:color w:val="000000"/>
                <w:szCs w:val="18"/>
                <w:lang w:eastAsia="fr-FR"/>
              </w:rPr>
              <w:t>Toddler (1 to &lt;2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A44CD56" w14:textId="77777777" w:rsidR="001E65DB" w:rsidRPr="008E6261" w:rsidRDefault="001E65DB" w:rsidP="004C342D">
            <w:pPr>
              <w:spacing w:before="0" w:after="0"/>
              <w:jc w:val="center"/>
              <w:rPr>
                <w:rFonts w:eastAsia="Calibri" w:cs="Arial"/>
                <w:szCs w:val="22"/>
                <w:lang w:eastAsia="en-US"/>
              </w:rPr>
            </w:pPr>
            <w:r w:rsidRPr="008E6261">
              <w:rPr>
                <w:rFonts w:eastAsia="Calibri" w:cs="Arial"/>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C860C5A" w14:textId="77777777" w:rsidR="001E65DB" w:rsidRPr="008E6261" w:rsidRDefault="001E65DB" w:rsidP="004C342D">
            <w:pPr>
              <w:spacing w:before="0" w:after="0"/>
              <w:jc w:val="center"/>
              <w:rPr>
                <w:rFonts w:eastAsia="Calibri" w:cs="Arial"/>
                <w:szCs w:val="22"/>
                <w:lang w:eastAsia="en-US"/>
              </w:rPr>
            </w:pPr>
            <w:r w:rsidRPr="008E6261">
              <w:rPr>
                <w:rFonts w:eastAsia="Calibri" w:cs="Arial"/>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0D947D57" w14:textId="61D6C063" w:rsidR="001E65DB" w:rsidRPr="008E6261" w:rsidRDefault="001E65DB" w:rsidP="004C342D">
            <w:pPr>
              <w:spacing w:before="0" w:after="0"/>
              <w:jc w:val="center"/>
              <w:rPr>
                <w:rFonts w:eastAsia="Calibri" w:cs="Arial"/>
                <w:b/>
                <w:lang w:eastAsia="en-US"/>
              </w:rPr>
            </w:pPr>
            <w:r w:rsidRPr="008E6261">
              <w:rPr>
                <w:rFonts w:cs="Calibri"/>
                <w:color w:val="000000"/>
              </w:rPr>
              <w:t>4</w:t>
            </w:r>
            <w:r w:rsidR="004C342D" w:rsidRPr="008E6261">
              <w:rPr>
                <w:rFonts w:cs="Calibri"/>
                <w:color w:val="000000"/>
              </w:rPr>
              <w:t>.</w:t>
            </w:r>
            <w:r w:rsidRPr="008E6261">
              <w:rPr>
                <w:rFonts w:cs="Calibri"/>
                <w:color w:val="000000"/>
              </w:rPr>
              <w:t>14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14991F44" w14:textId="77777777" w:rsidR="001E65DB" w:rsidRPr="008E6261" w:rsidRDefault="001E65DB" w:rsidP="004C342D">
            <w:pPr>
              <w:spacing w:before="0" w:after="0"/>
              <w:jc w:val="center"/>
              <w:rPr>
                <w:rFonts w:eastAsia="Calibri" w:cs="Arial"/>
                <w:b/>
                <w:lang w:eastAsia="en-US"/>
              </w:rPr>
            </w:pPr>
            <w:r w:rsidRPr="008E6261">
              <w:rPr>
                <w:rFonts w:cs="Calibri"/>
                <w:color w:val="000000"/>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14:paraId="51513112" w14:textId="46CDEF54" w:rsidR="001E65DB" w:rsidRPr="008E6261" w:rsidRDefault="001E65DB" w:rsidP="004C342D">
            <w:pPr>
              <w:spacing w:before="0" w:after="0"/>
              <w:jc w:val="center"/>
              <w:rPr>
                <w:rFonts w:eastAsia="Calibri" w:cs="Arial"/>
                <w:b/>
                <w:lang w:eastAsia="en-US"/>
              </w:rPr>
            </w:pPr>
            <w:r w:rsidRPr="008E6261">
              <w:rPr>
                <w:rFonts w:cs="Calibri"/>
                <w:color w:val="000000"/>
              </w:rPr>
              <w:t>8</w:t>
            </w:r>
            <w:r w:rsidR="008E6261" w:rsidRPr="008E6261">
              <w:rPr>
                <w:rFonts w:cs="Calibri"/>
                <w:color w:val="000000"/>
              </w:rPr>
              <w:t>2.8</w:t>
            </w:r>
            <w:r w:rsidRPr="008E6261">
              <w:rPr>
                <w:rFonts w:cs="Calibri"/>
                <w:color w:val="000000"/>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2D45050" w14:textId="77777777" w:rsidR="001E65DB" w:rsidRPr="008E6261" w:rsidRDefault="001E65DB" w:rsidP="004C342D">
            <w:pPr>
              <w:spacing w:before="0" w:after="0"/>
              <w:jc w:val="center"/>
              <w:rPr>
                <w:rFonts w:eastAsia="Calibri" w:cs="Arial"/>
                <w:lang w:eastAsia="en-US"/>
              </w:rPr>
            </w:pPr>
            <w:r w:rsidRPr="008E6261">
              <w:rPr>
                <w:rFonts w:eastAsia="Calibri" w:cs="Arial"/>
                <w:lang w:eastAsia="en-US"/>
              </w:rPr>
              <w:t>Yes</w:t>
            </w:r>
          </w:p>
        </w:tc>
      </w:tr>
      <w:tr w:rsidR="001E65DB" w:rsidRPr="00C9116A" w14:paraId="634D2E6B"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9A24A43" w14:textId="77777777" w:rsidR="001E65DB" w:rsidRPr="00C9116A" w:rsidRDefault="001E65DB" w:rsidP="00DD50A8">
            <w:pPr>
              <w:spacing w:before="0" w:after="0"/>
              <w:rPr>
                <w:rFonts w:eastAsia="Calibri" w:cs="Arial"/>
                <w:b/>
                <w:szCs w:val="22"/>
                <w:lang w:eastAsia="en-US"/>
              </w:rPr>
            </w:pPr>
            <w:r w:rsidRPr="007E29F8">
              <w:rPr>
                <w:rFonts w:cs="Arial"/>
                <w:color w:val="000000"/>
                <w:szCs w:val="18"/>
                <w:lang w:eastAsia="fr-FR"/>
              </w:rPr>
              <w:t>Infant (&lt;1 year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6207D9F5" w14:textId="77777777" w:rsidR="001E65DB" w:rsidRPr="008E6261" w:rsidRDefault="001E65DB" w:rsidP="004C342D">
            <w:pPr>
              <w:spacing w:before="0" w:after="0"/>
              <w:jc w:val="center"/>
              <w:rPr>
                <w:rFonts w:eastAsia="Calibri" w:cs="Arial"/>
                <w:szCs w:val="22"/>
                <w:lang w:eastAsia="en-US"/>
              </w:rPr>
            </w:pPr>
            <w:r w:rsidRPr="008E6261">
              <w:rPr>
                <w:rFonts w:eastAsia="Calibri" w:cs="Arial"/>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62418250" w14:textId="77777777" w:rsidR="001E65DB" w:rsidRPr="008E6261" w:rsidRDefault="001E65DB" w:rsidP="004C342D">
            <w:pPr>
              <w:spacing w:before="0" w:after="0"/>
              <w:jc w:val="center"/>
              <w:rPr>
                <w:rFonts w:eastAsia="Calibri" w:cs="Arial"/>
                <w:szCs w:val="22"/>
                <w:lang w:eastAsia="en-US"/>
              </w:rPr>
            </w:pPr>
            <w:r w:rsidRPr="008E6261">
              <w:rPr>
                <w:rFonts w:eastAsia="Calibri" w:cs="Arial"/>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06313000" w14:textId="7E03609B" w:rsidR="001E65DB" w:rsidRPr="008E6261" w:rsidRDefault="001E65DB" w:rsidP="004C342D">
            <w:pPr>
              <w:spacing w:before="0" w:after="0"/>
              <w:jc w:val="center"/>
              <w:rPr>
                <w:rFonts w:eastAsia="Calibri" w:cs="Arial"/>
                <w:b/>
                <w:lang w:eastAsia="en-US"/>
              </w:rPr>
            </w:pPr>
            <w:r w:rsidRPr="008E6261">
              <w:rPr>
                <w:rFonts w:cs="Calibri"/>
                <w:color w:val="000000"/>
              </w:rPr>
              <w:t>4</w:t>
            </w:r>
            <w:r w:rsidR="004C342D" w:rsidRPr="008E6261">
              <w:rPr>
                <w:rFonts w:cs="Calibri"/>
                <w:color w:val="000000"/>
              </w:rPr>
              <w:t>.</w:t>
            </w:r>
            <w:r w:rsidRPr="008E6261">
              <w:rPr>
                <w:rFonts w:cs="Calibri"/>
                <w:color w:val="000000"/>
              </w:rPr>
              <w:t>39</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280B29EC" w14:textId="77777777" w:rsidR="001E65DB" w:rsidRPr="008E6261" w:rsidRDefault="001E65DB" w:rsidP="004C342D">
            <w:pPr>
              <w:spacing w:before="0" w:after="0"/>
              <w:jc w:val="center"/>
              <w:rPr>
                <w:rFonts w:eastAsia="Calibri" w:cs="Arial"/>
                <w:b/>
                <w:lang w:eastAsia="en-US"/>
              </w:rPr>
            </w:pPr>
            <w:r w:rsidRPr="008E6261">
              <w:rPr>
                <w:rFonts w:cs="Calibri"/>
                <w:color w:val="000000"/>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14:paraId="4F5405DF" w14:textId="629AA6AB" w:rsidR="001E65DB" w:rsidRPr="008E6261" w:rsidRDefault="001E65DB" w:rsidP="004C342D">
            <w:pPr>
              <w:spacing w:before="0" w:after="0"/>
              <w:jc w:val="center"/>
              <w:rPr>
                <w:rFonts w:eastAsia="Calibri" w:cs="Arial"/>
                <w:b/>
                <w:lang w:eastAsia="en-US"/>
              </w:rPr>
            </w:pPr>
            <w:r w:rsidRPr="008E6261">
              <w:rPr>
                <w:rFonts w:cs="Calibri"/>
                <w:color w:val="000000"/>
              </w:rPr>
              <w:t>8</w:t>
            </w:r>
            <w:r w:rsidR="008E6261" w:rsidRPr="008E6261">
              <w:rPr>
                <w:rFonts w:cs="Calibri"/>
                <w:color w:val="000000"/>
              </w:rPr>
              <w:t>7.9</w:t>
            </w:r>
            <w:r w:rsidRPr="008E6261">
              <w:rPr>
                <w:rFonts w:cs="Calibri"/>
                <w:color w:val="000000"/>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5720C42" w14:textId="77777777" w:rsidR="001E65DB" w:rsidRPr="008E6261" w:rsidRDefault="001E65DB" w:rsidP="004C342D">
            <w:pPr>
              <w:spacing w:before="0" w:after="0"/>
              <w:jc w:val="center"/>
              <w:rPr>
                <w:rFonts w:eastAsia="Calibri" w:cs="Arial"/>
                <w:lang w:eastAsia="en-US"/>
              </w:rPr>
            </w:pPr>
            <w:r w:rsidRPr="008E6261">
              <w:rPr>
                <w:rFonts w:eastAsia="Calibri" w:cs="Arial"/>
                <w:lang w:eastAsia="en-US"/>
              </w:rPr>
              <w:t>Yes</w:t>
            </w:r>
          </w:p>
        </w:tc>
      </w:tr>
    </w:tbl>
    <w:p w14:paraId="31D5D2BD" w14:textId="77777777" w:rsidR="003977F7" w:rsidRDefault="003977F7" w:rsidP="003E3E25">
      <w:pPr>
        <w:widowControl w:val="0"/>
        <w:kinsoku w:val="0"/>
        <w:overflowPunct w:val="0"/>
        <w:autoSpaceDE w:val="0"/>
        <w:autoSpaceDN w:val="0"/>
        <w:adjustRightInd w:val="0"/>
        <w:spacing w:before="292" w:after="0" w:line="290" w:lineRule="exact"/>
        <w:ind w:right="216"/>
        <w:jc w:val="both"/>
        <w:textAlignment w:val="baseline"/>
        <w:rPr>
          <w:rFonts w:cs="Arial"/>
          <w:spacing w:val="1"/>
          <w:lang w:eastAsia="fr-FR"/>
        </w:rPr>
      </w:pPr>
    </w:p>
    <w:p w14:paraId="7CB1206B" w14:textId="77777777" w:rsidR="001E65DB" w:rsidRPr="007E29F8" w:rsidRDefault="001E65DB" w:rsidP="003E3E25">
      <w:pPr>
        <w:widowControl w:val="0"/>
        <w:kinsoku w:val="0"/>
        <w:overflowPunct w:val="0"/>
        <w:autoSpaceDE w:val="0"/>
        <w:autoSpaceDN w:val="0"/>
        <w:adjustRightInd w:val="0"/>
        <w:spacing w:before="0" w:after="0"/>
        <w:ind w:right="216"/>
        <w:jc w:val="both"/>
        <w:textAlignment w:val="baseline"/>
        <w:rPr>
          <w:rFonts w:cs="Arial"/>
          <w:i/>
          <w:spacing w:val="1"/>
          <w:sz w:val="22"/>
          <w:u w:val="single"/>
          <w:lang w:eastAsia="fr-FR"/>
        </w:rPr>
      </w:pPr>
      <w:r w:rsidRPr="007E29F8">
        <w:rPr>
          <w:rFonts w:cs="Arial"/>
          <w:i/>
          <w:spacing w:val="1"/>
          <w:sz w:val="22"/>
          <w:u w:val="single"/>
          <w:lang w:eastAsia="fr-FR"/>
        </w:rPr>
        <w:t>Conclusion</w:t>
      </w:r>
    </w:p>
    <w:p w14:paraId="3235B404"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sidRPr="007E29F8">
        <w:rPr>
          <w:rFonts w:cs="Arial"/>
          <w:spacing w:val="1"/>
          <w:lang w:eastAsia="fr-FR"/>
        </w:rPr>
        <w:t>The conclusions on human health are the following:</w:t>
      </w:r>
    </w:p>
    <w:p w14:paraId="5147BCC4"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rFonts w:cs="Arial"/>
          <w:b/>
          <w:spacing w:val="1"/>
          <w:lang w:eastAsia="fr-FR"/>
        </w:rPr>
      </w:pPr>
    </w:p>
    <w:p w14:paraId="482197B3"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rFonts w:cs="Arial"/>
          <w:b/>
          <w:spacing w:val="1"/>
          <w:lang w:eastAsia="fr-FR"/>
        </w:rPr>
      </w:pPr>
      <w:r w:rsidRPr="007E29F8">
        <w:rPr>
          <w:rFonts w:cs="Arial"/>
          <w:b/>
          <w:spacing w:val="1"/>
          <w:lang w:eastAsia="fr-FR"/>
        </w:rPr>
        <w:t>Intended use #1 (</w:t>
      </w:r>
      <w:r w:rsidRPr="007E29F8">
        <w:rPr>
          <w:b/>
        </w:rPr>
        <w:t>Spray to repel human head lice</w:t>
      </w:r>
      <w:r w:rsidRPr="007E29F8">
        <w:rPr>
          <w:rFonts w:cs="Arial"/>
          <w:b/>
          <w:spacing w:val="1"/>
          <w:lang w:eastAsia="fr-FR"/>
        </w:rPr>
        <w:t>)</w:t>
      </w:r>
      <w:r>
        <w:rPr>
          <w:rFonts w:cs="Arial"/>
          <w:b/>
          <w:spacing w:val="1"/>
          <w:lang w:eastAsia="fr-FR"/>
        </w:rPr>
        <w:t>: the use is already authorized.</w:t>
      </w:r>
    </w:p>
    <w:p w14:paraId="4BC58877" w14:textId="77777777" w:rsidR="001E65DB" w:rsidRPr="00673CDC" w:rsidRDefault="001E65DB" w:rsidP="003E3E25">
      <w:pPr>
        <w:widowControl w:val="0"/>
        <w:kinsoku w:val="0"/>
        <w:overflowPunct w:val="0"/>
        <w:autoSpaceDE w:val="0"/>
        <w:autoSpaceDN w:val="0"/>
        <w:adjustRightInd w:val="0"/>
        <w:spacing w:before="0" w:after="0"/>
        <w:ind w:right="216"/>
        <w:jc w:val="both"/>
        <w:textAlignment w:val="baseline"/>
        <w:rPr>
          <w:b/>
        </w:rPr>
      </w:pPr>
      <w:r>
        <w:rPr>
          <w:rFonts w:cs="Arial"/>
          <w:spacing w:val="1"/>
          <w:lang w:eastAsia="fr-FR"/>
        </w:rPr>
        <w:t>The risk is acceptable for adult and children.</w:t>
      </w:r>
    </w:p>
    <w:p w14:paraId="74112048"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rFonts w:cs="Arial"/>
          <w:i/>
          <w:spacing w:val="1"/>
          <w:sz w:val="22"/>
          <w:u w:val="single"/>
          <w:lang w:eastAsia="fr-FR"/>
        </w:rPr>
      </w:pPr>
    </w:p>
    <w:p w14:paraId="50106F4E"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b/>
        </w:rPr>
      </w:pPr>
      <w:r w:rsidRPr="007E29F8">
        <w:rPr>
          <w:rFonts w:cs="Arial"/>
          <w:b/>
          <w:spacing w:val="1"/>
          <w:lang w:eastAsia="fr-FR"/>
        </w:rPr>
        <w:t>Intended use #</w:t>
      </w:r>
      <w:r>
        <w:rPr>
          <w:rFonts w:cs="Arial"/>
          <w:b/>
          <w:spacing w:val="1"/>
          <w:lang w:eastAsia="fr-FR"/>
        </w:rPr>
        <w:t>2</w:t>
      </w:r>
      <w:r w:rsidRPr="007E29F8">
        <w:rPr>
          <w:rFonts w:cs="Arial"/>
          <w:b/>
          <w:spacing w:val="1"/>
          <w:lang w:eastAsia="fr-FR"/>
        </w:rPr>
        <w:t>(</w:t>
      </w:r>
      <w:r w:rsidRPr="007E29F8">
        <w:rPr>
          <w:b/>
        </w:rPr>
        <w:t>Spray to treat textiles as barrier treatment against human head lice)</w:t>
      </w:r>
      <w:r>
        <w:rPr>
          <w:b/>
        </w:rPr>
        <w:t xml:space="preserve"> </w:t>
      </w:r>
    </w:p>
    <w:p w14:paraId="218AD4A3" w14:textId="77777777" w:rsidR="001E65DB" w:rsidRPr="0012172A" w:rsidRDefault="001E65DB" w:rsidP="003E3E25">
      <w:pPr>
        <w:widowControl w:val="0"/>
        <w:kinsoku w:val="0"/>
        <w:overflowPunct w:val="0"/>
        <w:autoSpaceDE w:val="0"/>
        <w:autoSpaceDN w:val="0"/>
        <w:adjustRightInd w:val="0"/>
        <w:spacing w:before="0" w:after="0"/>
        <w:ind w:right="216"/>
        <w:jc w:val="both"/>
        <w:textAlignment w:val="baseline"/>
        <w:rPr>
          <w:b/>
        </w:rPr>
      </w:pPr>
      <w:r>
        <w:rPr>
          <w:rFonts w:cs="Arial"/>
          <w:spacing w:val="1"/>
          <w:lang w:eastAsia="fr-FR"/>
        </w:rPr>
        <w:t>The risk is acceptable for adult and children.</w:t>
      </w:r>
    </w:p>
    <w:p w14:paraId="660C27C3"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b/>
        </w:rPr>
      </w:pPr>
    </w:p>
    <w:p w14:paraId="7B5E46AB"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b/>
        </w:rPr>
      </w:pPr>
      <w:r w:rsidRPr="007E29F8">
        <w:rPr>
          <w:b/>
        </w:rPr>
        <w:t>Intended use #3 (Spray to treat clothes against mosquitoes)</w:t>
      </w:r>
    </w:p>
    <w:p w14:paraId="6AC9FE5D"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Pr>
          <w:rFonts w:cs="Arial"/>
          <w:spacing w:val="1"/>
          <w:lang w:eastAsia="fr-FR"/>
        </w:rPr>
        <w:t>The risk is acceptable for adult and children.</w:t>
      </w:r>
    </w:p>
    <w:p w14:paraId="62301385"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b/>
        </w:rPr>
      </w:pPr>
    </w:p>
    <w:p w14:paraId="6969B825"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b/>
        </w:rPr>
      </w:pPr>
      <w:r w:rsidRPr="007E29F8">
        <w:rPr>
          <w:b/>
        </w:rPr>
        <w:t>Intended use #4 (Spray for skin application to repel mosquitoes)</w:t>
      </w:r>
    </w:p>
    <w:p w14:paraId="17CA53B0" w14:textId="77777777" w:rsidR="001E65DB" w:rsidRPr="0012172A" w:rsidRDefault="001E65DB" w:rsidP="003E3E25">
      <w:pPr>
        <w:pStyle w:val="Paragraphedeliste"/>
        <w:widowControl w:val="0"/>
        <w:numPr>
          <w:ilvl w:val="0"/>
          <w:numId w:val="16"/>
        </w:numPr>
        <w:kinsoku w:val="0"/>
        <w:overflowPunct w:val="0"/>
        <w:autoSpaceDE w:val="0"/>
        <w:autoSpaceDN w:val="0"/>
        <w:adjustRightInd w:val="0"/>
        <w:spacing w:before="0" w:after="0"/>
        <w:ind w:right="216"/>
        <w:jc w:val="both"/>
        <w:textAlignment w:val="baseline"/>
        <w:rPr>
          <w:rFonts w:cs="Arial"/>
          <w:spacing w:val="1"/>
          <w:lang w:eastAsia="fr-FR"/>
        </w:rPr>
      </w:pPr>
      <w:r w:rsidRPr="0012172A">
        <w:rPr>
          <w:rFonts w:cs="Arial"/>
          <w:spacing w:val="1"/>
          <w:lang w:eastAsia="fr-FR"/>
        </w:rPr>
        <w:t>Temperate condition:</w:t>
      </w:r>
    </w:p>
    <w:p w14:paraId="47F93E29"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sidRPr="0012172A">
        <w:rPr>
          <w:rFonts w:cs="Arial"/>
          <w:spacing w:val="1"/>
          <w:lang w:eastAsia="fr-FR"/>
        </w:rPr>
        <w:t>The risk is acceptable for adult and children conside</w:t>
      </w:r>
      <w:r w:rsidRPr="00D36923">
        <w:rPr>
          <w:rFonts w:cs="Arial"/>
          <w:spacing w:val="1"/>
          <w:lang w:eastAsia="fr-FR"/>
        </w:rPr>
        <w:t>ring only one application per d</w:t>
      </w:r>
      <w:r w:rsidRPr="0012172A">
        <w:rPr>
          <w:rFonts w:cs="Arial"/>
          <w:spacing w:val="1"/>
          <w:lang w:eastAsia="fr-FR"/>
        </w:rPr>
        <w:t>a</w:t>
      </w:r>
      <w:r>
        <w:rPr>
          <w:rFonts w:cs="Arial"/>
          <w:spacing w:val="1"/>
          <w:lang w:eastAsia="fr-FR"/>
        </w:rPr>
        <w:t>y</w:t>
      </w:r>
      <w:r w:rsidRPr="0012172A">
        <w:rPr>
          <w:rFonts w:cs="Arial"/>
          <w:spacing w:val="1"/>
          <w:lang w:eastAsia="fr-FR"/>
        </w:rPr>
        <w:t xml:space="preserve">. </w:t>
      </w:r>
    </w:p>
    <w:p w14:paraId="3FD27FB7" w14:textId="608C6B53" w:rsidR="001E65DB"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Pr>
          <w:rFonts w:cs="Arial"/>
          <w:spacing w:val="1"/>
          <w:lang w:eastAsia="fr-FR"/>
        </w:rPr>
        <w:t xml:space="preserve">The 2 applications claimed by applicant for adult and children </w:t>
      </w:r>
      <w:r w:rsidR="001D5041">
        <w:rPr>
          <w:rFonts w:cs="Arial"/>
          <w:spacing w:val="1"/>
          <w:lang w:eastAsia="fr-FR"/>
        </w:rPr>
        <w:t>of 6 years and more</w:t>
      </w:r>
      <w:r w:rsidR="001D5041" w:rsidRPr="00BF5A0D">
        <w:rPr>
          <w:rFonts w:cs="Arial"/>
          <w:spacing w:val="1"/>
          <w:lang w:eastAsia="fr-FR"/>
        </w:rPr>
        <w:t xml:space="preserve"> </w:t>
      </w:r>
      <w:r>
        <w:rPr>
          <w:rFonts w:cs="Arial"/>
          <w:spacing w:val="1"/>
          <w:lang w:eastAsia="fr-FR"/>
        </w:rPr>
        <w:t xml:space="preserve"> lead to unacceptable risk.</w:t>
      </w:r>
    </w:p>
    <w:p w14:paraId="097A5AA3" w14:textId="77777777" w:rsidR="001E65DB" w:rsidRPr="0012172A"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p>
    <w:p w14:paraId="35F3D9CF" w14:textId="6A189182" w:rsidR="001E65DB" w:rsidRPr="0012172A" w:rsidRDefault="001E65DB" w:rsidP="003E3E25">
      <w:pPr>
        <w:pStyle w:val="Paragraphedeliste"/>
        <w:widowControl w:val="0"/>
        <w:numPr>
          <w:ilvl w:val="0"/>
          <w:numId w:val="16"/>
        </w:numPr>
        <w:kinsoku w:val="0"/>
        <w:overflowPunct w:val="0"/>
        <w:autoSpaceDE w:val="0"/>
        <w:autoSpaceDN w:val="0"/>
        <w:adjustRightInd w:val="0"/>
        <w:spacing w:before="0" w:after="0"/>
        <w:ind w:right="216"/>
        <w:jc w:val="both"/>
        <w:textAlignment w:val="baseline"/>
        <w:rPr>
          <w:rFonts w:cs="Arial"/>
          <w:i/>
          <w:spacing w:val="1"/>
          <w:sz w:val="22"/>
          <w:u w:val="single"/>
          <w:lang w:eastAsia="fr-FR"/>
        </w:rPr>
      </w:pPr>
      <w:r w:rsidRPr="0012172A">
        <w:rPr>
          <w:rFonts w:cs="Arial"/>
          <w:spacing w:val="1"/>
          <w:lang w:eastAsia="fr-FR"/>
        </w:rPr>
        <w:t>Tropical condition</w:t>
      </w:r>
      <w:r w:rsidR="008E6261">
        <w:rPr>
          <w:rFonts w:cs="Arial"/>
          <w:spacing w:val="1"/>
          <w:lang w:eastAsia="fr-FR"/>
        </w:rPr>
        <w:t>:</w:t>
      </w:r>
    </w:p>
    <w:p w14:paraId="66F7B5AF" w14:textId="117C035B" w:rsidR="001E65DB"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sidRPr="00673CDC">
        <w:rPr>
          <w:rFonts w:cs="Arial"/>
          <w:spacing w:val="1"/>
          <w:lang w:eastAsia="fr-FR"/>
        </w:rPr>
        <w:t>The risk is acceptable for adult</w:t>
      </w:r>
      <w:r w:rsidR="001D5041">
        <w:rPr>
          <w:rFonts w:cs="Arial"/>
          <w:spacing w:val="1"/>
          <w:lang w:eastAsia="fr-FR"/>
        </w:rPr>
        <w:t xml:space="preserve"> and children of 12 years and more</w:t>
      </w:r>
      <w:r w:rsidRPr="00673CDC">
        <w:rPr>
          <w:rFonts w:cs="Arial"/>
          <w:spacing w:val="1"/>
          <w:lang w:eastAsia="fr-FR"/>
        </w:rPr>
        <w:t xml:space="preserve"> conside</w:t>
      </w:r>
      <w:r w:rsidRPr="00D36923">
        <w:rPr>
          <w:rFonts w:cs="Arial"/>
          <w:spacing w:val="1"/>
          <w:lang w:eastAsia="fr-FR"/>
        </w:rPr>
        <w:t>ring only one application per d</w:t>
      </w:r>
      <w:r w:rsidRPr="00673CDC">
        <w:rPr>
          <w:rFonts w:cs="Arial"/>
          <w:spacing w:val="1"/>
          <w:lang w:eastAsia="fr-FR"/>
        </w:rPr>
        <w:t>a</w:t>
      </w:r>
      <w:r>
        <w:rPr>
          <w:rFonts w:cs="Arial"/>
          <w:spacing w:val="1"/>
          <w:lang w:eastAsia="fr-FR"/>
        </w:rPr>
        <w:t>y</w:t>
      </w:r>
      <w:r w:rsidRPr="00673CDC">
        <w:rPr>
          <w:rFonts w:cs="Arial"/>
          <w:spacing w:val="1"/>
          <w:lang w:eastAsia="fr-FR"/>
        </w:rPr>
        <w:t xml:space="preserve">. </w:t>
      </w:r>
    </w:p>
    <w:p w14:paraId="4801F276"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Pr>
          <w:rFonts w:cs="Arial"/>
          <w:spacing w:val="1"/>
          <w:lang w:eastAsia="fr-FR"/>
        </w:rPr>
        <w:t>The 2 applications claimed by applicant lead to unacceptable risk.</w:t>
      </w:r>
    </w:p>
    <w:p w14:paraId="0DBF6453" w14:textId="7632CA7D" w:rsidR="001E65DB"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Pr>
          <w:rFonts w:cs="Arial"/>
          <w:spacing w:val="1"/>
          <w:lang w:eastAsia="fr-FR"/>
        </w:rPr>
        <w:t>For children</w:t>
      </w:r>
      <w:r w:rsidRPr="005F0C61">
        <w:rPr>
          <w:rFonts w:cs="Arial"/>
          <w:spacing w:val="1"/>
          <w:lang w:eastAsia="fr-FR"/>
        </w:rPr>
        <w:t xml:space="preserve"> </w:t>
      </w:r>
      <w:r>
        <w:rPr>
          <w:rFonts w:cs="Arial"/>
          <w:spacing w:val="1"/>
          <w:lang w:eastAsia="fr-FR"/>
        </w:rPr>
        <w:t>between 6 and 12 years, the risk is acceptable.</w:t>
      </w:r>
    </w:p>
    <w:p w14:paraId="6210D2FA" w14:textId="447561B3" w:rsidR="001E65DB" w:rsidRPr="0012172A"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Pr>
          <w:rFonts w:cs="Arial"/>
          <w:spacing w:val="1"/>
          <w:lang w:eastAsia="fr-FR"/>
        </w:rPr>
        <w:t xml:space="preserve">For children </w:t>
      </w:r>
      <w:r w:rsidR="00602CBE" w:rsidRPr="0012172A">
        <w:rPr>
          <w:rFonts w:cs="Arial"/>
          <w:spacing w:val="1"/>
          <w:lang w:eastAsia="fr-FR"/>
        </w:rPr>
        <w:t>younger than 1 year</w:t>
      </w:r>
      <w:r w:rsidR="00602CBE">
        <w:rPr>
          <w:rFonts w:cs="Arial"/>
          <w:spacing w:val="1"/>
          <w:lang w:eastAsia="fr-FR"/>
        </w:rPr>
        <w:t xml:space="preserve"> to</w:t>
      </w:r>
      <w:r>
        <w:rPr>
          <w:rFonts w:cs="Arial"/>
          <w:spacing w:val="1"/>
          <w:lang w:eastAsia="fr-FR"/>
        </w:rPr>
        <w:t>6 years, the risk is unacceptable.</w:t>
      </w:r>
    </w:p>
    <w:p w14:paraId="3A7ABA35" w14:textId="77777777" w:rsidR="001E65DB" w:rsidRDefault="001E65DB" w:rsidP="003E3E25">
      <w:pPr>
        <w:widowControl w:val="0"/>
        <w:kinsoku w:val="0"/>
        <w:overflowPunct w:val="0"/>
        <w:autoSpaceDE w:val="0"/>
        <w:autoSpaceDN w:val="0"/>
        <w:adjustRightInd w:val="0"/>
        <w:spacing w:before="292" w:after="0" w:line="290" w:lineRule="exact"/>
        <w:ind w:right="216"/>
        <w:jc w:val="both"/>
        <w:textAlignment w:val="baseline"/>
        <w:rPr>
          <w:b/>
        </w:rPr>
      </w:pPr>
      <w:r w:rsidRPr="007E29F8">
        <w:rPr>
          <w:b/>
        </w:rPr>
        <w:t>Intended use #</w:t>
      </w:r>
      <w:r>
        <w:rPr>
          <w:b/>
        </w:rPr>
        <w:t>5</w:t>
      </w:r>
      <w:r w:rsidRPr="007E29F8">
        <w:rPr>
          <w:b/>
        </w:rPr>
        <w:t xml:space="preserve"> (Spray to treat clothes against </w:t>
      </w:r>
      <w:r>
        <w:rPr>
          <w:b/>
        </w:rPr>
        <w:t>ticks</w:t>
      </w:r>
      <w:r w:rsidRPr="007E29F8">
        <w:rPr>
          <w:b/>
        </w:rPr>
        <w:t>)</w:t>
      </w:r>
    </w:p>
    <w:p w14:paraId="114657A0" w14:textId="77777777" w:rsidR="001E65DB" w:rsidRPr="0012172A"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sidRPr="0012172A">
        <w:rPr>
          <w:rFonts w:cs="Arial"/>
          <w:spacing w:val="1"/>
          <w:lang w:eastAsia="fr-FR"/>
        </w:rPr>
        <w:t xml:space="preserve">The risk is acceptable for adult and children of 1 year </w:t>
      </w:r>
      <w:r>
        <w:rPr>
          <w:rFonts w:cs="Arial"/>
          <w:spacing w:val="1"/>
          <w:lang w:eastAsia="fr-FR"/>
        </w:rPr>
        <w:t>and</w:t>
      </w:r>
      <w:r w:rsidRPr="0012172A">
        <w:rPr>
          <w:rFonts w:cs="Arial"/>
          <w:spacing w:val="1"/>
          <w:lang w:eastAsia="fr-FR"/>
        </w:rPr>
        <w:t xml:space="preserve"> more.</w:t>
      </w:r>
    </w:p>
    <w:p w14:paraId="529C5CD5" w14:textId="77777777" w:rsidR="001E65DB" w:rsidRPr="005F0C61"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sidRPr="0012172A">
        <w:rPr>
          <w:rFonts w:cs="Arial"/>
          <w:spacing w:val="1"/>
          <w:lang w:eastAsia="fr-FR"/>
        </w:rPr>
        <w:t>The risk is unacceptable for children younger than 1 year.</w:t>
      </w:r>
    </w:p>
    <w:p w14:paraId="53A22AB3" w14:textId="77777777" w:rsidR="001E65DB" w:rsidRDefault="001E65DB" w:rsidP="003E3E25">
      <w:pPr>
        <w:widowControl w:val="0"/>
        <w:kinsoku w:val="0"/>
        <w:overflowPunct w:val="0"/>
        <w:autoSpaceDE w:val="0"/>
        <w:autoSpaceDN w:val="0"/>
        <w:adjustRightInd w:val="0"/>
        <w:spacing w:before="292" w:after="0" w:line="290" w:lineRule="exact"/>
        <w:ind w:right="216"/>
        <w:jc w:val="both"/>
        <w:textAlignment w:val="baseline"/>
        <w:rPr>
          <w:b/>
        </w:rPr>
      </w:pPr>
      <w:r w:rsidRPr="0012172A">
        <w:rPr>
          <w:b/>
        </w:rPr>
        <w:t>Intended use #6 (Spray for skin application to repel ticks)</w:t>
      </w:r>
    </w:p>
    <w:p w14:paraId="0F4CEE45" w14:textId="77777777" w:rsidR="001E65DB"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sidRPr="00673CDC">
        <w:rPr>
          <w:rFonts w:cs="Arial"/>
          <w:spacing w:val="1"/>
          <w:lang w:eastAsia="fr-FR"/>
        </w:rPr>
        <w:t>The risk is acceptable for adult and children conside</w:t>
      </w:r>
      <w:r w:rsidRPr="00D36923">
        <w:rPr>
          <w:rFonts w:cs="Arial"/>
          <w:spacing w:val="1"/>
          <w:lang w:eastAsia="fr-FR"/>
        </w:rPr>
        <w:t>ring only one application per d</w:t>
      </w:r>
      <w:r w:rsidRPr="00673CDC">
        <w:rPr>
          <w:rFonts w:cs="Arial"/>
          <w:spacing w:val="1"/>
          <w:lang w:eastAsia="fr-FR"/>
        </w:rPr>
        <w:t>a</w:t>
      </w:r>
      <w:r>
        <w:rPr>
          <w:rFonts w:cs="Arial"/>
          <w:spacing w:val="1"/>
          <w:lang w:eastAsia="fr-FR"/>
        </w:rPr>
        <w:t>y</w:t>
      </w:r>
      <w:r w:rsidRPr="00673CDC">
        <w:rPr>
          <w:rFonts w:cs="Arial"/>
          <w:spacing w:val="1"/>
          <w:lang w:eastAsia="fr-FR"/>
        </w:rPr>
        <w:t xml:space="preserve">. </w:t>
      </w:r>
    </w:p>
    <w:p w14:paraId="155D8D5C" w14:textId="71D8208F" w:rsidR="001E65DB" w:rsidRPr="0012172A" w:rsidRDefault="001E65DB" w:rsidP="003E3E25">
      <w:pPr>
        <w:widowControl w:val="0"/>
        <w:kinsoku w:val="0"/>
        <w:overflowPunct w:val="0"/>
        <w:autoSpaceDE w:val="0"/>
        <w:autoSpaceDN w:val="0"/>
        <w:adjustRightInd w:val="0"/>
        <w:spacing w:before="0" w:after="0"/>
        <w:ind w:right="216"/>
        <w:jc w:val="both"/>
        <w:textAlignment w:val="baseline"/>
        <w:rPr>
          <w:rFonts w:cs="Arial"/>
          <w:spacing w:val="1"/>
          <w:lang w:eastAsia="fr-FR"/>
        </w:rPr>
      </w:pPr>
      <w:r>
        <w:rPr>
          <w:rFonts w:cs="Arial"/>
          <w:spacing w:val="1"/>
          <w:lang w:eastAsia="fr-FR"/>
        </w:rPr>
        <w:t xml:space="preserve">The 2 applications claimed by applicant for adult and children </w:t>
      </w:r>
      <w:r w:rsidR="001D5041">
        <w:rPr>
          <w:rFonts w:cs="Arial"/>
          <w:spacing w:val="1"/>
          <w:lang w:eastAsia="fr-FR"/>
        </w:rPr>
        <w:t xml:space="preserve">of 6 years and more </w:t>
      </w:r>
      <w:r>
        <w:rPr>
          <w:rFonts w:cs="Arial"/>
          <w:spacing w:val="1"/>
          <w:lang w:eastAsia="fr-FR"/>
        </w:rPr>
        <w:t>lead to unacceptable risk.</w:t>
      </w:r>
    </w:p>
    <w:p w14:paraId="4104B00E" w14:textId="77777777" w:rsidR="001E65DB" w:rsidRDefault="001E65DB" w:rsidP="003E3E25">
      <w:pPr>
        <w:widowControl w:val="0"/>
        <w:kinsoku w:val="0"/>
        <w:overflowPunct w:val="0"/>
        <w:autoSpaceDE w:val="0"/>
        <w:autoSpaceDN w:val="0"/>
        <w:adjustRightInd w:val="0"/>
        <w:spacing w:before="292" w:after="0" w:line="290" w:lineRule="exact"/>
        <w:ind w:right="216"/>
        <w:jc w:val="both"/>
        <w:textAlignment w:val="baseline"/>
        <w:rPr>
          <w:b/>
        </w:rPr>
      </w:pPr>
      <w:r w:rsidRPr="0012172A">
        <w:rPr>
          <w:b/>
        </w:rPr>
        <w:t>Intended use #7 (Spray to treat fabric against dust mites):</w:t>
      </w:r>
    </w:p>
    <w:p w14:paraId="6BE2D450" w14:textId="77777777" w:rsidR="001E65DB"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r>
        <w:rPr>
          <w:rFonts w:cs="Arial"/>
          <w:spacing w:val="1"/>
          <w:lang w:eastAsia="fr-FR"/>
        </w:rPr>
        <w:t>The risk is acceptable for adult and children.</w:t>
      </w:r>
    </w:p>
    <w:p w14:paraId="77F7E8FC" w14:textId="77777777" w:rsidR="001E65DB" w:rsidRPr="0012172A" w:rsidRDefault="001E65DB" w:rsidP="003E3E25">
      <w:pPr>
        <w:widowControl w:val="0"/>
        <w:kinsoku w:val="0"/>
        <w:overflowPunct w:val="0"/>
        <w:autoSpaceDE w:val="0"/>
        <w:autoSpaceDN w:val="0"/>
        <w:adjustRightInd w:val="0"/>
        <w:spacing w:before="292" w:line="290" w:lineRule="exact"/>
        <w:ind w:right="216"/>
        <w:jc w:val="both"/>
        <w:textAlignment w:val="baseline"/>
        <w:rPr>
          <w:b/>
        </w:rPr>
      </w:pPr>
      <w:r>
        <w:rPr>
          <w:rFonts w:cs="Arial"/>
          <w:spacing w:val="1"/>
          <w:lang w:eastAsia="fr-FR"/>
        </w:rPr>
        <w:t xml:space="preserve">Risk linked to combined uses are also assessed: </w:t>
      </w:r>
    </w:p>
    <w:p w14:paraId="4ADA50E1" w14:textId="571CB6D4" w:rsidR="00602CBE"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r w:rsidRPr="00D66F4F">
        <w:rPr>
          <w:rFonts w:cs="Arial"/>
          <w:b/>
          <w:spacing w:val="1"/>
          <w:lang w:eastAsia="fr-FR"/>
        </w:rPr>
        <w:t>Intended use #1 (</w:t>
      </w:r>
      <w:r w:rsidRPr="00D66F4F">
        <w:rPr>
          <w:b/>
        </w:rPr>
        <w:t>Spray to repel human head lice</w:t>
      </w:r>
      <w:r w:rsidRPr="00D66F4F">
        <w:rPr>
          <w:rFonts w:cs="Arial"/>
          <w:b/>
          <w:spacing w:val="1"/>
          <w:lang w:eastAsia="fr-FR"/>
        </w:rPr>
        <w:t>) and #2 (</w:t>
      </w:r>
      <w:r w:rsidRPr="00D66F4F">
        <w:rPr>
          <w:b/>
        </w:rPr>
        <w:t xml:space="preserve">Spray to treat textiles as barrier treatment against human head lice): </w:t>
      </w:r>
    </w:p>
    <w:p w14:paraId="13F0CA5B" w14:textId="77777777" w:rsidR="00602CBE"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r>
        <w:rPr>
          <w:rFonts w:cs="Arial"/>
          <w:spacing w:val="1"/>
          <w:lang w:eastAsia="fr-FR"/>
        </w:rPr>
        <w:t>For combined treatment, t</w:t>
      </w:r>
      <w:r w:rsidRPr="00D66F4F">
        <w:rPr>
          <w:rFonts w:cs="Arial"/>
          <w:spacing w:val="1"/>
          <w:lang w:eastAsia="fr-FR"/>
        </w:rPr>
        <w:t xml:space="preserve">he risk is acceptable for adults and children </w:t>
      </w:r>
      <w:r>
        <w:rPr>
          <w:rFonts w:cs="Arial"/>
          <w:spacing w:val="1"/>
          <w:lang w:eastAsia="fr-FR"/>
        </w:rPr>
        <w:t xml:space="preserve">of </w:t>
      </w:r>
      <w:r w:rsidRPr="00D66F4F">
        <w:rPr>
          <w:rFonts w:cs="Arial"/>
          <w:spacing w:val="1"/>
          <w:lang w:eastAsia="fr-FR"/>
        </w:rPr>
        <w:t xml:space="preserve">6 years </w:t>
      </w:r>
      <w:r>
        <w:rPr>
          <w:rFonts w:cs="Arial"/>
          <w:spacing w:val="1"/>
          <w:lang w:eastAsia="fr-FR"/>
        </w:rPr>
        <w:t>and more. T</w:t>
      </w:r>
      <w:r w:rsidRPr="00D66F4F">
        <w:rPr>
          <w:rFonts w:cs="Arial"/>
          <w:spacing w:val="1"/>
          <w:lang w:eastAsia="fr-FR"/>
        </w:rPr>
        <w:t xml:space="preserve">he risk is unacceptable for children younger </w:t>
      </w:r>
      <w:r>
        <w:rPr>
          <w:rFonts w:cs="Arial"/>
          <w:spacing w:val="1"/>
          <w:lang w:eastAsia="fr-FR"/>
        </w:rPr>
        <w:t xml:space="preserve">than </w:t>
      </w:r>
      <w:r w:rsidRPr="00D66F4F">
        <w:rPr>
          <w:rFonts w:cs="Arial"/>
          <w:spacing w:val="1"/>
          <w:lang w:eastAsia="fr-FR"/>
        </w:rPr>
        <w:t xml:space="preserve">6 years. </w:t>
      </w:r>
    </w:p>
    <w:p w14:paraId="12D4B9A0" w14:textId="402936BD" w:rsidR="001E65DB"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r w:rsidRPr="00D66F4F">
        <w:rPr>
          <w:rFonts w:cs="Arial"/>
          <w:spacing w:val="1"/>
          <w:lang w:eastAsia="fr-FR"/>
        </w:rPr>
        <w:t xml:space="preserve">Therefore, the following RMM is proposed for treatment against </w:t>
      </w:r>
      <w:r>
        <w:rPr>
          <w:rFonts w:cs="Arial"/>
          <w:spacing w:val="1"/>
          <w:lang w:eastAsia="fr-FR"/>
        </w:rPr>
        <w:t xml:space="preserve">head </w:t>
      </w:r>
      <w:r w:rsidRPr="00D66F4F">
        <w:rPr>
          <w:rFonts w:cs="Arial"/>
          <w:spacing w:val="1"/>
          <w:lang w:eastAsia="fr-FR"/>
        </w:rPr>
        <w:t xml:space="preserve">lice: For children younger </w:t>
      </w:r>
      <w:r>
        <w:rPr>
          <w:rFonts w:cs="Arial"/>
          <w:spacing w:val="1"/>
          <w:lang w:eastAsia="fr-FR"/>
        </w:rPr>
        <w:t xml:space="preserve">than </w:t>
      </w:r>
      <w:r w:rsidRPr="00D66F4F">
        <w:rPr>
          <w:rFonts w:cs="Arial"/>
          <w:spacing w:val="1"/>
          <w:lang w:eastAsia="fr-FR"/>
        </w:rPr>
        <w:t xml:space="preserve">6 years, do not apply the product </w:t>
      </w:r>
      <w:r>
        <w:rPr>
          <w:rFonts w:cs="Arial"/>
          <w:spacing w:val="1"/>
          <w:lang w:eastAsia="fr-FR"/>
        </w:rPr>
        <w:t xml:space="preserve">simultaneously </w:t>
      </w:r>
      <w:r w:rsidRPr="00D66F4F">
        <w:rPr>
          <w:rFonts w:cs="Arial"/>
          <w:spacing w:val="1"/>
          <w:lang w:eastAsia="fr-FR"/>
        </w:rPr>
        <w:t xml:space="preserve">on the head </w:t>
      </w:r>
      <w:r>
        <w:rPr>
          <w:rFonts w:cs="Arial"/>
          <w:spacing w:val="1"/>
          <w:lang w:eastAsia="fr-FR"/>
        </w:rPr>
        <w:t>and on</w:t>
      </w:r>
      <w:r w:rsidRPr="00D66F4F">
        <w:rPr>
          <w:rFonts w:cs="Arial"/>
          <w:spacing w:val="1"/>
          <w:lang w:eastAsia="fr-FR"/>
        </w:rPr>
        <w:t xml:space="preserve"> clothes/bed linen.</w:t>
      </w:r>
    </w:p>
    <w:p w14:paraId="004AD0F2" w14:textId="77777777" w:rsidR="00602CBE" w:rsidRPr="00D66F4F" w:rsidRDefault="00602CBE"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p>
    <w:p w14:paraId="0F7B5547" w14:textId="77777777" w:rsidR="00602CBE"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r w:rsidRPr="007E29F8">
        <w:rPr>
          <w:b/>
        </w:rPr>
        <w:t>Intended use #4 (Spray for skin application to repel mosquitoes)</w:t>
      </w:r>
      <w:r>
        <w:rPr>
          <w:b/>
        </w:rPr>
        <w:t xml:space="preserve"> tropical</w:t>
      </w:r>
      <w:r w:rsidRPr="007E29F8">
        <w:rPr>
          <w:b/>
        </w:rPr>
        <w:t xml:space="preserve"> </w:t>
      </w:r>
      <w:r>
        <w:rPr>
          <w:b/>
        </w:rPr>
        <w:t xml:space="preserve">conditions </w:t>
      </w:r>
      <w:r w:rsidRPr="007E29F8">
        <w:rPr>
          <w:b/>
        </w:rPr>
        <w:t>and</w:t>
      </w:r>
      <w:r w:rsidRPr="00DC5086">
        <w:rPr>
          <w:b/>
        </w:rPr>
        <w:t xml:space="preserve"> </w:t>
      </w:r>
      <w:r w:rsidRPr="007E29F8">
        <w:rPr>
          <w:b/>
        </w:rPr>
        <w:t>Intended use #3 (Spray to treat clothes against mosquitoes)</w:t>
      </w:r>
    </w:p>
    <w:p w14:paraId="0EFF9221" w14:textId="616F70D3" w:rsidR="00602CBE" w:rsidRDefault="00A65729"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r w:rsidRPr="00A65729">
        <w:rPr>
          <w:rFonts w:cs="Arial"/>
          <w:spacing w:val="1"/>
          <w:lang w:eastAsia="fr-FR"/>
        </w:rPr>
        <w:t>For combined treatment, the risk is acceptable for adults</w:t>
      </w:r>
      <w:r>
        <w:rPr>
          <w:rFonts w:cs="Arial"/>
          <w:spacing w:val="1"/>
          <w:lang w:eastAsia="fr-FR"/>
        </w:rPr>
        <w:t xml:space="preserve"> and children more than 12 years</w:t>
      </w:r>
      <w:r w:rsidRPr="00A65729">
        <w:rPr>
          <w:rFonts w:cs="Arial"/>
          <w:spacing w:val="1"/>
          <w:lang w:eastAsia="fr-FR"/>
        </w:rPr>
        <w:t xml:space="preserve"> but inacceptable for children</w:t>
      </w:r>
      <w:r>
        <w:rPr>
          <w:rFonts w:cs="Arial"/>
          <w:spacing w:val="1"/>
          <w:lang w:eastAsia="fr-FR"/>
        </w:rPr>
        <w:t xml:space="preserve"> under 12 years.</w:t>
      </w:r>
    </w:p>
    <w:p w14:paraId="0E496A16" w14:textId="75DA17F0" w:rsidR="001E65DB"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r w:rsidRPr="00673CDC">
        <w:rPr>
          <w:rFonts w:cs="Arial"/>
          <w:spacing w:val="1"/>
          <w:lang w:eastAsia="fr-FR"/>
        </w:rPr>
        <w:t>Therefore, the following RMM is proposed</w:t>
      </w:r>
      <w:r>
        <w:rPr>
          <w:rFonts w:cs="Arial"/>
          <w:spacing w:val="1"/>
          <w:lang w:eastAsia="fr-FR"/>
        </w:rPr>
        <w:t>:</w:t>
      </w:r>
      <w:r w:rsidRPr="00673CDC">
        <w:rPr>
          <w:rFonts w:cs="Arial"/>
          <w:spacing w:val="1"/>
          <w:lang w:eastAsia="fr-FR"/>
        </w:rPr>
        <w:t xml:space="preserve"> </w:t>
      </w:r>
      <w:r w:rsidRPr="00D66F4F">
        <w:rPr>
          <w:rFonts w:cs="Arial"/>
          <w:spacing w:val="1"/>
          <w:lang w:eastAsia="fr-FR"/>
        </w:rPr>
        <w:t xml:space="preserve">for treatment against mosquitos in tropical conditions, do not apply the product </w:t>
      </w:r>
      <w:r>
        <w:rPr>
          <w:rFonts w:cs="Arial"/>
          <w:spacing w:val="1"/>
          <w:lang w:eastAsia="fr-FR"/>
        </w:rPr>
        <w:t>simultaneously</w:t>
      </w:r>
      <w:r w:rsidRPr="00AC648E">
        <w:rPr>
          <w:rFonts w:cs="Arial"/>
          <w:spacing w:val="1"/>
          <w:lang w:eastAsia="fr-FR"/>
        </w:rPr>
        <w:t xml:space="preserve"> </w:t>
      </w:r>
      <w:r w:rsidRPr="00D66F4F">
        <w:rPr>
          <w:rFonts w:cs="Arial"/>
          <w:spacing w:val="1"/>
          <w:lang w:eastAsia="fr-FR"/>
        </w:rPr>
        <w:t xml:space="preserve">on the skin </w:t>
      </w:r>
      <w:r w:rsidR="00BA4496">
        <w:rPr>
          <w:rFonts w:cs="Arial"/>
          <w:spacing w:val="1"/>
          <w:lang w:eastAsia="fr-FR"/>
        </w:rPr>
        <w:t xml:space="preserve">of children </w:t>
      </w:r>
      <w:r w:rsidR="00A65729">
        <w:rPr>
          <w:rFonts w:cs="Arial"/>
          <w:spacing w:val="1"/>
          <w:lang w:eastAsia="fr-FR"/>
        </w:rPr>
        <w:t xml:space="preserve">under 12 years </w:t>
      </w:r>
      <w:r>
        <w:rPr>
          <w:rFonts w:cs="Arial"/>
          <w:spacing w:val="1"/>
          <w:lang w:eastAsia="fr-FR"/>
        </w:rPr>
        <w:t>and on</w:t>
      </w:r>
      <w:r w:rsidR="00BA4496">
        <w:rPr>
          <w:rFonts w:cs="Arial"/>
          <w:spacing w:val="1"/>
          <w:lang w:eastAsia="fr-FR"/>
        </w:rPr>
        <w:t xml:space="preserve"> their</w:t>
      </w:r>
      <w:r w:rsidRPr="00D66F4F">
        <w:rPr>
          <w:rFonts w:cs="Arial"/>
          <w:spacing w:val="1"/>
          <w:lang w:eastAsia="fr-FR"/>
        </w:rPr>
        <w:t xml:space="preserve"> clothes.</w:t>
      </w:r>
      <w:r w:rsidR="00BA4496" w:rsidRPr="00BA4496">
        <w:rPr>
          <w:rFonts w:cs="Arial"/>
          <w:spacing w:val="1"/>
          <w:lang w:eastAsia="fr-FR"/>
        </w:rPr>
        <w:t xml:space="preserve"> </w:t>
      </w:r>
      <w:r w:rsidR="00BA4496" w:rsidRPr="00D66F4F">
        <w:rPr>
          <w:rFonts w:cs="Arial"/>
          <w:spacing w:val="1"/>
          <w:lang w:eastAsia="fr-FR"/>
        </w:rPr>
        <w:t xml:space="preserve">Moreover, </w:t>
      </w:r>
      <w:r w:rsidR="00BA4496" w:rsidRPr="00673CDC">
        <w:rPr>
          <w:rFonts w:cs="Arial"/>
          <w:spacing w:val="1"/>
          <w:lang w:eastAsia="fr-FR"/>
        </w:rPr>
        <w:t xml:space="preserve">the following RMM is proposed: </w:t>
      </w:r>
      <w:r w:rsidR="00BA4496">
        <w:rPr>
          <w:rFonts w:cs="Arial"/>
          <w:spacing w:val="1"/>
          <w:lang w:eastAsia="fr-FR"/>
        </w:rPr>
        <w:t>For adult</w:t>
      </w:r>
      <w:r w:rsidR="00A65729" w:rsidRPr="00A65729">
        <w:rPr>
          <w:rFonts w:cs="Arial"/>
          <w:spacing w:val="1"/>
          <w:lang w:eastAsia="fr-FR"/>
        </w:rPr>
        <w:t xml:space="preserve"> </w:t>
      </w:r>
      <w:r w:rsidR="00A65729">
        <w:rPr>
          <w:rFonts w:cs="Arial"/>
          <w:spacing w:val="1"/>
          <w:lang w:eastAsia="fr-FR"/>
        </w:rPr>
        <w:t>and children more than 12 years</w:t>
      </w:r>
      <w:r w:rsidR="00BA4496">
        <w:rPr>
          <w:rFonts w:cs="Arial"/>
          <w:spacing w:val="1"/>
          <w:lang w:eastAsia="fr-FR"/>
        </w:rPr>
        <w:t xml:space="preserve">, </w:t>
      </w:r>
      <w:r w:rsidR="00BA4496" w:rsidRPr="00D66F4F">
        <w:rPr>
          <w:rFonts w:cs="Arial"/>
          <w:spacing w:val="1"/>
          <w:lang w:eastAsia="fr-FR"/>
        </w:rPr>
        <w:t xml:space="preserve">do not apply the </w:t>
      </w:r>
      <w:r w:rsidR="00BA4496" w:rsidRPr="00297E5D">
        <w:rPr>
          <w:rFonts w:cs="Arial"/>
          <w:spacing w:val="1"/>
          <w:lang w:eastAsia="fr-FR"/>
        </w:rPr>
        <w:t>product on</w:t>
      </w:r>
      <w:r w:rsidR="00BA4496" w:rsidRPr="00D66F4F">
        <w:rPr>
          <w:rFonts w:cs="Arial"/>
          <w:spacing w:val="1"/>
          <w:lang w:eastAsia="fr-FR"/>
        </w:rPr>
        <w:t xml:space="preserve"> skin under clothes</w:t>
      </w:r>
      <w:r w:rsidR="00BA4496">
        <w:rPr>
          <w:rFonts w:cs="Arial"/>
          <w:spacing w:val="1"/>
          <w:lang w:eastAsia="fr-FR"/>
        </w:rPr>
        <w:t>.</w:t>
      </w:r>
    </w:p>
    <w:p w14:paraId="3632A932" w14:textId="77777777" w:rsidR="00602CBE" w:rsidRDefault="00602CBE" w:rsidP="003E3E25">
      <w:pPr>
        <w:widowControl w:val="0"/>
        <w:kinsoku w:val="0"/>
        <w:overflowPunct w:val="0"/>
        <w:autoSpaceDE w:val="0"/>
        <w:autoSpaceDN w:val="0"/>
        <w:adjustRightInd w:val="0"/>
        <w:spacing w:before="0" w:after="0" w:line="290" w:lineRule="exact"/>
        <w:ind w:right="216"/>
        <w:jc w:val="both"/>
        <w:textAlignment w:val="baseline"/>
        <w:rPr>
          <w:lang w:eastAsia="fr-FR"/>
        </w:rPr>
      </w:pPr>
    </w:p>
    <w:p w14:paraId="1E76186A" w14:textId="77777777" w:rsidR="00602CBE" w:rsidRDefault="001E65DB" w:rsidP="003E3E25">
      <w:pPr>
        <w:widowControl w:val="0"/>
        <w:kinsoku w:val="0"/>
        <w:overflowPunct w:val="0"/>
        <w:autoSpaceDE w:val="0"/>
        <w:autoSpaceDN w:val="0"/>
        <w:adjustRightInd w:val="0"/>
        <w:spacing w:before="0" w:after="0" w:line="290" w:lineRule="exact"/>
        <w:ind w:right="216"/>
        <w:jc w:val="both"/>
        <w:textAlignment w:val="baseline"/>
        <w:rPr>
          <w:b/>
        </w:rPr>
      </w:pPr>
      <w:r w:rsidRPr="007E29F8">
        <w:rPr>
          <w:b/>
        </w:rPr>
        <w:t>Intended use #4 (Spray for skin application to repel mosquitoes)</w:t>
      </w:r>
      <w:r>
        <w:rPr>
          <w:b/>
        </w:rPr>
        <w:t xml:space="preserve"> temperate</w:t>
      </w:r>
      <w:r w:rsidRPr="007E29F8">
        <w:rPr>
          <w:b/>
        </w:rPr>
        <w:t xml:space="preserve"> </w:t>
      </w:r>
      <w:r>
        <w:rPr>
          <w:b/>
        </w:rPr>
        <w:t xml:space="preserve">conditions </w:t>
      </w:r>
      <w:r w:rsidRPr="007E29F8">
        <w:rPr>
          <w:b/>
        </w:rPr>
        <w:t>and</w:t>
      </w:r>
      <w:r w:rsidRPr="00DC5086">
        <w:rPr>
          <w:b/>
        </w:rPr>
        <w:t xml:space="preserve"> </w:t>
      </w:r>
      <w:r w:rsidRPr="007E29F8">
        <w:rPr>
          <w:b/>
        </w:rPr>
        <w:t>Intended use #3 (Spray to treat clothes against mosquitoes)</w:t>
      </w:r>
    </w:p>
    <w:p w14:paraId="713255C5" w14:textId="2775C08F" w:rsidR="00602CBE"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r w:rsidRPr="00D66F4F">
        <w:rPr>
          <w:rFonts w:cs="Arial"/>
          <w:spacing w:val="1"/>
          <w:lang w:eastAsia="fr-FR"/>
        </w:rPr>
        <w:t xml:space="preserve">For combined treatment, the risk is acceptable for adults </w:t>
      </w:r>
      <w:r w:rsidR="00A65729">
        <w:rPr>
          <w:rFonts w:cs="Arial"/>
          <w:spacing w:val="1"/>
          <w:lang w:eastAsia="fr-FR"/>
        </w:rPr>
        <w:t>and children of 12 years and more</w:t>
      </w:r>
      <w:r w:rsidR="00A65729" w:rsidRPr="00A65729">
        <w:rPr>
          <w:rFonts w:cs="Arial"/>
          <w:spacing w:val="1"/>
          <w:lang w:eastAsia="fr-FR"/>
        </w:rPr>
        <w:t xml:space="preserve"> </w:t>
      </w:r>
      <w:r w:rsidR="00602CBE">
        <w:rPr>
          <w:rFonts w:cs="Arial"/>
          <w:spacing w:val="1"/>
          <w:lang w:eastAsia="fr-FR"/>
        </w:rPr>
        <w:t>but inacceptable for children</w:t>
      </w:r>
      <w:r w:rsidR="00A65729" w:rsidRPr="00A65729">
        <w:rPr>
          <w:rFonts w:cs="Arial"/>
          <w:spacing w:val="1"/>
          <w:lang w:eastAsia="fr-FR"/>
        </w:rPr>
        <w:t xml:space="preserve"> </w:t>
      </w:r>
      <w:r w:rsidR="00A65729">
        <w:rPr>
          <w:rFonts w:cs="Arial"/>
          <w:spacing w:val="1"/>
          <w:lang w:eastAsia="fr-FR"/>
        </w:rPr>
        <w:t>under 12 years</w:t>
      </w:r>
      <w:r w:rsidR="00602CBE">
        <w:rPr>
          <w:rFonts w:cs="Arial"/>
          <w:spacing w:val="1"/>
          <w:lang w:eastAsia="fr-FR"/>
        </w:rPr>
        <w:t xml:space="preserve">. </w:t>
      </w:r>
    </w:p>
    <w:p w14:paraId="0C561B48" w14:textId="40AB9C1E" w:rsidR="001E65DB"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r w:rsidRPr="00673CDC">
        <w:rPr>
          <w:rFonts w:cs="Arial"/>
          <w:spacing w:val="1"/>
          <w:lang w:eastAsia="fr-FR"/>
        </w:rPr>
        <w:t>Therefore, the following RMM is proposed</w:t>
      </w:r>
      <w:r>
        <w:rPr>
          <w:rFonts w:cs="Arial"/>
          <w:spacing w:val="1"/>
          <w:lang w:eastAsia="fr-FR"/>
        </w:rPr>
        <w:t>:</w:t>
      </w:r>
      <w:r w:rsidRPr="00673CDC">
        <w:rPr>
          <w:rFonts w:cs="Arial"/>
          <w:spacing w:val="1"/>
          <w:lang w:eastAsia="fr-FR"/>
        </w:rPr>
        <w:t xml:space="preserve"> </w:t>
      </w:r>
      <w:r w:rsidRPr="00D66F4F">
        <w:rPr>
          <w:rFonts w:cs="Arial"/>
          <w:spacing w:val="1"/>
          <w:lang w:eastAsia="fr-FR"/>
        </w:rPr>
        <w:t xml:space="preserve">for treatment against mosquitos in temperate conditions, do not apply the product </w:t>
      </w:r>
      <w:r>
        <w:rPr>
          <w:rFonts w:cs="Arial"/>
          <w:spacing w:val="1"/>
          <w:lang w:eastAsia="fr-FR"/>
        </w:rPr>
        <w:t>simultaneously</w:t>
      </w:r>
      <w:r w:rsidRPr="00AC648E">
        <w:rPr>
          <w:rFonts w:cs="Arial"/>
          <w:spacing w:val="1"/>
          <w:lang w:eastAsia="fr-FR"/>
        </w:rPr>
        <w:t xml:space="preserve"> </w:t>
      </w:r>
      <w:r w:rsidRPr="00673CDC">
        <w:rPr>
          <w:rFonts w:cs="Arial"/>
          <w:spacing w:val="1"/>
          <w:lang w:eastAsia="fr-FR"/>
        </w:rPr>
        <w:t xml:space="preserve">on the skin </w:t>
      </w:r>
      <w:r>
        <w:rPr>
          <w:rFonts w:cs="Arial"/>
          <w:spacing w:val="1"/>
          <w:lang w:eastAsia="fr-FR"/>
        </w:rPr>
        <w:t xml:space="preserve">of children </w:t>
      </w:r>
      <w:r w:rsidR="00A65729">
        <w:rPr>
          <w:rFonts w:cs="Arial"/>
          <w:spacing w:val="1"/>
          <w:lang w:eastAsia="fr-FR"/>
        </w:rPr>
        <w:t xml:space="preserve">under 12 years </w:t>
      </w:r>
      <w:r>
        <w:rPr>
          <w:rFonts w:cs="Arial"/>
          <w:spacing w:val="1"/>
          <w:lang w:eastAsia="fr-FR"/>
        </w:rPr>
        <w:t>and on</w:t>
      </w:r>
      <w:r w:rsidRPr="00673CDC">
        <w:rPr>
          <w:rFonts w:cs="Arial"/>
          <w:spacing w:val="1"/>
          <w:lang w:eastAsia="fr-FR"/>
        </w:rPr>
        <w:t xml:space="preserve"> </w:t>
      </w:r>
      <w:r>
        <w:rPr>
          <w:rFonts w:cs="Arial"/>
          <w:spacing w:val="1"/>
          <w:lang w:eastAsia="fr-FR"/>
        </w:rPr>
        <w:t xml:space="preserve">their </w:t>
      </w:r>
      <w:r w:rsidRPr="00673CDC">
        <w:rPr>
          <w:rFonts w:cs="Arial"/>
          <w:spacing w:val="1"/>
          <w:lang w:eastAsia="fr-FR"/>
        </w:rPr>
        <w:t>clothes</w:t>
      </w:r>
      <w:r w:rsidRPr="00D66F4F">
        <w:rPr>
          <w:rFonts w:cs="Arial"/>
          <w:spacing w:val="1"/>
          <w:lang w:eastAsia="fr-FR"/>
        </w:rPr>
        <w:t xml:space="preserve">. Moreover, </w:t>
      </w:r>
      <w:r w:rsidRPr="00673CDC">
        <w:rPr>
          <w:rFonts w:cs="Arial"/>
          <w:spacing w:val="1"/>
          <w:lang w:eastAsia="fr-FR"/>
        </w:rPr>
        <w:t xml:space="preserve">the following RMM is proposed: </w:t>
      </w:r>
      <w:r>
        <w:rPr>
          <w:rFonts w:cs="Arial"/>
          <w:spacing w:val="1"/>
          <w:lang w:eastAsia="fr-FR"/>
        </w:rPr>
        <w:t>For adult</w:t>
      </w:r>
      <w:r w:rsidR="00A65729" w:rsidRPr="00A65729">
        <w:rPr>
          <w:rFonts w:cs="Arial"/>
          <w:spacing w:val="1"/>
          <w:lang w:eastAsia="fr-FR"/>
        </w:rPr>
        <w:t xml:space="preserve"> </w:t>
      </w:r>
      <w:r w:rsidR="00A65729">
        <w:rPr>
          <w:rFonts w:cs="Arial"/>
          <w:spacing w:val="1"/>
          <w:lang w:eastAsia="fr-FR"/>
        </w:rPr>
        <w:t>and children more than 12 years</w:t>
      </w:r>
      <w:r>
        <w:rPr>
          <w:rFonts w:cs="Arial"/>
          <w:spacing w:val="1"/>
          <w:lang w:eastAsia="fr-FR"/>
        </w:rPr>
        <w:t xml:space="preserve">, </w:t>
      </w:r>
      <w:r w:rsidRPr="00D66F4F">
        <w:rPr>
          <w:rFonts w:cs="Arial"/>
          <w:spacing w:val="1"/>
          <w:lang w:eastAsia="fr-FR"/>
        </w:rPr>
        <w:t xml:space="preserve">do not apply the </w:t>
      </w:r>
      <w:r w:rsidRPr="00297E5D">
        <w:rPr>
          <w:rFonts w:cs="Arial"/>
          <w:spacing w:val="1"/>
          <w:lang w:eastAsia="fr-FR"/>
        </w:rPr>
        <w:t>product on</w:t>
      </w:r>
      <w:r w:rsidRPr="00D66F4F">
        <w:rPr>
          <w:rFonts w:cs="Arial"/>
          <w:spacing w:val="1"/>
          <w:lang w:eastAsia="fr-FR"/>
        </w:rPr>
        <w:t xml:space="preserve"> skin under clothes</w:t>
      </w:r>
      <w:r>
        <w:rPr>
          <w:rFonts w:cs="Arial"/>
          <w:spacing w:val="1"/>
          <w:lang w:eastAsia="fr-FR"/>
        </w:rPr>
        <w:t>.</w:t>
      </w:r>
    </w:p>
    <w:p w14:paraId="30C046D7" w14:textId="77777777" w:rsidR="00602CBE" w:rsidRPr="007E29F8" w:rsidRDefault="00602CBE"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p>
    <w:p w14:paraId="3D6CFF52" w14:textId="77777777" w:rsidR="00602CBE"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spacing w:val="1"/>
          <w:lang w:eastAsia="fr-FR"/>
        </w:rPr>
      </w:pPr>
      <w:r w:rsidRPr="007E29F8">
        <w:rPr>
          <w:b/>
        </w:rPr>
        <w:t>Intended use #</w:t>
      </w:r>
      <w:r>
        <w:rPr>
          <w:b/>
        </w:rPr>
        <w:t>6</w:t>
      </w:r>
      <w:r w:rsidRPr="007E29F8">
        <w:rPr>
          <w:b/>
        </w:rPr>
        <w:t xml:space="preserve"> (Spray for skin application to repel </w:t>
      </w:r>
      <w:r>
        <w:rPr>
          <w:b/>
        </w:rPr>
        <w:t>ticks</w:t>
      </w:r>
      <w:r w:rsidRPr="007E29F8">
        <w:rPr>
          <w:b/>
        </w:rPr>
        <w:t>)</w:t>
      </w:r>
      <w:r>
        <w:rPr>
          <w:b/>
        </w:rPr>
        <w:t xml:space="preserve"> </w:t>
      </w:r>
      <w:r w:rsidRPr="007E29F8">
        <w:rPr>
          <w:b/>
        </w:rPr>
        <w:t>and</w:t>
      </w:r>
      <w:r w:rsidRPr="00DC5086">
        <w:rPr>
          <w:b/>
        </w:rPr>
        <w:t xml:space="preserve"> </w:t>
      </w:r>
      <w:r w:rsidRPr="007E29F8">
        <w:rPr>
          <w:b/>
        </w:rPr>
        <w:t>Intended use #</w:t>
      </w:r>
      <w:r>
        <w:rPr>
          <w:b/>
        </w:rPr>
        <w:t>5</w:t>
      </w:r>
      <w:r w:rsidRPr="007E29F8">
        <w:rPr>
          <w:b/>
        </w:rPr>
        <w:t xml:space="preserve"> (Spray to treat clothes against </w:t>
      </w:r>
      <w:r>
        <w:rPr>
          <w:b/>
        </w:rPr>
        <w:t>ticks</w:t>
      </w:r>
      <w:r w:rsidRPr="007E29F8">
        <w:rPr>
          <w:b/>
        </w:rPr>
        <w:t>)</w:t>
      </w:r>
    </w:p>
    <w:p w14:paraId="57D779CE" w14:textId="38FEEF03" w:rsidR="001E65DB" w:rsidRPr="0012172A" w:rsidRDefault="00A65729" w:rsidP="003E3E25">
      <w:pPr>
        <w:widowControl w:val="0"/>
        <w:kinsoku w:val="0"/>
        <w:overflowPunct w:val="0"/>
        <w:autoSpaceDE w:val="0"/>
        <w:autoSpaceDN w:val="0"/>
        <w:adjustRightInd w:val="0"/>
        <w:spacing w:before="0" w:after="0" w:line="290" w:lineRule="exact"/>
        <w:ind w:right="216"/>
        <w:jc w:val="both"/>
        <w:textAlignment w:val="baseline"/>
        <w:rPr>
          <w:rFonts w:cs="Arial"/>
          <w:b/>
          <w:iCs/>
          <w:color w:val="2E74B5" w:themeColor="accent1" w:themeShade="BF"/>
          <w:spacing w:val="1"/>
          <w:lang w:eastAsia="fr-FR"/>
        </w:rPr>
      </w:pPr>
      <w:r w:rsidRPr="00A65729">
        <w:rPr>
          <w:rFonts w:cs="Arial"/>
          <w:spacing w:val="1"/>
          <w:lang w:eastAsia="fr-FR"/>
        </w:rPr>
        <w:t>For combined treatment, the risk is acceptable for adults</w:t>
      </w:r>
      <w:r>
        <w:rPr>
          <w:rFonts w:cs="Arial"/>
          <w:spacing w:val="1"/>
          <w:lang w:eastAsia="fr-FR"/>
        </w:rPr>
        <w:t xml:space="preserve"> and children of 12 years and more</w:t>
      </w:r>
      <w:r w:rsidRPr="00A65729">
        <w:rPr>
          <w:rFonts w:cs="Arial"/>
          <w:spacing w:val="1"/>
          <w:lang w:eastAsia="fr-FR"/>
        </w:rPr>
        <w:t xml:space="preserve"> but inacceptable for children</w:t>
      </w:r>
      <w:r>
        <w:rPr>
          <w:rFonts w:cs="Arial"/>
          <w:spacing w:val="1"/>
          <w:lang w:eastAsia="fr-FR"/>
        </w:rPr>
        <w:t xml:space="preserve"> under </w:t>
      </w:r>
      <w:r w:rsidR="00C11F5D">
        <w:rPr>
          <w:rFonts w:cs="Arial"/>
          <w:spacing w:val="1"/>
          <w:lang w:eastAsia="fr-FR"/>
        </w:rPr>
        <w:t>6</w:t>
      </w:r>
      <w:r>
        <w:rPr>
          <w:rFonts w:cs="Arial"/>
          <w:spacing w:val="1"/>
          <w:lang w:eastAsia="fr-FR"/>
        </w:rPr>
        <w:t xml:space="preserve"> years</w:t>
      </w:r>
      <w:r>
        <w:t xml:space="preserve">. </w:t>
      </w:r>
      <w:r w:rsidR="001E65DB" w:rsidRPr="00D66F4F">
        <w:t xml:space="preserve">Therefore, the following RMM is proposed: for treatment against ticks do not apply the product simultaneously on the skin </w:t>
      </w:r>
      <w:r w:rsidR="00BA4496">
        <w:t>of children</w:t>
      </w:r>
      <w:r>
        <w:t xml:space="preserve"> </w:t>
      </w:r>
      <w:r>
        <w:rPr>
          <w:rFonts w:cs="Arial"/>
          <w:spacing w:val="1"/>
          <w:lang w:eastAsia="fr-FR"/>
        </w:rPr>
        <w:t xml:space="preserve">under </w:t>
      </w:r>
      <w:r w:rsidR="00C11F5D">
        <w:rPr>
          <w:rFonts w:cs="Arial"/>
          <w:spacing w:val="1"/>
          <w:lang w:eastAsia="fr-FR"/>
        </w:rPr>
        <w:t>6</w:t>
      </w:r>
      <w:r>
        <w:rPr>
          <w:rFonts w:cs="Arial"/>
          <w:spacing w:val="1"/>
          <w:lang w:eastAsia="fr-FR"/>
        </w:rPr>
        <w:t xml:space="preserve"> years</w:t>
      </w:r>
      <w:r w:rsidR="00BA4496">
        <w:t xml:space="preserve"> </w:t>
      </w:r>
      <w:r w:rsidR="001E65DB" w:rsidRPr="00D66F4F">
        <w:t>and on</w:t>
      </w:r>
      <w:r w:rsidR="00BA4496">
        <w:t xml:space="preserve"> their</w:t>
      </w:r>
      <w:r w:rsidR="001E65DB" w:rsidRPr="00D66F4F">
        <w:t xml:space="preserve"> clothes.</w:t>
      </w:r>
      <w:r w:rsidR="00BA4496" w:rsidRPr="00BA4496">
        <w:rPr>
          <w:rFonts w:cs="Arial"/>
          <w:spacing w:val="1"/>
          <w:lang w:eastAsia="fr-FR"/>
        </w:rPr>
        <w:t xml:space="preserve"> </w:t>
      </w:r>
      <w:r w:rsidR="00BA4496" w:rsidRPr="00D66F4F">
        <w:rPr>
          <w:rFonts w:cs="Arial"/>
          <w:spacing w:val="1"/>
          <w:lang w:eastAsia="fr-FR"/>
        </w:rPr>
        <w:t xml:space="preserve">Moreover, </w:t>
      </w:r>
      <w:r w:rsidR="00BA4496" w:rsidRPr="00673CDC">
        <w:rPr>
          <w:rFonts w:cs="Arial"/>
          <w:spacing w:val="1"/>
          <w:lang w:eastAsia="fr-FR"/>
        </w:rPr>
        <w:t xml:space="preserve">the following RMM is proposed: </w:t>
      </w:r>
      <w:r w:rsidR="00BA4496">
        <w:rPr>
          <w:rFonts w:cs="Arial"/>
          <w:spacing w:val="1"/>
          <w:lang w:eastAsia="fr-FR"/>
        </w:rPr>
        <w:t>For adult</w:t>
      </w:r>
      <w:r w:rsidRPr="00A65729">
        <w:rPr>
          <w:rFonts w:cs="Arial"/>
          <w:spacing w:val="1"/>
          <w:lang w:eastAsia="fr-FR"/>
        </w:rPr>
        <w:t xml:space="preserve"> </w:t>
      </w:r>
      <w:r>
        <w:rPr>
          <w:rFonts w:cs="Arial"/>
          <w:spacing w:val="1"/>
          <w:lang w:eastAsia="fr-FR"/>
        </w:rPr>
        <w:t>and children</w:t>
      </w:r>
      <w:r w:rsidR="002C7556">
        <w:rPr>
          <w:rFonts w:cs="Arial"/>
          <w:spacing w:val="1"/>
          <w:lang w:eastAsia="fr-FR"/>
        </w:rPr>
        <w:t xml:space="preserve"> more than 6</w:t>
      </w:r>
      <w:r>
        <w:rPr>
          <w:rFonts w:cs="Arial"/>
          <w:spacing w:val="1"/>
          <w:lang w:eastAsia="fr-FR"/>
        </w:rPr>
        <w:t xml:space="preserve"> years</w:t>
      </w:r>
      <w:r w:rsidR="00BA4496">
        <w:rPr>
          <w:rFonts w:cs="Arial"/>
          <w:spacing w:val="1"/>
          <w:lang w:eastAsia="fr-FR"/>
        </w:rPr>
        <w:t xml:space="preserve">, </w:t>
      </w:r>
      <w:r w:rsidR="00BA4496" w:rsidRPr="00D66F4F">
        <w:rPr>
          <w:rFonts w:cs="Arial"/>
          <w:spacing w:val="1"/>
          <w:lang w:eastAsia="fr-FR"/>
        </w:rPr>
        <w:t xml:space="preserve">do not apply the </w:t>
      </w:r>
      <w:r w:rsidR="00BA4496" w:rsidRPr="00297E5D">
        <w:rPr>
          <w:rFonts w:cs="Arial"/>
          <w:spacing w:val="1"/>
          <w:lang w:eastAsia="fr-FR"/>
        </w:rPr>
        <w:t>product on</w:t>
      </w:r>
      <w:r w:rsidR="00BA4496" w:rsidRPr="00D66F4F">
        <w:rPr>
          <w:rFonts w:cs="Arial"/>
          <w:spacing w:val="1"/>
          <w:lang w:eastAsia="fr-FR"/>
        </w:rPr>
        <w:t xml:space="preserve"> skin under clothes</w:t>
      </w:r>
      <w:r w:rsidR="00BA4496">
        <w:rPr>
          <w:rFonts w:cs="Arial"/>
          <w:spacing w:val="1"/>
          <w:lang w:eastAsia="fr-FR"/>
        </w:rPr>
        <w:t>.</w:t>
      </w:r>
    </w:p>
    <w:p w14:paraId="1D12857C" w14:textId="77777777" w:rsidR="001E65DB" w:rsidRPr="007E29F8" w:rsidRDefault="001E65DB" w:rsidP="003E3E25">
      <w:pPr>
        <w:widowControl w:val="0"/>
        <w:kinsoku w:val="0"/>
        <w:overflowPunct w:val="0"/>
        <w:autoSpaceDE w:val="0"/>
        <w:autoSpaceDN w:val="0"/>
        <w:adjustRightInd w:val="0"/>
        <w:spacing w:before="0" w:after="0"/>
        <w:ind w:right="216"/>
        <w:jc w:val="both"/>
        <w:textAlignment w:val="baseline"/>
        <w:rPr>
          <w:rFonts w:cs="Arial"/>
          <w:b/>
          <w:iCs/>
          <w:color w:val="2E74B5" w:themeColor="accent1" w:themeShade="BF"/>
          <w:spacing w:val="1"/>
          <w:lang w:eastAsia="fr-FR"/>
        </w:rPr>
      </w:pPr>
      <w:r w:rsidRPr="007E29F8">
        <w:rPr>
          <w:rFonts w:cs="Arial"/>
          <w:b/>
          <w:iCs/>
          <w:color w:val="2E74B5" w:themeColor="accent1" w:themeShade="BF"/>
          <w:spacing w:val="1"/>
          <w:lang w:eastAsia="fr-FR"/>
        </w:rPr>
        <w:t>Authorisation based on article 19 (5) in France:</w:t>
      </w:r>
    </w:p>
    <w:p w14:paraId="6A97B77E" w14:textId="77777777" w:rsidR="001E65DB" w:rsidRPr="007E29F8" w:rsidRDefault="001E65DB" w:rsidP="003E3E25">
      <w:pPr>
        <w:widowControl w:val="0"/>
        <w:kinsoku w:val="0"/>
        <w:overflowPunct w:val="0"/>
        <w:autoSpaceDE w:val="0"/>
        <w:autoSpaceDN w:val="0"/>
        <w:adjustRightInd w:val="0"/>
        <w:spacing w:before="0" w:after="0"/>
        <w:ind w:right="216"/>
        <w:jc w:val="both"/>
        <w:textAlignment w:val="baseline"/>
        <w:rPr>
          <w:rFonts w:cs="Arial"/>
          <w:iCs/>
          <w:color w:val="2E74B5" w:themeColor="accent1" w:themeShade="BF"/>
          <w:spacing w:val="1"/>
          <w:lang w:eastAsia="fr-FR"/>
        </w:rPr>
      </w:pPr>
    </w:p>
    <w:p w14:paraId="5967479F" w14:textId="77777777" w:rsidR="001E65DB" w:rsidRPr="007E29F8" w:rsidRDefault="001E65DB" w:rsidP="003E3E25">
      <w:pPr>
        <w:widowControl w:val="0"/>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r w:rsidRPr="007E29F8">
        <w:rPr>
          <w:rFonts w:cs="Arial"/>
          <w:color w:val="2E74B5" w:themeColor="accent1" w:themeShade="BF"/>
          <w:spacing w:val="1"/>
          <w:lang w:eastAsia="fr-FR"/>
        </w:rPr>
        <w:t xml:space="preserve">Given the risk of vector-borne diseases transmission in France, FR CA considers that Spray Repulsif IR200 could be authorized for application on humans, with appropriate risk mitigation measures that limit human exposure based on article 19(5). The following RMMs are considered as applicable in France: </w:t>
      </w:r>
    </w:p>
    <w:p w14:paraId="6A337959" w14:textId="77777777" w:rsidR="001E65DB" w:rsidRPr="007E29F8" w:rsidRDefault="001E65DB" w:rsidP="003E3E25">
      <w:pPr>
        <w:widowControl w:val="0"/>
        <w:numPr>
          <w:ilvl w:val="0"/>
          <w:numId w:val="52"/>
        </w:numPr>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r w:rsidRPr="007E29F8">
        <w:rPr>
          <w:rFonts w:cs="Arial"/>
          <w:color w:val="2E74B5" w:themeColor="accent1" w:themeShade="BF"/>
          <w:spacing w:val="1"/>
          <w:lang w:eastAsia="fr-FR"/>
        </w:rPr>
        <w:t xml:space="preserve">For adult: “apply on the </w:t>
      </w:r>
      <w:r w:rsidRPr="007E29F8">
        <w:rPr>
          <w:rFonts w:cs="Arial"/>
          <w:i/>
          <w:iCs/>
          <w:color w:val="2E74B5" w:themeColor="accent1" w:themeShade="BF"/>
          <w:spacing w:val="1"/>
          <w:lang w:eastAsia="fr-FR"/>
        </w:rPr>
        <w:t xml:space="preserve">face, neck, hands, ¾ arms, ½ legs” </w:t>
      </w:r>
    </w:p>
    <w:p w14:paraId="53C33C53" w14:textId="0B9E486C" w:rsidR="001E65DB" w:rsidRPr="007E29F8" w:rsidRDefault="001E65DB" w:rsidP="003E3E25">
      <w:pPr>
        <w:widowControl w:val="0"/>
        <w:numPr>
          <w:ilvl w:val="0"/>
          <w:numId w:val="52"/>
        </w:numPr>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r w:rsidRPr="007E29F8">
        <w:rPr>
          <w:rFonts w:cs="Arial"/>
          <w:color w:val="2E74B5" w:themeColor="accent1" w:themeShade="BF"/>
          <w:spacing w:val="1"/>
          <w:lang w:eastAsia="fr-FR"/>
        </w:rPr>
        <w:t>For children: “</w:t>
      </w:r>
      <w:r w:rsidRPr="007E29F8">
        <w:rPr>
          <w:rFonts w:cs="Arial"/>
          <w:i/>
          <w:iCs/>
          <w:color w:val="2E74B5" w:themeColor="accent1" w:themeShade="BF"/>
          <w:spacing w:val="1"/>
          <w:lang w:eastAsia="fr-FR"/>
        </w:rPr>
        <w:t>do not apply the product on hands of child” and “</w:t>
      </w:r>
      <w:r w:rsidRPr="007E29F8">
        <w:rPr>
          <w:rFonts w:cs="Arial"/>
          <w:color w:val="2E74B5" w:themeColor="accent1" w:themeShade="BF"/>
          <w:spacing w:val="1"/>
          <w:lang w:eastAsia="fr-FR"/>
        </w:rPr>
        <w:t xml:space="preserve">apply on the </w:t>
      </w:r>
      <w:r w:rsidRPr="007E29F8">
        <w:rPr>
          <w:rFonts w:cs="Arial"/>
          <w:i/>
          <w:iCs/>
          <w:color w:val="2E74B5" w:themeColor="accent1" w:themeShade="BF"/>
          <w:spacing w:val="1"/>
          <w:lang w:eastAsia="fr-FR"/>
        </w:rPr>
        <w:t>face, neck, ¾ arms</w:t>
      </w:r>
      <w:r>
        <w:rPr>
          <w:rFonts w:cs="Arial"/>
          <w:i/>
          <w:iCs/>
          <w:color w:val="2E74B5" w:themeColor="accent1" w:themeShade="BF"/>
          <w:spacing w:val="1"/>
          <w:lang w:eastAsia="fr-FR"/>
        </w:rPr>
        <w:t xml:space="preserve"> and </w:t>
      </w:r>
      <w:r w:rsidRPr="007E29F8">
        <w:rPr>
          <w:rFonts w:cs="Arial"/>
          <w:i/>
          <w:iCs/>
          <w:color w:val="2E74B5" w:themeColor="accent1" w:themeShade="BF"/>
          <w:spacing w:val="1"/>
          <w:lang w:eastAsia="fr-FR"/>
        </w:rPr>
        <w:t>½ legs”</w:t>
      </w:r>
    </w:p>
    <w:p w14:paraId="03EE12B3" w14:textId="77777777" w:rsidR="001E65DB" w:rsidRPr="007E29F8" w:rsidRDefault="001E65DB" w:rsidP="003E3E25">
      <w:pPr>
        <w:widowControl w:val="0"/>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p>
    <w:p w14:paraId="5F5008A2" w14:textId="77777777" w:rsidR="001E65DB" w:rsidRPr="007E29F8" w:rsidRDefault="001E65DB" w:rsidP="003E3E25">
      <w:pPr>
        <w:widowControl w:val="0"/>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r w:rsidRPr="007E29F8">
        <w:rPr>
          <w:rFonts w:cs="Arial"/>
          <w:color w:val="2E74B5" w:themeColor="accent1" w:themeShade="BF"/>
          <w:spacing w:val="1"/>
          <w:lang w:eastAsia="fr-FR"/>
        </w:rPr>
        <w:t>The estimation of exposure is performed considering that wearing a T-shirt and short leads to an exposure of head, hand, ¾ arm and ½ legs (</w:t>
      </w:r>
      <w:r>
        <w:rPr>
          <w:rFonts w:cs="Arial"/>
          <w:color w:val="2E74B5" w:themeColor="accent1" w:themeShade="BF"/>
          <w:spacing w:val="1"/>
          <w:lang w:eastAsia="fr-FR"/>
        </w:rPr>
        <w:t xml:space="preserve">approximately </w:t>
      </w:r>
      <w:r w:rsidRPr="007E29F8">
        <w:rPr>
          <w:rFonts w:cs="Arial"/>
          <w:color w:val="2E74B5" w:themeColor="accent1" w:themeShade="BF"/>
          <w:spacing w:val="1"/>
          <w:lang w:eastAsia="fr-FR"/>
        </w:rPr>
        <w:t>38 % of body surface for an adult).</w:t>
      </w:r>
    </w:p>
    <w:p w14:paraId="1C68241E" w14:textId="77777777" w:rsidR="001E65DB" w:rsidRPr="007E29F8" w:rsidRDefault="001E65DB" w:rsidP="003E3E25">
      <w:pPr>
        <w:widowControl w:val="0"/>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p>
    <w:p w14:paraId="623E50A3" w14:textId="77777777" w:rsidR="001E65DB" w:rsidRPr="007E29F8" w:rsidRDefault="001E65DB" w:rsidP="003E3E25">
      <w:pPr>
        <w:widowControl w:val="0"/>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r w:rsidRPr="007E29F8">
        <w:rPr>
          <w:rFonts w:cs="Arial"/>
          <w:color w:val="2E74B5" w:themeColor="accent1" w:themeShade="BF"/>
          <w:spacing w:val="1"/>
          <w:lang w:eastAsia="fr-FR"/>
        </w:rPr>
        <w:t xml:space="preserve">The scenario and parameters are similar to the scenario assessed above except exposed area. Indeed, the </w:t>
      </w:r>
      <w:r w:rsidRPr="007E29F8">
        <w:rPr>
          <w:rFonts w:cs="Arial"/>
          <w:i/>
          <w:color w:val="2E74B5" w:themeColor="accent1" w:themeShade="BF"/>
          <w:spacing w:val="1"/>
          <w:lang w:eastAsia="fr-FR"/>
        </w:rPr>
        <w:t>primary exposure</w:t>
      </w:r>
      <w:r w:rsidRPr="007E29F8">
        <w:rPr>
          <w:rFonts w:cs="Arial"/>
          <w:color w:val="2E74B5" w:themeColor="accent1" w:themeShade="BF"/>
          <w:spacing w:val="1"/>
          <w:lang w:eastAsia="fr-FR"/>
        </w:rPr>
        <w:t xml:space="preserve"> is limited to the body surface: head, hand, ¾ arms and ½ legs for Tier 1. For Tier 2, the body surface considered is limited to head, ¾ arms and ½ legs because of the following RMM </w:t>
      </w:r>
      <w:r>
        <w:rPr>
          <w:rFonts w:cs="Arial"/>
          <w:color w:val="2E74B5" w:themeColor="accent1" w:themeShade="BF"/>
          <w:spacing w:val="1"/>
          <w:lang w:eastAsia="fr-FR"/>
        </w:rPr>
        <w:t xml:space="preserve">is </w:t>
      </w:r>
      <w:r w:rsidRPr="007E29F8">
        <w:rPr>
          <w:rFonts w:cs="Arial"/>
          <w:color w:val="2E74B5" w:themeColor="accent1" w:themeShade="BF"/>
          <w:spacing w:val="1"/>
          <w:lang w:eastAsia="fr-FR"/>
        </w:rPr>
        <w:t xml:space="preserve">proposed: </w:t>
      </w:r>
      <w:r w:rsidRPr="007E29F8">
        <w:rPr>
          <w:rFonts w:cs="Arial"/>
          <w:i/>
          <w:color w:val="2E74B5" w:themeColor="accent1" w:themeShade="BF"/>
          <w:spacing w:val="1"/>
          <w:lang w:eastAsia="fr-FR"/>
        </w:rPr>
        <w:t>Do not apply the product on the hands of child</w:t>
      </w:r>
      <w:r w:rsidRPr="007E29F8">
        <w:rPr>
          <w:rFonts w:cs="Arial"/>
          <w:color w:val="2E74B5" w:themeColor="accent1" w:themeShade="BF"/>
          <w:spacing w:val="1"/>
          <w:lang w:eastAsia="fr-FR"/>
        </w:rPr>
        <w:t>.</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4622"/>
        <w:gridCol w:w="9"/>
        <w:gridCol w:w="1002"/>
        <w:gridCol w:w="8"/>
        <w:gridCol w:w="2601"/>
      </w:tblGrid>
      <w:tr w:rsidR="001E65DB" w:rsidRPr="007E29F8" w14:paraId="57FD5945" w14:textId="77777777" w:rsidTr="001E65DB">
        <w:trPr>
          <w:tblHeader/>
        </w:trPr>
        <w:tc>
          <w:tcPr>
            <w:tcW w:w="5000" w:type="pct"/>
            <w:gridSpan w:val="6"/>
            <w:shd w:val="clear" w:color="auto" w:fill="FFFFCC"/>
            <w:tcMar>
              <w:top w:w="57" w:type="dxa"/>
              <w:bottom w:w="57" w:type="dxa"/>
            </w:tcMar>
          </w:tcPr>
          <w:p w14:paraId="0BA870D5" w14:textId="77777777" w:rsidR="001E65DB" w:rsidRPr="007E29F8" w:rsidRDefault="001E65DB" w:rsidP="001E65DB">
            <w:pPr>
              <w:spacing w:before="0" w:after="0"/>
              <w:jc w:val="both"/>
              <w:rPr>
                <w:rFonts w:eastAsia="Calibri" w:cs="Arial"/>
                <w:b/>
                <w:color w:val="0070C0"/>
                <w:sz w:val="22"/>
                <w:szCs w:val="22"/>
                <w:lang w:eastAsia="en-US"/>
              </w:rPr>
            </w:pPr>
            <w:r w:rsidRPr="007E29F8">
              <w:rPr>
                <w:rFonts w:eastAsia="Calibri" w:cs="Arial"/>
                <w:b/>
                <w:color w:val="0070C0"/>
                <w:sz w:val="22"/>
                <w:szCs w:val="22"/>
                <w:lang w:eastAsia="en-US"/>
              </w:rPr>
              <w:t>Description of Scenario [1a]</w:t>
            </w:r>
          </w:p>
        </w:tc>
      </w:tr>
      <w:tr w:rsidR="001E65DB" w:rsidRPr="007E29F8" w14:paraId="5C29FD9E" w14:textId="77777777" w:rsidTr="003E3E25">
        <w:trPr>
          <w:tblHeader/>
        </w:trPr>
        <w:tc>
          <w:tcPr>
            <w:tcW w:w="617" w:type="pct"/>
            <w:shd w:val="clear" w:color="auto" w:fill="auto"/>
            <w:tcMar>
              <w:top w:w="57" w:type="dxa"/>
              <w:bottom w:w="57" w:type="dxa"/>
            </w:tcMar>
          </w:tcPr>
          <w:p w14:paraId="2D56874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p>
        </w:tc>
        <w:tc>
          <w:tcPr>
            <w:tcW w:w="2458" w:type="pct"/>
            <w:shd w:val="clear" w:color="auto" w:fill="auto"/>
            <w:tcMar>
              <w:top w:w="57" w:type="dxa"/>
              <w:bottom w:w="57" w:type="dxa"/>
            </w:tcMar>
          </w:tcPr>
          <w:p w14:paraId="6B8FA49F" w14:textId="77777777" w:rsidR="001E65DB" w:rsidRPr="007E29F8" w:rsidRDefault="001E65DB" w:rsidP="001E65DB">
            <w:pPr>
              <w:spacing w:before="0" w:after="0"/>
              <w:jc w:val="both"/>
              <w:rPr>
                <w:rFonts w:eastAsia="Calibri" w:cs="Arial"/>
                <w:b/>
                <w:color w:val="0070C0"/>
                <w:sz w:val="22"/>
                <w:szCs w:val="22"/>
                <w:lang w:eastAsia="en-US"/>
              </w:rPr>
            </w:pPr>
            <w:r w:rsidRPr="007E29F8">
              <w:rPr>
                <w:rFonts w:eastAsia="Calibri" w:cs="Arial"/>
                <w:b/>
                <w:color w:val="0070C0"/>
                <w:sz w:val="22"/>
                <w:szCs w:val="22"/>
                <w:lang w:eastAsia="en-US"/>
              </w:rPr>
              <w:t>Parameters</w:t>
            </w:r>
          </w:p>
        </w:tc>
        <w:tc>
          <w:tcPr>
            <w:tcW w:w="542" w:type="pct"/>
            <w:gridSpan w:val="3"/>
            <w:shd w:val="clear" w:color="auto" w:fill="auto"/>
            <w:tcMar>
              <w:top w:w="57" w:type="dxa"/>
              <w:bottom w:w="57" w:type="dxa"/>
            </w:tcMar>
          </w:tcPr>
          <w:p w14:paraId="00AB6A11" w14:textId="77777777" w:rsidR="001E65DB" w:rsidRPr="007E29F8" w:rsidRDefault="001E65DB" w:rsidP="001E65DB">
            <w:pPr>
              <w:spacing w:before="0" w:after="0"/>
              <w:jc w:val="both"/>
              <w:rPr>
                <w:rFonts w:eastAsia="Calibri" w:cs="Arial"/>
                <w:b/>
                <w:color w:val="0070C0"/>
                <w:sz w:val="22"/>
                <w:szCs w:val="22"/>
                <w:lang w:eastAsia="en-US"/>
              </w:rPr>
            </w:pPr>
            <w:r w:rsidRPr="007E29F8">
              <w:rPr>
                <w:rFonts w:eastAsia="Calibri" w:cs="Arial"/>
                <w:b/>
                <w:color w:val="0070C0"/>
                <w:sz w:val="22"/>
                <w:szCs w:val="22"/>
                <w:lang w:eastAsia="en-US"/>
              </w:rPr>
              <w:t>Value</w:t>
            </w:r>
          </w:p>
        </w:tc>
        <w:tc>
          <w:tcPr>
            <w:tcW w:w="1383" w:type="pct"/>
            <w:shd w:val="clear" w:color="auto" w:fill="auto"/>
          </w:tcPr>
          <w:p w14:paraId="4B10BCDB" w14:textId="77777777" w:rsidR="001E65DB" w:rsidRPr="007E29F8" w:rsidRDefault="001E65DB" w:rsidP="001E65DB">
            <w:pPr>
              <w:spacing w:before="0" w:after="0"/>
              <w:jc w:val="both"/>
              <w:rPr>
                <w:rFonts w:eastAsia="Calibri" w:cs="Arial"/>
                <w:b/>
                <w:color w:val="0070C0"/>
                <w:sz w:val="22"/>
                <w:szCs w:val="22"/>
                <w:lang w:eastAsia="en-US"/>
              </w:rPr>
            </w:pPr>
            <w:r w:rsidRPr="007E29F8">
              <w:rPr>
                <w:rFonts w:eastAsia="Calibri" w:cs="Arial"/>
                <w:b/>
                <w:color w:val="0070C0"/>
                <w:sz w:val="22"/>
                <w:szCs w:val="22"/>
                <w:lang w:eastAsia="en-US"/>
              </w:rPr>
              <w:t>Reference</w:t>
            </w:r>
          </w:p>
        </w:tc>
      </w:tr>
      <w:tr w:rsidR="001E65DB" w:rsidRPr="007E29F8" w14:paraId="4B35DB19" w14:textId="77777777" w:rsidTr="003E3E25">
        <w:trPr>
          <w:tblHeader/>
        </w:trPr>
        <w:tc>
          <w:tcPr>
            <w:tcW w:w="617" w:type="pct"/>
            <w:vMerge w:val="restart"/>
            <w:shd w:val="clear" w:color="auto" w:fill="auto"/>
            <w:tcMar>
              <w:top w:w="57" w:type="dxa"/>
              <w:bottom w:w="57" w:type="dxa"/>
            </w:tcMar>
          </w:tcPr>
          <w:p w14:paraId="51F3767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p>
          <w:p w14:paraId="04143B1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both"/>
              <w:textAlignment w:val="baseline"/>
              <w:rPr>
                <w:rFonts w:cs="Arial"/>
                <w:color w:val="2E74B5" w:themeColor="accent1" w:themeShade="BF"/>
                <w:spacing w:val="1"/>
                <w:lang w:eastAsia="fr-FR"/>
              </w:rPr>
            </w:pPr>
            <w:r w:rsidRPr="007E29F8">
              <w:rPr>
                <w:rFonts w:cs="Arial"/>
                <w:color w:val="2E74B5" w:themeColor="accent1" w:themeShade="BF"/>
                <w:spacing w:val="1"/>
                <w:lang w:eastAsia="fr-FR"/>
              </w:rPr>
              <w:t>National approach</w:t>
            </w:r>
          </w:p>
          <w:p w14:paraId="172C0AB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jc w:val="both"/>
              <w:textAlignment w:val="baseline"/>
              <w:rPr>
                <w:rFonts w:cs="Arial"/>
                <w:color w:val="2E74B5" w:themeColor="accent1" w:themeShade="BF"/>
                <w:spacing w:val="1"/>
                <w:lang w:eastAsia="fr-FR"/>
              </w:rPr>
            </w:pPr>
            <w:r w:rsidRPr="007E29F8">
              <w:rPr>
                <w:rFonts w:cs="Arial"/>
                <w:color w:val="2E74B5" w:themeColor="accent1" w:themeShade="BF"/>
                <w:spacing w:val="1"/>
                <w:lang w:eastAsia="fr-FR"/>
              </w:rPr>
              <w:t>Tier 1</w:t>
            </w:r>
            <w:r w:rsidRPr="007E29F8">
              <w:rPr>
                <w:rFonts w:cs="Arial"/>
                <w:bCs/>
                <w:color w:val="2E74B5" w:themeColor="accent1" w:themeShade="BF"/>
                <w:spacing w:val="1"/>
                <w:lang w:eastAsia="fr-FR"/>
              </w:rPr>
              <w:t xml:space="preserve"> </w:t>
            </w:r>
          </w:p>
        </w:tc>
        <w:tc>
          <w:tcPr>
            <w:tcW w:w="2458" w:type="pct"/>
            <w:shd w:val="clear" w:color="auto" w:fill="auto"/>
            <w:tcMar>
              <w:top w:w="57" w:type="dxa"/>
              <w:bottom w:w="57" w:type="dxa"/>
            </w:tcMar>
          </w:tcPr>
          <w:p w14:paraId="0FA315A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r w:rsidRPr="007E29F8">
              <w:rPr>
                <w:rFonts w:cs="Arial"/>
                <w:bCs/>
                <w:color w:val="2E74B5" w:themeColor="accent1" w:themeShade="BF"/>
                <w:spacing w:val="1"/>
                <w:lang w:eastAsia="fr-FR"/>
              </w:rPr>
              <w:t>Dermal absorption</w:t>
            </w:r>
          </w:p>
        </w:tc>
        <w:tc>
          <w:tcPr>
            <w:tcW w:w="542" w:type="pct"/>
            <w:gridSpan w:val="3"/>
            <w:shd w:val="clear" w:color="auto" w:fill="auto"/>
            <w:tcMar>
              <w:top w:w="57" w:type="dxa"/>
              <w:bottom w:w="57" w:type="dxa"/>
            </w:tcMar>
          </w:tcPr>
          <w:p w14:paraId="7E814F1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color w:val="2E74B5" w:themeColor="accent1" w:themeShade="BF"/>
                <w:spacing w:val="1"/>
                <w:highlight w:val="yellow"/>
                <w:lang w:eastAsia="fr-FR"/>
              </w:rPr>
            </w:pPr>
            <w:r w:rsidRPr="007E29F8">
              <w:rPr>
                <w:rFonts w:cs="Arial"/>
                <w:bCs/>
                <w:color w:val="2E74B5" w:themeColor="accent1" w:themeShade="BF"/>
                <w:spacing w:val="1"/>
                <w:lang w:eastAsia="fr-FR"/>
              </w:rPr>
              <w:t>14%</w:t>
            </w:r>
          </w:p>
        </w:tc>
        <w:tc>
          <w:tcPr>
            <w:tcW w:w="1383" w:type="pct"/>
            <w:shd w:val="clear" w:color="auto" w:fill="auto"/>
            <w:vAlign w:val="center"/>
          </w:tcPr>
          <w:p w14:paraId="41C55AB6"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textAlignment w:val="baseline"/>
              <w:rPr>
                <w:rFonts w:cs="Arial"/>
                <w:color w:val="2E74B5" w:themeColor="accent1" w:themeShade="BF"/>
                <w:spacing w:val="1"/>
                <w:highlight w:val="yellow"/>
                <w:lang w:eastAsia="fr-FR"/>
              </w:rPr>
            </w:pPr>
            <w:r w:rsidRPr="007E29F8">
              <w:rPr>
                <w:rFonts w:cs="Arial"/>
                <w:bCs/>
                <w:color w:val="2E74B5" w:themeColor="accent1" w:themeShade="BF"/>
                <w:spacing w:val="1"/>
                <w:lang w:eastAsia="fr-FR"/>
              </w:rPr>
              <w:t>CAR IR3535</w:t>
            </w:r>
          </w:p>
        </w:tc>
      </w:tr>
      <w:tr w:rsidR="001E65DB" w:rsidRPr="007E29F8" w14:paraId="5CE78D72" w14:textId="77777777" w:rsidTr="003E3E25">
        <w:trPr>
          <w:tblHeader/>
        </w:trPr>
        <w:tc>
          <w:tcPr>
            <w:tcW w:w="617" w:type="pct"/>
            <w:vMerge/>
            <w:shd w:val="clear" w:color="auto" w:fill="auto"/>
            <w:tcMar>
              <w:top w:w="57" w:type="dxa"/>
              <w:bottom w:w="57" w:type="dxa"/>
            </w:tcMar>
          </w:tcPr>
          <w:p w14:paraId="6C2325E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color w:val="2E74B5" w:themeColor="accent1" w:themeShade="BF"/>
                <w:spacing w:val="1"/>
                <w:lang w:eastAsia="fr-FR"/>
              </w:rPr>
            </w:pPr>
          </w:p>
        </w:tc>
        <w:tc>
          <w:tcPr>
            <w:tcW w:w="2458" w:type="pct"/>
            <w:shd w:val="clear" w:color="auto" w:fill="auto"/>
            <w:tcMar>
              <w:top w:w="57" w:type="dxa"/>
              <w:bottom w:w="57" w:type="dxa"/>
            </w:tcMar>
          </w:tcPr>
          <w:p w14:paraId="1B71BDE7"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r w:rsidRPr="007E29F8">
              <w:rPr>
                <w:rFonts w:cs="Arial"/>
                <w:bCs/>
                <w:color w:val="2E74B5" w:themeColor="accent1" w:themeShade="BF"/>
                <w:spacing w:val="1"/>
                <w:lang w:eastAsia="fr-FR"/>
              </w:rPr>
              <w:t xml:space="preserve">% of active substance in biocidal product </w:t>
            </w:r>
          </w:p>
        </w:tc>
        <w:tc>
          <w:tcPr>
            <w:tcW w:w="542" w:type="pct"/>
            <w:gridSpan w:val="3"/>
            <w:shd w:val="clear" w:color="auto" w:fill="auto"/>
            <w:tcMar>
              <w:top w:w="57" w:type="dxa"/>
              <w:bottom w:w="57" w:type="dxa"/>
            </w:tcMar>
          </w:tcPr>
          <w:p w14:paraId="758EF63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color w:val="2E74B5" w:themeColor="accent1" w:themeShade="BF"/>
                <w:spacing w:val="1"/>
                <w:highlight w:val="yellow"/>
                <w:lang w:eastAsia="fr-FR"/>
              </w:rPr>
            </w:pPr>
            <w:r w:rsidRPr="007E29F8">
              <w:rPr>
                <w:rFonts w:cs="Arial"/>
                <w:bCs/>
                <w:color w:val="2E74B5" w:themeColor="accent1" w:themeShade="BF"/>
                <w:spacing w:val="1"/>
                <w:lang w:eastAsia="fr-FR"/>
              </w:rPr>
              <w:t>20%</w:t>
            </w:r>
          </w:p>
        </w:tc>
        <w:tc>
          <w:tcPr>
            <w:tcW w:w="1383" w:type="pct"/>
            <w:shd w:val="clear" w:color="auto" w:fill="auto"/>
            <w:vAlign w:val="center"/>
          </w:tcPr>
          <w:p w14:paraId="0887CD9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textAlignment w:val="baseline"/>
              <w:rPr>
                <w:rFonts w:cs="Arial"/>
                <w:color w:val="2E74B5" w:themeColor="accent1" w:themeShade="BF"/>
                <w:spacing w:val="1"/>
                <w:highlight w:val="yellow"/>
                <w:lang w:eastAsia="fr-FR"/>
              </w:rPr>
            </w:pPr>
            <w:r w:rsidRPr="007E29F8">
              <w:rPr>
                <w:rFonts w:cs="Arial"/>
                <w:bCs/>
                <w:color w:val="2E74B5" w:themeColor="accent1" w:themeShade="BF"/>
                <w:spacing w:val="1"/>
                <w:lang w:eastAsia="fr-FR"/>
              </w:rPr>
              <w:t>Applicant’s data</w:t>
            </w:r>
          </w:p>
        </w:tc>
      </w:tr>
      <w:tr w:rsidR="001E65DB" w:rsidRPr="007E29F8" w14:paraId="22CEA047" w14:textId="77777777" w:rsidTr="003E3E25">
        <w:trPr>
          <w:tblHeader/>
        </w:trPr>
        <w:tc>
          <w:tcPr>
            <w:tcW w:w="617" w:type="pct"/>
            <w:vMerge/>
            <w:shd w:val="clear" w:color="auto" w:fill="auto"/>
            <w:tcMar>
              <w:top w:w="57" w:type="dxa"/>
              <w:bottom w:w="57" w:type="dxa"/>
            </w:tcMar>
          </w:tcPr>
          <w:p w14:paraId="3A2A3BF6"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color w:val="2E74B5" w:themeColor="accent1" w:themeShade="BF"/>
                <w:spacing w:val="1"/>
                <w:lang w:eastAsia="fr-FR"/>
              </w:rPr>
            </w:pPr>
          </w:p>
        </w:tc>
        <w:tc>
          <w:tcPr>
            <w:tcW w:w="2458" w:type="pct"/>
            <w:shd w:val="clear" w:color="auto" w:fill="auto"/>
            <w:tcMar>
              <w:top w:w="57" w:type="dxa"/>
              <w:bottom w:w="57" w:type="dxa"/>
            </w:tcMar>
          </w:tcPr>
          <w:p w14:paraId="014B1547" w14:textId="412B9671"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r w:rsidRPr="007E29F8">
              <w:rPr>
                <w:rFonts w:cs="Arial"/>
                <w:bCs/>
                <w:color w:val="2E74B5" w:themeColor="accent1" w:themeShade="BF"/>
                <w:spacing w:val="1"/>
                <w:lang w:eastAsia="fr-FR"/>
              </w:rPr>
              <w:t>Application rate ( g product/m²)</w:t>
            </w:r>
          </w:p>
        </w:tc>
        <w:tc>
          <w:tcPr>
            <w:tcW w:w="542" w:type="pct"/>
            <w:gridSpan w:val="3"/>
            <w:shd w:val="clear" w:color="auto" w:fill="auto"/>
            <w:tcMar>
              <w:top w:w="57" w:type="dxa"/>
              <w:bottom w:w="57" w:type="dxa"/>
            </w:tcMar>
          </w:tcPr>
          <w:p w14:paraId="387BEE27" w14:textId="38C19599"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color w:val="2E74B5" w:themeColor="accent1" w:themeShade="BF"/>
                <w:spacing w:val="1"/>
                <w:highlight w:val="yellow"/>
                <w:lang w:eastAsia="fr-FR"/>
              </w:rPr>
            </w:pPr>
            <w:r w:rsidRPr="007E29F8">
              <w:rPr>
                <w:rFonts w:cs="Arial"/>
                <w:b/>
                <w:bCs/>
                <w:color w:val="2E74B5" w:themeColor="accent1" w:themeShade="BF"/>
                <w:spacing w:val="1"/>
                <w:lang w:eastAsia="fr-FR"/>
              </w:rPr>
              <w:t>6</w:t>
            </w:r>
            <w:r w:rsidR="00C56DE0">
              <w:rPr>
                <w:rFonts w:cs="Arial"/>
                <w:b/>
                <w:bCs/>
                <w:color w:val="2E74B5" w:themeColor="accent1" w:themeShade="BF"/>
                <w:spacing w:val="1"/>
                <w:lang w:eastAsia="fr-FR"/>
              </w:rPr>
              <w:t xml:space="preserve"> [1a] and 8 [1b]</w:t>
            </w:r>
          </w:p>
        </w:tc>
        <w:tc>
          <w:tcPr>
            <w:tcW w:w="1383" w:type="pct"/>
            <w:shd w:val="clear" w:color="auto" w:fill="auto"/>
            <w:vAlign w:val="center"/>
          </w:tcPr>
          <w:p w14:paraId="056C323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textAlignment w:val="baseline"/>
              <w:rPr>
                <w:rFonts w:cs="Arial"/>
                <w:color w:val="2E74B5" w:themeColor="accent1" w:themeShade="BF"/>
                <w:spacing w:val="1"/>
                <w:highlight w:val="yellow"/>
                <w:lang w:eastAsia="fr-FR"/>
              </w:rPr>
            </w:pPr>
            <w:r w:rsidRPr="007E29F8">
              <w:rPr>
                <w:rFonts w:cs="Arial"/>
                <w:bCs/>
                <w:color w:val="2E74B5" w:themeColor="accent1" w:themeShade="BF"/>
                <w:spacing w:val="1"/>
                <w:lang w:eastAsia="fr-FR"/>
              </w:rPr>
              <w:t xml:space="preserve">Applicant’s data </w:t>
            </w:r>
          </w:p>
        </w:tc>
      </w:tr>
      <w:tr w:rsidR="001E65DB" w:rsidRPr="007E29F8" w14:paraId="6FB19975" w14:textId="77777777" w:rsidTr="003E3E25">
        <w:trPr>
          <w:tblHeader/>
        </w:trPr>
        <w:tc>
          <w:tcPr>
            <w:tcW w:w="617" w:type="pct"/>
            <w:vMerge/>
            <w:shd w:val="clear" w:color="auto" w:fill="auto"/>
            <w:tcMar>
              <w:top w:w="57" w:type="dxa"/>
              <w:bottom w:w="57" w:type="dxa"/>
            </w:tcMar>
          </w:tcPr>
          <w:p w14:paraId="6BE77DC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color w:val="2E74B5" w:themeColor="accent1" w:themeShade="BF"/>
                <w:spacing w:val="1"/>
                <w:lang w:eastAsia="fr-FR"/>
              </w:rPr>
            </w:pPr>
          </w:p>
        </w:tc>
        <w:tc>
          <w:tcPr>
            <w:tcW w:w="3000" w:type="pct"/>
            <w:gridSpan w:val="4"/>
            <w:shd w:val="clear" w:color="auto" w:fill="auto"/>
            <w:tcMar>
              <w:top w:w="57" w:type="dxa"/>
              <w:bottom w:w="57" w:type="dxa"/>
            </w:tcMar>
          </w:tcPr>
          <w:p w14:paraId="2AD1787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Number of application/day</w:t>
            </w:r>
          </w:p>
        </w:tc>
        <w:tc>
          <w:tcPr>
            <w:tcW w:w="1383" w:type="pct"/>
            <w:vMerge w:val="restart"/>
            <w:shd w:val="clear" w:color="auto" w:fill="auto"/>
            <w:vAlign w:val="center"/>
          </w:tcPr>
          <w:p w14:paraId="41081F9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 xml:space="preserve">Applicant’s data </w:t>
            </w:r>
          </w:p>
        </w:tc>
      </w:tr>
      <w:tr w:rsidR="001E65DB" w:rsidRPr="007E29F8" w14:paraId="2F34E754" w14:textId="77777777" w:rsidTr="003E3E25">
        <w:trPr>
          <w:tblHeader/>
        </w:trPr>
        <w:tc>
          <w:tcPr>
            <w:tcW w:w="617" w:type="pct"/>
            <w:vMerge/>
            <w:shd w:val="clear" w:color="auto" w:fill="auto"/>
            <w:tcMar>
              <w:top w:w="57" w:type="dxa"/>
              <w:bottom w:w="57" w:type="dxa"/>
            </w:tcMar>
          </w:tcPr>
          <w:p w14:paraId="0B590C07"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color w:val="2E74B5" w:themeColor="accent1" w:themeShade="BF"/>
                <w:spacing w:val="1"/>
                <w:lang w:eastAsia="fr-FR"/>
              </w:rPr>
            </w:pPr>
          </w:p>
        </w:tc>
        <w:tc>
          <w:tcPr>
            <w:tcW w:w="2458" w:type="pct"/>
            <w:shd w:val="clear" w:color="auto" w:fill="auto"/>
            <w:tcMar>
              <w:top w:w="57" w:type="dxa"/>
              <w:bottom w:w="57" w:type="dxa"/>
            </w:tcMar>
          </w:tcPr>
          <w:p w14:paraId="722F190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r w:rsidRPr="007E29F8">
              <w:rPr>
                <w:rFonts w:cs="Arial"/>
                <w:color w:val="2E74B5" w:themeColor="accent1" w:themeShade="BF"/>
                <w:spacing w:val="1"/>
                <w:lang w:eastAsia="fr-FR"/>
              </w:rPr>
              <w:t>Child &gt;6 years old and adult</w:t>
            </w:r>
          </w:p>
        </w:tc>
        <w:tc>
          <w:tcPr>
            <w:tcW w:w="542" w:type="pct"/>
            <w:gridSpan w:val="3"/>
            <w:shd w:val="clear" w:color="auto" w:fill="auto"/>
            <w:tcMar>
              <w:top w:w="57" w:type="dxa"/>
              <w:bottom w:w="57" w:type="dxa"/>
            </w:tcMar>
          </w:tcPr>
          <w:p w14:paraId="13DFC2A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color w:val="2E74B5" w:themeColor="accent1" w:themeShade="BF"/>
                <w:spacing w:val="1"/>
                <w:highlight w:val="yellow"/>
                <w:lang w:eastAsia="fr-FR"/>
              </w:rPr>
            </w:pPr>
            <w:r w:rsidRPr="007E29F8">
              <w:rPr>
                <w:rFonts w:cs="Arial"/>
                <w:b/>
                <w:bCs/>
                <w:color w:val="2E74B5" w:themeColor="accent1" w:themeShade="BF"/>
                <w:spacing w:val="1"/>
                <w:lang w:eastAsia="fr-FR"/>
              </w:rPr>
              <w:t>2</w:t>
            </w:r>
          </w:p>
        </w:tc>
        <w:tc>
          <w:tcPr>
            <w:tcW w:w="1383" w:type="pct"/>
            <w:vMerge/>
            <w:shd w:val="clear" w:color="auto" w:fill="auto"/>
            <w:vAlign w:val="center"/>
          </w:tcPr>
          <w:p w14:paraId="0A3BB25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textAlignment w:val="baseline"/>
              <w:rPr>
                <w:rFonts w:cs="Arial"/>
                <w:color w:val="2E74B5" w:themeColor="accent1" w:themeShade="BF"/>
                <w:spacing w:val="1"/>
                <w:highlight w:val="yellow"/>
                <w:lang w:eastAsia="fr-FR"/>
              </w:rPr>
            </w:pPr>
          </w:p>
        </w:tc>
      </w:tr>
      <w:tr w:rsidR="001E65DB" w:rsidRPr="007E29F8" w14:paraId="7DB2341C" w14:textId="77777777" w:rsidTr="003E3E25">
        <w:trPr>
          <w:tblHeader/>
        </w:trPr>
        <w:tc>
          <w:tcPr>
            <w:tcW w:w="617" w:type="pct"/>
            <w:vMerge/>
            <w:shd w:val="clear" w:color="auto" w:fill="auto"/>
            <w:tcMar>
              <w:top w:w="57" w:type="dxa"/>
              <w:bottom w:w="57" w:type="dxa"/>
            </w:tcMar>
          </w:tcPr>
          <w:p w14:paraId="1B9B5ECE"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color w:val="2E74B5" w:themeColor="accent1" w:themeShade="BF"/>
                <w:spacing w:val="1"/>
                <w:lang w:eastAsia="fr-FR"/>
              </w:rPr>
            </w:pPr>
          </w:p>
        </w:tc>
        <w:tc>
          <w:tcPr>
            <w:tcW w:w="2458" w:type="pct"/>
            <w:shd w:val="clear" w:color="auto" w:fill="auto"/>
            <w:tcMar>
              <w:top w:w="57" w:type="dxa"/>
              <w:bottom w:w="57" w:type="dxa"/>
            </w:tcMar>
          </w:tcPr>
          <w:p w14:paraId="3290BDC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r w:rsidRPr="007E29F8">
              <w:rPr>
                <w:rFonts w:cs="Arial"/>
                <w:color w:val="2E74B5" w:themeColor="accent1" w:themeShade="BF"/>
                <w:spacing w:val="1"/>
                <w:lang w:eastAsia="fr-FR"/>
              </w:rPr>
              <w:t>Child ≥ 6 months old - 6 years old</w:t>
            </w:r>
          </w:p>
        </w:tc>
        <w:tc>
          <w:tcPr>
            <w:tcW w:w="542" w:type="pct"/>
            <w:gridSpan w:val="3"/>
            <w:shd w:val="clear" w:color="auto" w:fill="auto"/>
            <w:tcMar>
              <w:top w:w="57" w:type="dxa"/>
              <w:bottom w:w="57" w:type="dxa"/>
            </w:tcMar>
          </w:tcPr>
          <w:p w14:paraId="75CD7D4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color w:val="2E74B5" w:themeColor="accent1" w:themeShade="BF"/>
                <w:spacing w:val="1"/>
                <w:highlight w:val="yellow"/>
                <w:lang w:eastAsia="fr-FR"/>
              </w:rPr>
            </w:pPr>
            <w:r w:rsidRPr="007E29F8">
              <w:rPr>
                <w:rFonts w:cs="Arial"/>
                <w:b/>
                <w:bCs/>
                <w:color w:val="2E74B5" w:themeColor="accent1" w:themeShade="BF"/>
                <w:spacing w:val="1"/>
                <w:lang w:eastAsia="fr-FR"/>
              </w:rPr>
              <w:t>1</w:t>
            </w:r>
          </w:p>
        </w:tc>
        <w:tc>
          <w:tcPr>
            <w:tcW w:w="1383" w:type="pct"/>
            <w:vMerge/>
            <w:shd w:val="clear" w:color="auto" w:fill="auto"/>
            <w:vAlign w:val="center"/>
          </w:tcPr>
          <w:p w14:paraId="674C85B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textAlignment w:val="baseline"/>
              <w:rPr>
                <w:rFonts w:cs="Arial"/>
                <w:color w:val="2E74B5" w:themeColor="accent1" w:themeShade="BF"/>
                <w:spacing w:val="1"/>
                <w:highlight w:val="yellow"/>
                <w:lang w:eastAsia="fr-FR"/>
              </w:rPr>
            </w:pPr>
          </w:p>
        </w:tc>
      </w:tr>
      <w:tr w:rsidR="001E65DB" w:rsidRPr="007E29F8" w14:paraId="00C0517F"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blHeader/>
          <w:jc w:val="center"/>
        </w:trPr>
        <w:tc>
          <w:tcPr>
            <w:tcW w:w="617" w:type="pct"/>
            <w:vMerge/>
            <w:shd w:val="clear" w:color="auto" w:fill="auto"/>
            <w:tcMar>
              <w:top w:w="57" w:type="dxa"/>
              <w:bottom w:w="57" w:type="dxa"/>
            </w:tcMar>
          </w:tcPr>
          <w:p w14:paraId="388621B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2E74B5" w:themeColor="accent1" w:themeShade="BF"/>
                <w:spacing w:val="1"/>
                <w:lang w:eastAsia="fr-FR"/>
              </w:rPr>
            </w:pPr>
          </w:p>
        </w:tc>
        <w:tc>
          <w:tcPr>
            <w:tcW w:w="2996" w:type="pct"/>
            <w:gridSpan w:val="3"/>
            <w:shd w:val="clear" w:color="auto" w:fill="auto"/>
            <w:tcMar>
              <w:top w:w="57" w:type="dxa"/>
              <w:bottom w:w="57" w:type="dxa"/>
            </w:tcMar>
          </w:tcPr>
          <w:p w14:paraId="0CC73F2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Cs/>
                <w:color w:val="2E74B5" w:themeColor="accent1" w:themeShade="BF"/>
                <w:spacing w:val="1"/>
                <w:u w:val="single"/>
                <w:lang w:eastAsia="fr-FR"/>
              </w:rPr>
            </w:pPr>
            <w:r w:rsidRPr="007E29F8">
              <w:rPr>
                <w:rFonts w:cs="Arial"/>
                <w:b/>
                <w:bCs/>
                <w:color w:val="2E74B5" w:themeColor="accent1" w:themeShade="BF"/>
                <w:spacing w:val="1"/>
                <w:lang w:eastAsia="fr-FR"/>
              </w:rPr>
              <w:t>Body surface exposed (cm²)</w:t>
            </w:r>
          </w:p>
        </w:tc>
        <w:tc>
          <w:tcPr>
            <w:tcW w:w="1387" w:type="pct"/>
            <w:gridSpan w:val="2"/>
            <w:vMerge w:val="restart"/>
            <w:shd w:val="clear" w:color="auto" w:fill="auto"/>
            <w:vAlign w:val="center"/>
          </w:tcPr>
          <w:p w14:paraId="52CF337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color w:val="2E74B5" w:themeColor="accent1" w:themeShade="BF"/>
              </w:rPr>
            </w:pPr>
            <w:r w:rsidRPr="007E29F8">
              <w:rPr>
                <w:color w:val="2E74B5" w:themeColor="accent1" w:themeShade="BF"/>
              </w:rPr>
              <w:t>Recommendation no. 14, 2017</w:t>
            </w:r>
          </w:p>
          <w:p w14:paraId="71F6CDD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
                <w:bCs/>
                <w:color w:val="2E74B5" w:themeColor="accent1" w:themeShade="BF"/>
                <w:spacing w:val="1"/>
                <w:lang w:eastAsia="fr-FR"/>
              </w:rPr>
            </w:pPr>
          </w:p>
          <w:p w14:paraId="2444DC3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2E74B5" w:themeColor="accent1" w:themeShade="BF"/>
                <w:spacing w:val="1"/>
                <w:lang w:eastAsia="fr-FR"/>
              </w:rPr>
            </w:pPr>
            <w:r w:rsidRPr="007E29F8">
              <w:rPr>
                <w:rFonts w:cs="Arial"/>
                <w:b/>
                <w:bCs/>
                <w:color w:val="2E74B5" w:themeColor="accent1" w:themeShade="BF"/>
                <w:spacing w:val="1"/>
                <w:lang w:eastAsia="fr-FR"/>
              </w:rPr>
              <w:t>Total body surface</w:t>
            </w:r>
            <w:r w:rsidRPr="007E29F8">
              <w:rPr>
                <w:rFonts w:cs="Arial"/>
                <w:bCs/>
                <w:color w:val="2E74B5" w:themeColor="accent1" w:themeShade="BF"/>
                <w:spacing w:val="1"/>
                <w:lang w:eastAsia="fr-FR"/>
              </w:rPr>
              <w:t xml:space="preserve"> (head, </w:t>
            </w:r>
            <w:r w:rsidRPr="007E29F8">
              <w:rPr>
                <w:rFonts w:cs="Arial"/>
                <w:bCs/>
                <w:color w:val="2E74B5" w:themeColor="accent1" w:themeShade="BF"/>
                <w:spacing w:val="1"/>
                <w:u w:val="single"/>
                <w:lang w:eastAsia="fr-FR"/>
              </w:rPr>
              <w:t>hands</w:t>
            </w:r>
            <w:r w:rsidRPr="007E29F8">
              <w:rPr>
                <w:rFonts w:cs="Arial"/>
                <w:bCs/>
                <w:color w:val="2E74B5" w:themeColor="accent1" w:themeShade="BF"/>
                <w:spacing w:val="1"/>
                <w:lang w:eastAsia="fr-FR"/>
              </w:rPr>
              <w:t>, ¾ arm and ½ legs).</w:t>
            </w:r>
          </w:p>
        </w:tc>
      </w:tr>
      <w:tr w:rsidR="001E65DB" w:rsidRPr="007E29F8" w14:paraId="6782CE4A"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jc w:val="center"/>
        </w:trPr>
        <w:tc>
          <w:tcPr>
            <w:tcW w:w="617" w:type="pct"/>
            <w:vMerge/>
            <w:shd w:val="clear" w:color="auto" w:fill="auto"/>
            <w:tcMar>
              <w:top w:w="57" w:type="dxa"/>
              <w:bottom w:w="57" w:type="dxa"/>
            </w:tcMar>
          </w:tcPr>
          <w:p w14:paraId="6D0314C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360" w:right="216"/>
              <w:jc w:val="both"/>
              <w:textAlignment w:val="baseline"/>
              <w:rPr>
                <w:rFonts w:cs="Arial"/>
                <w:bCs/>
                <w:color w:val="2E74B5" w:themeColor="accent1" w:themeShade="BF"/>
                <w:spacing w:val="1"/>
                <w:u w:val="single"/>
                <w:lang w:eastAsia="fr-FR"/>
              </w:rPr>
            </w:pPr>
          </w:p>
        </w:tc>
        <w:tc>
          <w:tcPr>
            <w:tcW w:w="2463" w:type="pct"/>
            <w:gridSpan w:val="2"/>
            <w:shd w:val="clear" w:color="auto" w:fill="auto"/>
            <w:tcMar>
              <w:top w:w="57" w:type="dxa"/>
              <w:bottom w:w="57" w:type="dxa"/>
            </w:tcMar>
            <w:vAlign w:val="center"/>
          </w:tcPr>
          <w:p w14:paraId="2A4022F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79" w:right="25"/>
              <w:jc w:val="both"/>
              <w:textAlignment w:val="baseline"/>
              <w:rPr>
                <w:rFonts w:cs="Arial"/>
                <w:bCs/>
                <w:color w:val="2E74B5" w:themeColor="accent1" w:themeShade="BF"/>
                <w:spacing w:val="1"/>
                <w:u w:val="single"/>
                <w:lang w:eastAsia="fr-FR"/>
              </w:rPr>
            </w:pPr>
            <w:r w:rsidRPr="007E29F8">
              <w:rPr>
                <w:rFonts w:cs="Arial"/>
                <w:color w:val="2E74B5" w:themeColor="accent1" w:themeShade="BF"/>
                <w:szCs w:val="18"/>
                <w:lang w:eastAsia="fr-FR"/>
              </w:rPr>
              <w:t>Adult</w:t>
            </w:r>
          </w:p>
        </w:tc>
        <w:tc>
          <w:tcPr>
            <w:tcW w:w="533" w:type="pct"/>
            <w:shd w:val="clear" w:color="auto" w:fill="auto"/>
            <w:tcMar>
              <w:top w:w="57" w:type="dxa"/>
              <w:bottom w:w="57" w:type="dxa"/>
            </w:tcMar>
          </w:tcPr>
          <w:p w14:paraId="798AC7B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68"/>
              <w:jc w:val="center"/>
              <w:textAlignment w:val="baseline"/>
              <w:rPr>
                <w:rFonts w:cs="Arial"/>
                <w:bCs/>
                <w:color w:val="2E74B5" w:themeColor="accent1" w:themeShade="BF"/>
                <w:spacing w:val="1"/>
                <w:u w:val="single"/>
                <w:lang w:eastAsia="fr-FR"/>
              </w:rPr>
            </w:pPr>
            <w:r w:rsidRPr="007E29F8">
              <w:rPr>
                <w:color w:val="2E74B5" w:themeColor="accent1" w:themeShade="BF"/>
              </w:rPr>
              <w:t>6297.5</w:t>
            </w:r>
          </w:p>
        </w:tc>
        <w:tc>
          <w:tcPr>
            <w:tcW w:w="1387" w:type="pct"/>
            <w:gridSpan w:val="2"/>
            <w:vMerge/>
            <w:shd w:val="clear" w:color="auto" w:fill="auto"/>
          </w:tcPr>
          <w:p w14:paraId="5C1D34E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4" w:right="-72" w:firstLine="14"/>
              <w:jc w:val="center"/>
              <w:textAlignment w:val="baseline"/>
              <w:rPr>
                <w:rFonts w:cs="Arial"/>
                <w:bCs/>
                <w:color w:val="2E74B5" w:themeColor="accent1" w:themeShade="BF"/>
                <w:spacing w:val="1"/>
                <w:u w:val="single"/>
                <w:lang w:eastAsia="fr-FR"/>
              </w:rPr>
            </w:pPr>
          </w:p>
        </w:tc>
      </w:tr>
      <w:tr w:rsidR="001E65DB" w:rsidRPr="007E29F8" w14:paraId="5708F03F"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jc w:val="center"/>
        </w:trPr>
        <w:tc>
          <w:tcPr>
            <w:tcW w:w="617" w:type="pct"/>
            <w:vMerge/>
            <w:shd w:val="clear" w:color="auto" w:fill="auto"/>
            <w:tcMar>
              <w:top w:w="57" w:type="dxa"/>
              <w:bottom w:w="57" w:type="dxa"/>
            </w:tcMar>
          </w:tcPr>
          <w:p w14:paraId="2030E75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360" w:right="216"/>
              <w:jc w:val="both"/>
              <w:textAlignment w:val="baseline"/>
              <w:rPr>
                <w:rFonts w:cs="Arial"/>
                <w:bCs/>
                <w:color w:val="2E74B5" w:themeColor="accent1" w:themeShade="BF"/>
                <w:spacing w:val="1"/>
                <w:u w:val="single"/>
                <w:lang w:eastAsia="fr-FR"/>
              </w:rPr>
            </w:pPr>
          </w:p>
        </w:tc>
        <w:tc>
          <w:tcPr>
            <w:tcW w:w="2463" w:type="pct"/>
            <w:gridSpan w:val="2"/>
            <w:shd w:val="clear" w:color="auto" w:fill="auto"/>
            <w:tcMar>
              <w:top w:w="57" w:type="dxa"/>
              <w:bottom w:w="57" w:type="dxa"/>
            </w:tcMar>
            <w:vAlign w:val="center"/>
          </w:tcPr>
          <w:p w14:paraId="0F26E0A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79" w:right="25"/>
              <w:jc w:val="both"/>
              <w:textAlignment w:val="baseline"/>
              <w:rPr>
                <w:rFonts w:cs="Arial"/>
                <w:bCs/>
                <w:color w:val="2E74B5" w:themeColor="accent1" w:themeShade="BF"/>
                <w:spacing w:val="1"/>
                <w:u w:val="single"/>
                <w:lang w:eastAsia="fr-FR"/>
              </w:rPr>
            </w:pPr>
            <w:r w:rsidRPr="007E29F8">
              <w:rPr>
                <w:rFonts w:cs="Arial"/>
                <w:color w:val="2E74B5" w:themeColor="accent1" w:themeShade="BF"/>
                <w:szCs w:val="18"/>
                <w:lang w:eastAsia="fr-FR"/>
              </w:rPr>
              <w:t>Child (6 to &lt;12 years old)</w:t>
            </w:r>
          </w:p>
        </w:tc>
        <w:tc>
          <w:tcPr>
            <w:tcW w:w="533" w:type="pct"/>
            <w:shd w:val="clear" w:color="auto" w:fill="auto"/>
            <w:tcMar>
              <w:top w:w="57" w:type="dxa"/>
              <w:bottom w:w="57" w:type="dxa"/>
            </w:tcMar>
          </w:tcPr>
          <w:p w14:paraId="6184179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68"/>
              <w:jc w:val="center"/>
              <w:textAlignment w:val="baseline"/>
              <w:rPr>
                <w:rFonts w:cs="Arial"/>
                <w:bCs/>
                <w:color w:val="2E74B5" w:themeColor="accent1" w:themeShade="BF"/>
                <w:spacing w:val="1"/>
                <w:u w:val="single"/>
                <w:lang w:eastAsia="fr-FR"/>
              </w:rPr>
            </w:pPr>
            <w:r w:rsidRPr="007E29F8">
              <w:rPr>
                <w:color w:val="2E74B5" w:themeColor="accent1" w:themeShade="BF"/>
              </w:rPr>
              <w:t>3282.1</w:t>
            </w:r>
          </w:p>
        </w:tc>
        <w:tc>
          <w:tcPr>
            <w:tcW w:w="1387" w:type="pct"/>
            <w:gridSpan w:val="2"/>
            <w:vMerge/>
            <w:shd w:val="clear" w:color="auto" w:fill="auto"/>
          </w:tcPr>
          <w:p w14:paraId="2388ED6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4" w:right="-72" w:firstLine="14"/>
              <w:jc w:val="center"/>
              <w:textAlignment w:val="baseline"/>
              <w:rPr>
                <w:rFonts w:cs="Arial"/>
                <w:bCs/>
                <w:color w:val="2E74B5" w:themeColor="accent1" w:themeShade="BF"/>
                <w:spacing w:val="1"/>
                <w:u w:val="single"/>
                <w:lang w:eastAsia="fr-FR"/>
              </w:rPr>
            </w:pPr>
          </w:p>
        </w:tc>
      </w:tr>
      <w:tr w:rsidR="001E65DB" w:rsidRPr="007E29F8" w14:paraId="101CA7D1"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jc w:val="center"/>
        </w:trPr>
        <w:tc>
          <w:tcPr>
            <w:tcW w:w="617" w:type="pct"/>
            <w:vMerge/>
            <w:shd w:val="clear" w:color="auto" w:fill="auto"/>
            <w:tcMar>
              <w:top w:w="57" w:type="dxa"/>
              <w:bottom w:w="57" w:type="dxa"/>
            </w:tcMar>
          </w:tcPr>
          <w:p w14:paraId="0CF57A9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360" w:right="216"/>
              <w:jc w:val="both"/>
              <w:textAlignment w:val="baseline"/>
              <w:rPr>
                <w:rFonts w:cs="Arial"/>
                <w:bCs/>
                <w:color w:val="2E74B5" w:themeColor="accent1" w:themeShade="BF"/>
                <w:spacing w:val="1"/>
                <w:u w:val="single"/>
                <w:lang w:eastAsia="fr-FR"/>
              </w:rPr>
            </w:pPr>
          </w:p>
        </w:tc>
        <w:tc>
          <w:tcPr>
            <w:tcW w:w="2463" w:type="pct"/>
            <w:gridSpan w:val="2"/>
            <w:shd w:val="clear" w:color="auto" w:fill="auto"/>
            <w:tcMar>
              <w:top w:w="57" w:type="dxa"/>
              <w:bottom w:w="57" w:type="dxa"/>
            </w:tcMar>
            <w:vAlign w:val="center"/>
          </w:tcPr>
          <w:p w14:paraId="406C4380"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79" w:right="25"/>
              <w:jc w:val="both"/>
              <w:textAlignment w:val="baseline"/>
              <w:rPr>
                <w:rFonts w:cs="Arial"/>
                <w:bCs/>
                <w:color w:val="2E74B5" w:themeColor="accent1" w:themeShade="BF"/>
                <w:spacing w:val="1"/>
                <w:u w:val="single"/>
                <w:lang w:eastAsia="fr-FR"/>
              </w:rPr>
            </w:pPr>
            <w:r w:rsidRPr="007E29F8">
              <w:rPr>
                <w:rFonts w:cs="Arial"/>
                <w:color w:val="2E74B5" w:themeColor="accent1" w:themeShade="BF"/>
                <w:szCs w:val="18"/>
                <w:lang w:eastAsia="fr-FR"/>
              </w:rPr>
              <w:t>Child (2 to &lt;6 years old)</w:t>
            </w:r>
          </w:p>
        </w:tc>
        <w:tc>
          <w:tcPr>
            <w:tcW w:w="533" w:type="pct"/>
            <w:shd w:val="clear" w:color="auto" w:fill="auto"/>
            <w:tcMar>
              <w:top w:w="57" w:type="dxa"/>
              <w:bottom w:w="57" w:type="dxa"/>
            </w:tcMar>
          </w:tcPr>
          <w:p w14:paraId="1466672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68"/>
              <w:jc w:val="center"/>
              <w:textAlignment w:val="baseline"/>
              <w:rPr>
                <w:rFonts w:cs="Arial"/>
                <w:bCs/>
                <w:color w:val="2E74B5" w:themeColor="accent1" w:themeShade="BF"/>
                <w:spacing w:val="1"/>
                <w:u w:val="single"/>
                <w:lang w:eastAsia="fr-FR"/>
              </w:rPr>
            </w:pPr>
            <w:r w:rsidRPr="007E29F8">
              <w:rPr>
                <w:color w:val="2E74B5" w:themeColor="accent1" w:themeShade="BF"/>
              </w:rPr>
              <w:t>2462.2</w:t>
            </w:r>
          </w:p>
        </w:tc>
        <w:tc>
          <w:tcPr>
            <w:tcW w:w="1387" w:type="pct"/>
            <w:gridSpan w:val="2"/>
            <w:vMerge/>
            <w:shd w:val="clear" w:color="auto" w:fill="auto"/>
          </w:tcPr>
          <w:p w14:paraId="378F50D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4" w:right="-72" w:firstLine="14"/>
              <w:jc w:val="center"/>
              <w:textAlignment w:val="baseline"/>
              <w:rPr>
                <w:rFonts w:cs="Arial"/>
                <w:bCs/>
                <w:color w:val="2E74B5" w:themeColor="accent1" w:themeShade="BF"/>
                <w:spacing w:val="1"/>
                <w:u w:val="single"/>
                <w:lang w:eastAsia="fr-FR"/>
              </w:rPr>
            </w:pPr>
          </w:p>
        </w:tc>
      </w:tr>
      <w:tr w:rsidR="001E65DB" w:rsidRPr="007E29F8" w14:paraId="36A0188C"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jc w:val="center"/>
        </w:trPr>
        <w:tc>
          <w:tcPr>
            <w:tcW w:w="617" w:type="pct"/>
            <w:vMerge/>
            <w:shd w:val="clear" w:color="auto" w:fill="auto"/>
            <w:tcMar>
              <w:top w:w="57" w:type="dxa"/>
              <w:bottom w:w="57" w:type="dxa"/>
            </w:tcMar>
          </w:tcPr>
          <w:p w14:paraId="365EA56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360" w:right="216"/>
              <w:jc w:val="both"/>
              <w:textAlignment w:val="baseline"/>
              <w:rPr>
                <w:rFonts w:cs="Arial"/>
                <w:bCs/>
                <w:color w:val="2E74B5" w:themeColor="accent1" w:themeShade="BF"/>
                <w:spacing w:val="1"/>
                <w:u w:val="single"/>
                <w:lang w:eastAsia="fr-FR"/>
              </w:rPr>
            </w:pPr>
          </w:p>
        </w:tc>
        <w:tc>
          <w:tcPr>
            <w:tcW w:w="2463" w:type="pct"/>
            <w:gridSpan w:val="2"/>
            <w:shd w:val="clear" w:color="auto" w:fill="auto"/>
            <w:tcMar>
              <w:top w:w="57" w:type="dxa"/>
              <w:bottom w:w="57" w:type="dxa"/>
            </w:tcMar>
            <w:vAlign w:val="center"/>
          </w:tcPr>
          <w:p w14:paraId="67FBA41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79" w:right="25"/>
              <w:jc w:val="both"/>
              <w:textAlignment w:val="baseline"/>
              <w:rPr>
                <w:rFonts w:cs="Arial"/>
                <w:bCs/>
                <w:color w:val="2E74B5" w:themeColor="accent1" w:themeShade="BF"/>
                <w:spacing w:val="1"/>
                <w:u w:val="single"/>
                <w:lang w:eastAsia="fr-FR"/>
              </w:rPr>
            </w:pPr>
            <w:r w:rsidRPr="007E29F8">
              <w:rPr>
                <w:rFonts w:cs="Arial"/>
                <w:color w:val="2E74B5" w:themeColor="accent1" w:themeShade="BF"/>
                <w:szCs w:val="18"/>
                <w:lang w:eastAsia="fr-FR"/>
              </w:rPr>
              <w:t>Toddler (1 to &lt;2 years old)</w:t>
            </w:r>
          </w:p>
        </w:tc>
        <w:tc>
          <w:tcPr>
            <w:tcW w:w="533" w:type="pct"/>
            <w:shd w:val="clear" w:color="auto" w:fill="auto"/>
            <w:tcMar>
              <w:top w:w="57" w:type="dxa"/>
              <w:bottom w:w="57" w:type="dxa"/>
            </w:tcMar>
          </w:tcPr>
          <w:p w14:paraId="3BD34AD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68"/>
              <w:jc w:val="center"/>
              <w:textAlignment w:val="baseline"/>
              <w:rPr>
                <w:rFonts w:cs="Arial"/>
                <w:bCs/>
                <w:color w:val="2E74B5" w:themeColor="accent1" w:themeShade="BF"/>
                <w:spacing w:val="1"/>
                <w:u w:val="single"/>
                <w:lang w:eastAsia="fr-FR"/>
              </w:rPr>
            </w:pPr>
            <w:r w:rsidRPr="007E29F8">
              <w:rPr>
                <w:color w:val="2E74B5" w:themeColor="accent1" w:themeShade="BF"/>
              </w:rPr>
              <w:t>1754.4</w:t>
            </w:r>
          </w:p>
        </w:tc>
        <w:tc>
          <w:tcPr>
            <w:tcW w:w="1387" w:type="pct"/>
            <w:gridSpan w:val="2"/>
            <w:vMerge/>
            <w:shd w:val="clear" w:color="auto" w:fill="auto"/>
          </w:tcPr>
          <w:p w14:paraId="33EA17CE"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4" w:right="-72" w:firstLine="14"/>
              <w:jc w:val="center"/>
              <w:textAlignment w:val="baseline"/>
              <w:rPr>
                <w:rFonts w:cs="Arial"/>
                <w:bCs/>
                <w:color w:val="2E74B5" w:themeColor="accent1" w:themeShade="BF"/>
                <w:spacing w:val="1"/>
                <w:u w:val="single"/>
                <w:lang w:eastAsia="fr-FR"/>
              </w:rPr>
            </w:pPr>
          </w:p>
        </w:tc>
      </w:tr>
      <w:tr w:rsidR="001E65DB" w:rsidRPr="007E29F8" w14:paraId="2C9114F5"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jc w:val="center"/>
        </w:trPr>
        <w:tc>
          <w:tcPr>
            <w:tcW w:w="617" w:type="pct"/>
            <w:vMerge/>
            <w:shd w:val="clear" w:color="auto" w:fill="auto"/>
            <w:tcMar>
              <w:top w:w="57" w:type="dxa"/>
              <w:bottom w:w="57" w:type="dxa"/>
            </w:tcMar>
          </w:tcPr>
          <w:p w14:paraId="36DA7D1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360" w:right="216"/>
              <w:jc w:val="both"/>
              <w:textAlignment w:val="baseline"/>
              <w:rPr>
                <w:rFonts w:cs="Arial"/>
                <w:bCs/>
                <w:color w:val="2E74B5" w:themeColor="accent1" w:themeShade="BF"/>
                <w:spacing w:val="1"/>
                <w:u w:val="single"/>
                <w:lang w:eastAsia="fr-FR"/>
              </w:rPr>
            </w:pPr>
          </w:p>
        </w:tc>
        <w:tc>
          <w:tcPr>
            <w:tcW w:w="2463" w:type="pct"/>
            <w:gridSpan w:val="2"/>
            <w:shd w:val="clear" w:color="auto" w:fill="auto"/>
            <w:tcMar>
              <w:top w:w="57" w:type="dxa"/>
              <w:bottom w:w="57" w:type="dxa"/>
            </w:tcMar>
            <w:vAlign w:val="center"/>
          </w:tcPr>
          <w:p w14:paraId="76FE9B9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79" w:right="25"/>
              <w:jc w:val="both"/>
              <w:textAlignment w:val="baseline"/>
              <w:rPr>
                <w:rFonts w:cs="Arial"/>
                <w:bCs/>
                <w:color w:val="2E74B5" w:themeColor="accent1" w:themeShade="BF"/>
                <w:spacing w:val="1"/>
                <w:u w:val="single"/>
                <w:lang w:eastAsia="fr-FR"/>
              </w:rPr>
            </w:pPr>
            <w:r w:rsidRPr="007E29F8">
              <w:rPr>
                <w:rFonts w:cs="Arial"/>
                <w:color w:val="2E74B5" w:themeColor="accent1" w:themeShade="BF"/>
                <w:szCs w:val="18"/>
                <w:lang w:eastAsia="fr-FR"/>
              </w:rPr>
              <w:t>Infant (&lt;1 year old)</w:t>
            </w:r>
          </w:p>
        </w:tc>
        <w:tc>
          <w:tcPr>
            <w:tcW w:w="533" w:type="pct"/>
            <w:shd w:val="clear" w:color="auto" w:fill="auto"/>
            <w:tcMar>
              <w:top w:w="57" w:type="dxa"/>
              <w:bottom w:w="57" w:type="dxa"/>
            </w:tcMar>
          </w:tcPr>
          <w:p w14:paraId="20A42329"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68"/>
              <w:jc w:val="center"/>
              <w:textAlignment w:val="baseline"/>
              <w:rPr>
                <w:rFonts w:cs="Arial"/>
                <w:bCs/>
                <w:color w:val="2E74B5" w:themeColor="accent1" w:themeShade="BF"/>
                <w:spacing w:val="1"/>
                <w:u w:val="single"/>
                <w:lang w:eastAsia="fr-FR"/>
              </w:rPr>
            </w:pPr>
            <w:r w:rsidRPr="007E29F8">
              <w:rPr>
                <w:color w:val="2E74B5" w:themeColor="accent1" w:themeShade="BF"/>
              </w:rPr>
              <w:t>1498.6</w:t>
            </w:r>
          </w:p>
        </w:tc>
        <w:tc>
          <w:tcPr>
            <w:tcW w:w="1387" w:type="pct"/>
            <w:gridSpan w:val="2"/>
            <w:vMerge/>
            <w:shd w:val="clear" w:color="auto" w:fill="auto"/>
          </w:tcPr>
          <w:p w14:paraId="53E5A8FF"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4" w:right="-72" w:firstLine="14"/>
              <w:jc w:val="center"/>
              <w:textAlignment w:val="baseline"/>
              <w:rPr>
                <w:rFonts w:cs="Arial"/>
                <w:bCs/>
                <w:color w:val="2E74B5" w:themeColor="accent1" w:themeShade="BF"/>
                <w:spacing w:val="1"/>
                <w:u w:val="single"/>
                <w:lang w:eastAsia="fr-FR"/>
              </w:rPr>
            </w:pPr>
          </w:p>
        </w:tc>
      </w:tr>
      <w:tr w:rsidR="001E65DB" w:rsidRPr="007E29F8" w14:paraId="407444E7"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jc w:val="center"/>
        </w:trPr>
        <w:tc>
          <w:tcPr>
            <w:tcW w:w="617" w:type="pct"/>
            <w:vMerge w:val="restart"/>
            <w:shd w:val="clear" w:color="auto" w:fill="auto"/>
            <w:tcMar>
              <w:top w:w="57" w:type="dxa"/>
              <w:bottom w:w="57" w:type="dxa"/>
            </w:tcMar>
          </w:tcPr>
          <w:p w14:paraId="54DDB812"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77"/>
              <w:jc w:val="both"/>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2</w:t>
            </w:r>
          </w:p>
        </w:tc>
        <w:tc>
          <w:tcPr>
            <w:tcW w:w="2996" w:type="pct"/>
            <w:gridSpan w:val="3"/>
            <w:shd w:val="clear" w:color="auto" w:fill="auto"/>
            <w:tcMar>
              <w:top w:w="57" w:type="dxa"/>
              <w:bottom w:w="57" w:type="dxa"/>
            </w:tcMar>
            <w:vAlign w:val="center"/>
          </w:tcPr>
          <w:p w14:paraId="58EB65C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50"/>
              <w:jc w:val="center"/>
              <w:textAlignment w:val="baseline"/>
              <w:rPr>
                <w:color w:val="2E74B5" w:themeColor="accent1" w:themeShade="BF"/>
              </w:rPr>
            </w:pPr>
            <w:r w:rsidRPr="007E29F8">
              <w:rPr>
                <w:rFonts w:cs="Arial"/>
                <w:b/>
                <w:bCs/>
                <w:color w:val="2E74B5" w:themeColor="accent1" w:themeShade="BF"/>
                <w:spacing w:val="1"/>
                <w:lang w:eastAsia="fr-FR"/>
              </w:rPr>
              <w:t>Body surface exposed (cm²)</w:t>
            </w:r>
          </w:p>
        </w:tc>
        <w:tc>
          <w:tcPr>
            <w:tcW w:w="1387" w:type="pct"/>
            <w:gridSpan w:val="2"/>
            <w:vMerge w:val="restart"/>
            <w:shd w:val="clear" w:color="auto" w:fill="auto"/>
          </w:tcPr>
          <w:p w14:paraId="59AD4C7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color w:val="2E74B5" w:themeColor="accent1" w:themeShade="BF"/>
              </w:rPr>
            </w:pPr>
            <w:r w:rsidRPr="007E29F8">
              <w:rPr>
                <w:color w:val="2E74B5" w:themeColor="accent1" w:themeShade="BF"/>
              </w:rPr>
              <w:t>Recommendation no. 14, 2017</w:t>
            </w:r>
          </w:p>
          <w:p w14:paraId="685AD5F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
                <w:bCs/>
                <w:color w:val="2E74B5" w:themeColor="accent1" w:themeShade="BF"/>
                <w:spacing w:val="1"/>
                <w:lang w:eastAsia="fr-FR"/>
              </w:rPr>
            </w:pPr>
          </w:p>
          <w:p w14:paraId="7FCEED58"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4" w:right="-72" w:firstLine="14"/>
              <w:textAlignment w:val="baseline"/>
              <w:rPr>
                <w:rFonts w:cs="Arial"/>
                <w:bCs/>
                <w:color w:val="2E74B5" w:themeColor="accent1" w:themeShade="BF"/>
                <w:spacing w:val="1"/>
                <w:u w:val="single"/>
                <w:lang w:eastAsia="fr-FR"/>
              </w:rPr>
            </w:pPr>
            <w:r w:rsidRPr="007E29F8">
              <w:rPr>
                <w:rFonts w:cs="Arial"/>
                <w:b/>
                <w:bCs/>
                <w:color w:val="2E74B5" w:themeColor="accent1" w:themeShade="BF"/>
                <w:spacing w:val="1"/>
                <w:lang w:eastAsia="fr-FR"/>
              </w:rPr>
              <w:t>Total body surface</w:t>
            </w:r>
            <w:r w:rsidRPr="007E29F8">
              <w:rPr>
                <w:rFonts w:cs="Arial"/>
                <w:bCs/>
                <w:color w:val="2E74B5" w:themeColor="accent1" w:themeShade="BF"/>
                <w:spacing w:val="1"/>
                <w:lang w:eastAsia="fr-FR"/>
              </w:rPr>
              <w:t xml:space="preserve"> (head, ¾ arm and ½ legs).</w:t>
            </w:r>
          </w:p>
        </w:tc>
      </w:tr>
      <w:tr w:rsidR="001E65DB" w:rsidRPr="007E29F8" w14:paraId="4524CBCF"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jc w:val="center"/>
        </w:trPr>
        <w:tc>
          <w:tcPr>
            <w:tcW w:w="617" w:type="pct"/>
            <w:vMerge/>
            <w:shd w:val="clear" w:color="auto" w:fill="auto"/>
            <w:tcMar>
              <w:top w:w="57" w:type="dxa"/>
              <w:bottom w:w="57" w:type="dxa"/>
            </w:tcMar>
          </w:tcPr>
          <w:p w14:paraId="4784162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360" w:right="216"/>
              <w:jc w:val="both"/>
              <w:textAlignment w:val="baseline"/>
              <w:rPr>
                <w:rFonts w:cs="Arial"/>
                <w:bCs/>
                <w:color w:val="2E74B5" w:themeColor="accent1" w:themeShade="BF"/>
                <w:spacing w:val="1"/>
                <w:u w:val="single"/>
                <w:lang w:eastAsia="fr-FR"/>
              </w:rPr>
            </w:pPr>
          </w:p>
        </w:tc>
        <w:tc>
          <w:tcPr>
            <w:tcW w:w="2463" w:type="pct"/>
            <w:gridSpan w:val="2"/>
            <w:shd w:val="clear" w:color="auto" w:fill="auto"/>
            <w:tcMar>
              <w:top w:w="57" w:type="dxa"/>
              <w:bottom w:w="57" w:type="dxa"/>
            </w:tcMar>
            <w:vAlign w:val="center"/>
          </w:tcPr>
          <w:p w14:paraId="3153A865"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79" w:right="25"/>
              <w:jc w:val="both"/>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(6 to &lt;12 years old)</w:t>
            </w:r>
          </w:p>
        </w:tc>
        <w:tc>
          <w:tcPr>
            <w:tcW w:w="533" w:type="pct"/>
            <w:shd w:val="clear" w:color="auto" w:fill="auto"/>
            <w:tcMar>
              <w:top w:w="57" w:type="dxa"/>
              <w:bottom w:w="57" w:type="dxa"/>
            </w:tcMar>
          </w:tcPr>
          <w:p w14:paraId="717001AE"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68"/>
              <w:jc w:val="center"/>
              <w:textAlignment w:val="baseline"/>
              <w:rPr>
                <w:color w:val="2E74B5" w:themeColor="accent1" w:themeShade="BF"/>
              </w:rPr>
            </w:pPr>
            <w:r w:rsidRPr="007E29F8">
              <w:rPr>
                <w:color w:val="2E74B5" w:themeColor="accent1" w:themeShade="BF"/>
              </w:rPr>
              <w:t>2854.3</w:t>
            </w:r>
          </w:p>
        </w:tc>
        <w:tc>
          <w:tcPr>
            <w:tcW w:w="1387" w:type="pct"/>
            <w:gridSpan w:val="2"/>
            <w:vMerge/>
            <w:shd w:val="clear" w:color="auto" w:fill="auto"/>
          </w:tcPr>
          <w:p w14:paraId="70FD6BF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4" w:right="-72" w:firstLine="14"/>
              <w:jc w:val="center"/>
              <w:textAlignment w:val="baseline"/>
              <w:rPr>
                <w:rFonts w:cs="Arial"/>
                <w:bCs/>
                <w:color w:val="2E74B5" w:themeColor="accent1" w:themeShade="BF"/>
                <w:spacing w:val="1"/>
                <w:u w:val="single"/>
                <w:lang w:eastAsia="fr-FR"/>
              </w:rPr>
            </w:pPr>
          </w:p>
        </w:tc>
      </w:tr>
      <w:tr w:rsidR="001E65DB" w:rsidRPr="007E29F8" w14:paraId="27D3B0DB"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jc w:val="center"/>
        </w:trPr>
        <w:tc>
          <w:tcPr>
            <w:tcW w:w="617" w:type="pct"/>
            <w:vMerge/>
            <w:shd w:val="clear" w:color="auto" w:fill="auto"/>
            <w:tcMar>
              <w:top w:w="57" w:type="dxa"/>
              <w:bottom w:w="57" w:type="dxa"/>
            </w:tcMar>
          </w:tcPr>
          <w:p w14:paraId="2FABAAA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360" w:right="216"/>
              <w:jc w:val="both"/>
              <w:textAlignment w:val="baseline"/>
              <w:rPr>
                <w:rFonts w:cs="Arial"/>
                <w:bCs/>
                <w:color w:val="2E74B5" w:themeColor="accent1" w:themeShade="BF"/>
                <w:spacing w:val="1"/>
                <w:u w:val="single"/>
                <w:lang w:eastAsia="fr-FR"/>
              </w:rPr>
            </w:pPr>
          </w:p>
        </w:tc>
        <w:tc>
          <w:tcPr>
            <w:tcW w:w="2463" w:type="pct"/>
            <w:gridSpan w:val="2"/>
            <w:shd w:val="clear" w:color="auto" w:fill="auto"/>
            <w:tcMar>
              <w:top w:w="57" w:type="dxa"/>
              <w:bottom w:w="57" w:type="dxa"/>
            </w:tcMar>
            <w:vAlign w:val="center"/>
          </w:tcPr>
          <w:p w14:paraId="67BDA19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79" w:right="25"/>
              <w:jc w:val="both"/>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(2 to &lt;6 years old)</w:t>
            </w:r>
          </w:p>
        </w:tc>
        <w:tc>
          <w:tcPr>
            <w:tcW w:w="533" w:type="pct"/>
            <w:shd w:val="clear" w:color="auto" w:fill="auto"/>
            <w:tcMar>
              <w:top w:w="57" w:type="dxa"/>
              <w:bottom w:w="57" w:type="dxa"/>
            </w:tcMar>
          </w:tcPr>
          <w:p w14:paraId="70EC825B"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68"/>
              <w:jc w:val="center"/>
              <w:textAlignment w:val="baseline"/>
              <w:rPr>
                <w:color w:val="2E74B5" w:themeColor="accent1" w:themeShade="BF"/>
              </w:rPr>
            </w:pPr>
            <w:r w:rsidRPr="007E29F8">
              <w:rPr>
                <w:color w:val="2E74B5" w:themeColor="accent1" w:themeShade="BF"/>
              </w:rPr>
              <w:t>2131.3</w:t>
            </w:r>
          </w:p>
        </w:tc>
        <w:tc>
          <w:tcPr>
            <w:tcW w:w="1387" w:type="pct"/>
            <w:gridSpan w:val="2"/>
            <w:vMerge/>
            <w:shd w:val="clear" w:color="auto" w:fill="auto"/>
          </w:tcPr>
          <w:p w14:paraId="3C51C3D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4" w:right="-72" w:firstLine="14"/>
              <w:jc w:val="center"/>
              <w:textAlignment w:val="baseline"/>
              <w:rPr>
                <w:rFonts w:cs="Arial"/>
                <w:bCs/>
                <w:color w:val="2E74B5" w:themeColor="accent1" w:themeShade="BF"/>
                <w:spacing w:val="1"/>
                <w:u w:val="single"/>
                <w:lang w:eastAsia="fr-FR"/>
              </w:rPr>
            </w:pPr>
          </w:p>
        </w:tc>
      </w:tr>
      <w:tr w:rsidR="001E65DB" w:rsidRPr="007E29F8" w14:paraId="5D330951"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jc w:val="center"/>
        </w:trPr>
        <w:tc>
          <w:tcPr>
            <w:tcW w:w="617" w:type="pct"/>
            <w:vMerge/>
            <w:shd w:val="clear" w:color="auto" w:fill="auto"/>
            <w:tcMar>
              <w:top w:w="57" w:type="dxa"/>
              <w:bottom w:w="57" w:type="dxa"/>
            </w:tcMar>
          </w:tcPr>
          <w:p w14:paraId="7F34848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360" w:right="216"/>
              <w:jc w:val="both"/>
              <w:textAlignment w:val="baseline"/>
              <w:rPr>
                <w:rFonts w:cs="Arial"/>
                <w:bCs/>
                <w:color w:val="2E74B5" w:themeColor="accent1" w:themeShade="BF"/>
                <w:spacing w:val="1"/>
                <w:u w:val="single"/>
                <w:lang w:eastAsia="fr-FR"/>
              </w:rPr>
            </w:pPr>
          </w:p>
        </w:tc>
        <w:tc>
          <w:tcPr>
            <w:tcW w:w="2463" w:type="pct"/>
            <w:gridSpan w:val="2"/>
            <w:shd w:val="clear" w:color="auto" w:fill="auto"/>
            <w:tcMar>
              <w:top w:w="57" w:type="dxa"/>
              <w:bottom w:w="57" w:type="dxa"/>
            </w:tcMar>
            <w:vAlign w:val="center"/>
          </w:tcPr>
          <w:p w14:paraId="1CCDB12C"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79" w:right="25"/>
              <w:jc w:val="both"/>
              <w:textAlignment w:val="baseline"/>
              <w:rPr>
                <w:rFonts w:cs="Arial"/>
                <w:color w:val="2E74B5" w:themeColor="accent1" w:themeShade="BF"/>
                <w:szCs w:val="18"/>
                <w:lang w:eastAsia="fr-FR"/>
              </w:rPr>
            </w:pPr>
            <w:r w:rsidRPr="007E29F8">
              <w:rPr>
                <w:rFonts w:cs="Arial"/>
                <w:color w:val="2E74B5" w:themeColor="accent1" w:themeShade="BF"/>
                <w:szCs w:val="18"/>
                <w:lang w:eastAsia="fr-FR"/>
              </w:rPr>
              <w:t>Toddler (1 to &lt;2 years old)</w:t>
            </w:r>
          </w:p>
        </w:tc>
        <w:tc>
          <w:tcPr>
            <w:tcW w:w="533" w:type="pct"/>
            <w:shd w:val="clear" w:color="auto" w:fill="auto"/>
            <w:tcMar>
              <w:top w:w="57" w:type="dxa"/>
              <w:bottom w:w="57" w:type="dxa"/>
            </w:tcMar>
          </w:tcPr>
          <w:p w14:paraId="1A12B563"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68"/>
              <w:jc w:val="center"/>
              <w:textAlignment w:val="baseline"/>
              <w:rPr>
                <w:color w:val="2E74B5" w:themeColor="accent1" w:themeShade="BF"/>
              </w:rPr>
            </w:pPr>
            <w:r w:rsidRPr="007E29F8">
              <w:rPr>
                <w:color w:val="2E74B5" w:themeColor="accent1" w:themeShade="BF"/>
              </w:rPr>
              <w:t>1524.0</w:t>
            </w:r>
          </w:p>
        </w:tc>
        <w:tc>
          <w:tcPr>
            <w:tcW w:w="1387" w:type="pct"/>
            <w:gridSpan w:val="2"/>
            <w:vMerge/>
            <w:shd w:val="clear" w:color="auto" w:fill="auto"/>
          </w:tcPr>
          <w:p w14:paraId="5AC5469E"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4" w:right="-72" w:firstLine="14"/>
              <w:jc w:val="center"/>
              <w:textAlignment w:val="baseline"/>
              <w:rPr>
                <w:rFonts w:cs="Arial"/>
                <w:bCs/>
                <w:color w:val="2E74B5" w:themeColor="accent1" w:themeShade="BF"/>
                <w:spacing w:val="1"/>
                <w:u w:val="single"/>
                <w:lang w:eastAsia="fr-FR"/>
              </w:rPr>
            </w:pPr>
          </w:p>
        </w:tc>
      </w:tr>
      <w:tr w:rsidR="001E65DB" w:rsidRPr="007E29F8" w14:paraId="0925D568" w14:textId="77777777" w:rsidTr="003E3E25">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jc w:val="center"/>
        </w:trPr>
        <w:tc>
          <w:tcPr>
            <w:tcW w:w="617" w:type="pct"/>
            <w:vMerge/>
            <w:shd w:val="clear" w:color="auto" w:fill="auto"/>
            <w:tcMar>
              <w:top w:w="57" w:type="dxa"/>
              <w:bottom w:w="57" w:type="dxa"/>
            </w:tcMar>
          </w:tcPr>
          <w:p w14:paraId="09F9542D"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360" w:right="216"/>
              <w:jc w:val="both"/>
              <w:textAlignment w:val="baseline"/>
              <w:rPr>
                <w:rFonts w:cs="Arial"/>
                <w:bCs/>
                <w:color w:val="2E74B5" w:themeColor="accent1" w:themeShade="BF"/>
                <w:spacing w:val="1"/>
                <w:u w:val="single"/>
                <w:lang w:eastAsia="fr-FR"/>
              </w:rPr>
            </w:pPr>
          </w:p>
        </w:tc>
        <w:tc>
          <w:tcPr>
            <w:tcW w:w="2463" w:type="pct"/>
            <w:gridSpan w:val="2"/>
            <w:shd w:val="clear" w:color="auto" w:fill="auto"/>
            <w:tcMar>
              <w:top w:w="57" w:type="dxa"/>
              <w:bottom w:w="57" w:type="dxa"/>
            </w:tcMar>
            <w:vAlign w:val="center"/>
          </w:tcPr>
          <w:p w14:paraId="3D1EFD77"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79" w:right="25"/>
              <w:jc w:val="both"/>
              <w:textAlignment w:val="baseline"/>
              <w:rPr>
                <w:rFonts w:cs="Arial"/>
                <w:color w:val="2E74B5" w:themeColor="accent1" w:themeShade="BF"/>
                <w:szCs w:val="18"/>
                <w:lang w:eastAsia="fr-FR"/>
              </w:rPr>
            </w:pPr>
            <w:r w:rsidRPr="007E29F8">
              <w:rPr>
                <w:rFonts w:cs="Arial"/>
                <w:color w:val="2E74B5" w:themeColor="accent1" w:themeShade="BF"/>
                <w:szCs w:val="18"/>
                <w:lang w:eastAsia="fr-FR"/>
              </w:rPr>
              <w:t>Infant (&lt;1 year old)</w:t>
            </w:r>
          </w:p>
        </w:tc>
        <w:tc>
          <w:tcPr>
            <w:tcW w:w="533" w:type="pct"/>
            <w:shd w:val="clear" w:color="auto" w:fill="auto"/>
            <w:tcMar>
              <w:top w:w="57" w:type="dxa"/>
              <w:bottom w:w="57" w:type="dxa"/>
            </w:tcMar>
          </w:tcPr>
          <w:p w14:paraId="68EEA421"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68"/>
              <w:jc w:val="center"/>
              <w:textAlignment w:val="baseline"/>
              <w:rPr>
                <w:color w:val="2E74B5" w:themeColor="accent1" w:themeShade="BF"/>
              </w:rPr>
            </w:pPr>
            <w:r w:rsidRPr="007E29F8">
              <w:rPr>
                <w:color w:val="2E74B5" w:themeColor="accent1" w:themeShade="BF"/>
              </w:rPr>
              <w:t>1301.8</w:t>
            </w:r>
          </w:p>
        </w:tc>
        <w:tc>
          <w:tcPr>
            <w:tcW w:w="1387" w:type="pct"/>
            <w:gridSpan w:val="2"/>
            <w:vMerge/>
            <w:shd w:val="clear" w:color="auto" w:fill="auto"/>
          </w:tcPr>
          <w:p w14:paraId="261B8764"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left="-14" w:right="-72" w:firstLine="14"/>
              <w:jc w:val="center"/>
              <w:textAlignment w:val="baseline"/>
              <w:rPr>
                <w:rFonts w:cs="Arial"/>
                <w:bCs/>
                <w:color w:val="2E74B5" w:themeColor="accent1" w:themeShade="BF"/>
                <w:spacing w:val="1"/>
                <w:u w:val="single"/>
                <w:lang w:eastAsia="fr-FR"/>
              </w:rPr>
            </w:pPr>
          </w:p>
        </w:tc>
      </w:tr>
    </w:tbl>
    <w:p w14:paraId="0B78B49A" w14:textId="77777777" w:rsidR="001E65DB" w:rsidRPr="007E29F8" w:rsidRDefault="001E65DB" w:rsidP="008A3DDA">
      <w:pPr>
        <w:widowControl w:val="0"/>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p>
    <w:p w14:paraId="3078099B" w14:textId="5DC32A81" w:rsidR="001E65DB" w:rsidRDefault="00546133" w:rsidP="003E3E25">
      <w:pPr>
        <w:keepNext/>
        <w:kinsoku w:val="0"/>
        <w:overflowPunct w:val="0"/>
        <w:autoSpaceDE w:val="0"/>
        <w:autoSpaceDN w:val="0"/>
        <w:adjustRightInd w:val="0"/>
        <w:spacing w:before="0" w:after="0"/>
        <w:ind w:right="216"/>
        <w:jc w:val="both"/>
        <w:textAlignment w:val="baseline"/>
        <w:rPr>
          <w:rFonts w:cs="Arial"/>
          <w:color w:val="2E74B5" w:themeColor="accent1" w:themeShade="BF"/>
          <w:spacing w:val="1"/>
          <w:u w:val="single"/>
          <w:lang w:eastAsia="fr-FR"/>
        </w:rPr>
      </w:pPr>
      <w:r>
        <w:rPr>
          <w:rFonts w:cs="Arial"/>
          <w:color w:val="2E74B5" w:themeColor="accent1" w:themeShade="BF"/>
          <w:spacing w:val="1"/>
          <w:u w:val="single"/>
          <w:lang w:eastAsia="fr-FR"/>
        </w:rPr>
        <w:t>Calculations for Scenario [1a]</w:t>
      </w:r>
    </w:p>
    <w:p w14:paraId="23426EAF" w14:textId="77777777" w:rsidR="00546133" w:rsidRPr="007E29F8" w:rsidRDefault="00546133" w:rsidP="003E3E25">
      <w:pPr>
        <w:keepNext/>
        <w:kinsoku w:val="0"/>
        <w:overflowPunct w:val="0"/>
        <w:autoSpaceDE w:val="0"/>
        <w:autoSpaceDN w:val="0"/>
        <w:adjustRightInd w:val="0"/>
        <w:spacing w:before="0" w:after="0"/>
        <w:ind w:right="216"/>
        <w:jc w:val="both"/>
        <w:textAlignment w:val="baseline"/>
        <w:rPr>
          <w:rFonts w:cs="Arial"/>
          <w:color w:val="2E74B5" w:themeColor="accent1" w:themeShade="BF"/>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23"/>
        <w:gridCol w:w="2649"/>
        <w:gridCol w:w="3244"/>
      </w:tblGrid>
      <w:tr w:rsidR="001E65DB" w:rsidRPr="007E29F8" w14:paraId="364BF581" w14:textId="77777777" w:rsidTr="004C342D">
        <w:trPr>
          <w:cantSplit/>
          <w:trHeight w:val="103"/>
          <w:tblHeader/>
        </w:trPr>
        <w:tc>
          <w:tcPr>
            <w:tcW w:w="5000" w:type="pct"/>
            <w:gridSpan w:val="3"/>
            <w:tcBorders>
              <w:top w:val="double" w:sz="4" w:space="0" w:color="auto"/>
            </w:tcBorders>
            <w:shd w:val="clear" w:color="auto" w:fill="FFFFCC"/>
          </w:tcPr>
          <w:p w14:paraId="08155AE0" w14:textId="77777777" w:rsidR="001E65DB" w:rsidRPr="007E29F8" w:rsidRDefault="001E65DB" w:rsidP="001E65DB">
            <w:pPr>
              <w:pStyle w:val="Standaard-Tabellen"/>
              <w:keepNext/>
              <w:rPr>
                <w:rFonts w:eastAsia="Calibri"/>
                <w:b/>
                <w:color w:val="2E74B5" w:themeColor="accent1" w:themeShade="BF"/>
                <w:sz w:val="20"/>
              </w:rPr>
            </w:pPr>
            <w:r w:rsidRPr="007E29F8">
              <w:rPr>
                <w:rFonts w:eastAsia="Calibri"/>
                <w:b/>
                <w:color w:val="2E74B5" w:themeColor="accent1" w:themeShade="BF"/>
                <w:sz w:val="20"/>
              </w:rPr>
              <w:t>Summary table: estimated exposure for Dermal Primary exposure</w:t>
            </w:r>
          </w:p>
        </w:tc>
      </w:tr>
      <w:tr w:rsidR="001E65DB" w:rsidRPr="007E29F8" w14:paraId="75F2E082" w14:textId="77777777" w:rsidTr="001E65DB">
        <w:trPr>
          <w:cantSplit/>
          <w:trHeight w:val="103"/>
          <w:tblHeader/>
        </w:trPr>
        <w:tc>
          <w:tcPr>
            <w:tcW w:w="1803" w:type="pct"/>
            <w:shd w:val="clear" w:color="auto" w:fill="BFBFBF" w:themeFill="background1" w:themeFillShade="BF"/>
          </w:tcPr>
          <w:p w14:paraId="1B161D33"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360" w:right="216"/>
              <w:jc w:val="both"/>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Exposure scenario</w:t>
            </w:r>
          </w:p>
        </w:tc>
        <w:tc>
          <w:tcPr>
            <w:tcW w:w="1437" w:type="pct"/>
            <w:shd w:val="clear" w:color="auto" w:fill="BFBFBF" w:themeFill="background1" w:themeFillShade="BF"/>
          </w:tcPr>
          <w:p w14:paraId="3A6ADE02"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360" w:right="216"/>
              <w:jc w:val="both"/>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Tier/PPE</w:t>
            </w:r>
          </w:p>
        </w:tc>
        <w:tc>
          <w:tcPr>
            <w:tcW w:w="1760" w:type="pct"/>
            <w:shd w:val="clear" w:color="auto" w:fill="BFBFBF" w:themeFill="background1" w:themeFillShade="BF"/>
          </w:tcPr>
          <w:p w14:paraId="30D3BA36"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Estimated dermal uptake</w:t>
            </w:r>
          </w:p>
          <w:p w14:paraId="459B6808" w14:textId="77777777" w:rsidR="001E65DB" w:rsidRPr="007E29F8"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(mg/ kg bw/d)</w:t>
            </w:r>
          </w:p>
        </w:tc>
      </w:tr>
      <w:tr w:rsidR="001E65DB" w:rsidRPr="007E29F8" w14:paraId="7D7761EA" w14:textId="77777777" w:rsidTr="00762A41">
        <w:trPr>
          <w:cantSplit/>
          <w:trHeight w:val="207"/>
          <w:tblHeader/>
        </w:trPr>
        <w:tc>
          <w:tcPr>
            <w:tcW w:w="1803" w:type="pct"/>
            <w:shd w:val="clear" w:color="auto" w:fill="auto"/>
            <w:vAlign w:val="center"/>
          </w:tcPr>
          <w:p w14:paraId="019BC0C2"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bCs/>
                <w:color w:val="2E74B5" w:themeColor="accent1" w:themeShade="BF"/>
                <w:spacing w:val="1"/>
                <w:u w:val="single"/>
                <w:lang w:eastAsia="fr-FR"/>
              </w:rPr>
            </w:pPr>
            <w:r w:rsidRPr="007E29F8">
              <w:rPr>
                <w:rFonts w:cs="Arial"/>
                <w:color w:val="2E74B5" w:themeColor="accent1" w:themeShade="BF"/>
                <w:szCs w:val="18"/>
                <w:lang w:eastAsia="fr-FR"/>
              </w:rPr>
              <w:t>Adult</w:t>
            </w:r>
          </w:p>
        </w:tc>
        <w:tc>
          <w:tcPr>
            <w:tcW w:w="1437" w:type="pct"/>
            <w:shd w:val="clear" w:color="auto" w:fill="auto"/>
            <w:vAlign w:val="center"/>
          </w:tcPr>
          <w:p w14:paraId="4F3E8ABF"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1 (2 applications)</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14:paraId="2D5DAB0A"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Calibri"/>
                <w:color w:val="0070C0"/>
              </w:rPr>
            </w:pPr>
            <w:r w:rsidRPr="004C342D">
              <w:rPr>
                <w:rFonts w:cs="Calibri"/>
                <w:color w:val="0070C0"/>
              </w:rPr>
              <w:t xml:space="preserve">      3.53   </w:t>
            </w:r>
          </w:p>
        </w:tc>
      </w:tr>
      <w:tr w:rsidR="001E65DB" w:rsidRPr="007E29F8" w14:paraId="671F884E" w14:textId="77777777" w:rsidTr="00762A41">
        <w:trPr>
          <w:cantSplit/>
          <w:trHeight w:val="207"/>
          <w:tblHeader/>
        </w:trPr>
        <w:tc>
          <w:tcPr>
            <w:tcW w:w="1803" w:type="pct"/>
            <w:shd w:val="clear" w:color="auto" w:fill="auto"/>
            <w:vAlign w:val="center"/>
          </w:tcPr>
          <w:p w14:paraId="67F4528E"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Adult</w:t>
            </w:r>
          </w:p>
        </w:tc>
        <w:tc>
          <w:tcPr>
            <w:tcW w:w="1437" w:type="pct"/>
            <w:shd w:val="clear" w:color="auto" w:fill="auto"/>
            <w:vAlign w:val="center"/>
          </w:tcPr>
          <w:p w14:paraId="230FF7DD"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center"/>
          </w:tcPr>
          <w:p w14:paraId="36A4B0CD"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Calibri"/>
                <w:color w:val="0070C0"/>
              </w:rPr>
            </w:pPr>
            <w:r w:rsidRPr="004C342D">
              <w:rPr>
                <w:rFonts w:cs="Calibri"/>
                <w:color w:val="0070C0"/>
              </w:rPr>
              <w:t xml:space="preserve">      1.76   </w:t>
            </w:r>
          </w:p>
        </w:tc>
      </w:tr>
      <w:tr w:rsidR="001E65DB" w:rsidRPr="007E29F8" w14:paraId="02BF2F89" w14:textId="77777777" w:rsidTr="00762A41">
        <w:trPr>
          <w:cantSplit/>
          <w:trHeight w:val="153"/>
          <w:tblHeader/>
        </w:trPr>
        <w:tc>
          <w:tcPr>
            <w:tcW w:w="1803" w:type="pct"/>
            <w:shd w:val="clear" w:color="auto" w:fill="auto"/>
            <w:vAlign w:val="center"/>
          </w:tcPr>
          <w:p w14:paraId="3FBCFE63"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bCs/>
                <w:color w:val="2E74B5" w:themeColor="accent1" w:themeShade="BF"/>
                <w:spacing w:val="1"/>
                <w:u w:val="single"/>
                <w:lang w:eastAsia="fr-FR"/>
              </w:rPr>
            </w:pPr>
            <w:r w:rsidRPr="007E29F8">
              <w:rPr>
                <w:rFonts w:cs="Arial"/>
                <w:color w:val="2E74B5" w:themeColor="accent1" w:themeShade="BF"/>
                <w:szCs w:val="18"/>
                <w:lang w:eastAsia="fr-FR"/>
              </w:rPr>
              <w:t>Child (6 to &lt;12 years old)</w:t>
            </w:r>
          </w:p>
        </w:tc>
        <w:tc>
          <w:tcPr>
            <w:tcW w:w="1437" w:type="pct"/>
            <w:shd w:val="clear" w:color="auto" w:fill="auto"/>
            <w:vAlign w:val="center"/>
          </w:tcPr>
          <w:p w14:paraId="507804F0"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1 (2 applications)</w:t>
            </w:r>
          </w:p>
        </w:tc>
        <w:tc>
          <w:tcPr>
            <w:tcW w:w="1760" w:type="pct"/>
            <w:tcBorders>
              <w:top w:val="nil"/>
              <w:left w:val="single" w:sz="4" w:space="0" w:color="auto"/>
              <w:bottom w:val="single" w:sz="4" w:space="0" w:color="auto"/>
              <w:right w:val="single" w:sz="4" w:space="0" w:color="auto"/>
            </w:tcBorders>
            <w:shd w:val="clear" w:color="auto" w:fill="auto"/>
            <w:vAlign w:val="center"/>
          </w:tcPr>
          <w:p w14:paraId="27625763"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Calibri"/>
                <w:color w:val="0070C0"/>
              </w:rPr>
            </w:pPr>
            <w:r w:rsidRPr="004C342D">
              <w:rPr>
                <w:rFonts w:cs="Calibri"/>
                <w:color w:val="0070C0"/>
              </w:rPr>
              <w:t xml:space="preserve">      4.61   </w:t>
            </w:r>
          </w:p>
        </w:tc>
      </w:tr>
      <w:tr w:rsidR="001E65DB" w:rsidRPr="007E29F8" w14:paraId="7D1980DB" w14:textId="77777777" w:rsidTr="00762A41">
        <w:trPr>
          <w:cantSplit/>
          <w:trHeight w:val="153"/>
          <w:tblHeader/>
        </w:trPr>
        <w:tc>
          <w:tcPr>
            <w:tcW w:w="1803" w:type="pct"/>
            <w:shd w:val="clear" w:color="auto" w:fill="auto"/>
            <w:vAlign w:val="center"/>
          </w:tcPr>
          <w:p w14:paraId="7B8F4194"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(6 to &lt;12 years old)</w:t>
            </w:r>
          </w:p>
        </w:tc>
        <w:tc>
          <w:tcPr>
            <w:tcW w:w="1437" w:type="pct"/>
            <w:shd w:val="clear" w:color="auto" w:fill="auto"/>
            <w:vAlign w:val="center"/>
          </w:tcPr>
          <w:p w14:paraId="41D3CE6B"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center"/>
          </w:tcPr>
          <w:p w14:paraId="75A2AED1"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Calibri"/>
                <w:color w:val="0070C0"/>
              </w:rPr>
            </w:pPr>
            <w:r w:rsidRPr="004C342D">
              <w:rPr>
                <w:rFonts w:cs="Calibri"/>
                <w:color w:val="0070C0"/>
              </w:rPr>
              <w:t xml:space="preserve">      2.31   </w:t>
            </w:r>
          </w:p>
        </w:tc>
      </w:tr>
      <w:tr w:rsidR="001E65DB" w:rsidRPr="007E29F8" w14:paraId="267F2825" w14:textId="77777777" w:rsidTr="00762A41">
        <w:trPr>
          <w:cantSplit/>
          <w:trHeight w:val="210"/>
          <w:tblHeader/>
        </w:trPr>
        <w:tc>
          <w:tcPr>
            <w:tcW w:w="1803" w:type="pct"/>
            <w:shd w:val="clear" w:color="auto" w:fill="auto"/>
            <w:vAlign w:val="center"/>
          </w:tcPr>
          <w:p w14:paraId="5671585B"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bCs/>
                <w:color w:val="2E74B5" w:themeColor="accent1" w:themeShade="BF"/>
                <w:spacing w:val="1"/>
                <w:u w:val="single"/>
                <w:lang w:eastAsia="fr-FR"/>
              </w:rPr>
            </w:pPr>
            <w:r w:rsidRPr="007E29F8">
              <w:rPr>
                <w:rFonts w:cs="Arial"/>
                <w:color w:val="2E74B5" w:themeColor="accent1" w:themeShade="BF"/>
                <w:szCs w:val="18"/>
                <w:lang w:eastAsia="fr-FR"/>
              </w:rPr>
              <w:t>Child (2 to &lt;6 years old)</w:t>
            </w:r>
          </w:p>
        </w:tc>
        <w:tc>
          <w:tcPr>
            <w:tcW w:w="1437" w:type="pct"/>
            <w:shd w:val="clear" w:color="auto" w:fill="auto"/>
            <w:vAlign w:val="center"/>
          </w:tcPr>
          <w:p w14:paraId="55576C34"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center"/>
          </w:tcPr>
          <w:p w14:paraId="15DEFC3B"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Calibri"/>
                <w:color w:val="0070C0"/>
              </w:rPr>
            </w:pPr>
            <w:r w:rsidRPr="004C342D">
              <w:rPr>
                <w:rFonts w:cs="Calibri"/>
                <w:color w:val="0070C0"/>
              </w:rPr>
              <w:t xml:space="preserve">      2.65   </w:t>
            </w:r>
          </w:p>
        </w:tc>
      </w:tr>
      <w:tr w:rsidR="001E65DB" w:rsidRPr="007E29F8" w14:paraId="4E7220A9" w14:textId="77777777" w:rsidTr="00762A41">
        <w:trPr>
          <w:cantSplit/>
          <w:trHeight w:val="207"/>
          <w:tblHeader/>
        </w:trPr>
        <w:tc>
          <w:tcPr>
            <w:tcW w:w="1803" w:type="pct"/>
            <w:tcBorders>
              <w:bottom w:val="single" w:sz="6" w:space="0" w:color="auto"/>
            </w:tcBorders>
            <w:shd w:val="clear" w:color="auto" w:fill="auto"/>
            <w:vAlign w:val="center"/>
          </w:tcPr>
          <w:p w14:paraId="7733DC92"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bCs/>
                <w:color w:val="2E74B5" w:themeColor="accent1" w:themeShade="BF"/>
                <w:spacing w:val="1"/>
                <w:u w:val="single"/>
                <w:lang w:eastAsia="fr-FR"/>
              </w:rPr>
            </w:pPr>
            <w:r w:rsidRPr="007E29F8">
              <w:rPr>
                <w:rFonts w:cs="Arial"/>
                <w:color w:val="2E74B5" w:themeColor="accent1" w:themeShade="BF"/>
                <w:szCs w:val="18"/>
                <w:lang w:eastAsia="fr-FR"/>
              </w:rPr>
              <w:t>Toddler (1 to &lt;2 years old)</w:t>
            </w:r>
          </w:p>
        </w:tc>
        <w:tc>
          <w:tcPr>
            <w:tcW w:w="1437" w:type="pct"/>
            <w:tcBorders>
              <w:bottom w:val="single" w:sz="6" w:space="0" w:color="auto"/>
            </w:tcBorders>
            <w:shd w:val="clear" w:color="auto" w:fill="auto"/>
            <w:vAlign w:val="center"/>
          </w:tcPr>
          <w:p w14:paraId="1BA1B1AC"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center"/>
          </w:tcPr>
          <w:p w14:paraId="2529C4DD"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Calibri"/>
                <w:color w:val="0070C0"/>
              </w:rPr>
            </w:pPr>
            <w:r w:rsidRPr="004C342D">
              <w:rPr>
                <w:rFonts w:cs="Calibri"/>
                <w:color w:val="0070C0"/>
              </w:rPr>
              <w:t xml:space="preserve">      2.95   </w:t>
            </w:r>
          </w:p>
        </w:tc>
      </w:tr>
      <w:tr w:rsidR="001E65DB" w:rsidRPr="007E29F8" w14:paraId="392A7D5E" w14:textId="77777777" w:rsidTr="00762A41">
        <w:trPr>
          <w:cantSplit/>
          <w:trHeight w:val="207"/>
          <w:tblHeader/>
        </w:trPr>
        <w:tc>
          <w:tcPr>
            <w:tcW w:w="1803" w:type="pct"/>
            <w:tcBorders>
              <w:bottom w:val="double" w:sz="4" w:space="0" w:color="auto"/>
            </w:tcBorders>
            <w:shd w:val="clear" w:color="auto" w:fill="auto"/>
            <w:vAlign w:val="center"/>
          </w:tcPr>
          <w:p w14:paraId="0B5BCD16"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bCs/>
                <w:color w:val="2E74B5" w:themeColor="accent1" w:themeShade="BF"/>
                <w:spacing w:val="1"/>
                <w:u w:val="single"/>
                <w:lang w:eastAsia="fr-FR"/>
              </w:rPr>
            </w:pPr>
            <w:r w:rsidRPr="007E29F8">
              <w:rPr>
                <w:rFonts w:cs="Arial"/>
                <w:color w:val="2E74B5" w:themeColor="accent1" w:themeShade="BF"/>
                <w:szCs w:val="18"/>
                <w:lang w:eastAsia="fr-FR"/>
              </w:rPr>
              <w:t>Infant (&lt;1 year old)</w:t>
            </w:r>
          </w:p>
        </w:tc>
        <w:tc>
          <w:tcPr>
            <w:tcW w:w="1437" w:type="pct"/>
            <w:tcBorders>
              <w:bottom w:val="double" w:sz="4" w:space="0" w:color="auto"/>
            </w:tcBorders>
            <w:shd w:val="clear" w:color="auto" w:fill="auto"/>
            <w:vAlign w:val="center"/>
          </w:tcPr>
          <w:p w14:paraId="5BD788BA"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1 (1 application)</w:t>
            </w:r>
          </w:p>
        </w:tc>
        <w:tc>
          <w:tcPr>
            <w:tcW w:w="1760" w:type="pct"/>
            <w:tcBorders>
              <w:top w:val="nil"/>
              <w:left w:val="single" w:sz="4" w:space="0" w:color="auto"/>
              <w:bottom w:val="double" w:sz="4" w:space="0" w:color="auto"/>
              <w:right w:val="single" w:sz="4" w:space="0" w:color="auto"/>
            </w:tcBorders>
            <w:shd w:val="clear" w:color="auto" w:fill="auto"/>
            <w:vAlign w:val="center"/>
          </w:tcPr>
          <w:p w14:paraId="76A52933"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Calibri"/>
                <w:color w:val="0070C0"/>
              </w:rPr>
            </w:pPr>
            <w:r w:rsidRPr="004C342D">
              <w:rPr>
                <w:rFonts w:cs="Calibri"/>
                <w:color w:val="0070C0"/>
              </w:rPr>
              <w:t xml:space="preserve">      3.15   </w:t>
            </w:r>
          </w:p>
        </w:tc>
      </w:tr>
      <w:tr w:rsidR="001E65DB" w:rsidRPr="007E29F8" w14:paraId="4746CDF6" w14:textId="77777777" w:rsidTr="00762A41">
        <w:trPr>
          <w:cantSplit/>
          <w:trHeight w:val="207"/>
          <w:tblHeader/>
        </w:trPr>
        <w:tc>
          <w:tcPr>
            <w:tcW w:w="1803" w:type="pct"/>
            <w:tcBorders>
              <w:top w:val="double" w:sz="4" w:space="0" w:color="auto"/>
            </w:tcBorders>
            <w:shd w:val="clear" w:color="auto" w:fill="auto"/>
            <w:vAlign w:val="center"/>
          </w:tcPr>
          <w:p w14:paraId="2E185218"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(6 to &lt;12 years old)</w:t>
            </w:r>
          </w:p>
        </w:tc>
        <w:tc>
          <w:tcPr>
            <w:tcW w:w="1437" w:type="pct"/>
            <w:tcBorders>
              <w:top w:val="double" w:sz="4" w:space="0" w:color="auto"/>
            </w:tcBorders>
            <w:shd w:val="clear" w:color="auto" w:fill="auto"/>
            <w:vAlign w:val="center"/>
          </w:tcPr>
          <w:p w14:paraId="76123F7A"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2 (2 applications)</w:t>
            </w:r>
          </w:p>
        </w:tc>
        <w:tc>
          <w:tcPr>
            <w:tcW w:w="1760" w:type="pct"/>
            <w:tcBorders>
              <w:top w:val="double" w:sz="4" w:space="0" w:color="auto"/>
              <w:left w:val="single" w:sz="4" w:space="0" w:color="auto"/>
              <w:bottom w:val="single" w:sz="4" w:space="0" w:color="auto"/>
              <w:right w:val="single" w:sz="4" w:space="0" w:color="auto"/>
            </w:tcBorders>
            <w:shd w:val="clear" w:color="auto" w:fill="auto"/>
            <w:vAlign w:val="center"/>
          </w:tcPr>
          <w:p w14:paraId="351A2694"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4C342D">
              <w:rPr>
                <w:rFonts w:cs="Calibri"/>
                <w:color w:val="0070C0"/>
              </w:rPr>
              <w:t xml:space="preserve">        4.01   </w:t>
            </w:r>
          </w:p>
        </w:tc>
      </w:tr>
      <w:tr w:rsidR="001E65DB" w:rsidRPr="007E29F8" w14:paraId="35E4569B" w14:textId="77777777" w:rsidTr="00762A41">
        <w:trPr>
          <w:cantSplit/>
          <w:trHeight w:val="207"/>
          <w:tblHeader/>
        </w:trPr>
        <w:tc>
          <w:tcPr>
            <w:tcW w:w="1803" w:type="pct"/>
            <w:shd w:val="clear" w:color="auto" w:fill="auto"/>
            <w:vAlign w:val="center"/>
          </w:tcPr>
          <w:p w14:paraId="02583A2D"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(6 to &lt;12 years old)</w:t>
            </w:r>
          </w:p>
        </w:tc>
        <w:tc>
          <w:tcPr>
            <w:tcW w:w="1437" w:type="pct"/>
            <w:shd w:val="clear" w:color="auto" w:fill="auto"/>
            <w:vAlign w:val="center"/>
          </w:tcPr>
          <w:p w14:paraId="0DBC81BB"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2 (1 application)</w:t>
            </w:r>
          </w:p>
        </w:tc>
        <w:tc>
          <w:tcPr>
            <w:tcW w:w="1760" w:type="pct"/>
            <w:tcBorders>
              <w:top w:val="nil"/>
              <w:left w:val="single" w:sz="4" w:space="0" w:color="auto"/>
              <w:bottom w:val="single" w:sz="4" w:space="0" w:color="auto"/>
              <w:right w:val="single" w:sz="4" w:space="0" w:color="auto"/>
            </w:tcBorders>
            <w:shd w:val="clear" w:color="auto" w:fill="auto"/>
            <w:vAlign w:val="center"/>
          </w:tcPr>
          <w:p w14:paraId="13C98AF3"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4C342D">
              <w:rPr>
                <w:rFonts w:cs="Calibri"/>
                <w:color w:val="0070C0"/>
              </w:rPr>
              <w:t xml:space="preserve">        2.01   </w:t>
            </w:r>
          </w:p>
        </w:tc>
      </w:tr>
      <w:tr w:rsidR="001E65DB" w:rsidRPr="007E29F8" w14:paraId="4B9399CF" w14:textId="77777777" w:rsidTr="00762A41">
        <w:trPr>
          <w:cantSplit/>
          <w:trHeight w:val="207"/>
          <w:tblHeader/>
        </w:trPr>
        <w:tc>
          <w:tcPr>
            <w:tcW w:w="1803" w:type="pct"/>
            <w:shd w:val="clear" w:color="auto" w:fill="auto"/>
            <w:vAlign w:val="center"/>
          </w:tcPr>
          <w:p w14:paraId="13DB5958"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(2 to &lt;6 years old)</w:t>
            </w:r>
          </w:p>
        </w:tc>
        <w:tc>
          <w:tcPr>
            <w:tcW w:w="1437" w:type="pct"/>
            <w:shd w:val="clear" w:color="auto" w:fill="auto"/>
            <w:vAlign w:val="center"/>
          </w:tcPr>
          <w:p w14:paraId="60FF410F"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2 (1 application)</w:t>
            </w:r>
          </w:p>
        </w:tc>
        <w:tc>
          <w:tcPr>
            <w:tcW w:w="1760" w:type="pct"/>
            <w:tcBorders>
              <w:top w:val="nil"/>
              <w:left w:val="single" w:sz="4" w:space="0" w:color="auto"/>
              <w:bottom w:val="single" w:sz="4" w:space="0" w:color="auto"/>
              <w:right w:val="single" w:sz="4" w:space="0" w:color="auto"/>
            </w:tcBorders>
            <w:shd w:val="clear" w:color="auto" w:fill="auto"/>
            <w:vAlign w:val="center"/>
          </w:tcPr>
          <w:p w14:paraId="3B6FD037"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4C342D">
              <w:rPr>
                <w:rFonts w:cs="Calibri"/>
                <w:color w:val="0070C0"/>
              </w:rPr>
              <w:t xml:space="preserve">        2.30   </w:t>
            </w:r>
          </w:p>
        </w:tc>
      </w:tr>
      <w:tr w:rsidR="001E65DB" w:rsidRPr="007E29F8" w14:paraId="782E3CF4" w14:textId="77777777" w:rsidTr="00762A41">
        <w:trPr>
          <w:cantSplit/>
          <w:trHeight w:val="207"/>
          <w:tblHeader/>
        </w:trPr>
        <w:tc>
          <w:tcPr>
            <w:tcW w:w="1803" w:type="pct"/>
            <w:shd w:val="clear" w:color="auto" w:fill="auto"/>
            <w:vAlign w:val="center"/>
          </w:tcPr>
          <w:p w14:paraId="78806D24"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Toddler (1 to &lt;2 years old)</w:t>
            </w:r>
          </w:p>
        </w:tc>
        <w:tc>
          <w:tcPr>
            <w:tcW w:w="1437" w:type="pct"/>
            <w:shd w:val="clear" w:color="auto" w:fill="auto"/>
            <w:vAlign w:val="center"/>
          </w:tcPr>
          <w:p w14:paraId="71E80133"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2 (1 application)</w:t>
            </w:r>
          </w:p>
        </w:tc>
        <w:tc>
          <w:tcPr>
            <w:tcW w:w="1760" w:type="pct"/>
            <w:tcBorders>
              <w:top w:val="nil"/>
              <w:left w:val="single" w:sz="4" w:space="0" w:color="auto"/>
              <w:bottom w:val="single" w:sz="4" w:space="0" w:color="auto"/>
              <w:right w:val="single" w:sz="4" w:space="0" w:color="auto"/>
            </w:tcBorders>
            <w:shd w:val="clear" w:color="auto" w:fill="auto"/>
            <w:vAlign w:val="center"/>
          </w:tcPr>
          <w:p w14:paraId="6C82FCEF"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4C342D">
              <w:rPr>
                <w:rFonts w:cs="Calibri"/>
                <w:color w:val="0070C0"/>
              </w:rPr>
              <w:t xml:space="preserve">        2.56   </w:t>
            </w:r>
          </w:p>
        </w:tc>
      </w:tr>
      <w:tr w:rsidR="001E65DB" w:rsidRPr="007E29F8" w14:paraId="0EA6BA94" w14:textId="77777777" w:rsidTr="00762A41">
        <w:trPr>
          <w:cantSplit/>
          <w:trHeight w:val="207"/>
          <w:tblHeader/>
        </w:trPr>
        <w:tc>
          <w:tcPr>
            <w:tcW w:w="1803" w:type="pct"/>
            <w:shd w:val="clear" w:color="auto" w:fill="auto"/>
            <w:vAlign w:val="center"/>
          </w:tcPr>
          <w:p w14:paraId="20E55EA5" w14:textId="77777777" w:rsidR="001E65DB" w:rsidRPr="007E29F8" w:rsidRDefault="001E65DB" w:rsidP="003E3E25">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Infant (&lt;1 year old)</w:t>
            </w:r>
          </w:p>
        </w:tc>
        <w:tc>
          <w:tcPr>
            <w:tcW w:w="1437" w:type="pct"/>
            <w:shd w:val="clear" w:color="auto" w:fill="auto"/>
            <w:vAlign w:val="center"/>
          </w:tcPr>
          <w:p w14:paraId="1A6C991D" w14:textId="77777777" w:rsidR="001E65DB" w:rsidRPr="007E29F8"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2E74B5" w:themeColor="accent1" w:themeShade="BF"/>
                <w:spacing w:val="1"/>
                <w:lang w:eastAsia="fr-FR"/>
              </w:rPr>
            </w:pPr>
            <w:r w:rsidRPr="007E29F8">
              <w:rPr>
                <w:rFonts w:cs="Arial"/>
                <w:bCs/>
                <w:color w:val="2E74B5" w:themeColor="accent1" w:themeShade="BF"/>
                <w:spacing w:val="1"/>
                <w:lang w:eastAsia="fr-FR"/>
              </w:rPr>
              <w:t>Tier 2 (1 application)</w:t>
            </w:r>
          </w:p>
        </w:tc>
        <w:tc>
          <w:tcPr>
            <w:tcW w:w="1760" w:type="pct"/>
            <w:tcBorders>
              <w:top w:val="nil"/>
              <w:left w:val="single" w:sz="4" w:space="0" w:color="auto"/>
              <w:bottom w:val="single" w:sz="4" w:space="0" w:color="auto"/>
              <w:right w:val="single" w:sz="4" w:space="0" w:color="auto"/>
            </w:tcBorders>
            <w:shd w:val="clear" w:color="auto" w:fill="auto"/>
            <w:vAlign w:val="center"/>
          </w:tcPr>
          <w:p w14:paraId="533AB7B7" w14:textId="777777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4C342D">
              <w:rPr>
                <w:rFonts w:cs="Calibri"/>
                <w:color w:val="0070C0"/>
              </w:rPr>
              <w:t xml:space="preserve">        2.73   </w:t>
            </w:r>
          </w:p>
        </w:tc>
      </w:tr>
    </w:tbl>
    <w:p w14:paraId="54F3FB5D" w14:textId="77777777" w:rsidR="00546133" w:rsidRDefault="00546133" w:rsidP="003E3E25">
      <w:pPr>
        <w:widowControl w:val="0"/>
        <w:kinsoku w:val="0"/>
        <w:overflowPunct w:val="0"/>
        <w:autoSpaceDE w:val="0"/>
        <w:autoSpaceDN w:val="0"/>
        <w:adjustRightInd w:val="0"/>
        <w:spacing w:before="0" w:after="0" w:line="290" w:lineRule="exact"/>
        <w:ind w:right="216"/>
        <w:jc w:val="both"/>
        <w:textAlignment w:val="baseline"/>
        <w:rPr>
          <w:rFonts w:cs="Arial"/>
          <w:color w:val="2E74B5" w:themeColor="accent1" w:themeShade="BF"/>
          <w:spacing w:val="1"/>
          <w:u w:val="single"/>
          <w:lang w:eastAsia="fr-FR"/>
        </w:rPr>
      </w:pPr>
    </w:p>
    <w:p w14:paraId="6C38DFF3" w14:textId="118275F5" w:rsidR="001E65DB"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color w:val="2E74B5" w:themeColor="accent1" w:themeShade="BF"/>
          <w:spacing w:val="1"/>
          <w:u w:val="single"/>
          <w:lang w:eastAsia="fr-FR"/>
        </w:rPr>
      </w:pPr>
      <w:r w:rsidRPr="007E29F8">
        <w:rPr>
          <w:rFonts w:cs="Arial"/>
          <w:color w:val="2E74B5" w:themeColor="accent1" w:themeShade="BF"/>
          <w:spacing w:val="1"/>
          <w:u w:val="single"/>
          <w:lang w:eastAsia="fr-FR"/>
        </w:rPr>
        <w:t xml:space="preserve">Same </w:t>
      </w:r>
      <w:r>
        <w:rPr>
          <w:rFonts w:cs="Arial"/>
          <w:color w:val="2E74B5" w:themeColor="accent1" w:themeShade="BF"/>
          <w:spacing w:val="1"/>
          <w:u w:val="single"/>
          <w:lang w:eastAsia="fr-FR"/>
        </w:rPr>
        <w:t xml:space="preserve">general </w:t>
      </w:r>
      <w:r w:rsidRPr="007E29F8">
        <w:rPr>
          <w:rFonts w:cs="Arial"/>
          <w:color w:val="2E74B5" w:themeColor="accent1" w:themeShade="BF"/>
          <w:spacing w:val="1"/>
          <w:u w:val="single"/>
          <w:lang w:eastAsia="fr-FR"/>
        </w:rPr>
        <w:t xml:space="preserve">parameters </w:t>
      </w:r>
      <w:r>
        <w:rPr>
          <w:rFonts w:cs="Arial"/>
          <w:color w:val="2E74B5" w:themeColor="accent1" w:themeShade="BF"/>
          <w:spacing w:val="1"/>
          <w:u w:val="single"/>
          <w:lang w:eastAsia="fr-FR"/>
        </w:rPr>
        <w:t xml:space="preserve">than </w:t>
      </w:r>
      <w:r w:rsidRPr="007E29F8">
        <w:rPr>
          <w:rFonts w:cs="Arial"/>
          <w:color w:val="2E74B5" w:themeColor="accent1" w:themeShade="BF"/>
          <w:spacing w:val="1"/>
          <w:u w:val="single"/>
          <w:lang w:eastAsia="fr-FR"/>
        </w:rPr>
        <w:t>Scenario 1a are used for the intended uses against mosquitoes (intended use #4 - tropical conditions) with an appl</w:t>
      </w:r>
      <w:r w:rsidR="00546133">
        <w:rPr>
          <w:rFonts w:cs="Arial"/>
          <w:color w:val="2E74B5" w:themeColor="accent1" w:themeShade="BF"/>
          <w:spacing w:val="1"/>
          <w:u w:val="single"/>
          <w:lang w:eastAsia="fr-FR"/>
        </w:rPr>
        <w:t>ication rate of 8 g product/m².</w:t>
      </w:r>
    </w:p>
    <w:p w14:paraId="1F09D809" w14:textId="77777777" w:rsidR="00546133" w:rsidRPr="007E29F8" w:rsidRDefault="00546133" w:rsidP="003E3E25">
      <w:pPr>
        <w:widowControl w:val="0"/>
        <w:kinsoku w:val="0"/>
        <w:overflowPunct w:val="0"/>
        <w:autoSpaceDE w:val="0"/>
        <w:autoSpaceDN w:val="0"/>
        <w:adjustRightInd w:val="0"/>
        <w:spacing w:before="0" w:after="0" w:line="290" w:lineRule="exact"/>
        <w:ind w:right="216"/>
        <w:jc w:val="both"/>
        <w:textAlignment w:val="baseline"/>
        <w:rPr>
          <w:rFonts w:cs="Arial"/>
          <w:color w:val="2E74B5" w:themeColor="accent1" w:themeShade="BF"/>
          <w:spacing w:val="1"/>
          <w:u w:val="single"/>
          <w:lang w:eastAsia="fr-FR"/>
        </w:rPr>
      </w:pPr>
    </w:p>
    <w:p w14:paraId="277DA06A" w14:textId="6F6CB9CA" w:rsidR="001E65DB" w:rsidRDefault="00546133" w:rsidP="003E3E25">
      <w:pPr>
        <w:keepNext/>
        <w:widowControl w:val="0"/>
        <w:kinsoku w:val="0"/>
        <w:overflowPunct w:val="0"/>
        <w:autoSpaceDE w:val="0"/>
        <w:autoSpaceDN w:val="0"/>
        <w:adjustRightInd w:val="0"/>
        <w:spacing w:before="0" w:after="0"/>
        <w:ind w:right="216"/>
        <w:jc w:val="both"/>
        <w:textAlignment w:val="baseline"/>
        <w:rPr>
          <w:rFonts w:cs="Arial"/>
          <w:color w:val="2E74B5" w:themeColor="accent1" w:themeShade="BF"/>
          <w:spacing w:val="1"/>
          <w:u w:val="single"/>
          <w:lang w:eastAsia="fr-FR"/>
        </w:rPr>
      </w:pPr>
      <w:r>
        <w:rPr>
          <w:rFonts w:cs="Arial"/>
          <w:color w:val="2E74B5" w:themeColor="accent1" w:themeShade="BF"/>
          <w:spacing w:val="1"/>
          <w:u w:val="single"/>
          <w:lang w:eastAsia="fr-FR"/>
        </w:rPr>
        <w:t>Calculations for Scenario [1b]</w:t>
      </w:r>
    </w:p>
    <w:p w14:paraId="39206DA0" w14:textId="77777777" w:rsidR="00546133" w:rsidRPr="00546133" w:rsidRDefault="00546133" w:rsidP="003E3E25">
      <w:pPr>
        <w:keepNext/>
        <w:widowControl w:val="0"/>
        <w:kinsoku w:val="0"/>
        <w:overflowPunct w:val="0"/>
        <w:autoSpaceDE w:val="0"/>
        <w:autoSpaceDN w:val="0"/>
        <w:adjustRightInd w:val="0"/>
        <w:spacing w:before="0" w:after="0"/>
        <w:ind w:right="216"/>
        <w:jc w:val="both"/>
        <w:textAlignment w:val="baseline"/>
        <w:rPr>
          <w:rFonts w:cs="Arial"/>
          <w:color w:val="2E74B5" w:themeColor="accent1" w:themeShade="BF"/>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23"/>
        <w:gridCol w:w="2649"/>
        <w:gridCol w:w="3244"/>
      </w:tblGrid>
      <w:tr w:rsidR="001E65DB" w:rsidRPr="007E29F8" w14:paraId="5909F5F1" w14:textId="77777777" w:rsidTr="001E65DB">
        <w:trPr>
          <w:cantSplit/>
          <w:trHeight w:val="103"/>
          <w:tblHeader/>
        </w:trPr>
        <w:tc>
          <w:tcPr>
            <w:tcW w:w="5000" w:type="pct"/>
            <w:gridSpan w:val="3"/>
            <w:shd w:val="clear" w:color="auto" w:fill="FFFFCC"/>
          </w:tcPr>
          <w:p w14:paraId="197FDB3A" w14:textId="77777777" w:rsidR="001E65DB" w:rsidRPr="007E29F8" w:rsidRDefault="001E65DB" w:rsidP="001E65DB">
            <w:pPr>
              <w:pStyle w:val="Standaard-Tabellen"/>
              <w:rPr>
                <w:rFonts w:eastAsia="Calibri"/>
                <w:b/>
                <w:color w:val="2E74B5" w:themeColor="accent1" w:themeShade="BF"/>
                <w:sz w:val="20"/>
              </w:rPr>
            </w:pPr>
            <w:r w:rsidRPr="007E29F8">
              <w:rPr>
                <w:rFonts w:eastAsia="Calibri"/>
                <w:b/>
                <w:color w:val="2E74B5" w:themeColor="accent1" w:themeShade="BF"/>
                <w:sz w:val="20"/>
              </w:rPr>
              <w:t>Summary table: estimated exposure for Dermal Primary exposure</w:t>
            </w:r>
          </w:p>
        </w:tc>
      </w:tr>
      <w:tr w:rsidR="001E65DB" w:rsidRPr="007E29F8" w14:paraId="2AA40483" w14:textId="77777777" w:rsidTr="001E65DB">
        <w:trPr>
          <w:cantSplit/>
          <w:trHeight w:val="103"/>
          <w:tblHeader/>
        </w:trPr>
        <w:tc>
          <w:tcPr>
            <w:tcW w:w="1803" w:type="pct"/>
            <w:shd w:val="clear" w:color="auto" w:fill="BFBFBF" w:themeFill="background1" w:themeFillShade="BF"/>
          </w:tcPr>
          <w:p w14:paraId="6E2D0F64" w14:textId="77777777" w:rsidR="001E65DB" w:rsidRPr="007E29F8" w:rsidRDefault="001E65DB" w:rsidP="001E65DB">
            <w:pPr>
              <w:keepNext/>
              <w:widowControl w:val="0"/>
              <w:shd w:val="clear" w:color="auto" w:fill="D9D9D9" w:themeFill="background1" w:themeFillShade="D9"/>
              <w:kinsoku w:val="0"/>
              <w:overflowPunct w:val="0"/>
              <w:autoSpaceDE w:val="0"/>
              <w:autoSpaceDN w:val="0"/>
              <w:adjustRightInd w:val="0"/>
              <w:spacing w:before="0" w:after="0" w:line="276" w:lineRule="auto"/>
              <w:ind w:left="360" w:right="216"/>
              <w:jc w:val="both"/>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Exposure scenario</w:t>
            </w:r>
          </w:p>
        </w:tc>
        <w:tc>
          <w:tcPr>
            <w:tcW w:w="1437" w:type="pct"/>
            <w:shd w:val="clear" w:color="auto" w:fill="BFBFBF" w:themeFill="background1" w:themeFillShade="BF"/>
          </w:tcPr>
          <w:p w14:paraId="51B45E4C" w14:textId="77777777" w:rsidR="001E65DB" w:rsidRPr="007E29F8" w:rsidRDefault="001E65DB" w:rsidP="001E65DB">
            <w:pPr>
              <w:keepNext/>
              <w:widowControl w:val="0"/>
              <w:shd w:val="clear" w:color="auto" w:fill="D9D9D9" w:themeFill="background1" w:themeFillShade="D9"/>
              <w:kinsoku w:val="0"/>
              <w:overflowPunct w:val="0"/>
              <w:autoSpaceDE w:val="0"/>
              <w:autoSpaceDN w:val="0"/>
              <w:adjustRightInd w:val="0"/>
              <w:spacing w:before="0" w:after="0" w:line="276" w:lineRule="auto"/>
              <w:ind w:left="360" w:right="216"/>
              <w:jc w:val="both"/>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Tier/PPE</w:t>
            </w:r>
          </w:p>
        </w:tc>
        <w:tc>
          <w:tcPr>
            <w:tcW w:w="1760" w:type="pct"/>
            <w:shd w:val="clear" w:color="auto" w:fill="BFBFBF" w:themeFill="background1" w:themeFillShade="BF"/>
          </w:tcPr>
          <w:p w14:paraId="0F9263E7" w14:textId="77777777" w:rsidR="001E65DB" w:rsidRPr="007E29F8" w:rsidRDefault="001E65DB" w:rsidP="001E65DB">
            <w:pPr>
              <w:keepNext/>
              <w:widowControl w:val="0"/>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Estimated dermal uptake</w:t>
            </w:r>
          </w:p>
          <w:p w14:paraId="7E0F43AB" w14:textId="77777777" w:rsidR="001E65DB" w:rsidRPr="007E29F8" w:rsidRDefault="001E65DB" w:rsidP="001E65DB">
            <w:pPr>
              <w:keepNext/>
              <w:widowControl w:val="0"/>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(mg/ kg bw/d)</w:t>
            </w:r>
          </w:p>
        </w:tc>
      </w:tr>
      <w:tr w:rsidR="001E65DB" w:rsidRPr="00762A41" w14:paraId="5679BF59" w14:textId="77777777" w:rsidTr="003E3E25">
        <w:trPr>
          <w:cantSplit/>
          <w:trHeight w:val="207"/>
          <w:tblHeader/>
        </w:trPr>
        <w:tc>
          <w:tcPr>
            <w:tcW w:w="1803" w:type="pct"/>
            <w:shd w:val="clear" w:color="auto" w:fill="auto"/>
            <w:vAlign w:val="center"/>
          </w:tcPr>
          <w:p w14:paraId="714DE623"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Adult</w:t>
            </w:r>
          </w:p>
        </w:tc>
        <w:tc>
          <w:tcPr>
            <w:tcW w:w="1437" w:type="pct"/>
            <w:shd w:val="clear" w:color="auto" w:fill="auto"/>
            <w:vAlign w:val="center"/>
          </w:tcPr>
          <w:p w14:paraId="5482B0AB" w14:textId="77777777" w:rsidR="001E65DB" w:rsidRPr="00762A41" w:rsidRDefault="001E65DB" w:rsidP="00762A41">
            <w:pPr>
              <w:keepNext/>
              <w:kinsoku w:val="0"/>
              <w:overflowPunct w:val="0"/>
              <w:autoSpaceDE w:val="0"/>
              <w:autoSpaceDN w:val="0"/>
              <w:adjustRightInd w:val="0"/>
              <w:spacing w:before="0" w:after="0" w:line="276" w:lineRule="auto"/>
              <w:ind w:left="147" w:right="27"/>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Tier 1 (2 applications)</w:t>
            </w:r>
          </w:p>
        </w:tc>
        <w:tc>
          <w:tcPr>
            <w:tcW w:w="1760" w:type="pct"/>
            <w:shd w:val="clear" w:color="auto" w:fill="auto"/>
            <w:vAlign w:val="bottom"/>
          </w:tcPr>
          <w:p w14:paraId="34C075F3" w14:textId="77777777" w:rsidR="001E65DB" w:rsidRPr="00762A41" w:rsidRDefault="001E65DB" w:rsidP="00762A41">
            <w:pPr>
              <w:keepNext/>
              <w:kinsoku w:val="0"/>
              <w:overflowPunct w:val="0"/>
              <w:autoSpaceDE w:val="0"/>
              <w:autoSpaceDN w:val="0"/>
              <w:adjustRightInd w:val="0"/>
              <w:spacing w:before="0" w:after="0" w:line="276" w:lineRule="auto"/>
              <w:ind w:left="68" w:right="-120"/>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4.70</w:t>
            </w:r>
          </w:p>
        </w:tc>
      </w:tr>
      <w:tr w:rsidR="001E65DB" w:rsidRPr="00762A41" w14:paraId="3C6C86C7" w14:textId="77777777" w:rsidTr="003E3E25">
        <w:trPr>
          <w:cantSplit/>
          <w:trHeight w:val="207"/>
          <w:tblHeader/>
        </w:trPr>
        <w:tc>
          <w:tcPr>
            <w:tcW w:w="1803" w:type="pct"/>
            <w:shd w:val="clear" w:color="auto" w:fill="auto"/>
            <w:vAlign w:val="center"/>
          </w:tcPr>
          <w:p w14:paraId="17AE8B88" w14:textId="77777777" w:rsidR="001E65DB" w:rsidRPr="007E29F8"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Adult</w:t>
            </w:r>
          </w:p>
        </w:tc>
        <w:tc>
          <w:tcPr>
            <w:tcW w:w="1437" w:type="pct"/>
            <w:shd w:val="clear" w:color="auto" w:fill="auto"/>
            <w:vAlign w:val="center"/>
          </w:tcPr>
          <w:p w14:paraId="1E2B9DDA" w14:textId="77777777" w:rsidR="001E65DB" w:rsidRPr="00762A41" w:rsidRDefault="001E65DB" w:rsidP="00762A41">
            <w:pPr>
              <w:keepNext/>
              <w:kinsoku w:val="0"/>
              <w:overflowPunct w:val="0"/>
              <w:autoSpaceDE w:val="0"/>
              <w:autoSpaceDN w:val="0"/>
              <w:adjustRightInd w:val="0"/>
              <w:spacing w:before="0" w:after="0" w:line="276" w:lineRule="auto"/>
              <w:ind w:left="147" w:right="27"/>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Tier 1 (1 application)</w:t>
            </w:r>
          </w:p>
        </w:tc>
        <w:tc>
          <w:tcPr>
            <w:tcW w:w="1760" w:type="pct"/>
            <w:shd w:val="clear" w:color="auto" w:fill="auto"/>
            <w:vAlign w:val="bottom"/>
          </w:tcPr>
          <w:p w14:paraId="0A536594" w14:textId="77777777" w:rsidR="001E65DB" w:rsidRPr="00762A41" w:rsidRDefault="001E65DB" w:rsidP="00762A41">
            <w:pPr>
              <w:keepNext/>
              <w:kinsoku w:val="0"/>
              <w:overflowPunct w:val="0"/>
              <w:autoSpaceDE w:val="0"/>
              <w:autoSpaceDN w:val="0"/>
              <w:adjustRightInd w:val="0"/>
              <w:spacing w:before="0" w:after="0" w:line="276" w:lineRule="auto"/>
              <w:ind w:left="68" w:right="-120"/>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2.35</w:t>
            </w:r>
          </w:p>
        </w:tc>
      </w:tr>
      <w:tr w:rsidR="001E65DB" w:rsidRPr="00762A41" w14:paraId="646DEDDB" w14:textId="77777777" w:rsidTr="003E3E25">
        <w:trPr>
          <w:cantSplit/>
          <w:trHeight w:val="153"/>
          <w:tblHeader/>
        </w:trPr>
        <w:tc>
          <w:tcPr>
            <w:tcW w:w="1803" w:type="pct"/>
            <w:shd w:val="clear" w:color="auto" w:fill="auto"/>
            <w:vAlign w:val="center"/>
          </w:tcPr>
          <w:p w14:paraId="2A7B59FC" w14:textId="77777777" w:rsidR="001E65DB" w:rsidRPr="007E29F8"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(6 to &lt;12 years old)</w:t>
            </w:r>
          </w:p>
        </w:tc>
        <w:tc>
          <w:tcPr>
            <w:tcW w:w="1437" w:type="pct"/>
            <w:shd w:val="clear" w:color="auto" w:fill="auto"/>
            <w:vAlign w:val="center"/>
          </w:tcPr>
          <w:p w14:paraId="5937DC48" w14:textId="77777777" w:rsidR="001E65DB" w:rsidRPr="00762A41" w:rsidRDefault="001E65DB" w:rsidP="00762A41">
            <w:pPr>
              <w:keepNext/>
              <w:kinsoku w:val="0"/>
              <w:overflowPunct w:val="0"/>
              <w:autoSpaceDE w:val="0"/>
              <w:autoSpaceDN w:val="0"/>
              <w:adjustRightInd w:val="0"/>
              <w:spacing w:before="0" w:after="0" w:line="276" w:lineRule="auto"/>
              <w:ind w:left="147" w:right="27"/>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Tier 1 (1 application)</w:t>
            </w:r>
          </w:p>
        </w:tc>
        <w:tc>
          <w:tcPr>
            <w:tcW w:w="1760" w:type="pct"/>
            <w:shd w:val="clear" w:color="auto" w:fill="auto"/>
            <w:vAlign w:val="bottom"/>
          </w:tcPr>
          <w:p w14:paraId="4F0A97CA" w14:textId="77777777" w:rsidR="001E65DB" w:rsidRPr="00762A41" w:rsidRDefault="001E65DB" w:rsidP="00762A41">
            <w:pPr>
              <w:keepNext/>
              <w:kinsoku w:val="0"/>
              <w:overflowPunct w:val="0"/>
              <w:autoSpaceDE w:val="0"/>
              <w:autoSpaceDN w:val="0"/>
              <w:adjustRightInd w:val="0"/>
              <w:spacing w:before="0" w:after="0" w:line="276" w:lineRule="auto"/>
              <w:ind w:left="68" w:right="-120"/>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3.08</w:t>
            </w:r>
          </w:p>
        </w:tc>
      </w:tr>
      <w:tr w:rsidR="001E65DB" w:rsidRPr="00762A41" w14:paraId="53BFB659" w14:textId="77777777" w:rsidTr="003E3E25">
        <w:trPr>
          <w:cantSplit/>
          <w:trHeight w:val="210"/>
          <w:tblHeader/>
        </w:trPr>
        <w:tc>
          <w:tcPr>
            <w:tcW w:w="1803" w:type="pct"/>
            <w:shd w:val="clear" w:color="auto" w:fill="auto"/>
            <w:vAlign w:val="center"/>
          </w:tcPr>
          <w:p w14:paraId="684AE3B7"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(2 to &lt;6 years old)</w:t>
            </w:r>
          </w:p>
        </w:tc>
        <w:tc>
          <w:tcPr>
            <w:tcW w:w="1437" w:type="pct"/>
            <w:shd w:val="clear" w:color="auto" w:fill="auto"/>
            <w:vAlign w:val="center"/>
          </w:tcPr>
          <w:p w14:paraId="1C0ED8AC" w14:textId="77777777" w:rsidR="001E65DB" w:rsidRPr="00762A41" w:rsidRDefault="001E65DB" w:rsidP="00762A41">
            <w:pPr>
              <w:keepNext/>
              <w:kinsoku w:val="0"/>
              <w:overflowPunct w:val="0"/>
              <w:autoSpaceDE w:val="0"/>
              <w:autoSpaceDN w:val="0"/>
              <w:adjustRightInd w:val="0"/>
              <w:spacing w:before="0" w:after="0" w:line="276" w:lineRule="auto"/>
              <w:ind w:left="147" w:right="27"/>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Tier 1 (1 application)</w:t>
            </w:r>
          </w:p>
        </w:tc>
        <w:tc>
          <w:tcPr>
            <w:tcW w:w="1760" w:type="pct"/>
            <w:shd w:val="clear" w:color="auto" w:fill="auto"/>
            <w:vAlign w:val="bottom"/>
          </w:tcPr>
          <w:p w14:paraId="009AF543" w14:textId="77777777" w:rsidR="001E65DB" w:rsidRPr="00762A41" w:rsidRDefault="001E65DB" w:rsidP="00762A41">
            <w:pPr>
              <w:keepNext/>
              <w:kinsoku w:val="0"/>
              <w:overflowPunct w:val="0"/>
              <w:autoSpaceDE w:val="0"/>
              <w:autoSpaceDN w:val="0"/>
              <w:adjustRightInd w:val="0"/>
              <w:spacing w:before="0" w:after="0" w:line="276" w:lineRule="auto"/>
              <w:ind w:left="68" w:right="-120"/>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3.54</w:t>
            </w:r>
          </w:p>
        </w:tc>
      </w:tr>
      <w:tr w:rsidR="001E65DB" w:rsidRPr="00762A41" w14:paraId="7B5E46D8" w14:textId="77777777" w:rsidTr="003E3E25">
        <w:trPr>
          <w:cantSplit/>
          <w:trHeight w:val="207"/>
          <w:tblHeader/>
        </w:trPr>
        <w:tc>
          <w:tcPr>
            <w:tcW w:w="1803" w:type="pct"/>
            <w:shd w:val="clear" w:color="auto" w:fill="auto"/>
            <w:vAlign w:val="center"/>
          </w:tcPr>
          <w:p w14:paraId="7CC3583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Toddler (1 to &lt;2 years old)</w:t>
            </w:r>
          </w:p>
        </w:tc>
        <w:tc>
          <w:tcPr>
            <w:tcW w:w="1437" w:type="pct"/>
            <w:shd w:val="clear" w:color="auto" w:fill="auto"/>
            <w:vAlign w:val="center"/>
          </w:tcPr>
          <w:p w14:paraId="6D1BF9CA" w14:textId="77777777" w:rsidR="001E65DB" w:rsidRPr="00762A41" w:rsidRDefault="001E65DB" w:rsidP="00762A41">
            <w:pPr>
              <w:keepNext/>
              <w:kinsoku w:val="0"/>
              <w:overflowPunct w:val="0"/>
              <w:autoSpaceDE w:val="0"/>
              <w:autoSpaceDN w:val="0"/>
              <w:adjustRightInd w:val="0"/>
              <w:spacing w:before="0" w:after="0" w:line="276" w:lineRule="auto"/>
              <w:ind w:left="147" w:right="27"/>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Tier 1 (1 application)</w:t>
            </w:r>
          </w:p>
        </w:tc>
        <w:tc>
          <w:tcPr>
            <w:tcW w:w="1760" w:type="pct"/>
            <w:shd w:val="clear" w:color="auto" w:fill="auto"/>
            <w:vAlign w:val="bottom"/>
          </w:tcPr>
          <w:p w14:paraId="654AA30E" w14:textId="77777777" w:rsidR="001E65DB" w:rsidRPr="00762A41" w:rsidRDefault="001E65DB" w:rsidP="00762A41">
            <w:pPr>
              <w:keepNext/>
              <w:kinsoku w:val="0"/>
              <w:overflowPunct w:val="0"/>
              <w:autoSpaceDE w:val="0"/>
              <w:autoSpaceDN w:val="0"/>
              <w:adjustRightInd w:val="0"/>
              <w:spacing w:before="0" w:after="0" w:line="276" w:lineRule="auto"/>
              <w:ind w:left="68" w:right="-120"/>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3.93</w:t>
            </w:r>
          </w:p>
        </w:tc>
      </w:tr>
      <w:tr w:rsidR="001E65DB" w:rsidRPr="00762A41" w14:paraId="25BA807E" w14:textId="77777777" w:rsidTr="003E3E25">
        <w:trPr>
          <w:cantSplit/>
          <w:trHeight w:val="207"/>
          <w:tblHeader/>
        </w:trPr>
        <w:tc>
          <w:tcPr>
            <w:tcW w:w="1803" w:type="pct"/>
            <w:shd w:val="clear" w:color="auto" w:fill="auto"/>
            <w:vAlign w:val="center"/>
          </w:tcPr>
          <w:p w14:paraId="6AD0C8D9"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Infant (&lt;1 year old)</w:t>
            </w:r>
          </w:p>
        </w:tc>
        <w:tc>
          <w:tcPr>
            <w:tcW w:w="1437" w:type="pct"/>
            <w:shd w:val="clear" w:color="auto" w:fill="auto"/>
            <w:vAlign w:val="center"/>
          </w:tcPr>
          <w:p w14:paraId="66B61AC0" w14:textId="77777777" w:rsidR="001E65DB" w:rsidRPr="00762A41" w:rsidRDefault="001E65DB" w:rsidP="00762A41">
            <w:pPr>
              <w:keepNext/>
              <w:kinsoku w:val="0"/>
              <w:overflowPunct w:val="0"/>
              <w:autoSpaceDE w:val="0"/>
              <w:autoSpaceDN w:val="0"/>
              <w:adjustRightInd w:val="0"/>
              <w:spacing w:before="0" w:after="0" w:line="276" w:lineRule="auto"/>
              <w:ind w:left="147" w:right="27"/>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Tier 1 (1 application)</w:t>
            </w:r>
          </w:p>
        </w:tc>
        <w:tc>
          <w:tcPr>
            <w:tcW w:w="1760" w:type="pct"/>
            <w:shd w:val="clear" w:color="auto" w:fill="auto"/>
            <w:vAlign w:val="bottom"/>
          </w:tcPr>
          <w:p w14:paraId="732D2392" w14:textId="77777777" w:rsidR="001E65DB" w:rsidRPr="00762A41" w:rsidRDefault="001E65DB" w:rsidP="00762A41">
            <w:pPr>
              <w:keepNext/>
              <w:kinsoku w:val="0"/>
              <w:overflowPunct w:val="0"/>
              <w:autoSpaceDE w:val="0"/>
              <w:autoSpaceDN w:val="0"/>
              <w:adjustRightInd w:val="0"/>
              <w:spacing w:before="0" w:after="0" w:line="276" w:lineRule="auto"/>
              <w:ind w:left="68" w:right="-120"/>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4.20</w:t>
            </w:r>
          </w:p>
        </w:tc>
      </w:tr>
      <w:tr w:rsidR="001E65DB" w:rsidRPr="00762A41" w14:paraId="491F3B91" w14:textId="77777777" w:rsidTr="003E3E25">
        <w:trPr>
          <w:cantSplit/>
          <w:trHeight w:val="207"/>
          <w:tblHeader/>
        </w:trPr>
        <w:tc>
          <w:tcPr>
            <w:tcW w:w="1803" w:type="pct"/>
            <w:shd w:val="clear" w:color="auto" w:fill="auto"/>
            <w:vAlign w:val="center"/>
          </w:tcPr>
          <w:p w14:paraId="7EE01D57" w14:textId="77777777" w:rsidR="001E65DB" w:rsidRPr="007E29F8"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(6 to &lt;12 years old)</w:t>
            </w:r>
          </w:p>
        </w:tc>
        <w:tc>
          <w:tcPr>
            <w:tcW w:w="1437" w:type="pct"/>
            <w:shd w:val="clear" w:color="auto" w:fill="auto"/>
            <w:vAlign w:val="center"/>
          </w:tcPr>
          <w:p w14:paraId="76D27BF4" w14:textId="77777777" w:rsidR="001E65DB" w:rsidRPr="00762A41" w:rsidRDefault="001E65DB" w:rsidP="00762A41">
            <w:pPr>
              <w:keepNext/>
              <w:kinsoku w:val="0"/>
              <w:overflowPunct w:val="0"/>
              <w:autoSpaceDE w:val="0"/>
              <w:autoSpaceDN w:val="0"/>
              <w:adjustRightInd w:val="0"/>
              <w:spacing w:before="0" w:after="0" w:line="276" w:lineRule="auto"/>
              <w:ind w:left="147" w:right="27"/>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Tier 2 (1 application)</w:t>
            </w:r>
          </w:p>
        </w:tc>
        <w:tc>
          <w:tcPr>
            <w:tcW w:w="1760" w:type="pct"/>
            <w:shd w:val="clear" w:color="auto" w:fill="auto"/>
          </w:tcPr>
          <w:p w14:paraId="03EA2878" w14:textId="77777777" w:rsidR="001E65DB" w:rsidRPr="00762A41" w:rsidRDefault="001E65DB" w:rsidP="00762A41">
            <w:pPr>
              <w:keepNext/>
              <w:kinsoku w:val="0"/>
              <w:overflowPunct w:val="0"/>
              <w:autoSpaceDE w:val="0"/>
              <w:autoSpaceDN w:val="0"/>
              <w:adjustRightInd w:val="0"/>
              <w:spacing w:before="0" w:after="0" w:line="276" w:lineRule="auto"/>
              <w:ind w:left="68" w:right="-120"/>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2.68</w:t>
            </w:r>
          </w:p>
        </w:tc>
      </w:tr>
      <w:tr w:rsidR="001E65DB" w:rsidRPr="00762A41" w14:paraId="0AEAFC89" w14:textId="77777777" w:rsidTr="003E3E25">
        <w:trPr>
          <w:cantSplit/>
          <w:trHeight w:val="207"/>
          <w:tblHeader/>
        </w:trPr>
        <w:tc>
          <w:tcPr>
            <w:tcW w:w="1803" w:type="pct"/>
            <w:shd w:val="clear" w:color="auto" w:fill="auto"/>
            <w:vAlign w:val="center"/>
          </w:tcPr>
          <w:p w14:paraId="4E3CF773" w14:textId="77777777" w:rsidR="001E65DB" w:rsidRPr="007E29F8"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(2 to &lt;6 years old)</w:t>
            </w:r>
          </w:p>
        </w:tc>
        <w:tc>
          <w:tcPr>
            <w:tcW w:w="1437" w:type="pct"/>
            <w:shd w:val="clear" w:color="auto" w:fill="auto"/>
            <w:vAlign w:val="center"/>
          </w:tcPr>
          <w:p w14:paraId="13EDE573" w14:textId="77777777" w:rsidR="001E65DB" w:rsidRPr="00762A41" w:rsidRDefault="001E65DB" w:rsidP="00762A41">
            <w:pPr>
              <w:keepNext/>
              <w:kinsoku w:val="0"/>
              <w:overflowPunct w:val="0"/>
              <w:autoSpaceDE w:val="0"/>
              <w:autoSpaceDN w:val="0"/>
              <w:adjustRightInd w:val="0"/>
              <w:spacing w:before="0" w:after="0" w:line="276" w:lineRule="auto"/>
              <w:ind w:left="147" w:right="27"/>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Tier 2 (1 application)</w:t>
            </w:r>
          </w:p>
        </w:tc>
        <w:tc>
          <w:tcPr>
            <w:tcW w:w="1760" w:type="pct"/>
            <w:shd w:val="clear" w:color="auto" w:fill="auto"/>
          </w:tcPr>
          <w:p w14:paraId="28882B1F" w14:textId="77777777" w:rsidR="001E65DB" w:rsidRPr="00762A41" w:rsidRDefault="001E65DB" w:rsidP="00762A41">
            <w:pPr>
              <w:keepNext/>
              <w:kinsoku w:val="0"/>
              <w:overflowPunct w:val="0"/>
              <w:autoSpaceDE w:val="0"/>
              <w:autoSpaceDN w:val="0"/>
              <w:adjustRightInd w:val="0"/>
              <w:spacing w:before="0" w:after="0" w:line="276" w:lineRule="auto"/>
              <w:ind w:left="68" w:right="-120"/>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3.06</w:t>
            </w:r>
          </w:p>
        </w:tc>
      </w:tr>
      <w:tr w:rsidR="001E65DB" w:rsidRPr="00762A41" w14:paraId="4A2E528F" w14:textId="77777777" w:rsidTr="003E3E25">
        <w:trPr>
          <w:cantSplit/>
          <w:trHeight w:val="207"/>
          <w:tblHeader/>
        </w:trPr>
        <w:tc>
          <w:tcPr>
            <w:tcW w:w="1803" w:type="pct"/>
            <w:shd w:val="clear" w:color="auto" w:fill="auto"/>
            <w:vAlign w:val="center"/>
          </w:tcPr>
          <w:p w14:paraId="73E6D70D" w14:textId="77777777" w:rsidR="001E65DB" w:rsidRPr="007E29F8"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Toddler (1 to &lt;2 years old)</w:t>
            </w:r>
          </w:p>
        </w:tc>
        <w:tc>
          <w:tcPr>
            <w:tcW w:w="1437" w:type="pct"/>
            <w:shd w:val="clear" w:color="auto" w:fill="auto"/>
            <w:vAlign w:val="center"/>
          </w:tcPr>
          <w:p w14:paraId="79D51245" w14:textId="77777777" w:rsidR="001E65DB" w:rsidRPr="00762A41" w:rsidRDefault="001E65DB" w:rsidP="00762A41">
            <w:pPr>
              <w:keepNext/>
              <w:kinsoku w:val="0"/>
              <w:overflowPunct w:val="0"/>
              <w:autoSpaceDE w:val="0"/>
              <w:autoSpaceDN w:val="0"/>
              <w:adjustRightInd w:val="0"/>
              <w:spacing w:before="0" w:after="0" w:line="276" w:lineRule="auto"/>
              <w:ind w:left="147" w:right="27"/>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Tier 2 (1 application)</w:t>
            </w:r>
          </w:p>
        </w:tc>
        <w:tc>
          <w:tcPr>
            <w:tcW w:w="1760" w:type="pct"/>
            <w:shd w:val="clear" w:color="auto" w:fill="auto"/>
          </w:tcPr>
          <w:p w14:paraId="7E2AC757" w14:textId="77777777" w:rsidR="001E65DB" w:rsidRPr="00762A41" w:rsidRDefault="001E65DB" w:rsidP="00762A41">
            <w:pPr>
              <w:keepNext/>
              <w:kinsoku w:val="0"/>
              <w:overflowPunct w:val="0"/>
              <w:autoSpaceDE w:val="0"/>
              <w:autoSpaceDN w:val="0"/>
              <w:adjustRightInd w:val="0"/>
              <w:spacing w:before="0" w:after="0" w:line="276" w:lineRule="auto"/>
              <w:ind w:left="68" w:right="-120"/>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3.41</w:t>
            </w:r>
          </w:p>
        </w:tc>
      </w:tr>
      <w:tr w:rsidR="001E65DB" w:rsidRPr="00762A41" w14:paraId="7A19E7D3" w14:textId="77777777" w:rsidTr="003E3E25">
        <w:trPr>
          <w:cantSplit/>
          <w:trHeight w:val="207"/>
          <w:tblHeader/>
        </w:trPr>
        <w:tc>
          <w:tcPr>
            <w:tcW w:w="1803" w:type="pct"/>
            <w:shd w:val="clear" w:color="auto" w:fill="auto"/>
            <w:vAlign w:val="center"/>
          </w:tcPr>
          <w:p w14:paraId="6E221ED3" w14:textId="77777777" w:rsidR="001E65DB" w:rsidRPr="007E29F8"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Infant (&lt;1 year old)</w:t>
            </w:r>
          </w:p>
        </w:tc>
        <w:tc>
          <w:tcPr>
            <w:tcW w:w="1437" w:type="pct"/>
            <w:shd w:val="clear" w:color="auto" w:fill="auto"/>
            <w:vAlign w:val="center"/>
          </w:tcPr>
          <w:p w14:paraId="2E056D8E" w14:textId="77777777" w:rsidR="001E65DB" w:rsidRPr="00762A41" w:rsidRDefault="001E65DB" w:rsidP="00762A41">
            <w:pPr>
              <w:keepNext/>
              <w:kinsoku w:val="0"/>
              <w:overflowPunct w:val="0"/>
              <w:autoSpaceDE w:val="0"/>
              <w:autoSpaceDN w:val="0"/>
              <w:adjustRightInd w:val="0"/>
              <w:spacing w:before="0" w:after="0" w:line="276" w:lineRule="auto"/>
              <w:ind w:left="147" w:right="27"/>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Tier 2 (1 application)</w:t>
            </w:r>
          </w:p>
        </w:tc>
        <w:tc>
          <w:tcPr>
            <w:tcW w:w="1760" w:type="pct"/>
            <w:shd w:val="clear" w:color="auto" w:fill="auto"/>
          </w:tcPr>
          <w:p w14:paraId="21489F74" w14:textId="77777777" w:rsidR="001E65DB" w:rsidRPr="00762A41" w:rsidRDefault="001E65DB" w:rsidP="00762A41">
            <w:pPr>
              <w:keepNext/>
              <w:kinsoku w:val="0"/>
              <w:overflowPunct w:val="0"/>
              <w:autoSpaceDE w:val="0"/>
              <w:autoSpaceDN w:val="0"/>
              <w:adjustRightInd w:val="0"/>
              <w:spacing w:before="0" w:after="0" w:line="276" w:lineRule="auto"/>
              <w:ind w:left="68" w:right="-120"/>
              <w:jc w:val="center"/>
              <w:textAlignment w:val="baseline"/>
              <w:rPr>
                <w:rFonts w:cs="Arial"/>
                <w:color w:val="2E74B5" w:themeColor="accent1" w:themeShade="BF"/>
                <w:szCs w:val="18"/>
                <w:lang w:eastAsia="fr-FR"/>
              </w:rPr>
            </w:pPr>
            <w:r w:rsidRPr="00762A41">
              <w:rPr>
                <w:rFonts w:cs="Arial"/>
                <w:color w:val="2E74B5" w:themeColor="accent1" w:themeShade="BF"/>
                <w:szCs w:val="18"/>
                <w:lang w:eastAsia="fr-FR"/>
              </w:rPr>
              <w:t>3.64</w:t>
            </w:r>
          </w:p>
        </w:tc>
      </w:tr>
    </w:tbl>
    <w:p w14:paraId="4EDF7CD1" w14:textId="77777777" w:rsidR="001E65DB" w:rsidRPr="007E29F8" w:rsidRDefault="001E65DB" w:rsidP="008A3DDA">
      <w:pPr>
        <w:widowControl w:val="0"/>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p>
    <w:p w14:paraId="79AA5FB7" w14:textId="70066176" w:rsidR="001E65DB" w:rsidRDefault="001E65DB" w:rsidP="003E3E25">
      <w:pPr>
        <w:widowControl w:val="0"/>
        <w:kinsoku w:val="0"/>
        <w:overflowPunct w:val="0"/>
        <w:autoSpaceDE w:val="0"/>
        <w:autoSpaceDN w:val="0"/>
        <w:adjustRightInd w:val="0"/>
        <w:spacing w:before="0" w:after="0"/>
        <w:ind w:right="216"/>
        <w:jc w:val="both"/>
        <w:textAlignment w:val="baseline"/>
        <w:rPr>
          <w:rFonts w:cs="Arial"/>
          <w:b/>
          <w:i/>
          <w:color w:val="2E74B5" w:themeColor="accent1" w:themeShade="BF"/>
          <w:spacing w:val="1"/>
          <w:lang w:eastAsia="fr-FR"/>
        </w:rPr>
      </w:pPr>
      <w:r w:rsidRPr="007E29F8">
        <w:rPr>
          <w:rFonts w:cs="Arial"/>
          <w:b/>
          <w:i/>
          <w:color w:val="2E74B5" w:themeColor="accent1" w:themeShade="BF"/>
          <w:spacing w:val="1"/>
          <w:lang w:eastAsia="fr-FR"/>
        </w:rPr>
        <w:t>R</w:t>
      </w:r>
      <w:r w:rsidR="00546133">
        <w:rPr>
          <w:rFonts w:cs="Arial"/>
          <w:b/>
          <w:i/>
          <w:color w:val="2E74B5" w:themeColor="accent1" w:themeShade="BF"/>
          <w:spacing w:val="1"/>
          <w:lang w:eastAsia="fr-FR"/>
        </w:rPr>
        <w:t xml:space="preserve">isk for non-professional users </w:t>
      </w:r>
    </w:p>
    <w:p w14:paraId="3FD5E88C" w14:textId="77777777" w:rsidR="00546133" w:rsidRPr="007E29F8" w:rsidRDefault="00546133" w:rsidP="003E3E25">
      <w:pPr>
        <w:widowControl w:val="0"/>
        <w:kinsoku w:val="0"/>
        <w:overflowPunct w:val="0"/>
        <w:autoSpaceDE w:val="0"/>
        <w:autoSpaceDN w:val="0"/>
        <w:adjustRightInd w:val="0"/>
        <w:spacing w:before="0" w:after="0"/>
        <w:ind w:right="216"/>
        <w:jc w:val="both"/>
        <w:textAlignment w:val="baseline"/>
        <w:rPr>
          <w:rFonts w:cs="Arial"/>
          <w:b/>
          <w:i/>
          <w:color w:val="2E74B5" w:themeColor="accent1" w:themeShade="BF"/>
          <w:spacing w:val="1"/>
          <w:lang w:eastAsia="fr-FR"/>
        </w:rPr>
      </w:pPr>
    </w:p>
    <w:tbl>
      <w:tblPr>
        <w:tblW w:w="10485" w:type="dxa"/>
        <w:jc w:val="center"/>
        <w:tblCellMar>
          <w:left w:w="70" w:type="dxa"/>
          <w:right w:w="70" w:type="dxa"/>
        </w:tblCellMar>
        <w:tblLook w:val="04A0" w:firstRow="1" w:lastRow="0" w:firstColumn="1" w:lastColumn="0" w:noHBand="0" w:noVBand="1"/>
      </w:tblPr>
      <w:tblGrid>
        <w:gridCol w:w="3109"/>
        <w:gridCol w:w="577"/>
        <w:gridCol w:w="1002"/>
        <w:gridCol w:w="1264"/>
        <w:gridCol w:w="1343"/>
        <w:gridCol w:w="1551"/>
        <w:gridCol w:w="1639"/>
      </w:tblGrid>
      <w:tr w:rsidR="001E65DB" w:rsidRPr="007E29F8" w14:paraId="473FC439" w14:textId="77777777" w:rsidTr="001E65DB">
        <w:trPr>
          <w:trHeight w:val="59"/>
          <w:jc w:val="center"/>
        </w:trPr>
        <w:tc>
          <w:tcPr>
            <w:tcW w:w="3109" w:type="dxa"/>
            <w:tcBorders>
              <w:top w:val="single" w:sz="8" w:space="0" w:color="auto"/>
              <w:left w:val="single" w:sz="8" w:space="0" w:color="auto"/>
              <w:right w:val="single" w:sz="8" w:space="0" w:color="auto"/>
            </w:tcBorders>
            <w:shd w:val="clear" w:color="000000" w:fill="FFFFCC"/>
            <w:vAlign w:val="center"/>
            <w:hideMark/>
          </w:tcPr>
          <w:p w14:paraId="1826EB7D"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Task/ Scenario</w:t>
            </w:r>
          </w:p>
        </w:tc>
        <w:tc>
          <w:tcPr>
            <w:tcW w:w="577" w:type="dxa"/>
            <w:tcBorders>
              <w:top w:val="single" w:sz="8" w:space="0" w:color="auto"/>
              <w:left w:val="single" w:sz="8" w:space="0" w:color="auto"/>
              <w:bottom w:val="single" w:sz="8" w:space="0" w:color="000000"/>
              <w:right w:val="single" w:sz="8" w:space="0" w:color="auto"/>
            </w:tcBorders>
            <w:shd w:val="clear" w:color="000000" w:fill="FFFFCC"/>
            <w:vAlign w:val="center"/>
            <w:hideMark/>
          </w:tcPr>
          <w:p w14:paraId="2824E591"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Tier</w:t>
            </w:r>
          </w:p>
        </w:tc>
        <w:tc>
          <w:tcPr>
            <w:tcW w:w="1002" w:type="dxa"/>
            <w:tcBorders>
              <w:top w:val="single" w:sz="8" w:space="0" w:color="auto"/>
              <w:left w:val="nil"/>
              <w:right w:val="single" w:sz="8" w:space="0" w:color="auto"/>
            </w:tcBorders>
            <w:shd w:val="clear" w:color="000000" w:fill="FFFFCC"/>
            <w:vAlign w:val="center"/>
            <w:hideMark/>
          </w:tcPr>
          <w:p w14:paraId="2A87A645"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AEL mg/kg bw/d</w:t>
            </w:r>
          </w:p>
        </w:tc>
        <w:tc>
          <w:tcPr>
            <w:tcW w:w="1264" w:type="dxa"/>
            <w:tcBorders>
              <w:top w:val="single" w:sz="8" w:space="0" w:color="auto"/>
              <w:left w:val="nil"/>
              <w:right w:val="single" w:sz="8" w:space="0" w:color="auto"/>
            </w:tcBorders>
            <w:shd w:val="clear" w:color="000000" w:fill="FFFFCC"/>
            <w:vAlign w:val="center"/>
            <w:hideMark/>
          </w:tcPr>
          <w:p w14:paraId="3102808E"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Estimated uptake mg/kg bw/d</w:t>
            </w:r>
          </w:p>
        </w:tc>
        <w:tc>
          <w:tcPr>
            <w:tcW w:w="1343" w:type="dxa"/>
            <w:tcBorders>
              <w:top w:val="single" w:sz="8" w:space="0" w:color="auto"/>
              <w:left w:val="nil"/>
              <w:right w:val="single" w:sz="8" w:space="0" w:color="auto"/>
            </w:tcBorders>
            <w:shd w:val="clear" w:color="000000" w:fill="FFFFCC"/>
            <w:vAlign w:val="center"/>
            <w:hideMark/>
          </w:tcPr>
          <w:p w14:paraId="480A991C"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Estimated uptake/ AEL (%)</w:t>
            </w:r>
          </w:p>
        </w:tc>
        <w:tc>
          <w:tcPr>
            <w:tcW w:w="1551" w:type="dxa"/>
            <w:tcBorders>
              <w:top w:val="single" w:sz="8" w:space="0" w:color="auto"/>
              <w:left w:val="single" w:sz="8" w:space="0" w:color="auto"/>
              <w:bottom w:val="single" w:sz="8" w:space="0" w:color="000000"/>
              <w:right w:val="single" w:sz="8" w:space="0" w:color="auto"/>
            </w:tcBorders>
            <w:shd w:val="clear" w:color="000000" w:fill="FFFFCC"/>
            <w:vAlign w:val="center"/>
            <w:hideMark/>
          </w:tcPr>
          <w:p w14:paraId="59A092A0"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Number of applications claimed</w:t>
            </w:r>
          </w:p>
        </w:tc>
        <w:tc>
          <w:tcPr>
            <w:tcW w:w="1639" w:type="dxa"/>
            <w:tcBorders>
              <w:top w:val="single" w:sz="8" w:space="0" w:color="auto"/>
              <w:left w:val="nil"/>
              <w:right w:val="single" w:sz="8" w:space="0" w:color="auto"/>
            </w:tcBorders>
            <w:shd w:val="clear" w:color="000000" w:fill="FFFFCC"/>
            <w:vAlign w:val="center"/>
            <w:hideMark/>
          </w:tcPr>
          <w:p w14:paraId="0025DA99"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Acceptable (yes/no)</w:t>
            </w:r>
          </w:p>
        </w:tc>
      </w:tr>
      <w:tr w:rsidR="001E65DB" w:rsidRPr="007E29F8" w14:paraId="5E7E7EAF" w14:textId="77777777" w:rsidTr="003E3E25">
        <w:trPr>
          <w:trHeight w:val="37"/>
          <w:jc w:val="center"/>
        </w:trPr>
        <w:tc>
          <w:tcPr>
            <w:tcW w:w="10485" w:type="dxa"/>
            <w:gridSpan w:val="7"/>
            <w:tcBorders>
              <w:top w:val="single" w:sz="8" w:space="0" w:color="auto"/>
              <w:left w:val="single" w:sz="8" w:space="0" w:color="auto"/>
              <w:bottom w:val="single" w:sz="8" w:space="0" w:color="auto"/>
              <w:right w:val="single" w:sz="8" w:space="0" w:color="000000"/>
            </w:tcBorders>
            <w:shd w:val="clear" w:color="auto" w:fill="auto"/>
          </w:tcPr>
          <w:p w14:paraId="745791BA" w14:textId="77777777" w:rsidR="001E65DB" w:rsidRPr="007E29F8" w:rsidRDefault="001E65DB" w:rsidP="001E65DB">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Scenario 1a: application to the skin - temperate conditions</w:t>
            </w:r>
          </w:p>
        </w:tc>
      </w:tr>
      <w:tr w:rsidR="001E65DB" w:rsidRPr="00762A41" w14:paraId="741547E0" w14:textId="77777777" w:rsidTr="003E3E25">
        <w:trPr>
          <w:trHeight w:val="229"/>
          <w:jc w:val="center"/>
        </w:trPr>
        <w:tc>
          <w:tcPr>
            <w:tcW w:w="3109" w:type="dxa"/>
            <w:tcBorders>
              <w:top w:val="double" w:sz="6" w:space="0" w:color="auto"/>
              <w:left w:val="single" w:sz="8" w:space="0" w:color="auto"/>
              <w:bottom w:val="single" w:sz="4" w:space="0" w:color="auto"/>
              <w:right w:val="single" w:sz="4" w:space="0" w:color="auto"/>
            </w:tcBorders>
            <w:shd w:val="clear" w:color="auto" w:fill="auto"/>
            <w:vAlign w:val="center"/>
            <w:hideMark/>
          </w:tcPr>
          <w:p w14:paraId="35CEF1FE"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Adult</w:t>
            </w:r>
          </w:p>
        </w:tc>
        <w:tc>
          <w:tcPr>
            <w:tcW w:w="577" w:type="dxa"/>
            <w:tcBorders>
              <w:top w:val="double" w:sz="6" w:space="0" w:color="auto"/>
              <w:left w:val="nil"/>
              <w:bottom w:val="single" w:sz="4" w:space="0" w:color="auto"/>
              <w:right w:val="single" w:sz="4" w:space="0" w:color="auto"/>
            </w:tcBorders>
            <w:shd w:val="clear" w:color="auto" w:fill="auto"/>
            <w:vAlign w:val="center"/>
            <w:hideMark/>
          </w:tcPr>
          <w:p w14:paraId="5F265EC2"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double" w:sz="6" w:space="0" w:color="auto"/>
              <w:left w:val="nil"/>
              <w:bottom w:val="single" w:sz="4" w:space="0" w:color="auto"/>
              <w:right w:val="single" w:sz="4" w:space="0" w:color="auto"/>
            </w:tcBorders>
            <w:shd w:val="clear" w:color="auto" w:fill="auto"/>
            <w:vAlign w:val="center"/>
            <w:hideMark/>
          </w:tcPr>
          <w:p w14:paraId="5E0E2F3D"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double" w:sz="4" w:space="0" w:color="auto"/>
              <w:left w:val="single" w:sz="4" w:space="0" w:color="auto"/>
              <w:bottom w:val="single" w:sz="4" w:space="0" w:color="auto"/>
              <w:right w:val="single" w:sz="4" w:space="0" w:color="auto"/>
            </w:tcBorders>
            <w:shd w:val="clear" w:color="auto" w:fill="auto"/>
            <w:vAlign w:val="center"/>
          </w:tcPr>
          <w:p w14:paraId="61370D2D"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 xml:space="preserve">      3.53   </w:t>
            </w:r>
          </w:p>
        </w:tc>
        <w:tc>
          <w:tcPr>
            <w:tcW w:w="1343" w:type="dxa"/>
            <w:tcBorders>
              <w:top w:val="double" w:sz="6" w:space="0" w:color="auto"/>
              <w:left w:val="nil"/>
              <w:bottom w:val="single" w:sz="4" w:space="0" w:color="auto"/>
              <w:right w:val="single" w:sz="4" w:space="0" w:color="auto"/>
            </w:tcBorders>
            <w:shd w:val="clear" w:color="auto" w:fill="auto"/>
            <w:noWrap/>
            <w:vAlign w:val="bottom"/>
          </w:tcPr>
          <w:p w14:paraId="18016545"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71%</w:t>
            </w:r>
          </w:p>
        </w:tc>
        <w:tc>
          <w:tcPr>
            <w:tcW w:w="1551" w:type="dxa"/>
            <w:tcBorders>
              <w:top w:val="double" w:sz="6" w:space="0" w:color="auto"/>
              <w:left w:val="nil"/>
              <w:bottom w:val="single" w:sz="4" w:space="0" w:color="auto"/>
              <w:right w:val="single" w:sz="4" w:space="0" w:color="auto"/>
            </w:tcBorders>
            <w:shd w:val="clear" w:color="auto" w:fill="auto"/>
            <w:vAlign w:val="center"/>
            <w:hideMark/>
          </w:tcPr>
          <w:p w14:paraId="0896CD74"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2</w:t>
            </w:r>
          </w:p>
        </w:tc>
        <w:tc>
          <w:tcPr>
            <w:tcW w:w="1639" w:type="dxa"/>
            <w:tcBorders>
              <w:top w:val="double" w:sz="6" w:space="0" w:color="auto"/>
              <w:left w:val="nil"/>
              <w:bottom w:val="single" w:sz="4" w:space="0" w:color="auto"/>
              <w:right w:val="single" w:sz="8" w:space="0" w:color="auto"/>
            </w:tcBorders>
            <w:shd w:val="clear" w:color="auto" w:fill="auto"/>
            <w:vAlign w:val="center"/>
            <w:hideMark/>
          </w:tcPr>
          <w:p w14:paraId="1C549643"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0A6E4361" w14:textId="77777777" w:rsidTr="003E3E25">
        <w:trPr>
          <w:trHeight w:val="216"/>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6F735DC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Adult</w:t>
            </w:r>
          </w:p>
        </w:tc>
        <w:tc>
          <w:tcPr>
            <w:tcW w:w="577" w:type="dxa"/>
            <w:tcBorders>
              <w:top w:val="nil"/>
              <w:left w:val="nil"/>
              <w:bottom w:val="single" w:sz="4" w:space="0" w:color="auto"/>
              <w:right w:val="single" w:sz="4" w:space="0" w:color="auto"/>
            </w:tcBorders>
            <w:shd w:val="clear" w:color="auto" w:fill="auto"/>
            <w:vAlign w:val="center"/>
            <w:hideMark/>
          </w:tcPr>
          <w:p w14:paraId="37E16972"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nil"/>
              <w:left w:val="nil"/>
              <w:bottom w:val="single" w:sz="4" w:space="0" w:color="auto"/>
              <w:right w:val="single" w:sz="4" w:space="0" w:color="auto"/>
            </w:tcBorders>
            <w:shd w:val="clear" w:color="auto" w:fill="auto"/>
            <w:vAlign w:val="center"/>
            <w:hideMark/>
          </w:tcPr>
          <w:p w14:paraId="5D96FF4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4CBF780"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 xml:space="preserve">      1.76   </w:t>
            </w:r>
          </w:p>
        </w:tc>
        <w:tc>
          <w:tcPr>
            <w:tcW w:w="1343" w:type="dxa"/>
            <w:tcBorders>
              <w:top w:val="nil"/>
              <w:left w:val="nil"/>
              <w:bottom w:val="single" w:sz="4" w:space="0" w:color="auto"/>
              <w:right w:val="single" w:sz="4" w:space="0" w:color="auto"/>
            </w:tcBorders>
            <w:shd w:val="clear" w:color="auto" w:fill="auto"/>
            <w:noWrap/>
            <w:vAlign w:val="bottom"/>
          </w:tcPr>
          <w:p w14:paraId="1FE29F87"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35%</w:t>
            </w:r>
          </w:p>
        </w:tc>
        <w:tc>
          <w:tcPr>
            <w:tcW w:w="1551" w:type="dxa"/>
            <w:tcBorders>
              <w:top w:val="nil"/>
              <w:left w:val="nil"/>
              <w:bottom w:val="single" w:sz="4" w:space="0" w:color="auto"/>
              <w:right w:val="single" w:sz="4" w:space="0" w:color="auto"/>
            </w:tcBorders>
            <w:shd w:val="clear" w:color="auto" w:fill="auto"/>
            <w:vAlign w:val="center"/>
            <w:hideMark/>
          </w:tcPr>
          <w:p w14:paraId="540EB018"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nil"/>
              <w:left w:val="nil"/>
              <w:bottom w:val="single" w:sz="4" w:space="0" w:color="auto"/>
              <w:right w:val="single" w:sz="8" w:space="0" w:color="auto"/>
            </w:tcBorders>
            <w:shd w:val="clear" w:color="auto" w:fill="auto"/>
            <w:vAlign w:val="center"/>
            <w:hideMark/>
          </w:tcPr>
          <w:p w14:paraId="52866F72"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5A53BE45" w14:textId="77777777" w:rsidTr="003E3E25">
        <w:trPr>
          <w:trHeight w:val="216"/>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431BA758"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Child (6 to &lt;12 years old)</w:t>
            </w:r>
          </w:p>
        </w:tc>
        <w:tc>
          <w:tcPr>
            <w:tcW w:w="577" w:type="dxa"/>
            <w:tcBorders>
              <w:top w:val="nil"/>
              <w:left w:val="nil"/>
              <w:bottom w:val="single" w:sz="4" w:space="0" w:color="auto"/>
              <w:right w:val="single" w:sz="4" w:space="0" w:color="auto"/>
            </w:tcBorders>
            <w:shd w:val="clear" w:color="auto" w:fill="auto"/>
            <w:vAlign w:val="center"/>
            <w:hideMark/>
          </w:tcPr>
          <w:p w14:paraId="16EFC34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nil"/>
              <w:left w:val="nil"/>
              <w:bottom w:val="single" w:sz="4" w:space="0" w:color="auto"/>
              <w:right w:val="single" w:sz="4" w:space="0" w:color="auto"/>
            </w:tcBorders>
            <w:shd w:val="clear" w:color="auto" w:fill="auto"/>
            <w:vAlign w:val="center"/>
            <w:hideMark/>
          </w:tcPr>
          <w:p w14:paraId="072301EA"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50D2B4C"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 xml:space="preserve">      4.61   </w:t>
            </w:r>
          </w:p>
        </w:tc>
        <w:tc>
          <w:tcPr>
            <w:tcW w:w="1343" w:type="dxa"/>
            <w:tcBorders>
              <w:top w:val="nil"/>
              <w:left w:val="nil"/>
              <w:bottom w:val="single" w:sz="4" w:space="0" w:color="auto"/>
              <w:right w:val="single" w:sz="4" w:space="0" w:color="auto"/>
            </w:tcBorders>
            <w:shd w:val="clear" w:color="auto" w:fill="auto"/>
            <w:noWrap/>
            <w:vAlign w:val="bottom"/>
          </w:tcPr>
          <w:p w14:paraId="4542F2C7"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92%</w:t>
            </w:r>
          </w:p>
        </w:tc>
        <w:tc>
          <w:tcPr>
            <w:tcW w:w="1551" w:type="dxa"/>
            <w:tcBorders>
              <w:top w:val="nil"/>
              <w:left w:val="nil"/>
              <w:bottom w:val="single" w:sz="4" w:space="0" w:color="auto"/>
              <w:right w:val="single" w:sz="4" w:space="0" w:color="auto"/>
            </w:tcBorders>
            <w:shd w:val="clear" w:color="auto" w:fill="auto"/>
            <w:vAlign w:val="center"/>
            <w:hideMark/>
          </w:tcPr>
          <w:p w14:paraId="346892E9"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2</w:t>
            </w:r>
          </w:p>
        </w:tc>
        <w:tc>
          <w:tcPr>
            <w:tcW w:w="1639" w:type="dxa"/>
            <w:tcBorders>
              <w:top w:val="nil"/>
              <w:left w:val="nil"/>
              <w:bottom w:val="single" w:sz="4" w:space="0" w:color="auto"/>
              <w:right w:val="single" w:sz="8" w:space="0" w:color="auto"/>
            </w:tcBorders>
            <w:shd w:val="clear" w:color="auto" w:fill="auto"/>
            <w:vAlign w:val="center"/>
            <w:hideMark/>
          </w:tcPr>
          <w:p w14:paraId="2AD8CD9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7E9B3184" w14:textId="77777777" w:rsidTr="003E3E25">
        <w:trPr>
          <w:trHeight w:val="216"/>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59B7418B"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Child (6 to &lt;12 years old)</w:t>
            </w:r>
          </w:p>
        </w:tc>
        <w:tc>
          <w:tcPr>
            <w:tcW w:w="577" w:type="dxa"/>
            <w:tcBorders>
              <w:top w:val="nil"/>
              <w:left w:val="nil"/>
              <w:bottom w:val="single" w:sz="4" w:space="0" w:color="auto"/>
              <w:right w:val="single" w:sz="4" w:space="0" w:color="auto"/>
            </w:tcBorders>
            <w:shd w:val="clear" w:color="auto" w:fill="auto"/>
            <w:vAlign w:val="center"/>
            <w:hideMark/>
          </w:tcPr>
          <w:p w14:paraId="665A619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nil"/>
              <w:left w:val="nil"/>
              <w:bottom w:val="single" w:sz="4" w:space="0" w:color="auto"/>
              <w:right w:val="single" w:sz="4" w:space="0" w:color="auto"/>
            </w:tcBorders>
            <w:shd w:val="clear" w:color="auto" w:fill="auto"/>
            <w:vAlign w:val="center"/>
            <w:hideMark/>
          </w:tcPr>
          <w:p w14:paraId="345EAD81"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F330AED"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 xml:space="preserve">      2.31   </w:t>
            </w:r>
          </w:p>
        </w:tc>
        <w:tc>
          <w:tcPr>
            <w:tcW w:w="1343" w:type="dxa"/>
            <w:tcBorders>
              <w:top w:val="nil"/>
              <w:left w:val="nil"/>
              <w:bottom w:val="single" w:sz="4" w:space="0" w:color="auto"/>
              <w:right w:val="single" w:sz="4" w:space="0" w:color="auto"/>
            </w:tcBorders>
            <w:shd w:val="clear" w:color="auto" w:fill="auto"/>
            <w:noWrap/>
            <w:vAlign w:val="bottom"/>
          </w:tcPr>
          <w:p w14:paraId="5436F080"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46%</w:t>
            </w:r>
          </w:p>
        </w:tc>
        <w:tc>
          <w:tcPr>
            <w:tcW w:w="1551" w:type="dxa"/>
            <w:tcBorders>
              <w:top w:val="nil"/>
              <w:left w:val="nil"/>
              <w:bottom w:val="single" w:sz="4" w:space="0" w:color="auto"/>
              <w:right w:val="single" w:sz="4" w:space="0" w:color="auto"/>
            </w:tcBorders>
            <w:shd w:val="clear" w:color="auto" w:fill="auto"/>
            <w:vAlign w:val="center"/>
            <w:hideMark/>
          </w:tcPr>
          <w:p w14:paraId="5AB54680"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nil"/>
              <w:left w:val="nil"/>
              <w:bottom w:val="single" w:sz="4" w:space="0" w:color="auto"/>
              <w:right w:val="single" w:sz="8" w:space="0" w:color="auto"/>
            </w:tcBorders>
            <w:shd w:val="clear" w:color="auto" w:fill="auto"/>
            <w:vAlign w:val="center"/>
            <w:hideMark/>
          </w:tcPr>
          <w:p w14:paraId="775E7AD5"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3C36CBAF" w14:textId="77777777" w:rsidTr="003E3E25">
        <w:trPr>
          <w:trHeight w:val="216"/>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22C783C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Child (2 to &lt;6 years old)</w:t>
            </w:r>
          </w:p>
        </w:tc>
        <w:tc>
          <w:tcPr>
            <w:tcW w:w="577" w:type="dxa"/>
            <w:tcBorders>
              <w:top w:val="nil"/>
              <w:left w:val="nil"/>
              <w:bottom w:val="single" w:sz="4" w:space="0" w:color="auto"/>
              <w:right w:val="single" w:sz="4" w:space="0" w:color="auto"/>
            </w:tcBorders>
            <w:shd w:val="clear" w:color="auto" w:fill="auto"/>
            <w:vAlign w:val="center"/>
            <w:hideMark/>
          </w:tcPr>
          <w:p w14:paraId="5B170F48"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nil"/>
              <w:left w:val="nil"/>
              <w:bottom w:val="single" w:sz="4" w:space="0" w:color="auto"/>
              <w:right w:val="single" w:sz="4" w:space="0" w:color="auto"/>
            </w:tcBorders>
            <w:shd w:val="clear" w:color="auto" w:fill="auto"/>
            <w:vAlign w:val="center"/>
            <w:hideMark/>
          </w:tcPr>
          <w:p w14:paraId="1EB21A85"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1B0203B"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 xml:space="preserve">      2.65   </w:t>
            </w:r>
          </w:p>
        </w:tc>
        <w:tc>
          <w:tcPr>
            <w:tcW w:w="1343" w:type="dxa"/>
            <w:tcBorders>
              <w:top w:val="nil"/>
              <w:left w:val="nil"/>
              <w:bottom w:val="single" w:sz="4" w:space="0" w:color="auto"/>
              <w:right w:val="single" w:sz="4" w:space="0" w:color="auto"/>
            </w:tcBorders>
            <w:shd w:val="clear" w:color="auto" w:fill="auto"/>
            <w:noWrap/>
            <w:vAlign w:val="bottom"/>
          </w:tcPr>
          <w:p w14:paraId="4CD14EF3"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53%</w:t>
            </w:r>
          </w:p>
        </w:tc>
        <w:tc>
          <w:tcPr>
            <w:tcW w:w="1551" w:type="dxa"/>
            <w:tcBorders>
              <w:top w:val="nil"/>
              <w:left w:val="nil"/>
              <w:bottom w:val="single" w:sz="4" w:space="0" w:color="auto"/>
              <w:right w:val="single" w:sz="4" w:space="0" w:color="auto"/>
            </w:tcBorders>
            <w:shd w:val="clear" w:color="auto" w:fill="auto"/>
            <w:vAlign w:val="center"/>
            <w:hideMark/>
          </w:tcPr>
          <w:p w14:paraId="14CEA01D"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nil"/>
              <w:left w:val="nil"/>
              <w:bottom w:val="single" w:sz="4" w:space="0" w:color="auto"/>
              <w:right w:val="single" w:sz="8" w:space="0" w:color="auto"/>
            </w:tcBorders>
            <w:shd w:val="clear" w:color="auto" w:fill="auto"/>
            <w:vAlign w:val="center"/>
            <w:hideMark/>
          </w:tcPr>
          <w:p w14:paraId="55E13839"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4481B685" w14:textId="77777777" w:rsidTr="003E3E25">
        <w:trPr>
          <w:trHeight w:val="64"/>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0BE69"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Toddler (1 to &lt;2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80B5"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934B"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nil"/>
              <w:left w:val="single" w:sz="4" w:space="0" w:color="auto"/>
              <w:bottom w:val="single" w:sz="4" w:space="0" w:color="auto"/>
              <w:right w:val="single" w:sz="4" w:space="0" w:color="auto"/>
            </w:tcBorders>
            <w:shd w:val="clear" w:color="auto" w:fill="auto"/>
            <w:vAlign w:val="center"/>
          </w:tcPr>
          <w:p w14:paraId="014A81B0" w14:textId="660F338D"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2.95</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DDD75"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59%</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5A4E7"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F744"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325BEE4D" w14:textId="77777777" w:rsidTr="003E3E25">
        <w:trPr>
          <w:trHeight w:val="229"/>
          <w:jc w:val="center"/>
        </w:trPr>
        <w:tc>
          <w:tcPr>
            <w:tcW w:w="3109" w:type="dxa"/>
            <w:tcBorders>
              <w:top w:val="single" w:sz="4" w:space="0" w:color="auto"/>
              <w:left w:val="single" w:sz="8" w:space="0" w:color="auto"/>
              <w:bottom w:val="double" w:sz="4" w:space="0" w:color="auto"/>
              <w:right w:val="single" w:sz="4" w:space="0" w:color="auto"/>
            </w:tcBorders>
            <w:shd w:val="clear" w:color="auto" w:fill="auto"/>
            <w:vAlign w:val="center"/>
            <w:hideMark/>
          </w:tcPr>
          <w:p w14:paraId="3F43E119"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Infant (&lt;1 year old)</w:t>
            </w:r>
          </w:p>
        </w:tc>
        <w:tc>
          <w:tcPr>
            <w:tcW w:w="577" w:type="dxa"/>
            <w:tcBorders>
              <w:top w:val="single" w:sz="4" w:space="0" w:color="auto"/>
              <w:left w:val="nil"/>
              <w:bottom w:val="double" w:sz="4" w:space="0" w:color="auto"/>
              <w:right w:val="single" w:sz="4" w:space="0" w:color="auto"/>
            </w:tcBorders>
            <w:shd w:val="clear" w:color="auto" w:fill="auto"/>
            <w:vAlign w:val="center"/>
            <w:hideMark/>
          </w:tcPr>
          <w:p w14:paraId="2A1F56E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4" w:space="0" w:color="auto"/>
              <w:left w:val="nil"/>
              <w:bottom w:val="double" w:sz="4" w:space="0" w:color="auto"/>
              <w:right w:val="single" w:sz="4" w:space="0" w:color="auto"/>
            </w:tcBorders>
            <w:shd w:val="clear" w:color="auto" w:fill="auto"/>
            <w:vAlign w:val="center"/>
            <w:hideMark/>
          </w:tcPr>
          <w:p w14:paraId="0F556EBA"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nil"/>
              <w:left w:val="single" w:sz="4" w:space="0" w:color="auto"/>
              <w:bottom w:val="double" w:sz="4" w:space="0" w:color="auto"/>
              <w:right w:val="single" w:sz="4" w:space="0" w:color="auto"/>
            </w:tcBorders>
            <w:shd w:val="clear" w:color="auto" w:fill="auto"/>
            <w:vAlign w:val="center"/>
          </w:tcPr>
          <w:p w14:paraId="5B859FBF" w14:textId="6BB2154A"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3.15</w:t>
            </w:r>
          </w:p>
        </w:tc>
        <w:tc>
          <w:tcPr>
            <w:tcW w:w="1343" w:type="dxa"/>
            <w:tcBorders>
              <w:top w:val="single" w:sz="4" w:space="0" w:color="auto"/>
              <w:left w:val="nil"/>
              <w:bottom w:val="double" w:sz="4" w:space="0" w:color="auto"/>
              <w:right w:val="single" w:sz="4" w:space="0" w:color="auto"/>
            </w:tcBorders>
            <w:shd w:val="clear" w:color="auto" w:fill="auto"/>
            <w:noWrap/>
            <w:vAlign w:val="center"/>
          </w:tcPr>
          <w:p w14:paraId="304E5BD9"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63%</w:t>
            </w:r>
          </w:p>
        </w:tc>
        <w:tc>
          <w:tcPr>
            <w:tcW w:w="1551" w:type="dxa"/>
            <w:tcBorders>
              <w:top w:val="single" w:sz="4" w:space="0" w:color="auto"/>
              <w:left w:val="nil"/>
              <w:bottom w:val="double" w:sz="4" w:space="0" w:color="auto"/>
              <w:right w:val="single" w:sz="4" w:space="0" w:color="auto"/>
            </w:tcBorders>
            <w:shd w:val="clear" w:color="auto" w:fill="auto"/>
            <w:vAlign w:val="center"/>
            <w:hideMark/>
          </w:tcPr>
          <w:p w14:paraId="4926582B"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4" w:space="0" w:color="auto"/>
              <w:left w:val="nil"/>
              <w:bottom w:val="double" w:sz="4" w:space="0" w:color="auto"/>
              <w:right w:val="single" w:sz="8" w:space="0" w:color="auto"/>
            </w:tcBorders>
            <w:shd w:val="clear" w:color="auto" w:fill="auto"/>
            <w:vAlign w:val="center"/>
            <w:hideMark/>
          </w:tcPr>
          <w:p w14:paraId="5F113645"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770FC19F" w14:textId="77777777" w:rsidTr="003E3E25">
        <w:trPr>
          <w:trHeight w:val="229"/>
          <w:jc w:val="center"/>
        </w:trPr>
        <w:tc>
          <w:tcPr>
            <w:tcW w:w="3109" w:type="dxa"/>
            <w:tcBorders>
              <w:top w:val="double" w:sz="4" w:space="0" w:color="auto"/>
              <w:left w:val="single" w:sz="8" w:space="0" w:color="auto"/>
              <w:bottom w:val="single" w:sz="4" w:space="0" w:color="auto"/>
              <w:right w:val="single" w:sz="4" w:space="0" w:color="auto"/>
            </w:tcBorders>
            <w:shd w:val="clear" w:color="auto" w:fill="auto"/>
            <w:vAlign w:val="center"/>
          </w:tcPr>
          <w:p w14:paraId="0BD1D5C5"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(6 to &lt;12 years old)</w:t>
            </w:r>
          </w:p>
        </w:tc>
        <w:tc>
          <w:tcPr>
            <w:tcW w:w="577" w:type="dxa"/>
            <w:tcBorders>
              <w:top w:val="double" w:sz="4" w:space="0" w:color="auto"/>
              <w:left w:val="nil"/>
              <w:bottom w:val="single" w:sz="4" w:space="0" w:color="auto"/>
              <w:right w:val="single" w:sz="4" w:space="0" w:color="auto"/>
            </w:tcBorders>
            <w:shd w:val="clear" w:color="auto" w:fill="auto"/>
            <w:vAlign w:val="center"/>
          </w:tcPr>
          <w:p w14:paraId="0C029939"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2</w:t>
            </w:r>
          </w:p>
        </w:tc>
        <w:tc>
          <w:tcPr>
            <w:tcW w:w="1002" w:type="dxa"/>
            <w:tcBorders>
              <w:top w:val="double" w:sz="4" w:space="0" w:color="auto"/>
              <w:left w:val="nil"/>
              <w:bottom w:val="single" w:sz="4" w:space="0" w:color="auto"/>
              <w:right w:val="single" w:sz="4" w:space="0" w:color="auto"/>
            </w:tcBorders>
            <w:shd w:val="clear" w:color="auto" w:fill="auto"/>
            <w:vAlign w:val="center"/>
          </w:tcPr>
          <w:p w14:paraId="5ABCCB17"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double" w:sz="4" w:space="0" w:color="auto"/>
              <w:left w:val="single" w:sz="4" w:space="0" w:color="auto"/>
              <w:bottom w:val="single" w:sz="4" w:space="0" w:color="auto"/>
              <w:right w:val="single" w:sz="4" w:space="0" w:color="auto"/>
            </w:tcBorders>
            <w:shd w:val="clear" w:color="auto" w:fill="auto"/>
            <w:vAlign w:val="center"/>
          </w:tcPr>
          <w:p w14:paraId="17C811B7" w14:textId="37159231"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4.01</w:t>
            </w:r>
          </w:p>
        </w:tc>
        <w:tc>
          <w:tcPr>
            <w:tcW w:w="1343" w:type="dxa"/>
            <w:tcBorders>
              <w:top w:val="double" w:sz="4" w:space="0" w:color="auto"/>
              <w:left w:val="nil"/>
              <w:bottom w:val="single" w:sz="4" w:space="0" w:color="auto"/>
              <w:right w:val="single" w:sz="4" w:space="0" w:color="auto"/>
            </w:tcBorders>
            <w:shd w:val="clear" w:color="auto" w:fill="auto"/>
            <w:noWrap/>
            <w:vAlign w:val="center"/>
          </w:tcPr>
          <w:p w14:paraId="715C6395"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80%</w:t>
            </w:r>
          </w:p>
        </w:tc>
        <w:tc>
          <w:tcPr>
            <w:tcW w:w="1551" w:type="dxa"/>
            <w:tcBorders>
              <w:top w:val="double" w:sz="4" w:space="0" w:color="auto"/>
              <w:left w:val="nil"/>
              <w:bottom w:val="single" w:sz="4" w:space="0" w:color="auto"/>
              <w:right w:val="single" w:sz="4" w:space="0" w:color="auto"/>
            </w:tcBorders>
            <w:shd w:val="clear" w:color="auto" w:fill="auto"/>
            <w:vAlign w:val="center"/>
          </w:tcPr>
          <w:p w14:paraId="00653DA0"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2</w:t>
            </w:r>
          </w:p>
        </w:tc>
        <w:tc>
          <w:tcPr>
            <w:tcW w:w="1639" w:type="dxa"/>
            <w:tcBorders>
              <w:top w:val="double" w:sz="4" w:space="0" w:color="auto"/>
              <w:left w:val="nil"/>
              <w:bottom w:val="single" w:sz="4" w:space="0" w:color="auto"/>
              <w:right w:val="single" w:sz="8" w:space="0" w:color="auto"/>
            </w:tcBorders>
            <w:shd w:val="clear" w:color="auto" w:fill="auto"/>
            <w:vAlign w:val="center"/>
          </w:tcPr>
          <w:p w14:paraId="46F9C538"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6B4AB0F7" w14:textId="77777777" w:rsidTr="003E3E25">
        <w:trPr>
          <w:trHeight w:val="229"/>
          <w:jc w:val="center"/>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tcPr>
          <w:p w14:paraId="3283D58B"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(6 to &lt;12 years old)</w:t>
            </w:r>
          </w:p>
        </w:tc>
        <w:tc>
          <w:tcPr>
            <w:tcW w:w="577" w:type="dxa"/>
            <w:tcBorders>
              <w:top w:val="single" w:sz="4" w:space="0" w:color="auto"/>
              <w:left w:val="nil"/>
              <w:bottom w:val="single" w:sz="4" w:space="0" w:color="auto"/>
              <w:right w:val="single" w:sz="4" w:space="0" w:color="auto"/>
            </w:tcBorders>
            <w:shd w:val="clear" w:color="auto" w:fill="auto"/>
            <w:vAlign w:val="center"/>
          </w:tcPr>
          <w:p w14:paraId="06A3F4D0"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4" w:space="0" w:color="auto"/>
              <w:left w:val="nil"/>
              <w:bottom w:val="single" w:sz="4" w:space="0" w:color="auto"/>
              <w:right w:val="single" w:sz="4" w:space="0" w:color="auto"/>
            </w:tcBorders>
            <w:shd w:val="clear" w:color="auto" w:fill="auto"/>
            <w:vAlign w:val="center"/>
          </w:tcPr>
          <w:p w14:paraId="5AF395B2"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nil"/>
              <w:left w:val="single" w:sz="4" w:space="0" w:color="auto"/>
              <w:bottom w:val="single" w:sz="4" w:space="0" w:color="auto"/>
              <w:right w:val="single" w:sz="4" w:space="0" w:color="auto"/>
            </w:tcBorders>
            <w:shd w:val="clear" w:color="auto" w:fill="auto"/>
            <w:vAlign w:val="center"/>
          </w:tcPr>
          <w:p w14:paraId="4DC2A81A" w14:textId="0A588151"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2.01</w:t>
            </w:r>
          </w:p>
        </w:tc>
        <w:tc>
          <w:tcPr>
            <w:tcW w:w="1343" w:type="dxa"/>
            <w:tcBorders>
              <w:top w:val="single" w:sz="4" w:space="0" w:color="auto"/>
              <w:left w:val="nil"/>
              <w:bottom w:val="single" w:sz="4" w:space="0" w:color="auto"/>
              <w:right w:val="single" w:sz="4" w:space="0" w:color="auto"/>
            </w:tcBorders>
            <w:shd w:val="clear" w:color="auto" w:fill="auto"/>
            <w:noWrap/>
            <w:vAlign w:val="center"/>
          </w:tcPr>
          <w:p w14:paraId="3FB7D080"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40%</w:t>
            </w:r>
          </w:p>
        </w:tc>
        <w:tc>
          <w:tcPr>
            <w:tcW w:w="1551" w:type="dxa"/>
            <w:tcBorders>
              <w:top w:val="single" w:sz="4" w:space="0" w:color="auto"/>
              <w:left w:val="nil"/>
              <w:bottom w:val="single" w:sz="4" w:space="0" w:color="auto"/>
              <w:right w:val="single" w:sz="4" w:space="0" w:color="auto"/>
            </w:tcBorders>
            <w:shd w:val="clear" w:color="auto" w:fill="auto"/>
            <w:vAlign w:val="center"/>
          </w:tcPr>
          <w:p w14:paraId="09C69D4A"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4" w:space="0" w:color="auto"/>
              <w:left w:val="nil"/>
              <w:bottom w:val="single" w:sz="4" w:space="0" w:color="auto"/>
              <w:right w:val="single" w:sz="8" w:space="0" w:color="auto"/>
            </w:tcBorders>
            <w:shd w:val="clear" w:color="auto" w:fill="auto"/>
            <w:vAlign w:val="center"/>
          </w:tcPr>
          <w:p w14:paraId="238CCABE"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17C3AE2F" w14:textId="77777777" w:rsidTr="003E3E25">
        <w:trPr>
          <w:trHeight w:val="229"/>
          <w:jc w:val="center"/>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tcPr>
          <w:p w14:paraId="2B73DAAF"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(2 to &lt;6 years old)</w:t>
            </w:r>
          </w:p>
        </w:tc>
        <w:tc>
          <w:tcPr>
            <w:tcW w:w="577" w:type="dxa"/>
            <w:tcBorders>
              <w:top w:val="single" w:sz="4" w:space="0" w:color="auto"/>
              <w:left w:val="nil"/>
              <w:bottom w:val="single" w:sz="4" w:space="0" w:color="auto"/>
              <w:right w:val="single" w:sz="4" w:space="0" w:color="auto"/>
            </w:tcBorders>
            <w:shd w:val="clear" w:color="auto" w:fill="auto"/>
            <w:vAlign w:val="center"/>
          </w:tcPr>
          <w:p w14:paraId="1699353B"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4" w:space="0" w:color="auto"/>
              <w:left w:val="nil"/>
              <w:bottom w:val="single" w:sz="4" w:space="0" w:color="auto"/>
              <w:right w:val="single" w:sz="4" w:space="0" w:color="auto"/>
            </w:tcBorders>
            <w:shd w:val="clear" w:color="auto" w:fill="auto"/>
            <w:vAlign w:val="center"/>
          </w:tcPr>
          <w:p w14:paraId="0E9BE11E"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nil"/>
              <w:left w:val="single" w:sz="4" w:space="0" w:color="auto"/>
              <w:bottom w:val="single" w:sz="4" w:space="0" w:color="auto"/>
              <w:right w:val="single" w:sz="4" w:space="0" w:color="auto"/>
            </w:tcBorders>
            <w:shd w:val="clear" w:color="auto" w:fill="auto"/>
            <w:vAlign w:val="center"/>
          </w:tcPr>
          <w:p w14:paraId="0D17F6B8" w14:textId="57C4E153"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2.30</w:t>
            </w:r>
          </w:p>
        </w:tc>
        <w:tc>
          <w:tcPr>
            <w:tcW w:w="1343" w:type="dxa"/>
            <w:tcBorders>
              <w:top w:val="single" w:sz="4" w:space="0" w:color="auto"/>
              <w:left w:val="nil"/>
              <w:bottom w:val="single" w:sz="4" w:space="0" w:color="auto"/>
              <w:right w:val="single" w:sz="4" w:space="0" w:color="auto"/>
            </w:tcBorders>
            <w:shd w:val="clear" w:color="auto" w:fill="auto"/>
            <w:noWrap/>
            <w:vAlign w:val="center"/>
          </w:tcPr>
          <w:p w14:paraId="6B60BADF"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46%</w:t>
            </w:r>
          </w:p>
        </w:tc>
        <w:tc>
          <w:tcPr>
            <w:tcW w:w="1551" w:type="dxa"/>
            <w:tcBorders>
              <w:top w:val="single" w:sz="4" w:space="0" w:color="auto"/>
              <w:left w:val="nil"/>
              <w:bottom w:val="single" w:sz="4" w:space="0" w:color="auto"/>
              <w:right w:val="single" w:sz="4" w:space="0" w:color="auto"/>
            </w:tcBorders>
            <w:shd w:val="clear" w:color="auto" w:fill="auto"/>
            <w:vAlign w:val="center"/>
          </w:tcPr>
          <w:p w14:paraId="78EDE888"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4" w:space="0" w:color="auto"/>
              <w:left w:val="nil"/>
              <w:bottom w:val="single" w:sz="4" w:space="0" w:color="auto"/>
              <w:right w:val="single" w:sz="8" w:space="0" w:color="auto"/>
            </w:tcBorders>
            <w:shd w:val="clear" w:color="auto" w:fill="auto"/>
            <w:vAlign w:val="center"/>
          </w:tcPr>
          <w:p w14:paraId="59FE9C6C"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0022F7EC" w14:textId="77777777" w:rsidTr="003E3E25">
        <w:trPr>
          <w:trHeight w:val="229"/>
          <w:jc w:val="center"/>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tcPr>
          <w:p w14:paraId="48FDF779"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Toddler (1 to &lt;2 years old)</w:t>
            </w:r>
          </w:p>
        </w:tc>
        <w:tc>
          <w:tcPr>
            <w:tcW w:w="577" w:type="dxa"/>
            <w:tcBorders>
              <w:top w:val="single" w:sz="4" w:space="0" w:color="auto"/>
              <w:left w:val="nil"/>
              <w:bottom w:val="single" w:sz="4" w:space="0" w:color="auto"/>
              <w:right w:val="single" w:sz="4" w:space="0" w:color="auto"/>
            </w:tcBorders>
            <w:shd w:val="clear" w:color="auto" w:fill="auto"/>
            <w:vAlign w:val="center"/>
          </w:tcPr>
          <w:p w14:paraId="520BB1DA"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4" w:space="0" w:color="auto"/>
              <w:left w:val="nil"/>
              <w:bottom w:val="single" w:sz="4" w:space="0" w:color="auto"/>
              <w:right w:val="single" w:sz="4" w:space="0" w:color="auto"/>
            </w:tcBorders>
            <w:shd w:val="clear" w:color="auto" w:fill="auto"/>
            <w:vAlign w:val="center"/>
          </w:tcPr>
          <w:p w14:paraId="25B2CA52"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nil"/>
              <w:left w:val="single" w:sz="4" w:space="0" w:color="auto"/>
              <w:bottom w:val="single" w:sz="4" w:space="0" w:color="auto"/>
              <w:right w:val="single" w:sz="4" w:space="0" w:color="auto"/>
            </w:tcBorders>
            <w:shd w:val="clear" w:color="auto" w:fill="auto"/>
            <w:vAlign w:val="center"/>
          </w:tcPr>
          <w:p w14:paraId="57086243" w14:textId="565D44AB"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2.56</w:t>
            </w:r>
          </w:p>
        </w:tc>
        <w:tc>
          <w:tcPr>
            <w:tcW w:w="1343" w:type="dxa"/>
            <w:tcBorders>
              <w:top w:val="single" w:sz="4" w:space="0" w:color="auto"/>
              <w:left w:val="nil"/>
              <w:bottom w:val="single" w:sz="4" w:space="0" w:color="auto"/>
              <w:right w:val="single" w:sz="4" w:space="0" w:color="auto"/>
            </w:tcBorders>
            <w:shd w:val="clear" w:color="auto" w:fill="auto"/>
            <w:noWrap/>
            <w:vAlign w:val="center"/>
          </w:tcPr>
          <w:p w14:paraId="77AE8033"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51%</w:t>
            </w:r>
          </w:p>
        </w:tc>
        <w:tc>
          <w:tcPr>
            <w:tcW w:w="1551" w:type="dxa"/>
            <w:tcBorders>
              <w:top w:val="single" w:sz="4" w:space="0" w:color="auto"/>
              <w:left w:val="nil"/>
              <w:bottom w:val="single" w:sz="4" w:space="0" w:color="auto"/>
              <w:right w:val="single" w:sz="4" w:space="0" w:color="auto"/>
            </w:tcBorders>
            <w:shd w:val="clear" w:color="auto" w:fill="auto"/>
            <w:vAlign w:val="center"/>
          </w:tcPr>
          <w:p w14:paraId="7C7918E3"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4" w:space="0" w:color="auto"/>
              <w:left w:val="nil"/>
              <w:bottom w:val="single" w:sz="4" w:space="0" w:color="auto"/>
              <w:right w:val="single" w:sz="8" w:space="0" w:color="auto"/>
            </w:tcBorders>
            <w:shd w:val="clear" w:color="auto" w:fill="auto"/>
            <w:vAlign w:val="center"/>
          </w:tcPr>
          <w:p w14:paraId="4CBCC01D"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3B72CDE0" w14:textId="77777777" w:rsidTr="003E3E25">
        <w:trPr>
          <w:trHeight w:val="229"/>
          <w:jc w:val="center"/>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tcPr>
          <w:p w14:paraId="588DD4FA"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Infant (&lt;1 year old)</w:t>
            </w:r>
          </w:p>
        </w:tc>
        <w:tc>
          <w:tcPr>
            <w:tcW w:w="577" w:type="dxa"/>
            <w:tcBorders>
              <w:top w:val="single" w:sz="4" w:space="0" w:color="auto"/>
              <w:left w:val="nil"/>
              <w:bottom w:val="single" w:sz="4" w:space="0" w:color="auto"/>
              <w:right w:val="single" w:sz="4" w:space="0" w:color="auto"/>
            </w:tcBorders>
            <w:shd w:val="clear" w:color="auto" w:fill="auto"/>
            <w:vAlign w:val="center"/>
          </w:tcPr>
          <w:p w14:paraId="54305629"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4" w:space="0" w:color="auto"/>
              <w:left w:val="nil"/>
              <w:bottom w:val="single" w:sz="4" w:space="0" w:color="auto"/>
              <w:right w:val="single" w:sz="4" w:space="0" w:color="auto"/>
            </w:tcBorders>
            <w:shd w:val="clear" w:color="auto" w:fill="auto"/>
            <w:vAlign w:val="center"/>
          </w:tcPr>
          <w:p w14:paraId="5D6634DD"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nil"/>
              <w:left w:val="single" w:sz="4" w:space="0" w:color="auto"/>
              <w:bottom w:val="single" w:sz="4" w:space="0" w:color="auto"/>
              <w:right w:val="single" w:sz="4" w:space="0" w:color="auto"/>
            </w:tcBorders>
            <w:shd w:val="clear" w:color="auto" w:fill="auto"/>
            <w:vAlign w:val="center"/>
          </w:tcPr>
          <w:p w14:paraId="3506F78D" w14:textId="154ADFA3"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2.73</w:t>
            </w:r>
          </w:p>
        </w:tc>
        <w:tc>
          <w:tcPr>
            <w:tcW w:w="1343" w:type="dxa"/>
            <w:tcBorders>
              <w:top w:val="single" w:sz="4" w:space="0" w:color="auto"/>
              <w:left w:val="nil"/>
              <w:bottom w:val="single" w:sz="4" w:space="0" w:color="auto"/>
              <w:right w:val="single" w:sz="4" w:space="0" w:color="auto"/>
            </w:tcBorders>
            <w:shd w:val="clear" w:color="auto" w:fill="auto"/>
            <w:noWrap/>
            <w:vAlign w:val="center"/>
          </w:tcPr>
          <w:p w14:paraId="675399F6"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55%</w:t>
            </w:r>
          </w:p>
        </w:tc>
        <w:tc>
          <w:tcPr>
            <w:tcW w:w="1551" w:type="dxa"/>
            <w:tcBorders>
              <w:top w:val="single" w:sz="4" w:space="0" w:color="auto"/>
              <w:left w:val="nil"/>
              <w:bottom w:val="single" w:sz="4" w:space="0" w:color="auto"/>
              <w:right w:val="single" w:sz="4" w:space="0" w:color="auto"/>
            </w:tcBorders>
            <w:shd w:val="clear" w:color="auto" w:fill="auto"/>
            <w:vAlign w:val="center"/>
          </w:tcPr>
          <w:p w14:paraId="0D4665FC"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4" w:space="0" w:color="auto"/>
              <w:left w:val="nil"/>
              <w:bottom w:val="single" w:sz="4" w:space="0" w:color="auto"/>
              <w:right w:val="single" w:sz="8" w:space="0" w:color="auto"/>
            </w:tcBorders>
            <w:shd w:val="clear" w:color="auto" w:fill="auto"/>
            <w:vAlign w:val="center"/>
          </w:tcPr>
          <w:p w14:paraId="60C33270"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E29F8" w14:paraId="40A33FE7" w14:textId="77777777" w:rsidTr="003E3E25">
        <w:trPr>
          <w:trHeight w:val="37"/>
          <w:jc w:val="center"/>
        </w:trPr>
        <w:tc>
          <w:tcPr>
            <w:tcW w:w="10485" w:type="dxa"/>
            <w:gridSpan w:val="7"/>
            <w:tcBorders>
              <w:top w:val="single" w:sz="4" w:space="0" w:color="auto"/>
              <w:left w:val="single" w:sz="8" w:space="0" w:color="auto"/>
              <w:bottom w:val="single" w:sz="8" w:space="0" w:color="auto"/>
              <w:right w:val="single" w:sz="8" w:space="0" w:color="000000"/>
            </w:tcBorders>
            <w:shd w:val="clear" w:color="auto" w:fill="auto"/>
          </w:tcPr>
          <w:p w14:paraId="3E50E663" w14:textId="77777777" w:rsidR="001E65DB" w:rsidRPr="007E29F8" w:rsidRDefault="001E65DB" w:rsidP="004C342D">
            <w:pPr>
              <w:widowControl w:val="0"/>
              <w:shd w:val="clear" w:color="auto" w:fill="D9D9D9" w:themeFill="background1" w:themeFillShade="D9"/>
              <w:kinsoku w:val="0"/>
              <w:overflowPunct w:val="0"/>
              <w:autoSpaceDE w:val="0"/>
              <w:autoSpaceDN w:val="0"/>
              <w:adjustRightInd w:val="0"/>
              <w:spacing w:before="0" w:after="0"/>
              <w:ind w:right="216"/>
              <w:jc w:val="center"/>
              <w:textAlignment w:val="baseline"/>
              <w:rPr>
                <w:rFonts w:cs="Arial"/>
                <w:b/>
                <w:bCs/>
                <w:color w:val="2E74B5" w:themeColor="accent1" w:themeShade="BF"/>
                <w:spacing w:val="1"/>
                <w:lang w:eastAsia="fr-FR"/>
              </w:rPr>
            </w:pPr>
            <w:r w:rsidRPr="007E29F8">
              <w:rPr>
                <w:rFonts w:cs="Arial"/>
                <w:b/>
                <w:bCs/>
                <w:color w:val="2E74B5" w:themeColor="accent1" w:themeShade="BF"/>
                <w:spacing w:val="1"/>
                <w:lang w:eastAsia="fr-FR"/>
              </w:rPr>
              <w:t>Scenario 1b: application to the skin - tropical conditions</w:t>
            </w:r>
          </w:p>
        </w:tc>
      </w:tr>
      <w:tr w:rsidR="001E65DB" w:rsidRPr="00762A41" w14:paraId="69A19551" w14:textId="77777777" w:rsidTr="003E3E25">
        <w:trPr>
          <w:trHeight w:val="229"/>
          <w:jc w:val="center"/>
        </w:trPr>
        <w:tc>
          <w:tcPr>
            <w:tcW w:w="3109" w:type="dxa"/>
            <w:tcBorders>
              <w:top w:val="double" w:sz="6" w:space="0" w:color="auto"/>
              <w:left w:val="single" w:sz="8" w:space="0" w:color="auto"/>
              <w:bottom w:val="single" w:sz="4" w:space="0" w:color="auto"/>
              <w:right w:val="single" w:sz="4" w:space="0" w:color="auto"/>
            </w:tcBorders>
            <w:shd w:val="clear" w:color="auto" w:fill="auto"/>
            <w:vAlign w:val="center"/>
            <w:hideMark/>
          </w:tcPr>
          <w:p w14:paraId="51D755E3"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Adult</w:t>
            </w:r>
          </w:p>
        </w:tc>
        <w:tc>
          <w:tcPr>
            <w:tcW w:w="577" w:type="dxa"/>
            <w:tcBorders>
              <w:top w:val="double" w:sz="6" w:space="0" w:color="auto"/>
              <w:left w:val="nil"/>
              <w:bottom w:val="single" w:sz="4" w:space="0" w:color="auto"/>
              <w:right w:val="single" w:sz="4" w:space="0" w:color="auto"/>
            </w:tcBorders>
            <w:shd w:val="clear" w:color="auto" w:fill="auto"/>
            <w:vAlign w:val="center"/>
            <w:hideMark/>
          </w:tcPr>
          <w:p w14:paraId="4D06BE8E"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double" w:sz="6" w:space="0" w:color="auto"/>
              <w:left w:val="nil"/>
              <w:bottom w:val="single" w:sz="4" w:space="0" w:color="auto"/>
              <w:right w:val="single" w:sz="4" w:space="0" w:color="auto"/>
            </w:tcBorders>
            <w:shd w:val="clear" w:color="auto" w:fill="auto"/>
            <w:vAlign w:val="center"/>
            <w:hideMark/>
          </w:tcPr>
          <w:p w14:paraId="16C9264E"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double" w:sz="6" w:space="0" w:color="auto"/>
              <w:left w:val="nil"/>
              <w:bottom w:val="single" w:sz="4" w:space="0" w:color="auto"/>
              <w:right w:val="single" w:sz="4" w:space="0" w:color="auto"/>
            </w:tcBorders>
            <w:shd w:val="clear" w:color="auto" w:fill="auto"/>
            <w:vAlign w:val="bottom"/>
          </w:tcPr>
          <w:p w14:paraId="3DCF3436"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4.70</w:t>
            </w:r>
          </w:p>
        </w:tc>
        <w:tc>
          <w:tcPr>
            <w:tcW w:w="1343" w:type="dxa"/>
            <w:tcBorders>
              <w:top w:val="double" w:sz="6" w:space="0" w:color="auto"/>
              <w:left w:val="nil"/>
              <w:bottom w:val="single" w:sz="4" w:space="0" w:color="auto"/>
              <w:right w:val="single" w:sz="4" w:space="0" w:color="auto"/>
            </w:tcBorders>
            <w:shd w:val="clear" w:color="auto" w:fill="auto"/>
            <w:noWrap/>
            <w:vAlign w:val="bottom"/>
          </w:tcPr>
          <w:p w14:paraId="5112C618"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94%</w:t>
            </w:r>
          </w:p>
        </w:tc>
        <w:tc>
          <w:tcPr>
            <w:tcW w:w="1551" w:type="dxa"/>
            <w:tcBorders>
              <w:top w:val="double" w:sz="6" w:space="0" w:color="auto"/>
              <w:left w:val="nil"/>
              <w:bottom w:val="single" w:sz="4" w:space="0" w:color="auto"/>
              <w:right w:val="single" w:sz="4" w:space="0" w:color="auto"/>
            </w:tcBorders>
            <w:shd w:val="clear" w:color="auto" w:fill="auto"/>
            <w:vAlign w:val="center"/>
            <w:hideMark/>
          </w:tcPr>
          <w:p w14:paraId="584675B0"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2</w:t>
            </w:r>
          </w:p>
        </w:tc>
        <w:tc>
          <w:tcPr>
            <w:tcW w:w="1639" w:type="dxa"/>
            <w:tcBorders>
              <w:top w:val="double" w:sz="6" w:space="0" w:color="auto"/>
              <w:left w:val="nil"/>
              <w:bottom w:val="single" w:sz="4" w:space="0" w:color="auto"/>
              <w:right w:val="single" w:sz="8" w:space="0" w:color="auto"/>
            </w:tcBorders>
            <w:shd w:val="clear" w:color="auto" w:fill="auto"/>
            <w:vAlign w:val="center"/>
            <w:hideMark/>
          </w:tcPr>
          <w:p w14:paraId="221DBB27"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6406F120" w14:textId="77777777" w:rsidTr="003E3E25">
        <w:trPr>
          <w:trHeight w:val="216"/>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76EA2F92"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Adult</w:t>
            </w:r>
          </w:p>
        </w:tc>
        <w:tc>
          <w:tcPr>
            <w:tcW w:w="577" w:type="dxa"/>
            <w:tcBorders>
              <w:top w:val="nil"/>
              <w:left w:val="nil"/>
              <w:bottom w:val="single" w:sz="4" w:space="0" w:color="auto"/>
              <w:right w:val="single" w:sz="4" w:space="0" w:color="auto"/>
            </w:tcBorders>
            <w:shd w:val="clear" w:color="auto" w:fill="auto"/>
            <w:vAlign w:val="center"/>
            <w:hideMark/>
          </w:tcPr>
          <w:p w14:paraId="112FEA81"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nil"/>
              <w:left w:val="nil"/>
              <w:bottom w:val="single" w:sz="4" w:space="0" w:color="auto"/>
              <w:right w:val="single" w:sz="4" w:space="0" w:color="auto"/>
            </w:tcBorders>
            <w:shd w:val="clear" w:color="auto" w:fill="auto"/>
            <w:vAlign w:val="center"/>
            <w:hideMark/>
          </w:tcPr>
          <w:p w14:paraId="76441114"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2C5031A4"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2.35</w:t>
            </w:r>
          </w:p>
        </w:tc>
        <w:tc>
          <w:tcPr>
            <w:tcW w:w="1343" w:type="dxa"/>
            <w:tcBorders>
              <w:top w:val="nil"/>
              <w:left w:val="nil"/>
              <w:bottom w:val="single" w:sz="4" w:space="0" w:color="auto"/>
              <w:right w:val="single" w:sz="4" w:space="0" w:color="auto"/>
            </w:tcBorders>
            <w:shd w:val="clear" w:color="auto" w:fill="auto"/>
            <w:noWrap/>
            <w:vAlign w:val="bottom"/>
          </w:tcPr>
          <w:p w14:paraId="1B8D2058"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47%</w:t>
            </w:r>
          </w:p>
        </w:tc>
        <w:tc>
          <w:tcPr>
            <w:tcW w:w="1551" w:type="dxa"/>
            <w:tcBorders>
              <w:top w:val="nil"/>
              <w:left w:val="nil"/>
              <w:bottom w:val="single" w:sz="4" w:space="0" w:color="auto"/>
              <w:right w:val="single" w:sz="4" w:space="0" w:color="auto"/>
            </w:tcBorders>
            <w:shd w:val="clear" w:color="auto" w:fill="auto"/>
            <w:vAlign w:val="center"/>
            <w:hideMark/>
          </w:tcPr>
          <w:p w14:paraId="101E998D"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nil"/>
              <w:left w:val="nil"/>
              <w:bottom w:val="single" w:sz="4" w:space="0" w:color="auto"/>
              <w:right w:val="single" w:sz="8" w:space="0" w:color="auto"/>
            </w:tcBorders>
            <w:shd w:val="clear" w:color="auto" w:fill="auto"/>
            <w:vAlign w:val="center"/>
            <w:hideMark/>
          </w:tcPr>
          <w:p w14:paraId="00F577F0"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04337618" w14:textId="77777777" w:rsidTr="003E3E25">
        <w:trPr>
          <w:trHeight w:val="216"/>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795D48A4"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Child (6 to &lt;12 years old)</w:t>
            </w:r>
          </w:p>
        </w:tc>
        <w:tc>
          <w:tcPr>
            <w:tcW w:w="577" w:type="dxa"/>
            <w:tcBorders>
              <w:top w:val="nil"/>
              <w:left w:val="nil"/>
              <w:bottom w:val="single" w:sz="4" w:space="0" w:color="auto"/>
              <w:right w:val="single" w:sz="4" w:space="0" w:color="auto"/>
            </w:tcBorders>
            <w:shd w:val="clear" w:color="auto" w:fill="auto"/>
            <w:vAlign w:val="center"/>
            <w:hideMark/>
          </w:tcPr>
          <w:p w14:paraId="0AB8B617"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nil"/>
              <w:left w:val="nil"/>
              <w:bottom w:val="single" w:sz="4" w:space="0" w:color="auto"/>
              <w:right w:val="single" w:sz="4" w:space="0" w:color="auto"/>
            </w:tcBorders>
            <w:shd w:val="clear" w:color="auto" w:fill="auto"/>
            <w:vAlign w:val="center"/>
            <w:hideMark/>
          </w:tcPr>
          <w:p w14:paraId="6B2E433B"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68D61515"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3.08</w:t>
            </w:r>
          </w:p>
        </w:tc>
        <w:tc>
          <w:tcPr>
            <w:tcW w:w="1343" w:type="dxa"/>
            <w:tcBorders>
              <w:top w:val="nil"/>
              <w:left w:val="nil"/>
              <w:bottom w:val="single" w:sz="4" w:space="0" w:color="auto"/>
              <w:right w:val="single" w:sz="4" w:space="0" w:color="auto"/>
            </w:tcBorders>
            <w:shd w:val="clear" w:color="auto" w:fill="auto"/>
            <w:noWrap/>
            <w:vAlign w:val="bottom"/>
          </w:tcPr>
          <w:p w14:paraId="77F3C122"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62%</w:t>
            </w:r>
          </w:p>
        </w:tc>
        <w:tc>
          <w:tcPr>
            <w:tcW w:w="1551" w:type="dxa"/>
            <w:tcBorders>
              <w:top w:val="nil"/>
              <w:left w:val="nil"/>
              <w:bottom w:val="single" w:sz="4" w:space="0" w:color="auto"/>
              <w:right w:val="single" w:sz="4" w:space="0" w:color="auto"/>
            </w:tcBorders>
            <w:shd w:val="clear" w:color="auto" w:fill="auto"/>
            <w:vAlign w:val="center"/>
            <w:hideMark/>
          </w:tcPr>
          <w:p w14:paraId="5D4534E1"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nil"/>
              <w:left w:val="nil"/>
              <w:bottom w:val="single" w:sz="4" w:space="0" w:color="auto"/>
              <w:right w:val="single" w:sz="8" w:space="0" w:color="auto"/>
            </w:tcBorders>
            <w:shd w:val="clear" w:color="auto" w:fill="auto"/>
            <w:vAlign w:val="center"/>
            <w:hideMark/>
          </w:tcPr>
          <w:p w14:paraId="430A7B92"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0BAE2462" w14:textId="77777777" w:rsidTr="003E3E25">
        <w:trPr>
          <w:trHeight w:val="216"/>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45463954"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Child (2 to &lt;6 years old)</w:t>
            </w:r>
          </w:p>
        </w:tc>
        <w:tc>
          <w:tcPr>
            <w:tcW w:w="577" w:type="dxa"/>
            <w:tcBorders>
              <w:top w:val="nil"/>
              <w:left w:val="nil"/>
              <w:bottom w:val="single" w:sz="4" w:space="0" w:color="auto"/>
              <w:right w:val="single" w:sz="4" w:space="0" w:color="auto"/>
            </w:tcBorders>
            <w:shd w:val="clear" w:color="auto" w:fill="auto"/>
            <w:vAlign w:val="center"/>
            <w:hideMark/>
          </w:tcPr>
          <w:p w14:paraId="321237B7"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nil"/>
              <w:left w:val="nil"/>
              <w:bottom w:val="single" w:sz="4" w:space="0" w:color="auto"/>
              <w:right w:val="single" w:sz="4" w:space="0" w:color="auto"/>
            </w:tcBorders>
            <w:shd w:val="clear" w:color="auto" w:fill="auto"/>
            <w:vAlign w:val="center"/>
            <w:hideMark/>
          </w:tcPr>
          <w:p w14:paraId="7FF0260B"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nil"/>
              <w:left w:val="nil"/>
              <w:bottom w:val="single" w:sz="4" w:space="0" w:color="auto"/>
              <w:right w:val="single" w:sz="4" w:space="0" w:color="auto"/>
            </w:tcBorders>
            <w:shd w:val="clear" w:color="auto" w:fill="auto"/>
            <w:vAlign w:val="bottom"/>
          </w:tcPr>
          <w:p w14:paraId="3AF06789"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3.54</w:t>
            </w:r>
          </w:p>
        </w:tc>
        <w:tc>
          <w:tcPr>
            <w:tcW w:w="1343" w:type="dxa"/>
            <w:tcBorders>
              <w:top w:val="nil"/>
              <w:left w:val="nil"/>
              <w:bottom w:val="single" w:sz="4" w:space="0" w:color="auto"/>
              <w:right w:val="single" w:sz="4" w:space="0" w:color="auto"/>
            </w:tcBorders>
            <w:shd w:val="clear" w:color="auto" w:fill="auto"/>
            <w:noWrap/>
            <w:vAlign w:val="bottom"/>
          </w:tcPr>
          <w:p w14:paraId="33C0D035"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71%</w:t>
            </w:r>
          </w:p>
        </w:tc>
        <w:tc>
          <w:tcPr>
            <w:tcW w:w="1551" w:type="dxa"/>
            <w:tcBorders>
              <w:top w:val="nil"/>
              <w:left w:val="nil"/>
              <w:bottom w:val="single" w:sz="4" w:space="0" w:color="auto"/>
              <w:right w:val="single" w:sz="4" w:space="0" w:color="auto"/>
            </w:tcBorders>
            <w:shd w:val="clear" w:color="auto" w:fill="auto"/>
            <w:vAlign w:val="center"/>
            <w:hideMark/>
          </w:tcPr>
          <w:p w14:paraId="07004824"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nil"/>
              <w:left w:val="nil"/>
              <w:bottom w:val="single" w:sz="4" w:space="0" w:color="auto"/>
              <w:right w:val="single" w:sz="8" w:space="0" w:color="auto"/>
            </w:tcBorders>
            <w:shd w:val="clear" w:color="auto" w:fill="auto"/>
            <w:vAlign w:val="center"/>
            <w:hideMark/>
          </w:tcPr>
          <w:p w14:paraId="30DC3A1C"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0107E305" w14:textId="77777777" w:rsidTr="003E3E25">
        <w:trPr>
          <w:trHeight w:val="216"/>
          <w:jc w:val="center"/>
        </w:trPr>
        <w:tc>
          <w:tcPr>
            <w:tcW w:w="3109" w:type="dxa"/>
            <w:tcBorders>
              <w:top w:val="nil"/>
              <w:left w:val="single" w:sz="8" w:space="0" w:color="auto"/>
              <w:bottom w:val="single" w:sz="8" w:space="0" w:color="auto"/>
              <w:right w:val="single" w:sz="4" w:space="0" w:color="auto"/>
            </w:tcBorders>
            <w:shd w:val="clear" w:color="auto" w:fill="auto"/>
            <w:vAlign w:val="center"/>
            <w:hideMark/>
          </w:tcPr>
          <w:p w14:paraId="32B67FC5"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Toddler (1 to &lt;2 years old)</w:t>
            </w:r>
          </w:p>
        </w:tc>
        <w:tc>
          <w:tcPr>
            <w:tcW w:w="577" w:type="dxa"/>
            <w:tcBorders>
              <w:top w:val="nil"/>
              <w:left w:val="nil"/>
              <w:bottom w:val="single" w:sz="8" w:space="0" w:color="auto"/>
              <w:right w:val="single" w:sz="4" w:space="0" w:color="auto"/>
            </w:tcBorders>
            <w:shd w:val="clear" w:color="auto" w:fill="auto"/>
            <w:vAlign w:val="center"/>
            <w:hideMark/>
          </w:tcPr>
          <w:p w14:paraId="1E507CF0"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nil"/>
              <w:left w:val="nil"/>
              <w:bottom w:val="single" w:sz="8" w:space="0" w:color="auto"/>
              <w:right w:val="single" w:sz="4" w:space="0" w:color="auto"/>
            </w:tcBorders>
            <w:shd w:val="clear" w:color="auto" w:fill="auto"/>
            <w:vAlign w:val="center"/>
            <w:hideMark/>
          </w:tcPr>
          <w:p w14:paraId="10D5CAE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nil"/>
              <w:left w:val="nil"/>
              <w:bottom w:val="single" w:sz="8" w:space="0" w:color="auto"/>
              <w:right w:val="single" w:sz="4" w:space="0" w:color="auto"/>
            </w:tcBorders>
            <w:shd w:val="clear" w:color="auto" w:fill="auto"/>
            <w:vAlign w:val="bottom"/>
          </w:tcPr>
          <w:p w14:paraId="74D58682"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3.93</w:t>
            </w:r>
          </w:p>
        </w:tc>
        <w:tc>
          <w:tcPr>
            <w:tcW w:w="1343" w:type="dxa"/>
            <w:tcBorders>
              <w:top w:val="nil"/>
              <w:left w:val="nil"/>
              <w:bottom w:val="single" w:sz="8" w:space="0" w:color="auto"/>
              <w:right w:val="single" w:sz="4" w:space="0" w:color="auto"/>
            </w:tcBorders>
            <w:shd w:val="clear" w:color="auto" w:fill="auto"/>
            <w:noWrap/>
            <w:vAlign w:val="bottom"/>
          </w:tcPr>
          <w:p w14:paraId="3E9628D4"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79%</w:t>
            </w:r>
          </w:p>
        </w:tc>
        <w:tc>
          <w:tcPr>
            <w:tcW w:w="1551" w:type="dxa"/>
            <w:tcBorders>
              <w:top w:val="nil"/>
              <w:left w:val="nil"/>
              <w:bottom w:val="single" w:sz="8" w:space="0" w:color="auto"/>
              <w:right w:val="single" w:sz="4" w:space="0" w:color="auto"/>
            </w:tcBorders>
            <w:shd w:val="clear" w:color="auto" w:fill="auto"/>
            <w:vAlign w:val="center"/>
            <w:hideMark/>
          </w:tcPr>
          <w:p w14:paraId="21A933BF"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nil"/>
              <w:left w:val="nil"/>
              <w:bottom w:val="single" w:sz="8" w:space="0" w:color="auto"/>
              <w:right w:val="single" w:sz="8" w:space="0" w:color="auto"/>
            </w:tcBorders>
            <w:shd w:val="clear" w:color="auto" w:fill="auto"/>
            <w:vAlign w:val="center"/>
            <w:hideMark/>
          </w:tcPr>
          <w:p w14:paraId="7332DAFC"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6EBFF6D4" w14:textId="77777777" w:rsidTr="003E3E25">
        <w:trPr>
          <w:trHeight w:val="229"/>
          <w:jc w:val="center"/>
        </w:trPr>
        <w:tc>
          <w:tcPr>
            <w:tcW w:w="31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69CF8D5"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Infant (&lt;1 year old)</w:t>
            </w:r>
          </w:p>
        </w:tc>
        <w:tc>
          <w:tcPr>
            <w:tcW w:w="577" w:type="dxa"/>
            <w:tcBorders>
              <w:top w:val="single" w:sz="8" w:space="0" w:color="auto"/>
              <w:left w:val="nil"/>
              <w:bottom w:val="single" w:sz="8" w:space="0" w:color="auto"/>
              <w:right w:val="single" w:sz="4" w:space="0" w:color="auto"/>
            </w:tcBorders>
            <w:shd w:val="clear" w:color="auto" w:fill="auto"/>
            <w:vAlign w:val="center"/>
            <w:hideMark/>
          </w:tcPr>
          <w:p w14:paraId="6F02B7D4"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8" w:space="0" w:color="auto"/>
              <w:left w:val="nil"/>
              <w:bottom w:val="single" w:sz="8" w:space="0" w:color="auto"/>
              <w:right w:val="single" w:sz="4" w:space="0" w:color="auto"/>
            </w:tcBorders>
            <w:shd w:val="clear" w:color="auto" w:fill="auto"/>
            <w:vAlign w:val="center"/>
            <w:hideMark/>
          </w:tcPr>
          <w:p w14:paraId="56532B0D"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single" w:sz="8" w:space="0" w:color="auto"/>
              <w:left w:val="nil"/>
              <w:bottom w:val="single" w:sz="8" w:space="0" w:color="auto"/>
              <w:right w:val="single" w:sz="4" w:space="0" w:color="auto"/>
            </w:tcBorders>
            <w:shd w:val="clear" w:color="auto" w:fill="auto"/>
            <w:vAlign w:val="bottom"/>
          </w:tcPr>
          <w:p w14:paraId="4FA76AA9"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4.20</w:t>
            </w:r>
          </w:p>
        </w:tc>
        <w:tc>
          <w:tcPr>
            <w:tcW w:w="1343" w:type="dxa"/>
            <w:tcBorders>
              <w:top w:val="single" w:sz="8" w:space="0" w:color="auto"/>
              <w:left w:val="nil"/>
              <w:bottom w:val="single" w:sz="8" w:space="0" w:color="auto"/>
              <w:right w:val="single" w:sz="4" w:space="0" w:color="auto"/>
            </w:tcBorders>
            <w:shd w:val="clear" w:color="auto" w:fill="auto"/>
            <w:noWrap/>
            <w:vAlign w:val="bottom"/>
          </w:tcPr>
          <w:p w14:paraId="64B3C689" w14:textId="77777777" w:rsidR="001E65DB" w:rsidRPr="00762A41" w:rsidRDefault="001E65DB" w:rsidP="00762A41">
            <w:pPr>
              <w:keepNext/>
              <w:kinsoku w:val="0"/>
              <w:overflowPunct w:val="0"/>
              <w:autoSpaceDE w:val="0"/>
              <w:autoSpaceDN w:val="0"/>
              <w:adjustRightInd w:val="0"/>
              <w:spacing w:before="0" w:after="0" w:line="276" w:lineRule="auto"/>
              <w:ind w:left="67" w:right="-130"/>
              <w:textAlignment w:val="baseline"/>
              <w:rPr>
                <w:rFonts w:cs="Arial"/>
                <w:color w:val="2E74B5" w:themeColor="accent1" w:themeShade="BF"/>
                <w:szCs w:val="18"/>
                <w:lang w:eastAsia="fr-FR"/>
              </w:rPr>
            </w:pPr>
            <w:r w:rsidRPr="00762A41">
              <w:rPr>
                <w:rFonts w:cs="Arial"/>
                <w:color w:val="2E74B5" w:themeColor="accent1" w:themeShade="BF"/>
                <w:szCs w:val="18"/>
                <w:lang w:eastAsia="fr-FR"/>
              </w:rPr>
              <w:t>84%</w:t>
            </w:r>
          </w:p>
        </w:tc>
        <w:tc>
          <w:tcPr>
            <w:tcW w:w="1551" w:type="dxa"/>
            <w:tcBorders>
              <w:top w:val="single" w:sz="8" w:space="0" w:color="auto"/>
              <w:left w:val="nil"/>
              <w:bottom w:val="single" w:sz="8" w:space="0" w:color="auto"/>
              <w:right w:val="single" w:sz="4" w:space="0" w:color="auto"/>
            </w:tcBorders>
            <w:shd w:val="clear" w:color="auto" w:fill="auto"/>
            <w:vAlign w:val="center"/>
            <w:hideMark/>
          </w:tcPr>
          <w:p w14:paraId="5FD45A3F"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8" w:space="0" w:color="auto"/>
              <w:left w:val="nil"/>
              <w:bottom w:val="single" w:sz="8" w:space="0" w:color="auto"/>
              <w:right w:val="single" w:sz="8" w:space="0" w:color="auto"/>
            </w:tcBorders>
            <w:shd w:val="clear" w:color="auto" w:fill="auto"/>
            <w:vAlign w:val="center"/>
            <w:hideMark/>
          </w:tcPr>
          <w:p w14:paraId="709712FA"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7F88D1C4" w14:textId="77777777" w:rsidTr="003E3E25">
        <w:trPr>
          <w:trHeight w:val="229"/>
          <w:jc w:val="center"/>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tcPr>
          <w:p w14:paraId="556D2684"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(6 to &lt;12 years old)</w:t>
            </w:r>
          </w:p>
        </w:tc>
        <w:tc>
          <w:tcPr>
            <w:tcW w:w="577" w:type="dxa"/>
            <w:tcBorders>
              <w:top w:val="single" w:sz="4" w:space="0" w:color="auto"/>
              <w:left w:val="nil"/>
              <w:bottom w:val="single" w:sz="4" w:space="0" w:color="auto"/>
              <w:right w:val="single" w:sz="4" w:space="0" w:color="auto"/>
            </w:tcBorders>
            <w:shd w:val="clear" w:color="auto" w:fill="auto"/>
            <w:vAlign w:val="center"/>
          </w:tcPr>
          <w:p w14:paraId="576B676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4" w:space="0" w:color="auto"/>
              <w:left w:val="nil"/>
              <w:bottom w:val="single" w:sz="4" w:space="0" w:color="auto"/>
              <w:right w:val="single" w:sz="4" w:space="0" w:color="auto"/>
            </w:tcBorders>
            <w:shd w:val="clear" w:color="auto" w:fill="auto"/>
            <w:vAlign w:val="center"/>
          </w:tcPr>
          <w:p w14:paraId="4E6A9EE7"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single" w:sz="4" w:space="0" w:color="auto"/>
              <w:left w:val="nil"/>
              <w:bottom w:val="single" w:sz="4" w:space="0" w:color="auto"/>
              <w:right w:val="single" w:sz="4" w:space="0" w:color="auto"/>
            </w:tcBorders>
            <w:shd w:val="clear" w:color="auto" w:fill="auto"/>
            <w:vAlign w:val="bottom"/>
          </w:tcPr>
          <w:p w14:paraId="6B5EDE81"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2.68</w:t>
            </w:r>
          </w:p>
        </w:tc>
        <w:tc>
          <w:tcPr>
            <w:tcW w:w="1343" w:type="dxa"/>
            <w:tcBorders>
              <w:top w:val="single" w:sz="4" w:space="0" w:color="auto"/>
              <w:left w:val="nil"/>
              <w:bottom w:val="single" w:sz="4" w:space="0" w:color="auto"/>
              <w:right w:val="single" w:sz="4" w:space="0" w:color="auto"/>
            </w:tcBorders>
            <w:shd w:val="clear" w:color="auto" w:fill="auto"/>
            <w:noWrap/>
            <w:vAlign w:val="bottom"/>
          </w:tcPr>
          <w:p w14:paraId="318AEBDB"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54%</w:t>
            </w:r>
          </w:p>
        </w:tc>
        <w:tc>
          <w:tcPr>
            <w:tcW w:w="1551" w:type="dxa"/>
            <w:tcBorders>
              <w:top w:val="single" w:sz="4" w:space="0" w:color="auto"/>
              <w:left w:val="nil"/>
              <w:bottom w:val="single" w:sz="4" w:space="0" w:color="auto"/>
              <w:right w:val="single" w:sz="4" w:space="0" w:color="auto"/>
            </w:tcBorders>
            <w:shd w:val="clear" w:color="auto" w:fill="auto"/>
            <w:vAlign w:val="center"/>
          </w:tcPr>
          <w:p w14:paraId="3987071A"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4" w:space="0" w:color="auto"/>
              <w:left w:val="nil"/>
              <w:bottom w:val="single" w:sz="4" w:space="0" w:color="auto"/>
              <w:right w:val="single" w:sz="8" w:space="0" w:color="auto"/>
            </w:tcBorders>
            <w:shd w:val="clear" w:color="auto" w:fill="auto"/>
            <w:vAlign w:val="center"/>
          </w:tcPr>
          <w:p w14:paraId="0C28426C"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7DA21466" w14:textId="77777777" w:rsidTr="003E3E25">
        <w:trPr>
          <w:trHeight w:val="229"/>
          <w:jc w:val="center"/>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tcPr>
          <w:p w14:paraId="3EE456AC"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Child (2 to &lt;6 years old)</w:t>
            </w:r>
          </w:p>
        </w:tc>
        <w:tc>
          <w:tcPr>
            <w:tcW w:w="577" w:type="dxa"/>
            <w:tcBorders>
              <w:top w:val="single" w:sz="4" w:space="0" w:color="auto"/>
              <w:left w:val="nil"/>
              <w:bottom w:val="single" w:sz="4" w:space="0" w:color="auto"/>
              <w:right w:val="single" w:sz="4" w:space="0" w:color="auto"/>
            </w:tcBorders>
            <w:shd w:val="clear" w:color="auto" w:fill="auto"/>
            <w:vAlign w:val="center"/>
          </w:tcPr>
          <w:p w14:paraId="58DDD1BC"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4" w:space="0" w:color="auto"/>
              <w:left w:val="nil"/>
              <w:bottom w:val="single" w:sz="4" w:space="0" w:color="auto"/>
              <w:right w:val="single" w:sz="4" w:space="0" w:color="auto"/>
            </w:tcBorders>
            <w:shd w:val="clear" w:color="auto" w:fill="auto"/>
            <w:vAlign w:val="center"/>
          </w:tcPr>
          <w:p w14:paraId="50C3FD8D"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single" w:sz="4" w:space="0" w:color="auto"/>
              <w:left w:val="nil"/>
              <w:bottom w:val="single" w:sz="4" w:space="0" w:color="auto"/>
              <w:right w:val="single" w:sz="4" w:space="0" w:color="auto"/>
            </w:tcBorders>
            <w:shd w:val="clear" w:color="auto" w:fill="auto"/>
            <w:vAlign w:val="bottom"/>
          </w:tcPr>
          <w:p w14:paraId="09E2E56A"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3.06</w:t>
            </w:r>
          </w:p>
        </w:tc>
        <w:tc>
          <w:tcPr>
            <w:tcW w:w="1343" w:type="dxa"/>
            <w:tcBorders>
              <w:top w:val="single" w:sz="4" w:space="0" w:color="auto"/>
              <w:left w:val="nil"/>
              <w:bottom w:val="single" w:sz="4" w:space="0" w:color="auto"/>
              <w:right w:val="single" w:sz="4" w:space="0" w:color="auto"/>
            </w:tcBorders>
            <w:shd w:val="clear" w:color="auto" w:fill="auto"/>
            <w:noWrap/>
            <w:vAlign w:val="bottom"/>
          </w:tcPr>
          <w:p w14:paraId="6087C928"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61%</w:t>
            </w:r>
          </w:p>
        </w:tc>
        <w:tc>
          <w:tcPr>
            <w:tcW w:w="1551" w:type="dxa"/>
            <w:tcBorders>
              <w:top w:val="single" w:sz="4" w:space="0" w:color="auto"/>
              <w:left w:val="nil"/>
              <w:bottom w:val="single" w:sz="4" w:space="0" w:color="auto"/>
              <w:right w:val="single" w:sz="4" w:space="0" w:color="auto"/>
            </w:tcBorders>
            <w:shd w:val="clear" w:color="auto" w:fill="auto"/>
            <w:vAlign w:val="center"/>
          </w:tcPr>
          <w:p w14:paraId="543CDF78"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4" w:space="0" w:color="auto"/>
              <w:left w:val="nil"/>
              <w:bottom w:val="single" w:sz="4" w:space="0" w:color="auto"/>
              <w:right w:val="single" w:sz="8" w:space="0" w:color="auto"/>
            </w:tcBorders>
            <w:shd w:val="clear" w:color="auto" w:fill="auto"/>
            <w:vAlign w:val="center"/>
          </w:tcPr>
          <w:p w14:paraId="3E55D390"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52C0FFF9" w14:textId="77777777" w:rsidTr="003E3E25">
        <w:trPr>
          <w:trHeight w:val="229"/>
          <w:jc w:val="center"/>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tcPr>
          <w:p w14:paraId="4DF58C22"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Toddler (1 to &lt;2 years old)</w:t>
            </w:r>
          </w:p>
        </w:tc>
        <w:tc>
          <w:tcPr>
            <w:tcW w:w="577" w:type="dxa"/>
            <w:tcBorders>
              <w:top w:val="single" w:sz="4" w:space="0" w:color="auto"/>
              <w:left w:val="nil"/>
              <w:bottom w:val="single" w:sz="4" w:space="0" w:color="auto"/>
              <w:right w:val="single" w:sz="4" w:space="0" w:color="auto"/>
            </w:tcBorders>
            <w:shd w:val="clear" w:color="auto" w:fill="auto"/>
            <w:vAlign w:val="center"/>
          </w:tcPr>
          <w:p w14:paraId="600DD09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4" w:space="0" w:color="auto"/>
              <w:left w:val="nil"/>
              <w:bottom w:val="single" w:sz="4" w:space="0" w:color="auto"/>
              <w:right w:val="single" w:sz="4" w:space="0" w:color="auto"/>
            </w:tcBorders>
            <w:shd w:val="clear" w:color="auto" w:fill="auto"/>
            <w:vAlign w:val="center"/>
          </w:tcPr>
          <w:p w14:paraId="0D07FB5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single" w:sz="4" w:space="0" w:color="auto"/>
              <w:left w:val="nil"/>
              <w:bottom w:val="single" w:sz="4" w:space="0" w:color="auto"/>
              <w:right w:val="single" w:sz="4" w:space="0" w:color="auto"/>
            </w:tcBorders>
            <w:shd w:val="clear" w:color="auto" w:fill="auto"/>
            <w:vAlign w:val="bottom"/>
          </w:tcPr>
          <w:p w14:paraId="0641DADA"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3.41</w:t>
            </w:r>
          </w:p>
        </w:tc>
        <w:tc>
          <w:tcPr>
            <w:tcW w:w="1343" w:type="dxa"/>
            <w:tcBorders>
              <w:top w:val="single" w:sz="4" w:space="0" w:color="auto"/>
              <w:left w:val="nil"/>
              <w:bottom w:val="single" w:sz="4" w:space="0" w:color="auto"/>
              <w:right w:val="single" w:sz="4" w:space="0" w:color="auto"/>
            </w:tcBorders>
            <w:shd w:val="clear" w:color="auto" w:fill="auto"/>
            <w:noWrap/>
            <w:vAlign w:val="bottom"/>
          </w:tcPr>
          <w:p w14:paraId="2775910C"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68%</w:t>
            </w:r>
          </w:p>
        </w:tc>
        <w:tc>
          <w:tcPr>
            <w:tcW w:w="1551" w:type="dxa"/>
            <w:tcBorders>
              <w:top w:val="single" w:sz="4" w:space="0" w:color="auto"/>
              <w:left w:val="nil"/>
              <w:bottom w:val="single" w:sz="4" w:space="0" w:color="auto"/>
              <w:right w:val="single" w:sz="4" w:space="0" w:color="auto"/>
            </w:tcBorders>
            <w:shd w:val="clear" w:color="auto" w:fill="auto"/>
            <w:vAlign w:val="center"/>
          </w:tcPr>
          <w:p w14:paraId="644A4782"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4" w:space="0" w:color="auto"/>
              <w:left w:val="nil"/>
              <w:bottom w:val="single" w:sz="4" w:space="0" w:color="auto"/>
              <w:right w:val="single" w:sz="8" w:space="0" w:color="auto"/>
            </w:tcBorders>
            <w:shd w:val="clear" w:color="auto" w:fill="auto"/>
            <w:vAlign w:val="center"/>
          </w:tcPr>
          <w:p w14:paraId="10A63161"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r w:rsidR="001E65DB" w:rsidRPr="00762A41" w14:paraId="041696F3" w14:textId="77777777" w:rsidTr="003E3E25">
        <w:trPr>
          <w:trHeight w:val="229"/>
          <w:jc w:val="center"/>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tcPr>
          <w:p w14:paraId="5128D3F7"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E29F8">
              <w:rPr>
                <w:rFonts w:cs="Arial"/>
                <w:color w:val="2E74B5" w:themeColor="accent1" w:themeShade="BF"/>
                <w:szCs w:val="18"/>
                <w:lang w:eastAsia="fr-FR"/>
              </w:rPr>
              <w:t>Infant (&lt;1 year old)</w:t>
            </w:r>
          </w:p>
        </w:tc>
        <w:tc>
          <w:tcPr>
            <w:tcW w:w="577" w:type="dxa"/>
            <w:tcBorders>
              <w:top w:val="single" w:sz="4" w:space="0" w:color="auto"/>
              <w:left w:val="nil"/>
              <w:bottom w:val="single" w:sz="4" w:space="0" w:color="auto"/>
              <w:right w:val="single" w:sz="4" w:space="0" w:color="auto"/>
            </w:tcBorders>
            <w:shd w:val="clear" w:color="auto" w:fill="auto"/>
            <w:vAlign w:val="center"/>
          </w:tcPr>
          <w:p w14:paraId="265882C6"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002" w:type="dxa"/>
            <w:tcBorders>
              <w:top w:val="single" w:sz="4" w:space="0" w:color="auto"/>
              <w:left w:val="nil"/>
              <w:bottom w:val="single" w:sz="4" w:space="0" w:color="auto"/>
              <w:right w:val="single" w:sz="4" w:space="0" w:color="auto"/>
            </w:tcBorders>
            <w:shd w:val="clear" w:color="auto" w:fill="auto"/>
            <w:vAlign w:val="center"/>
          </w:tcPr>
          <w:p w14:paraId="2C9DA9D1"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5</w:t>
            </w:r>
          </w:p>
        </w:tc>
        <w:tc>
          <w:tcPr>
            <w:tcW w:w="1264" w:type="dxa"/>
            <w:tcBorders>
              <w:top w:val="single" w:sz="4" w:space="0" w:color="auto"/>
              <w:left w:val="nil"/>
              <w:bottom w:val="single" w:sz="4" w:space="0" w:color="auto"/>
              <w:right w:val="single" w:sz="4" w:space="0" w:color="auto"/>
            </w:tcBorders>
            <w:shd w:val="clear" w:color="auto" w:fill="auto"/>
            <w:vAlign w:val="bottom"/>
          </w:tcPr>
          <w:p w14:paraId="37888022"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3.64</w:t>
            </w:r>
          </w:p>
        </w:tc>
        <w:tc>
          <w:tcPr>
            <w:tcW w:w="1343" w:type="dxa"/>
            <w:tcBorders>
              <w:top w:val="single" w:sz="4" w:space="0" w:color="auto"/>
              <w:left w:val="nil"/>
              <w:bottom w:val="single" w:sz="4" w:space="0" w:color="auto"/>
              <w:right w:val="single" w:sz="4" w:space="0" w:color="auto"/>
            </w:tcBorders>
            <w:shd w:val="clear" w:color="auto" w:fill="auto"/>
            <w:noWrap/>
            <w:vAlign w:val="bottom"/>
          </w:tcPr>
          <w:p w14:paraId="0AA85D97" w14:textId="77777777" w:rsidR="001E65DB" w:rsidRPr="00762A41" w:rsidRDefault="001E65DB" w:rsidP="00762A41">
            <w:pPr>
              <w:keepNext/>
              <w:kinsoku w:val="0"/>
              <w:overflowPunct w:val="0"/>
              <w:autoSpaceDE w:val="0"/>
              <w:autoSpaceDN w:val="0"/>
              <w:adjustRightInd w:val="0"/>
              <w:spacing w:before="0" w:after="0" w:line="276" w:lineRule="auto"/>
              <w:ind w:left="67" w:right="-58"/>
              <w:textAlignment w:val="baseline"/>
              <w:rPr>
                <w:rFonts w:cs="Arial"/>
                <w:color w:val="2E74B5" w:themeColor="accent1" w:themeShade="BF"/>
                <w:szCs w:val="18"/>
                <w:lang w:eastAsia="fr-FR"/>
              </w:rPr>
            </w:pPr>
            <w:r w:rsidRPr="00762A41">
              <w:rPr>
                <w:rFonts w:cs="Arial"/>
                <w:color w:val="2E74B5" w:themeColor="accent1" w:themeShade="BF"/>
                <w:szCs w:val="18"/>
                <w:lang w:eastAsia="fr-FR"/>
              </w:rPr>
              <w:t>73%</w:t>
            </w:r>
          </w:p>
        </w:tc>
        <w:tc>
          <w:tcPr>
            <w:tcW w:w="1551" w:type="dxa"/>
            <w:tcBorders>
              <w:top w:val="single" w:sz="4" w:space="0" w:color="auto"/>
              <w:left w:val="nil"/>
              <w:bottom w:val="single" w:sz="4" w:space="0" w:color="auto"/>
              <w:right w:val="single" w:sz="4" w:space="0" w:color="auto"/>
            </w:tcBorders>
            <w:shd w:val="clear" w:color="auto" w:fill="auto"/>
            <w:vAlign w:val="center"/>
          </w:tcPr>
          <w:p w14:paraId="781B1709"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1</w:t>
            </w:r>
          </w:p>
        </w:tc>
        <w:tc>
          <w:tcPr>
            <w:tcW w:w="1639" w:type="dxa"/>
            <w:tcBorders>
              <w:top w:val="single" w:sz="4" w:space="0" w:color="auto"/>
              <w:left w:val="nil"/>
              <w:bottom w:val="single" w:sz="4" w:space="0" w:color="auto"/>
              <w:right w:val="single" w:sz="8" w:space="0" w:color="auto"/>
            </w:tcBorders>
            <w:shd w:val="clear" w:color="auto" w:fill="auto"/>
            <w:vAlign w:val="center"/>
          </w:tcPr>
          <w:p w14:paraId="424FA26A" w14:textId="77777777" w:rsidR="001E65DB" w:rsidRPr="00762A41" w:rsidRDefault="001E65DB" w:rsidP="00762A41">
            <w:pPr>
              <w:keepNext/>
              <w:kinsoku w:val="0"/>
              <w:overflowPunct w:val="0"/>
              <w:autoSpaceDE w:val="0"/>
              <w:autoSpaceDN w:val="0"/>
              <w:adjustRightInd w:val="0"/>
              <w:spacing w:before="0" w:after="0" w:line="276" w:lineRule="auto"/>
              <w:ind w:left="67" w:right="216"/>
              <w:textAlignment w:val="baseline"/>
              <w:rPr>
                <w:rFonts w:cs="Arial"/>
                <w:color w:val="2E74B5" w:themeColor="accent1" w:themeShade="BF"/>
                <w:szCs w:val="18"/>
                <w:lang w:eastAsia="fr-FR"/>
              </w:rPr>
            </w:pPr>
            <w:r w:rsidRPr="00762A41">
              <w:rPr>
                <w:rFonts w:cs="Arial"/>
                <w:color w:val="2E74B5" w:themeColor="accent1" w:themeShade="BF"/>
                <w:szCs w:val="18"/>
                <w:lang w:eastAsia="fr-FR"/>
              </w:rPr>
              <w:t>Yes</w:t>
            </w:r>
          </w:p>
        </w:tc>
      </w:tr>
    </w:tbl>
    <w:p w14:paraId="142A9CE2" w14:textId="77777777" w:rsidR="001E65DB" w:rsidRPr="004C342D" w:rsidRDefault="001E65DB" w:rsidP="003E3E25">
      <w:pPr>
        <w:keepNext/>
        <w:widowControl w:val="0"/>
        <w:kinsoku w:val="0"/>
        <w:overflowPunct w:val="0"/>
        <w:autoSpaceDE w:val="0"/>
        <w:autoSpaceDN w:val="0"/>
        <w:adjustRightInd w:val="0"/>
        <w:spacing w:before="0" w:after="0"/>
        <w:jc w:val="both"/>
        <w:textAlignment w:val="baseline"/>
        <w:rPr>
          <w:rFonts w:cs="Arial"/>
          <w:color w:val="0070C0"/>
          <w:spacing w:val="1"/>
          <w:lang w:eastAsia="fr-FR"/>
        </w:rPr>
      </w:pPr>
      <w:r w:rsidRPr="004C342D">
        <w:rPr>
          <w:rFonts w:cs="Arial"/>
          <w:color w:val="0070C0"/>
          <w:spacing w:val="1"/>
          <w:lang w:eastAsia="fr-FR"/>
        </w:rPr>
        <w:t xml:space="preserve">The risk is acceptable for adult and children. </w:t>
      </w:r>
    </w:p>
    <w:p w14:paraId="41D13509" w14:textId="77777777" w:rsidR="001E65DB" w:rsidRPr="004C342D" w:rsidRDefault="001E65DB" w:rsidP="003E3E25">
      <w:pPr>
        <w:keepNext/>
        <w:widowControl w:val="0"/>
        <w:kinsoku w:val="0"/>
        <w:overflowPunct w:val="0"/>
        <w:autoSpaceDE w:val="0"/>
        <w:autoSpaceDN w:val="0"/>
        <w:adjustRightInd w:val="0"/>
        <w:spacing w:before="0" w:after="0"/>
        <w:jc w:val="both"/>
        <w:textAlignment w:val="baseline"/>
        <w:rPr>
          <w:rFonts w:cs="Arial"/>
          <w:color w:val="0070C0"/>
          <w:spacing w:val="1"/>
          <w:lang w:eastAsia="fr-FR"/>
        </w:rPr>
      </w:pPr>
    </w:p>
    <w:p w14:paraId="5F911590" w14:textId="77777777" w:rsidR="008A3DDA" w:rsidRPr="004C342D" w:rsidRDefault="001E65DB" w:rsidP="003E3E25">
      <w:pPr>
        <w:keepNext/>
        <w:widowControl w:val="0"/>
        <w:kinsoku w:val="0"/>
        <w:overflowPunct w:val="0"/>
        <w:autoSpaceDE w:val="0"/>
        <w:autoSpaceDN w:val="0"/>
        <w:adjustRightInd w:val="0"/>
        <w:spacing w:before="0" w:after="0"/>
        <w:jc w:val="both"/>
        <w:textAlignment w:val="baseline"/>
        <w:rPr>
          <w:rFonts w:cs="Arial"/>
          <w:color w:val="0070C0"/>
          <w:spacing w:val="1"/>
          <w:lang w:eastAsia="fr-FR"/>
        </w:rPr>
      </w:pPr>
      <w:r w:rsidRPr="004C342D">
        <w:rPr>
          <w:rFonts w:cs="Arial"/>
          <w:color w:val="0070C0"/>
          <w:spacing w:val="1"/>
          <w:lang w:eastAsia="fr-FR"/>
        </w:rPr>
        <w:t>If the application on clothes is combined to the application on skin, the surfaces for covered</w:t>
      </w:r>
      <w:r w:rsidR="008A3DDA" w:rsidRPr="004C342D">
        <w:rPr>
          <w:rFonts w:cs="Arial"/>
          <w:color w:val="0070C0"/>
          <w:spacing w:val="1"/>
          <w:lang w:eastAsia="fr-FR"/>
        </w:rPr>
        <w:t xml:space="preserve"> </w:t>
      </w:r>
    </w:p>
    <w:p w14:paraId="11EC772F" w14:textId="0837CBC6" w:rsidR="001E65DB" w:rsidRPr="004C342D" w:rsidRDefault="001E65DB" w:rsidP="003E3E25">
      <w:pPr>
        <w:keepNext/>
        <w:widowControl w:val="0"/>
        <w:kinsoku w:val="0"/>
        <w:overflowPunct w:val="0"/>
        <w:autoSpaceDE w:val="0"/>
        <w:autoSpaceDN w:val="0"/>
        <w:adjustRightInd w:val="0"/>
        <w:spacing w:before="0" w:after="0"/>
        <w:jc w:val="both"/>
        <w:textAlignment w:val="baseline"/>
        <w:rPr>
          <w:rFonts w:cs="Arial"/>
          <w:bCs/>
          <w:color w:val="0070C0"/>
          <w:spacing w:val="1"/>
          <w:lang w:eastAsia="fr-FR"/>
        </w:rPr>
      </w:pPr>
      <w:r w:rsidRPr="004C342D">
        <w:rPr>
          <w:rFonts w:cs="Arial"/>
          <w:color w:val="0070C0"/>
          <w:spacing w:val="1"/>
          <w:lang w:eastAsia="fr-FR"/>
        </w:rPr>
        <w:t>areas proposed above</w:t>
      </w:r>
      <w:r w:rsidRPr="004C342D">
        <w:rPr>
          <w:rFonts w:cs="Arial"/>
          <w:bCs/>
          <w:color w:val="0070C0"/>
          <w:spacing w:val="1"/>
          <w:lang w:eastAsia="fr-FR"/>
        </w:rPr>
        <w:t xml:space="preserve"> are used. </w:t>
      </w:r>
    </w:p>
    <w:p w14:paraId="37A5028B" w14:textId="77777777" w:rsidR="001E65DB" w:rsidRPr="004C342D" w:rsidRDefault="001E65DB" w:rsidP="003E3E25">
      <w:pPr>
        <w:keepNext/>
        <w:widowControl w:val="0"/>
        <w:kinsoku w:val="0"/>
        <w:overflowPunct w:val="0"/>
        <w:autoSpaceDE w:val="0"/>
        <w:autoSpaceDN w:val="0"/>
        <w:adjustRightInd w:val="0"/>
        <w:spacing w:before="0" w:after="0"/>
        <w:jc w:val="both"/>
        <w:textAlignment w:val="baseline"/>
        <w:rPr>
          <w:rFonts w:cs="Arial"/>
          <w:bCs/>
          <w:color w:val="0070C0"/>
          <w:spacing w:val="1"/>
          <w:lang w:eastAsia="fr-FR"/>
        </w:rPr>
      </w:pPr>
    </w:p>
    <w:p w14:paraId="505F5860" w14:textId="77777777" w:rsidR="001E65DB" w:rsidRPr="004C342D" w:rsidRDefault="001E65DB" w:rsidP="003E3E25">
      <w:pPr>
        <w:keepNext/>
        <w:widowControl w:val="0"/>
        <w:kinsoku w:val="0"/>
        <w:overflowPunct w:val="0"/>
        <w:autoSpaceDE w:val="0"/>
        <w:autoSpaceDN w:val="0"/>
        <w:adjustRightInd w:val="0"/>
        <w:spacing w:before="0" w:after="0"/>
        <w:jc w:val="both"/>
        <w:textAlignment w:val="baseline"/>
        <w:rPr>
          <w:rFonts w:cs="Arial"/>
          <w:bCs/>
          <w:color w:val="0070C0"/>
          <w:spacing w:val="1"/>
          <w:lang w:eastAsia="fr-FR"/>
        </w:rPr>
      </w:pPr>
      <w:r w:rsidRPr="004C342D">
        <w:rPr>
          <w:rFonts w:cs="Arial"/>
          <w:color w:val="0070C0"/>
          <w:spacing w:val="1"/>
          <w:lang w:eastAsia="fr-FR"/>
        </w:rPr>
        <w:t>The assumption was made according to the following uses:</w:t>
      </w:r>
    </w:p>
    <w:p w14:paraId="74CE3875" w14:textId="77777777" w:rsidR="001E65DB" w:rsidRPr="004C342D" w:rsidRDefault="001E65DB" w:rsidP="003E3E25">
      <w:pPr>
        <w:pStyle w:val="Paragraphedeliste"/>
        <w:keepNext/>
        <w:widowControl w:val="0"/>
        <w:numPr>
          <w:ilvl w:val="0"/>
          <w:numId w:val="17"/>
        </w:numPr>
        <w:kinsoku w:val="0"/>
        <w:overflowPunct w:val="0"/>
        <w:autoSpaceDE w:val="0"/>
        <w:autoSpaceDN w:val="0"/>
        <w:adjustRightInd w:val="0"/>
        <w:spacing w:before="0" w:after="0"/>
        <w:jc w:val="both"/>
        <w:textAlignment w:val="baseline"/>
        <w:rPr>
          <w:rFonts w:cs="Arial"/>
          <w:color w:val="0070C0"/>
          <w:spacing w:val="1"/>
          <w:lang w:eastAsia="fr-FR"/>
        </w:rPr>
      </w:pPr>
      <w:r w:rsidRPr="004C342D">
        <w:rPr>
          <w:rFonts w:cs="Arial"/>
          <w:color w:val="0070C0"/>
          <w:spacing w:val="1"/>
          <w:lang w:eastAsia="fr-FR"/>
        </w:rPr>
        <w:t xml:space="preserve">intended use #5 (ticks, </w:t>
      </w:r>
      <w:r w:rsidRPr="004C342D">
        <w:rPr>
          <w:rFonts w:cs="Arial"/>
          <w:bCs/>
          <w:color w:val="0070C0"/>
        </w:rPr>
        <w:t>8.5 g/m² of fabric)</w:t>
      </w:r>
      <w:r w:rsidRPr="004C342D">
        <w:rPr>
          <w:rFonts w:cs="Arial"/>
          <w:color w:val="0070C0"/>
          <w:spacing w:val="1"/>
          <w:lang w:eastAsia="fr-FR"/>
        </w:rPr>
        <w:t xml:space="preserve"> (scenario 6c),</w:t>
      </w:r>
    </w:p>
    <w:p w14:paraId="2658DBB0" w14:textId="77777777" w:rsidR="001E65DB" w:rsidRPr="004C342D" w:rsidRDefault="001E65DB" w:rsidP="003E3E25">
      <w:pPr>
        <w:pStyle w:val="Paragraphedeliste"/>
        <w:keepNext/>
        <w:widowControl w:val="0"/>
        <w:numPr>
          <w:ilvl w:val="0"/>
          <w:numId w:val="17"/>
        </w:numPr>
        <w:kinsoku w:val="0"/>
        <w:overflowPunct w:val="0"/>
        <w:autoSpaceDE w:val="0"/>
        <w:autoSpaceDN w:val="0"/>
        <w:adjustRightInd w:val="0"/>
        <w:spacing w:before="0" w:after="0"/>
        <w:jc w:val="both"/>
        <w:textAlignment w:val="baseline"/>
        <w:rPr>
          <w:rFonts w:cs="Arial"/>
          <w:color w:val="0070C0"/>
          <w:spacing w:val="1"/>
          <w:lang w:eastAsia="fr-FR"/>
        </w:rPr>
      </w:pPr>
      <w:r w:rsidRPr="004C342D">
        <w:rPr>
          <w:rFonts w:cs="Arial"/>
          <w:color w:val="0070C0"/>
          <w:spacing w:val="1"/>
          <w:lang w:eastAsia="fr-FR"/>
        </w:rPr>
        <w:t xml:space="preserve">intended use #3 (mosquitos, </w:t>
      </w:r>
      <w:r w:rsidRPr="004C342D">
        <w:rPr>
          <w:rFonts w:cs="Arial"/>
          <w:bCs/>
          <w:color w:val="0070C0"/>
        </w:rPr>
        <w:t>6 g/m² of fabric</w:t>
      </w:r>
      <w:r w:rsidRPr="004C342D">
        <w:rPr>
          <w:rFonts w:cs="Arial"/>
          <w:color w:val="0070C0"/>
          <w:spacing w:val="1"/>
          <w:lang w:eastAsia="fr-FR"/>
        </w:rPr>
        <w:t>) (scenario 6d)</w:t>
      </w:r>
    </w:p>
    <w:p w14:paraId="39F0BA17" w14:textId="77777777" w:rsidR="001E65DB" w:rsidRPr="004C342D" w:rsidRDefault="001E65DB" w:rsidP="008A3DDA">
      <w:pPr>
        <w:pStyle w:val="Paragraphedeliste"/>
        <w:keepNext/>
        <w:widowControl w:val="0"/>
        <w:kinsoku w:val="0"/>
        <w:overflowPunct w:val="0"/>
        <w:autoSpaceDE w:val="0"/>
        <w:autoSpaceDN w:val="0"/>
        <w:adjustRightInd w:val="0"/>
        <w:spacing w:before="0" w:after="0"/>
        <w:ind w:left="360"/>
        <w:jc w:val="both"/>
        <w:textAlignment w:val="baseline"/>
        <w:rPr>
          <w:rFonts w:cs="Arial"/>
          <w:color w:val="0070C0"/>
          <w:spacing w:val="1"/>
          <w:lang w:eastAsia="fr-FR"/>
        </w:rPr>
      </w:pPr>
    </w:p>
    <w:p w14:paraId="631FE550" w14:textId="77777777" w:rsidR="001E65DB" w:rsidRPr="004C342D" w:rsidRDefault="001E65DB" w:rsidP="008A3DDA">
      <w:pPr>
        <w:pStyle w:val="Paragraphedeliste"/>
        <w:keepNext/>
        <w:widowControl w:val="0"/>
        <w:kinsoku w:val="0"/>
        <w:overflowPunct w:val="0"/>
        <w:autoSpaceDE w:val="0"/>
        <w:autoSpaceDN w:val="0"/>
        <w:adjustRightInd w:val="0"/>
        <w:spacing w:before="0" w:after="0"/>
        <w:ind w:left="360"/>
        <w:jc w:val="both"/>
        <w:textAlignment w:val="baseline"/>
        <w:rPr>
          <w:rFonts w:cs="Arial"/>
          <w:color w:val="0070C0"/>
          <w:spacing w:val="1"/>
          <w:lang w:eastAsia="fr-FR"/>
        </w:rPr>
      </w:pPr>
    </w:p>
    <w:tbl>
      <w:tblPr>
        <w:tblW w:w="528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35"/>
        <w:gridCol w:w="4370"/>
        <w:gridCol w:w="1437"/>
        <w:gridCol w:w="3280"/>
      </w:tblGrid>
      <w:tr w:rsidR="001E65DB" w:rsidRPr="004C342D" w14:paraId="5E5437BE" w14:textId="77777777" w:rsidTr="001E65DB">
        <w:trPr>
          <w:trHeight w:val="139"/>
          <w:tblHeader/>
        </w:trPr>
        <w:tc>
          <w:tcPr>
            <w:tcW w:w="5000" w:type="pct"/>
            <w:gridSpan w:val="4"/>
            <w:shd w:val="clear" w:color="auto" w:fill="FFFFCC"/>
            <w:tcMar>
              <w:top w:w="57" w:type="dxa"/>
              <w:bottom w:w="57" w:type="dxa"/>
            </w:tcMar>
          </w:tcPr>
          <w:p w14:paraId="59AD098C" w14:textId="77777777" w:rsidR="001E65DB" w:rsidRPr="004C342D" w:rsidRDefault="001E65DB" w:rsidP="001E65DB">
            <w:pPr>
              <w:pStyle w:val="Standaard-Tabellen"/>
              <w:rPr>
                <w:rFonts w:eastAsia="Calibri"/>
                <w:b/>
                <w:color w:val="0070C0"/>
                <w:sz w:val="20"/>
              </w:rPr>
            </w:pPr>
            <w:r w:rsidRPr="004C342D">
              <w:rPr>
                <w:rFonts w:eastAsia="Calibri"/>
                <w:b/>
                <w:color w:val="0070C0"/>
                <w:sz w:val="20"/>
              </w:rPr>
              <w:t>Description of Scenario 6</w:t>
            </w:r>
          </w:p>
        </w:tc>
      </w:tr>
      <w:tr w:rsidR="001E65DB" w:rsidRPr="004C342D" w14:paraId="46F00134" w14:textId="77777777" w:rsidTr="003E3E25">
        <w:trPr>
          <w:trHeight w:val="1435"/>
          <w:tblHeader/>
        </w:trPr>
        <w:tc>
          <w:tcPr>
            <w:tcW w:w="5000" w:type="pct"/>
            <w:gridSpan w:val="4"/>
            <w:shd w:val="clear" w:color="auto" w:fill="auto"/>
            <w:tcMar>
              <w:top w:w="57" w:type="dxa"/>
              <w:bottom w:w="57" w:type="dxa"/>
            </w:tcMar>
          </w:tcPr>
          <w:p w14:paraId="5FEB65D6" w14:textId="77777777" w:rsidR="001E65DB" w:rsidRPr="004C342D" w:rsidRDefault="001E65DB" w:rsidP="003E3E25">
            <w:pPr>
              <w:keepNext/>
              <w:widowControl w:val="0"/>
              <w:kinsoku w:val="0"/>
              <w:overflowPunct w:val="0"/>
              <w:autoSpaceDE w:val="0"/>
              <w:autoSpaceDN w:val="0"/>
              <w:adjustRightInd w:val="0"/>
              <w:spacing w:before="0" w:after="0"/>
              <w:jc w:val="both"/>
              <w:textAlignment w:val="baseline"/>
              <w:rPr>
                <w:rFonts w:cs="Arial"/>
                <w:color w:val="0070C0"/>
                <w:spacing w:val="1"/>
                <w:lang w:eastAsia="fr-FR"/>
              </w:rPr>
            </w:pPr>
            <w:r w:rsidRPr="004C342D">
              <w:rPr>
                <w:rFonts w:cs="Arial"/>
                <w:color w:val="0070C0"/>
                <w:spacing w:val="1"/>
                <w:lang w:eastAsia="fr-FR"/>
              </w:rPr>
              <w:t xml:space="preserve">The ready to use product is a pump spray which is sprayed directly onto the textile. </w:t>
            </w:r>
          </w:p>
          <w:p w14:paraId="64AEBF92" w14:textId="77777777" w:rsidR="001E65DB" w:rsidRPr="004C342D" w:rsidRDefault="001E65DB" w:rsidP="003E3E25">
            <w:pPr>
              <w:keepNext/>
              <w:widowControl w:val="0"/>
              <w:kinsoku w:val="0"/>
              <w:overflowPunct w:val="0"/>
              <w:autoSpaceDE w:val="0"/>
              <w:autoSpaceDN w:val="0"/>
              <w:adjustRightInd w:val="0"/>
              <w:spacing w:before="0" w:after="0"/>
              <w:jc w:val="both"/>
              <w:textAlignment w:val="baseline"/>
              <w:rPr>
                <w:rFonts w:cs="Arial"/>
                <w:color w:val="0070C0"/>
                <w:spacing w:val="1"/>
                <w:lang w:eastAsia="fr-FR"/>
              </w:rPr>
            </w:pPr>
            <w:r w:rsidRPr="004C342D">
              <w:rPr>
                <w:rFonts w:cs="Arial"/>
                <w:color w:val="0070C0"/>
                <w:spacing w:val="1"/>
                <w:lang w:eastAsia="fr-FR"/>
              </w:rPr>
              <w:t xml:space="preserve">Adults, children, toddlers and infants could be exposed when wearing treated clothes. </w:t>
            </w:r>
          </w:p>
          <w:p w14:paraId="1EF83568" w14:textId="77777777" w:rsidR="001E65DB" w:rsidRPr="004C342D" w:rsidRDefault="001E65DB" w:rsidP="003E3E25">
            <w:pPr>
              <w:keepNext/>
              <w:widowControl w:val="0"/>
              <w:kinsoku w:val="0"/>
              <w:overflowPunct w:val="0"/>
              <w:autoSpaceDE w:val="0"/>
              <w:autoSpaceDN w:val="0"/>
              <w:adjustRightInd w:val="0"/>
              <w:spacing w:before="0" w:after="0"/>
              <w:jc w:val="both"/>
              <w:textAlignment w:val="baseline"/>
              <w:rPr>
                <w:rFonts w:cs="Arial"/>
                <w:color w:val="0070C0"/>
                <w:spacing w:val="1"/>
                <w:lang w:eastAsia="fr-FR"/>
              </w:rPr>
            </w:pPr>
          </w:p>
          <w:p w14:paraId="3325A9CE" w14:textId="77777777" w:rsidR="001E65DB" w:rsidRPr="004C342D" w:rsidRDefault="001E65DB" w:rsidP="003E3E25">
            <w:pPr>
              <w:keepNext/>
              <w:widowControl w:val="0"/>
              <w:kinsoku w:val="0"/>
              <w:overflowPunct w:val="0"/>
              <w:autoSpaceDE w:val="0"/>
              <w:autoSpaceDN w:val="0"/>
              <w:adjustRightInd w:val="0"/>
              <w:spacing w:before="0" w:after="0"/>
              <w:jc w:val="both"/>
              <w:textAlignment w:val="baseline"/>
              <w:rPr>
                <w:rFonts w:cs="Arial"/>
                <w:color w:val="0070C0"/>
                <w:spacing w:val="1"/>
                <w:lang w:eastAsia="fr-FR"/>
              </w:rPr>
            </w:pPr>
            <w:r w:rsidRPr="004C342D">
              <w:rPr>
                <w:rFonts w:cs="Arial"/>
                <w:color w:val="0070C0"/>
                <w:spacing w:val="1"/>
                <w:lang w:eastAsia="fr-FR"/>
              </w:rPr>
              <w:t>According to Recommendation no.8</w:t>
            </w:r>
            <w:r w:rsidRPr="004C342D">
              <w:rPr>
                <w:rStyle w:val="Appelnotedebasdep"/>
                <w:rFonts w:cs="Arial"/>
                <w:color w:val="0070C0"/>
                <w:spacing w:val="1"/>
                <w:lang w:eastAsia="fr-FR"/>
              </w:rPr>
              <w:footnoteReference w:id="14"/>
            </w:r>
            <w:r w:rsidRPr="004C342D">
              <w:rPr>
                <w:rFonts w:cs="Arial"/>
                <w:color w:val="0070C0"/>
                <w:spacing w:val="1"/>
                <w:lang w:eastAsia="fr-FR"/>
              </w:rPr>
              <w:t>, “</w:t>
            </w:r>
            <w:r w:rsidRPr="004C342D">
              <w:rPr>
                <w:color w:val="0070C0"/>
              </w:rPr>
              <w:t>a protection factor of 50% can be assumed for one layer of clothing against dry contamination or light liquid contamination’.</w:t>
            </w:r>
          </w:p>
        </w:tc>
      </w:tr>
      <w:tr w:rsidR="001E65DB" w:rsidRPr="004C342D" w14:paraId="01F665FB" w14:textId="77777777" w:rsidTr="003E3E25">
        <w:trPr>
          <w:trHeight w:val="139"/>
          <w:tblHeader/>
        </w:trPr>
        <w:tc>
          <w:tcPr>
            <w:tcW w:w="421" w:type="pct"/>
            <w:shd w:val="clear" w:color="auto" w:fill="auto"/>
            <w:tcMar>
              <w:top w:w="57" w:type="dxa"/>
              <w:bottom w:w="57" w:type="dxa"/>
            </w:tcMar>
          </w:tcPr>
          <w:p w14:paraId="006AF8AB"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color w:val="0070C0"/>
                <w:spacing w:val="1"/>
                <w:lang w:eastAsia="fr-FR"/>
              </w:rPr>
            </w:pPr>
          </w:p>
        </w:tc>
        <w:tc>
          <w:tcPr>
            <w:tcW w:w="2202" w:type="pct"/>
            <w:shd w:val="clear" w:color="auto" w:fill="auto"/>
            <w:tcMar>
              <w:top w:w="57" w:type="dxa"/>
              <w:bottom w:w="57" w:type="dxa"/>
            </w:tcMar>
          </w:tcPr>
          <w:p w14:paraId="22D26442"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360" w:right="216"/>
              <w:jc w:val="both"/>
              <w:textAlignment w:val="baseline"/>
              <w:rPr>
                <w:rFonts w:cs="Arial"/>
                <w:b/>
                <w:bCs/>
                <w:color w:val="0070C0"/>
                <w:spacing w:val="1"/>
                <w:lang w:eastAsia="fr-FR"/>
              </w:rPr>
            </w:pPr>
            <w:r w:rsidRPr="004C342D">
              <w:rPr>
                <w:rFonts w:cs="Arial"/>
                <w:b/>
                <w:bCs/>
                <w:color w:val="0070C0"/>
                <w:spacing w:val="1"/>
                <w:lang w:eastAsia="fr-FR"/>
              </w:rPr>
              <w:t>Parameters</w:t>
            </w:r>
          </w:p>
        </w:tc>
        <w:tc>
          <w:tcPr>
            <w:tcW w:w="724" w:type="pct"/>
            <w:shd w:val="clear" w:color="auto" w:fill="auto"/>
            <w:tcMar>
              <w:top w:w="57" w:type="dxa"/>
              <w:bottom w:w="57" w:type="dxa"/>
            </w:tcMar>
          </w:tcPr>
          <w:p w14:paraId="7C5CEAED"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
                <w:bCs/>
                <w:color w:val="0070C0"/>
                <w:spacing w:val="1"/>
                <w:lang w:eastAsia="fr-FR"/>
              </w:rPr>
            </w:pPr>
            <w:r w:rsidRPr="004C342D">
              <w:rPr>
                <w:rFonts w:cs="Arial"/>
                <w:b/>
                <w:bCs/>
                <w:color w:val="0070C0"/>
                <w:spacing w:val="1"/>
                <w:lang w:eastAsia="fr-FR"/>
              </w:rPr>
              <w:t>Value</w:t>
            </w:r>
          </w:p>
        </w:tc>
        <w:tc>
          <w:tcPr>
            <w:tcW w:w="1653" w:type="pct"/>
            <w:shd w:val="clear" w:color="auto" w:fill="auto"/>
          </w:tcPr>
          <w:p w14:paraId="13AD7F39"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
                <w:bCs/>
                <w:color w:val="0070C0"/>
                <w:spacing w:val="1"/>
                <w:lang w:eastAsia="fr-FR"/>
              </w:rPr>
            </w:pPr>
            <w:r w:rsidRPr="004C342D">
              <w:rPr>
                <w:rFonts w:cs="Arial"/>
                <w:b/>
                <w:bCs/>
                <w:color w:val="0070C0"/>
                <w:spacing w:val="1"/>
                <w:lang w:eastAsia="fr-FR"/>
              </w:rPr>
              <w:t>References</w:t>
            </w:r>
          </w:p>
        </w:tc>
      </w:tr>
      <w:tr w:rsidR="001E65DB" w:rsidRPr="004C342D" w14:paraId="76CE9A77" w14:textId="77777777" w:rsidTr="003E3E25">
        <w:trPr>
          <w:trHeight w:val="177"/>
          <w:tblHeader/>
        </w:trPr>
        <w:tc>
          <w:tcPr>
            <w:tcW w:w="421" w:type="pct"/>
            <w:vMerge w:val="restart"/>
            <w:shd w:val="clear" w:color="auto" w:fill="auto"/>
            <w:tcMar>
              <w:top w:w="57" w:type="dxa"/>
              <w:bottom w:w="57" w:type="dxa"/>
            </w:tcMar>
          </w:tcPr>
          <w:p w14:paraId="64B31178" w14:textId="77777777" w:rsidR="001E65DB" w:rsidRPr="004C342D" w:rsidRDefault="001E65DB" w:rsidP="001E65DB">
            <w:pPr>
              <w:keepNext/>
              <w:widowControl w:val="0"/>
              <w:shd w:val="clear" w:color="auto" w:fill="D9D9D9" w:themeFill="background1" w:themeFillShade="D9"/>
              <w:tabs>
                <w:tab w:val="left" w:pos="1755"/>
              </w:tabs>
              <w:kinsoku w:val="0"/>
              <w:overflowPunct w:val="0"/>
              <w:autoSpaceDE w:val="0"/>
              <w:autoSpaceDN w:val="0"/>
              <w:adjustRightInd w:val="0"/>
              <w:spacing w:before="0" w:after="0"/>
              <w:ind w:left="66" w:right="70"/>
              <w:textAlignment w:val="baseline"/>
              <w:rPr>
                <w:rFonts w:cs="Arial"/>
                <w:bCs/>
                <w:color w:val="0070C0"/>
                <w:spacing w:val="1"/>
                <w:lang w:eastAsia="fr-FR"/>
              </w:rPr>
            </w:pPr>
            <w:r w:rsidRPr="004C342D">
              <w:rPr>
                <w:rFonts w:cs="Arial"/>
                <w:bCs/>
                <w:color w:val="0070C0"/>
                <w:spacing w:val="1"/>
                <w:lang w:eastAsia="fr-FR"/>
              </w:rPr>
              <w:t>Tier 1</w:t>
            </w:r>
          </w:p>
          <w:p w14:paraId="44B206C8"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p w14:paraId="7CBAFD7F"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lang w:eastAsia="fr-FR"/>
              </w:rPr>
            </w:pPr>
          </w:p>
        </w:tc>
        <w:tc>
          <w:tcPr>
            <w:tcW w:w="2202" w:type="pct"/>
            <w:shd w:val="clear" w:color="auto" w:fill="auto"/>
            <w:tcMar>
              <w:top w:w="57" w:type="dxa"/>
              <w:bottom w:w="57" w:type="dxa"/>
            </w:tcMar>
          </w:tcPr>
          <w:p w14:paraId="2C9BDEFC"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rFonts w:cs="Arial"/>
                <w:bCs/>
                <w:color w:val="0070C0"/>
                <w:spacing w:val="1"/>
                <w:lang w:eastAsia="fr-FR"/>
              </w:rPr>
            </w:pPr>
            <w:r w:rsidRPr="004C342D">
              <w:rPr>
                <w:color w:val="0070C0"/>
                <w:lang w:eastAsia="en-US"/>
              </w:rPr>
              <w:t>Application rate (g product/m² fabric)</w:t>
            </w:r>
          </w:p>
        </w:tc>
        <w:tc>
          <w:tcPr>
            <w:tcW w:w="724" w:type="pct"/>
            <w:shd w:val="clear" w:color="auto" w:fill="auto"/>
            <w:tcMar>
              <w:top w:w="57" w:type="dxa"/>
              <w:bottom w:w="57" w:type="dxa"/>
            </w:tcMar>
          </w:tcPr>
          <w:p w14:paraId="72C6281C"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
                <w:bCs/>
                <w:color w:val="0070C0"/>
                <w:spacing w:val="1"/>
                <w:lang w:eastAsia="fr-FR"/>
              </w:rPr>
            </w:pPr>
            <w:r w:rsidRPr="004C342D">
              <w:rPr>
                <w:rFonts w:cs="Arial"/>
                <w:b/>
                <w:bCs/>
                <w:color w:val="0070C0"/>
                <w:spacing w:val="1"/>
                <w:lang w:eastAsia="fr-FR"/>
              </w:rPr>
              <w:t>8.5</w:t>
            </w:r>
          </w:p>
          <w:p w14:paraId="36FDADB6"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
                <w:bCs/>
                <w:color w:val="0070C0"/>
                <w:spacing w:val="1"/>
                <w:lang w:eastAsia="fr-FR"/>
              </w:rPr>
            </w:pPr>
            <w:r w:rsidRPr="004C342D">
              <w:rPr>
                <w:rFonts w:cs="Arial"/>
                <w:b/>
                <w:bCs/>
                <w:color w:val="0070C0"/>
                <w:spacing w:val="1"/>
                <w:lang w:eastAsia="fr-FR"/>
              </w:rPr>
              <w:t>and 6</w:t>
            </w:r>
          </w:p>
        </w:tc>
        <w:tc>
          <w:tcPr>
            <w:tcW w:w="1653" w:type="pct"/>
            <w:shd w:val="clear" w:color="auto" w:fill="auto"/>
            <w:vAlign w:val="center"/>
          </w:tcPr>
          <w:p w14:paraId="3CFDFC8E"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r w:rsidRPr="004C342D">
              <w:rPr>
                <w:rFonts w:cs="Arial"/>
                <w:bCs/>
                <w:color w:val="0070C0"/>
                <w:spacing w:val="1"/>
                <w:lang w:eastAsia="fr-FR"/>
              </w:rPr>
              <w:t>Applicant’s data</w:t>
            </w:r>
          </w:p>
        </w:tc>
      </w:tr>
      <w:tr w:rsidR="001E65DB" w:rsidRPr="004C342D" w14:paraId="13A729AF" w14:textId="77777777" w:rsidTr="003E3E25">
        <w:trPr>
          <w:trHeight w:val="208"/>
          <w:tblHeader/>
        </w:trPr>
        <w:tc>
          <w:tcPr>
            <w:tcW w:w="421" w:type="pct"/>
            <w:vMerge/>
            <w:shd w:val="clear" w:color="auto" w:fill="auto"/>
            <w:tcMar>
              <w:top w:w="57" w:type="dxa"/>
              <w:bottom w:w="57" w:type="dxa"/>
            </w:tcMar>
          </w:tcPr>
          <w:p w14:paraId="6F08C0FD"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tcPr>
          <w:p w14:paraId="3DE08A32"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rFonts w:cs="Arial"/>
                <w:bCs/>
                <w:color w:val="0070C0"/>
                <w:spacing w:val="1"/>
                <w:lang w:eastAsia="fr-FR"/>
              </w:rPr>
            </w:pPr>
            <w:r w:rsidRPr="004C342D">
              <w:rPr>
                <w:rFonts w:cs="Arial"/>
                <w:bCs/>
                <w:color w:val="0070C0"/>
                <w:spacing w:val="1"/>
                <w:lang w:eastAsia="fr-FR"/>
              </w:rPr>
              <w:t xml:space="preserve">% of active substance in biocidal product </w:t>
            </w:r>
          </w:p>
        </w:tc>
        <w:tc>
          <w:tcPr>
            <w:tcW w:w="724" w:type="pct"/>
            <w:shd w:val="clear" w:color="auto" w:fill="auto"/>
            <w:tcMar>
              <w:top w:w="57" w:type="dxa"/>
              <w:bottom w:w="57" w:type="dxa"/>
            </w:tcMar>
          </w:tcPr>
          <w:p w14:paraId="6A22635F"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Cs/>
                <w:color w:val="0070C0"/>
                <w:spacing w:val="1"/>
                <w:lang w:eastAsia="fr-FR"/>
              </w:rPr>
            </w:pPr>
            <w:r w:rsidRPr="004C342D">
              <w:rPr>
                <w:rFonts w:cs="Arial"/>
                <w:bCs/>
                <w:color w:val="0070C0"/>
                <w:spacing w:val="1"/>
                <w:lang w:eastAsia="fr-FR"/>
              </w:rPr>
              <w:t>20%</w:t>
            </w:r>
          </w:p>
        </w:tc>
        <w:tc>
          <w:tcPr>
            <w:tcW w:w="1653" w:type="pct"/>
            <w:shd w:val="clear" w:color="auto" w:fill="auto"/>
            <w:vAlign w:val="center"/>
          </w:tcPr>
          <w:p w14:paraId="444B3117"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r w:rsidRPr="004C342D">
              <w:rPr>
                <w:rFonts w:cs="Arial"/>
                <w:bCs/>
                <w:color w:val="0070C0"/>
                <w:spacing w:val="1"/>
                <w:lang w:eastAsia="fr-FR"/>
              </w:rPr>
              <w:t>Applicant’s data</w:t>
            </w:r>
          </w:p>
        </w:tc>
      </w:tr>
      <w:tr w:rsidR="001E65DB" w:rsidRPr="004C342D" w14:paraId="4F6C7FB6" w14:textId="77777777" w:rsidTr="003E3E25">
        <w:trPr>
          <w:trHeight w:val="208"/>
          <w:tblHeader/>
        </w:trPr>
        <w:tc>
          <w:tcPr>
            <w:tcW w:w="421" w:type="pct"/>
            <w:vMerge/>
            <w:shd w:val="clear" w:color="auto" w:fill="auto"/>
            <w:tcMar>
              <w:top w:w="57" w:type="dxa"/>
              <w:bottom w:w="57" w:type="dxa"/>
            </w:tcMar>
          </w:tcPr>
          <w:p w14:paraId="0EF6C863"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tcPr>
          <w:p w14:paraId="2C723F14"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rFonts w:cs="Arial"/>
                <w:bCs/>
                <w:color w:val="0070C0"/>
                <w:spacing w:val="1"/>
                <w:lang w:eastAsia="fr-FR"/>
              </w:rPr>
            </w:pPr>
            <w:r w:rsidRPr="004C342D">
              <w:rPr>
                <w:rFonts w:cs="Arial"/>
                <w:bCs/>
                <w:color w:val="0070C0"/>
                <w:spacing w:val="1"/>
                <w:lang w:eastAsia="fr-FR"/>
              </w:rPr>
              <w:t>Reduction in exposure (long sleeve shirt and long pants)</w:t>
            </w:r>
          </w:p>
        </w:tc>
        <w:tc>
          <w:tcPr>
            <w:tcW w:w="724" w:type="pct"/>
            <w:shd w:val="clear" w:color="auto" w:fill="auto"/>
            <w:tcMar>
              <w:top w:w="57" w:type="dxa"/>
              <w:bottom w:w="57" w:type="dxa"/>
            </w:tcMar>
          </w:tcPr>
          <w:p w14:paraId="35EAB630"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Cs/>
                <w:color w:val="0070C0"/>
                <w:spacing w:val="1"/>
                <w:lang w:eastAsia="fr-FR"/>
              </w:rPr>
            </w:pPr>
            <w:r w:rsidRPr="004C342D">
              <w:rPr>
                <w:rFonts w:cs="Arial"/>
                <w:bCs/>
                <w:color w:val="0070C0"/>
                <w:spacing w:val="1"/>
                <w:lang w:eastAsia="fr-FR"/>
              </w:rPr>
              <w:t>50%</w:t>
            </w:r>
          </w:p>
        </w:tc>
        <w:tc>
          <w:tcPr>
            <w:tcW w:w="1653" w:type="pct"/>
            <w:shd w:val="clear" w:color="auto" w:fill="auto"/>
            <w:vAlign w:val="center"/>
          </w:tcPr>
          <w:p w14:paraId="085C13B3"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r w:rsidRPr="004C342D">
              <w:rPr>
                <w:rFonts w:cs="Arial"/>
                <w:bCs/>
                <w:color w:val="0070C0"/>
                <w:spacing w:val="1"/>
                <w:lang w:eastAsia="fr-FR"/>
              </w:rPr>
              <w:t>Recommendation no. 8, 2015</w:t>
            </w:r>
          </w:p>
        </w:tc>
      </w:tr>
      <w:tr w:rsidR="001E65DB" w:rsidRPr="004C342D" w14:paraId="6CE793B1" w14:textId="77777777" w:rsidTr="003E3E25">
        <w:trPr>
          <w:trHeight w:val="185"/>
          <w:tblHeader/>
        </w:trPr>
        <w:tc>
          <w:tcPr>
            <w:tcW w:w="421" w:type="pct"/>
            <w:vMerge/>
            <w:shd w:val="clear" w:color="auto" w:fill="auto"/>
            <w:tcMar>
              <w:top w:w="57" w:type="dxa"/>
              <w:bottom w:w="57" w:type="dxa"/>
            </w:tcMar>
          </w:tcPr>
          <w:p w14:paraId="106C401D"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tcPr>
          <w:p w14:paraId="23E44798"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rFonts w:cs="Arial"/>
                <w:bCs/>
                <w:color w:val="0070C0"/>
                <w:spacing w:val="1"/>
                <w:lang w:eastAsia="fr-FR"/>
              </w:rPr>
            </w:pPr>
            <w:r w:rsidRPr="004C342D">
              <w:rPr>
                <w:color w:val="0070C0"/>
                <w:lang w:eastAsia="en-US"/>
              </w:rPr>
              <w:t>Dermal absorption (%)</w:t>
            </w:r>
          </w:p>
        </w:tc>
        <w:tc>
          <w:tcPr>
            <w:tcW w:w="724" w:type="pct"/>
            <w:shd w:val="clear" w:color="auto" w:fill="auto"/>
            <w:tcMar>
              <w:top w:w="57" w:type="dxa"/>
              <w:bottom w:w="57" w:type="dxa"/>
            </w:tcMar>
          </w:tcPr>
          <w:p w14:paraId="079B4865"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Cs/>
                <w:color w:val="0070C0"/>
                <w:spacing w:val="1"/>
                <w:lang w:eastAsia="fr-FR"/>
              </w:rPr>
            </w:pPr>
            <w:r w:rsidRPr="004C342D">
              <w:rPr>
                <w:rFonts w:cs="Arial"/>
                <w:bCs/>
                <w:color w:val="0070C0"/>
                <w:spacing w:val="1"/>
                <w:lang w:eastAsia="fr-FR"/>
              </w:rPr>
              <w:t>14%</w:t>
            </w:r>
          </w:p>
        </w:tc>
        <w:tc>
          <w:tcPr>
            <w:tcW w:w="1653" w:type="pct"/>
            <w:shd w:val="clear" w:color="auto" w:fill="auto"/>
            <w:vAlign w:val="center"/>
          </w:tcPr>
          <w:p w14:paraId="6B350AAE"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r w:rsidRPr="004C342D">
              <w:rPr>
                <w:rFonts w:cs="Arial"/>
                <w:bCs/>
                <w:color w:val="0070C0"/>
                <w:spacing w:val="1"/>
                <w:lang w:eastAsia="fr-FR"/>
              </w:rPr>
              <w:t>CAR IR3535</w:t>
            </w:r>
          </w:p>
        </w:tc>
      </w:tr>
      <w:tr w:rsidR="001E65DB" w:rsidRPr="004C342D" w14:paraId="60953648" w14:textId="77777777" w:rsidTr="003E3E25">
        <w:trPr>
          <w:trHeight w:val="185"/>
          <w:tblHeader/>
        </w:trPr>
        <w:tc>
          <w:tcPr>
            <w:tcW w:w="421" w:type="pct"/>
            <w:vMerge/>
            <w:shd w:val="clear" w:color="auto" w:fill="auto"/>
            <w:tcMar>
              <w:top w:w="57" w:type="dxa"/>
              <w:bottom w:w="57" w:type="dxa"/>
            </w:tcMar>
          </w:tcPr>
          <w:p w14:paraId="0B19EF74"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lang w:eastAsia="fr-FR"/>
              </w:rPr>
            </w:pPr>
          </w:p>
        </w:tc>
        <w:tc>
          <w:tcPr>
            <w:tcW w:w="2926" w:type="pct"/>
            <w:gridSpan w:val="2"/>
            <w:shd w:val="clear" w:color="auto" w:fill="auto"/>
            <w:tcMar>
              <w:top w:w="57" w:type="dxa"/>
              <w:bottom w:w="57" w:type="dxa"/>
            </w:tcMar>
          </w:tcPr>
          <w:p w14:paraId="7D03FC3F"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Cs/>
                <w:color w:val="0070C0"/>
                <w:spacing w:val="1"/>
                <w:lang w:eastAsia="fr-FR"/>
              </w:rPr>
            </w:pPr>
            <w:r w:rsidRPr="004C342D">
              <w:rPr>
                <w:rFonts w:cs="Arial"/>
                <w:b/>
                <w:bCs/>
                <w:color w:val="0070C0"/>
                <w:spacing w:val="1"/>
                <w:lang w:eastAsia="fr-FR"/>
              </w:rPr>
              <w:t>Body weight (kg)</w:t>
            </w:r>
          </w:p>
        </w:tc>
        <w:tc>
          <w:tcPr>
            <w:tcW w:w="1653" w:type="pct"/>
            <w:vMerge w:val="restart"/>
            <w:shd w:val="clear" w:color="auto" w:fill="auto"/>
            <w:vAlign w:val="center"/>
          </w:tcPr>
          <w:p w14:paraId="1CF0E530"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r w:rsidRPr="004C342D">
              <w:rPr>
                <w:color w:val="0070C0"/>
              </w:rPr>
              <w:t>Recommendation no. 14, 2017</w:t>
            </w:r>
          </w:p>
        </w:tc>
      </w:tr>
      <w:tr w:rsidR="001E65DB" w:rsidRPr="004C342D" w14:paraId="3F15FE38" w14:textId="77777777" w:rsidTr="003E3E25">
        <w:trPr>
          <w:trHeight w:val="20"/>
          <w:tblHeader/>
        </w:trPr>
        <w:tc>
          <w:tcPr>
            <w:tcW w:w="421" w:type="pct"/>
            <w:vMerge/>
            <w:shd w:val="clear" w:color="auto" w:fill="auto"/>
            <w:tcMar>
              <w:top w:w="57" w:type="dxa"/>
              <w:bottom w:w="57" w:type="dxa"/>
            </w:tcMar>
          </w:tcPr>
          <w:p w14:paraId="57504BCF"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vAlign w:val="center"/>
          </w:tcPr>
          <w:p w14:paraId="3E79345E"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color w:val="0070C0"/>
                <w:lang w:eastAsia="en-US"/>
              </w:rPr>
            </w:pPr>
            <w:r w:rsidRPr="004C342D">
              <w:rPr>
                <w:rFonts w:cs="Arial"/>
                <w:color w:val="0070C0"/>
                <w:lang w:eastAsia="fr-FR"/>
              </w:rPr>
              <w:t>Adult</w:t>
            </w:r>
          </w:p>
        </w:tc>
        <w:tc>
          <w:tcPr>
            <w:tcW w:w="724" w:type="pct"/>
            <w:shd w:val="clear" w:color="auto" w:fill="auto"/>
            <w:tcMar>
              <w:top w:w="57" w:type="dxa"/>
              <w:bottom w:w="57" w:type="dxa"/>
            </w:tcMar>
          </w:tcPr>
          <w:p w14:paraId="4ADAD0C4"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Cs/>
                <w:color w:val="0070C0"/>
                <w:spacing w:val="1"/>
                <w:lang w:eastAsia="fr-FR"/>
              </w:rPr>
            </w:pPr>
            <w:r w:rsidRPr="004C342D">
              <w:rPr>
                <w:rFonts w:cs="Arial"/>
                <w:color w:val="0070C0"/>
                <w:lang w:eastAsia="fr-FR"/>
              </w:rPr>
              <w:t>60</w:t>
            </w:r>
          </w:p>
        </w:tc>
        <w:tc>
          <w:tcPr>
            <w:tcW w:w="1653" w:type="pct"/>
            <w:vMerge/>
            <w:shd w:val="clear" w:color="auto" w:fill="auto"/>
            <w:vAlign w:val="center"/>
          </w:tcPr>
          <w:p w14:paraId="4787C825"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p>
        </w:tc>
      </w:tr>
      <w:tr w:rsidR="001E65DB" w:rsidRPr="004C342D" w14:paraId="6D2C9877" w14:textId="77777777" w:rsidTr="003E3E25">
        <w:trPr>
          <w:trHeight w:val="185"/>
          <w:tblHeader/>
        </w:trPr>
        <w:tc>
          <w:tcPr>
            <w:tcW w:w="421" w:type="pct"/>
            <w:vMerge/>
            <w:shd w:val="clear" w:color="auto" w:fill="auto"/>
            <w:tcMar>
              <w:top w:w="57" w:type="dxa"/>
              <w:bottom w:w="57" w:type="dxa"/>
            </w:tcMar>
          </w:tcPr>
          <w:p w14:paraId="49C68ED3"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vAlign w:val="center"/>
          </w:tcPr>
          <w:p w14:paraId="6161FE61"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color w:val="0070C0"/>
                <w:lang w:eastAsia="en-US"/>
              </w:rPr>
            </w:pPr>
            <w:r w:rsidRPr="004C342D">
              <w:rPr>
                <w:rFonts w:cs="Arial"/>
                <w:color w:val="0070C0"/>
                <w:lang w:eastAsia="fr-FR"/>
              </w:rPr>
              <w:t>Child (6 to &lt;12 years old)</w:t>
            </w:r>
          </w:p>
        </w:tc>
        <w:tc>
          <w:tcPr>
            <w:tcW w:w="724" w:type="pct"/>
            <w:shd w:val="clear" w:color="auto" w:fill="auto"/>
            <w:tcMar>
              <w:top w:w="57" w:type="dxa"/>
              <w:bottom w:w="57" w:type="dxa"/>
            </w:tcMar>
          </w:tcPr>
          <w:p w14:paraId="0768C541"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Cs/>
                <w:color w:val="0070C0"/>
                <w:spacing w:val="1"/>
                <w:lang w:eastAsia="fr-FR"/>
              </w:rPr>
            </w:pPr>
            <w:r w:rsidRPr="004C342D">
              <w:rPr>
                <w:rFonts w:cs="Arial"/>
                <w:color w:val="0070C0"/>
                <w:lang w:eastAsia="fr-FR"/>
              </w:rPr>
              <w:t>23.9</w:t>
            </w:r>
          </w:p>
        </w:tc>
        <w:tc>
          <w:tcPr>
            <w:tcW w:w="1653" w:type="pct"/>
            <w:vMerge/>
            <w:shd w:val="clear" w:color="auto" w:fill="auto"/>
            <w:vAlign w:val="center"/>
          </w:tcPr>
          <w:p w14:paraId="5964054F"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p>
        </w:tc>
      </w:tr>
      <w:tr w:rsidR="001E65DB" w:rsidRPr="004C342D" w14:paraId="3EB93335" w14:textId="77777777" w:rsidTr="003E3E25">
        <w:trPr>
          <w:trHeight w:val="185"/>
          <w:tblHeader/>
        </w:trPr>
        <w:tc>
          <w:tcPr>
            <w:tcW w:w="421" w:type="pct"/>
            <w:vMerge/>
            <w:shd w:val="clear" w:color="auto" w:fill="auto"/>
            <w:tcMar>
              <w:top w:w="57" w:type="dxa"/>
              <w:bottom w:w="57" w:type="dxa"/>
            </w:tcMar>
          </w:tcPr>
          <w:p w14:paraId="62E1F53B"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vAlign w:val="center"/>
          </w:tcPr>
          <w:p w14:paraId="1189B6C5"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color w:val="0070C0"/>
                <w:lang w:eastAsia="en-US"/>
              </w:rPr>
            </w:pPr>
            <w:r w:rsidRPr="004C342D">
              <w:rPr>
                <w:rFonts w:cs="Arial"/>
                <w:color w:val="0070C0"/>
                <w:lang w:eastAsia="fr-FR"/>
              </w:rPr>
              <w:t>Child (2 to &lt;6 years old)</w:t>
            </w:r>
          </w:p>
        </w:tc>
        <w:tc>
          <w:tcPr>
            <w:tcW w:w="724" w:type="pct"/>
            <w:shd w:val="clear" w:color="auto" w:fill="auto"/>
            <w:tcMar>
              <w:top w:w="57" w:type="dxa"/>
              <w:bottom w:w="57" w:type="dxa"/>
            </w:tcMar>
          </w:tcPr>
          <w:p w14:paraId="6B357157"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Cs/>
                <w:color w:val="0070C0"/>
                <w:spacing w:val="1"/>
                <w:lang w:eastAsia="fr-FR"/>
              </w:rPr>
            </w:pPr>
            <w:r w:rsidRPr="004C342D">
              <w:rPr>
                <w:rFonts w:cs="Arial"/>
                <w:color w:val="0070C0"/>
                <w:lang w:eastAsia="fr-FR"/>
              </w:rPr>
              <w:t>15.6</w:t>
            </w:r>
          </w:p>
        </w:tc>
        <w:tc>
          <w:tcPr>
            <w:tcW w:w="1653" w:type="pct"/>
            <w:vMerge/>
            <w:shd w:val="clear" w:color="auto" w:fill="auto"/>
            <w:vAlign w:val="center"/>
          </w:tcPr>
          <w:p w14:paraId="7C4A0545"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p>
        </w:tc>
      </w:tr>
      <w:tr w:rsidR="001E65DB" w:rsidRPr="004C342D" w14:paraId="1D31E8BF" w14:textId="77777777" w:rsidTr="003E3E25">
        <w:trPr>
          <w:trHeight w:val="185"/>
          <w:tblHeader/>
        </w:trPr>
        <w:tc>
          <w:tcPr>
            <w:tcW w:w="421" w:type="pct"/>
            <w:vMerge/>
            <w:shd w:val="clear" w:color="auto" w:fill="auto"/>
            <w:tcMar>
              <w:top w:w="57" w:type="dxa"/>
              <w:bottom w:w="57" w:type="dxa"/>
            </w:tcMar>
          </w:tcPr>
          <w:p w14:paraId="61EE5DEE"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vAlign w:val="center"/>
          </w:tcPr>
          <w:p w14:paraId="10965FF6"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color w:val="0070C0"/>
                <w:lang w:eastAsia="en-US"/>
              </w:rPr>
            </w:pPr>
            <w:r w:rsidRPr="004C342D">
              <w:rPr>
                <w:rFonts w:cs="Arial"/>
                <w:color w:val="0070C0"/>
                <w:lang w:eastAsia="fr-FR"/>
              </w:rPr>
              <w:t>Toddler (1 to &lt;2 years old)</w:t>
            </w:r>
          </w:p>
        </w:tc>
        <w:tc>
          <w:tcPr>
            <w:tcW w:w="724" w:type="pct"/>
            <w:shd w:val="clear" w:color="auto" w:fill="auto"/>
            <w:tcMar>
              <w:top w:w="57" w:type="dxa"/>
              <w:bottom w:w="57" w:type="dxa"/>
            </w:tcMar>
          </w:tcPr>
          <w:p w14:paraId="73EC1471"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Cs/>
                <w:color w:val="0070C0"/>
                <w:spacing w:val="1"/>
                <w:lang w:eastAsia="fr-FR"/>
              </w:rPr>
            </w:pPr>
            <w:r w:rsidRPr="004C342D">
              <w:rPr>
                <w:rFonts w:cs="Arial"/>
                <w:color w:val="0070C0"/>
                <w:lang w:eastAsia="fr-FR"/>
              </w:rPr>
              <w:t>10</w:t>
            </w:r>
          </w:p>
        </w:tc>
        <w:tc>
          <w:tcPr>
            <w:tcW w:w="1653" w:type="pct"/>
            <w:vMerge/>
            <w:shd w:val="clear" w:color="auto" w:fill="auto"/>
            <w:vAlign w:val="center"/>
          </w:tcPr>
          <w:p w14:paraId="42D9161B"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p>
        </w:tc>
      </w:tr>
      <w:tr w:rsidR="001E65DB" w:rsidRPr="004C342D" w14:paraId="23B76353" w14:textId="77777777" w:rsidTr="003E3E25">
        <w:trPr>
          <w:trHeight w:val="185"/>
          <w:tblHeader/>
        </w:trPr>
        <w:tc>
          <w:tcPr>
            <w:tcW w:w="421" w:type="pct"/>
            <w:vMerge/>
            <w:shd w:val="clear" w:color="auto" w:fill="auto"/>
            <w:tcMar>
              <w:top w:w="57" w:type="dxa"/>
              <w:bottom w:w="57" w:type="dxa"/>
            </w:tcMar>
          </w:tcPr>
          <w:p w14:paraId="1EBAA02F"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vAlign w:val="center"/>
          </w:tcPr>
          <w:p w14:paraId="789FF8C6"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color w:val="0070C0"/>
                <w:lang w:eastAsia="en-US"/>
              </w:rPr>
            </w:pPr>
            <w:r w:rsidRPr="004C342D">
              <w:rPr>
                <w:rFonts w:cs="Arial"/>
                <w:color w:val="0070C0"/>
                <w:lang w:eastAsia="fr-FR"/>
              </w:rPr>
              <w:t>Infant (&lt;1 year old)</w:t>
            </w:r>
          </w:p>
        </w:tc>
        <w:tc>
          <w:tcPr>
            <w:tcW w:w="724" w:type="pct"/>
            <w:shd w:val="clear" w:color="auto" w:fill="auto"/>
            <w:tcMar>
              <w:top w:w="57" w:type="dxa"/>
              <w:bottom w:w="57" w:type="dxa"/>
            </w:tcMar>
          </w:tcPr>
          <w:p w14:paraId="2C17ABA2"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bCs/>
                <w:color w:val="0070C0"/>
                <w:spacing w:val="1"/>
                <w:lang w:eastAsia="fr-FR"/>
              </w:rPr>
            </w:pPr>
            <w:r w:rsidRPr="004C342D">
              <w:rPr>
                <w:rFonts w:cs="Arial"/>
                <w:color w:val="0070C0"/>
                <w:lang w:eastAsia="fr-FR"/>
              </w:rPr>
              <w:t>8</w:t>
            </w:r>
          </w:p>
        </w:tc>
        <w:tc>
          <w:tcPr>
            <w:tcW w:w="1653" w:type="pct"/>
            <w:vMerge/>
            <w:shd w:val="clear" w:color="auto" w:fill="auto"/>
            <w:vAlign w:val="center"/>
          </w:tcPr>
          <w:p w14:paraId="23202851"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p>
        </w:tc>
      </w:tr>
      <w:tr w:rsidR="001E65DB" w:rsidRPr="004C342D" w14:paraId="6F66C035" w14:textId="77777777" w:rsidTr="003E3E25">
        <w:trPr>
          <w:trHeight w:val="177"/>
          <w:tblHeader/>
        </w:trPr>
        <w:tc>
          <w:tcPr>
            <w:tcW w:w="421" w:type="pct"/>
            <w:vMerge w:val="restart"/>
            <w:shd w:val="clear" w:color="auto" w:fill="auto"/>
            <w:tcMar>
              <w:top w:w="57" w:type="dxa"/>
              <w:bottom w:w="57" w:type="dxa"/>
            </w:tcMar>
          </w:tcPr>
          <w:p w14:paraId="4D6A2DF6"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926" w:type="pct"/>
            <w:gridSpan w:val="2"/>
            <w:shd w:val="clear" w:color="auto" w:fill="auto"/>
            <w:tcMar>
              <w:top w:w="57" w:type="dxa"/>
              <w:bottom w:w="57" w:type="dxa"/>
            </w:tcMar>
            <w:vAlign w:val="center"/>
          </w:tcPr>
          <w:p w14:paraId="7D7202CA"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r w:rsidRPr="004C342D">
              <w:rPr>
                <w:rFonts w:cs="Arial"/>
                <w:b/>
                <w:bCs/>
                <w:color w:val="0070C0"/>
                <w:spacing w:val="1"/>
                <w:lang w:eastAsia="fr-FR"/>
              </w:rPr>
              <w:t>Treated textile surface (cm²)</w:t>
            </w:r>
            <w:r w:rsidRPr="004C342D">
              <w:rPr>
                <w:rFonts w:cs="Arial"/>
                <w:bCs/>
                <w:color w:val="0070C0"/>
                <w:spacing w:val="1"/>
                <w:lang w:eastAsia="fr-FR"/>
              </w:rPr>
              <w:t xml:space="preserve"> </w:t>
            </w:r>
          </w:p>
          <w:p w14:paraId="19E20A14"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textAlignment w:val="baseline"/>
              <w:rPr>
                <w:rFonts w:cs="Arial"/>
                <w:color w:val="0070C0"/>
                <w:szCs w:val="18"/>
                <w:lang w:eastAsia="fr-FR"/>
              </w:rPr>
            </w:pPr>
            <w:r w:rsidRPr="004C342D">
              <w:rPr>
                <w:rFonts w:cs="Arial"/>
                <w:b/>
                <w:bCs/>
                <w:color w:val="0070C0"/>
                <w:spacing w:val="1"/>
                <w:lang w:eastAsia="fr-FR"/>
              </w:rPr>
              <w:t>T shirt  + short = total BS  - (uncovered surface proposed in FR) (cm²)</w:t>
            </w:r>
          </w:p>
        </w:tc>
        <w:tc>
          <w:tcPr>
            <w:tcW w:w="1653" w:type="pct"/>
            <w:vMerge w:val="restart"/>
            <w:shd w:val="clear" w:color="auto" w:fill="auto"/>
            <w:vAlign w:val="center"/>
          </w:tcPr>
          <w:p w14:paraId="0FA95D23"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r w:rsidRPr="004C342D">
              <w:rPr>
                <w:color w:val="0070C0"/>
              </w:rPr>
              <w:t>Recommendation no. 14, 2017</w:t>
            </w:r>
          </w:p>
        </w:tc>
      </w:tr>
      <w:tr w:rsidR="001E65DB" w:rsidRPr="004C342D" w14:paraId="134D104E" w14:textId="77777777" w:rsidTr="003E3E25">
        <w:trPr>
          <w:trHeight w:val="177"/>
          <w:tblHeader/>
        </w:trPr>
        <w:tc>
          <w:tcPr>
            <w:tcW w:w="421" w:type="pct"/>
            <w:vMerge/>
            <w:shd w:val="clear" w:color="auto" w:fill="auto"/>
            <w:tcMar>
              <w:top w:w="57" w:type="dxa"/>
              <w:bottom w:w="57" w:type="dxa"/>
            </w:tcMar>
          </w:tcPr>
          <w:p w14:paraId="53E8AFCF"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vAlign w:val="center"/>
          </w:tcPr>
          <w:p w14:paraId="20AD6A19"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rFonts w:cs="Arial"/>
                <w:color w:val="0070C0"/>
                <w:szCs w:val="18"/>
                <w:lang w:eastAsia="fr-FR"/>
              </w:rPr>
            </w:pPr>
            <w:r w:rsidRPr="004C342D">
              <w:rPr>
                <w:rFonts w:cs="Arial"/>
                <w:color w:val="0070C0"/>
                <w:szCs w:val="18"/>
                <w:lang w:eastAsia="fr-FR"/>
              </w:rPr>
              <w:t>Adult</w:t>
            </w:r>
          </w:p>
        </w:tc>
        <w:tc>
          <w:tcPr>
            <w:tcW w:w="724" w:type="pct"/>
            <w:shd w:val="clear" w:color="auto" w:fill="auto"/>
            <w:tcMar>
              <w:top w:w="57" w:type="dxa"/>
              <w:bottom w:w="57" w:type="dxa"/>
            </w:tcMar>
            <w:vAlign w:val="center"/>
          </w:tcPr>
          <w:p w14:paraId="37CC0904"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color w:val="0070C0"/>
                <w:szCs w:val="18"/>
                <w:lang w:eastAsia="fr-FR"/>
              </w:rPr>
            </w:pPr>
            <w:r w:rsidRPr="004C342D">
              <w:rPr>
                <w:rFonts w:cs="Arial"/>
                <w:color w:val="0070C0"/>
                <w:szCs w:val="18"/>
                <w:lang w:eastAsia="fr-FR"/>
              </w:rPr>
              <w:t>7072</w:t>
            </w:r>
          </w:p>
        </w:tc>
        <w:tc>
          <w:tcPr>
            <w:tcW w:w="1653" w:type="pct"/>
            <w:vMerge/>
            <w:shd w:val="clear" w:color="auto" w:fill="auto"/>
            <w:vAlign w:val="center"/>
          </w:tcPr>
          <w:p w14:paraId="2982A051"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p>
        </w:tc>
      </w:tr>
      <w:tr w:rsidR="001E65DB" w:rsidRPr="004C342D" w14:paraId="185AC625" w14:textId="77777777" w:rsidTr="003E3E25">
        <w:trPr>
          <w:trHeight w:val="177"/>
          <w:tblHeader/>
        </w:trPr>
        <w:tc>
          <w:tcPr>
            <w:tcW w:w="421" w:type="pct"/>
            <w:vMerge/>
            <w:shd w:val="clear" w:color="auto" w:fill="auto"/>
            <w:tcMar>
              <w:top w:w="57" w:type="dxa"/>
              <w:bottom w:w="57" w:type="dxa"/>
            </w:tcMar>
          </w:tcPr>
          <w:p w14:paraId="0E7741C0"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vAlign w:val="center"/>
          </w:tcPr>
          <w:p w14:paraId="10222C2F"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rFonts w:cs="Arial"/>
                <w:color w:val="0070C0"/>
                <w:szCs w:val="18"/>
                <w:lang w:eastAsia="fr-FR"/>
              </w:rPr>
            </w:pPr>
            <w:r w:rsidRPr="004C342D">
              <w:rPr>
                <w:rFonts w:cs="Arial"/>
                <w:color w:val="0070C0"/>
                <w:szCs w:val="18"/>
                <w:lang w:eastAsia="fr-FR"/>
              </w:rPr>
              <w:t>Child (6 to &lt;12 years old)</w:t>
            </w:r>
          </w:p>
        </w:tc>
        <w:tc>
          <w:tcPr>
            <w:tcW w:w="724" w:type="pct"/>
            <w:shd w:val="clear" w:color="auto" w:fill="auto"/>
            <w:tcMar>
              <w:top w:w="57" w:type="dxa"/>
              <w:bottom w:w="57" w:type="dxa"/>
            </w:tcMar>
            <w:vAlign w:val="center"/>
          </w:tcPr>
          <w:p w14:paraId="0A05BADA"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color w:val="0070C0"/>
                <w:szCs w:val="18"/>
                <w:lang w:eastAsia="fr-FR"/>
              </w:rPr>
            </w:pPr>
            <w:r w:rsidRPr="004C342D">
              <w:rPr>
                <w:rFonts w:cs="Arial"/>
                <w:color w:val="0070C0"/>
                <w:szCs w:val="18"/>
                <w:lang w:eastAsia="fr-FR"/>
              </w:rPr>
              <w:t>4104</w:t>
            </w:r>
          </w:p>
        </w:tc>
        <w:tc>
          <w:tcPr>
            <w:tcW w:w="1653" w:type="pct"/>
            <w:vMerge/>
            <w:shd w:val="clear" w:color="auto" w:fill="auto"/>
            <w:vAlign w:val="center"/>
          </w:tcPr>
          <w:p w14:paraId="18DE0461"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p>
        </w:tc>
      </w:tr>
      <w:tr w:rsidR="001E65DB" w:rsidRPr="004C342D" w14:paraId="66FF1B8E" w14:textId="77777777" w:rsidTr="003E3E25">
        <w:trPr>
          <w:trHeight w:val="177"/>
          <w:tblHeader/>
        </w:trPr>
        <w:tc>
          <w:tcPr>
            <w:tcW w:w="421" w:type="pct"/>
            <w:vMerge/>
            <w:shd w:val="clear" w:color="auto" w:fill="auto"/>
            <w:tcMar>
              <w:top w:w="57" w:type="dxa"/>
              <w:bottom w:w="57" w:type="dxa"/>
            </w:tcMar>
          </w:tcPr>
          <w:p w14:paraId="6D70492A"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vAlign w:val="center"/>
          </w:tcPr>
          <w:p w14:paraId="07B3B44A"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rFonts w:cs="Arial"/>
                <w:color w:val="0070C0"/>
                <w:szCs w:val="18"/>
                <w:lang w:eastAsia="fr-FR"/>
              </w:rPr>
            </w:pPr>
            <w:r w:rsidRPr="004C342D">
              <w:rPr>
                <w:rFonts w:cs="Arial"/>
                <w:color w:val="0070C0"/>
                <w:szCs w:val="18"/>
                <w:lang w:eastAsia="fr-FR"/>
              </w:rPr>
              <w:t>Child (2 to &lt;6 years old)</w:t>
            </w:r>
          </w:p>
        </w:tc>
        <w:tc>
          <w:tcPr>
            <w:tcW w:w="724" w:type="pct"/>
            <w:shd w:val="clear" w:color="auto" w:fill="auto"/>
            <w:tcMar>
              <w:top w:w="57" w:type="dxa"/>
              <w:bottom w:w="57" w:type="dxa"/>
            </w:tcMar>
            <w:vAlign w:val="center"/>
          </w:tcPr>
          <w:p w14:paraId="1418413E"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color w:val="0070C0"/>
                <w:szCs w:val="18"/>
                <w:lang w:eastAsia="fr-FR"/>
              </w:rPr>
            </w:pPr>
            <w:r w:rsidRPr="004C342D">
              <w:rPr>
                <w:rFonts w:cs="Arial"/>
                <w:color w:val="0070C0"/>
                <w:szCs w:val="18"/>
                <w:lang w:eastAsia="fr-FR"/>
              </w:rPr>
              <w:t>3021</w:t>
            </w:r>
          </w:p>
        </w:tc>
        <w:tc>
          <w:tcPr>
            <w:tcW w:w="1653" w:type="pct"/>
            <w:vMerge/>
            <w:shd w:val="clear" w:color="auto" w:fill="auto"/>
            <w:vAlign w:val="center"/>
          </w:tcPr>
          <w:p w14:paraId="018BB082"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p>
        </w:tc>
      </w:tr>
      <w:tr w:rsidR="001E65DB" w:rsidRPr="004C342D" w14:paraId="3C448699" w14:textId="77777777" w:rsidTr="003E3E25">
        <w:trPr>
          <w:trHeight w:val="177"/>
          <w:tblHeader/>
        </w:trPr>
        <w:tc>
          <w:tcPr>
            <w:tcW w:w="421" w:type="pct"/>
            <w:vMerge/>
            <w:shd w:val="clear" w:color="auto" w:fill="auto"/>
            <w:tcMar>
              <w:top w:w="57" w:type="dxa"/>
              <w:bottom w:w="57" w:type="dxa"/>
            </w:tcMar>
          </w:tcPr>
          <w:p w14:paraId="63D0F67E"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vAlign w:val="center"/>
          </w:tcPr>
          <w:p w14:paraId="628D3842"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rFonts w:cs="Arial"/>
                <w:color w:val="0070C0"/>
                <w:szCs w:val="18"/>
                <w:lang w:eastAsia="fr-FR"/>
              </w:rPr>
            </w:pPr>
            <w:r w:rsidRPr="004C342D">
              <w:rPr>
                <w:rFonts w:cs="Arial"/>
                <w:color w:val="0070C0"/>
                <w:szCs w:val="18"/>
                <w:lang w:eastAsia="fr-FR"/>
              </w:rPr>
              <w:t>Toddler (1 to &lt;2 years old)</w:t>
            </w:r>
          </w:p>
        </w:tc>
        <w:tc>
          <w:tcPr>
            <w:tcW w:w="724" w:type="pct"/>
            <w:shd w:val="clear" w:color="auto" w:fill="auto"/>
            <w:tcMar>
              <w:top w:w="57" w:type="dxa"/>
              <w:bottom w:w="57" w:type="dxa"/>
            </w:tcMar>
            <w:vAlign w:val="center"/>
          </w:tcPr>
          <w:p w14:paraId="5EB418D0"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color w:val="0070C0"/>
                <w:szCs w:val="18"/>
                <w:lang w:eastAsia="fr-FR"/>
              </w:rPr>
            </w:pPr>
            <w:r w:rsidRPr="004C342D">
              <w:rPr>
                <w:rFonts w:cs="Arial"/>
                <w:color w:val="0070C0"/>
                <w:szCs w:val="18"/>
                <w:lang w:eastAsia="fr-FR"/>
              </w:rPr>
              <w:t>2124</w:t>
            </w:r>
          </w:p>
        </w:tc>
        <w:tc>
          <w:tcPr>
            <w:tcW w:w="1653" w:type="pct"/>
            <w:vMerge/>
            <w:shd w:val="clear" w:color="auto" w:fill="auto"/>
            <w:vAlign w:val="center"/>
          </w:tcPr>
          <w:p w14:paraId="3E28BF6D"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p>
        </w:tc>
      </w:tr>
      <w:tr w:rsidR="001E65DB" w:rsidRPr="004C342D" w14:paraId="4D647B8D" w14:textId="77777777" w:rsidTr="003E3E25">
        <w:trPr>
          <w:trHeight w:val="177"/>
          <w:tblHeader/>
        </w:trPr>
        <w:tc>
          <w:tcPr>
            <w:tcW w:w="421" w:type="pct"/>
            <w:vMerge/>
            <w:shd w:val="clear" w:color="auto" w:fill="auto"/>
            <w:tcMar>
              <w:top w:w="57" w:type="dxa"/>
              <w:bottom w:w="57" w:type="dxa"/>
            </w:tcMar>
          </w:tcPr>
          <w:p w14:paraId="2BEC78CB"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5"/>
              <w:jc w:val="both"/>
              <w:textAlignment w:val="baseline"/>
              <w:rPr>
                <w:rFonts w:cs="Arial"/>
                <w:bCs/>
                <w:color w:val="0070C0"/>
                <w:spacing w:val="1"/>
                <w:u w:val="single"/>
                <w:lang w:eastAsia="fr-FR"/>
              </w:rPr>
            </w:pPr>
          </w:p>
        </w:tc>
        <w:tc>
          <w:tcPr>
            <w:tcW w:w="2202" w:type="pct"/>
            <w:shd w:val="clear" w:color="auto" w:fill="auto"/>
            <w:tcMar>
              <w:top w:w="57" w:type="dxa"/>
              <w:bottom w:w="57" w:type="dxa"/>
            </w:tcMar>
            <w:vAlign w:val="center"/>
          </w:tcPr>
          <w:p w14:paraId="29E2DC17"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79" w:right="25"/>
              <w:jc w:val="both"/>
              <w:textAlignment w:val="baseline"/>
              <w:rPr>
                <w:rFonts w:cs="Arial"/>
                <w:color w:val="0070C0"/>
                <w:szCs w:val="18"/>
                <w:lang w:eastAsia="fr-FR"/>
              </w:rPr>
            </w:pPr>
            <w:r w:rsidRPr="004C342D">
              <w:rPr>
                <w:rFonts w:cs="Arial"/>
                <w:color w:val="0070C0"/>
                <w:szCs w:val="18"/>
                <w:lang w:eastAsia="fr-FR"/>
              </w:rPr>
              <w:t>Infant (&lt;1 year old)</w:t>
            </w:r>
          </w:p>
        </w:tc>
        <w:tc>
          <w:tcPr>
            <w:tcW w:w="724" w:type="pct"/>
            <w:shd w:val="clear" w:color="auto" w:fill="auto"/>
            <w:tcMar>
              <w:top w:w="57" w:type="dxa"/>
              <w:bottom w:w="57" w:type="dxa"/>
            </w:tcMar>
            <w:vAlign w:val="center"/>
          </w:tcPr>
          <w:p w14:paraId="7F2217BF"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24" w:right="216"/>
              <w:jc w:val="center"/>
              <w:textAlignment w:val="baseline"/>
              <w:rPr>
                <w:rFonts w:cs="Arial"/>
                <w:color w:val="0070C0"/>
                <w:szCs w:val="18"/>
                <w:lang w:eastAsia="fr-FR"/>
              </w:rPr>
            </w:pPr>
            <w:r w:rsidRPr="004C342D">
              <w:rPr>
                <w:rFonts w:cs="Arial"/>
                <w:color w:val="0070C0"/>
                <w:szCs w:val="18"/>
                <w:lang w:eastAsia="fr-FR"/>
              </w:rPr>
              <w:t>1814</w:t>
            </w:r>
          </w:p>
        </w:tc>
        <w:tc>
          <w:tcPr>
            <w:tcW w:w="1653" w:type="pct"/>
            <w:vMerge/>
            <w:shd w:val="clear" w:color="auto" w:fill="auto"/>
            <w:vAlign w:val="center"/>
          </w:tcPr>
          <w:p w14:paraId="59F5FFD5" w14:textId="77777777" w:rsidR="001E65DB" w:rsidRPr="004C342D" w:rsidRDefault="001E65DB" w:rsidP="001E65DB">
            <w:pPr>
              <w:keepNext/>
              <w:widowControl w:val="0"/>
              <w:shd w:val="clear" w:color="auto" w:fill="D9D9D9" w:themeFill="background1" w:themeFillShade="D9"/>
              <w:kinsoku w:val="0"/>
              <w:overflowPunct w:val="0"/>
              <w:autoSpaceDE w:val="0"/>
              <w:autoSpaceDN w:val="0"/>
              <w:adjustRightInd w:val="0"/>
              <w:spacing w:before="0" w:after="0"/>
              <w:ind w:left="-14" w:right="-72" w:firstLine="14"/>
              <w:textAlignment w:val="baseline"/>
              <w:rPr>
                <w:rFonts w:cs="Arial"/>
                <w:bCs/>
                <w:color w:val="0070C0"/>
                <w:spacing w:val="1"/>
                <w:lang w:eastAsia="fr-FR"/>
              </w:rPr>
            </w:pPr>
          </w:p>
        </w:tc>
      </w:tr>
    </w:tbl>
    <w:p w14:paraId="22E49CA7" w14:textId="77777777" w:rsidR="001E65DB" w:rsidRPr="004C342D" w:rsidRDefault="001E65DB" w:rsidP="008A3DDA">
      <w:pPr>
        <w:pStyle w:val="Paragraphedeliste"/>
        <w:keepNext/>
        <w:widowControl w:val="0"/>
        <w:shd w:val="clear" w:color="auto" w:fill="FFFFFF" w:themeFill="background1"/>
        <w:kinsoku w:val="0"/>
        <w:overflowPunct w:val="0"/>
        <w:autoSpaceDE w:val="0"/>
        <w:autoSpaceDN w:val="0"/>
        <w:adjustRightInd w:val="0"/>
        <w:spacing w:before="0" w:after="0"/>
        <w:ind w:left="360"/>
        <w:jc w:val="both"/>
        <w:textAlignment w:val="baseline"/>
        <w:rPr>
          <w:rFonts w:cs="Arial"/>
          <w:color w:val="0070C0"/>
          <w:spacing w:val="1"/>
          <w:lang w:eastAsia="fr-FR"/>
        </w:rPr>
      </w:pPr>
    </w:p>
    <w:p w14:paraId="375A70A2" w14:textId="77777777" w:rsidR="001E65DB" w:rsidRPr="004C342D" w:rsidRDefault="001E65DB" w:rsidP="008A3DDA">
      <w:pPr>
        <w:pStyle w:val="Paragraphedeliste"/>
        <w:keepNext/>
        <w:widowControl w:val="0"/>
        <w:shd w:val="clear" w:color="auto" w:fill="FFFFFF" w:themeFill="background1"/>
        <w:kinsoku w:val="0"/>
        <w:overflowPunct w:val="0"/>
        <w:autoSpaceDE w:val="0"/>
        <w:autoSpaceDN w:val="0"/>
        <w:adjustRightInd w:val="0"/>
        <w:spacing w:before="0" w:after="0"/>
        <w:ind w:left="360"/>
        <w:jc w:val="both"/>
        <w:textAlignment w:val="baseline"/>
        <w:rPr>
          <w:rFonts w:cs="Arial"/>
          <w:color w:val="0070C0"/>
          <w:spacing w:val="1"/>
          <w:lang w:eastAsia="fr-FR"/>
        </w:rPr>
      </w:pPr>
    </w:p>
    <w:p w14:paraId="239FD902" w14:textId="7903B2DA" w:rsidR="001E65DB" w:rsidRPr="004C342D" w:rsidRDefault="001E65DB" w:rsidP="008A3DDA">
      <w:pPr>
        <w:pStyle w:val="Paragraphedeliste"/>
        <w:keepNext/>
        <w:widowControl w:val="0"/>
        <w:shd w:val="clear" w:color="auto" w:fill="FFFFFF" w:themeFill="background1"/>
        <w:kinsoku w:val="0"/>
        <w:overflowPunct w:val="0"/>
        <w:autoSpaceDE w:val="0"/>
        <w:autoSpaceDN w:val="0"/>
        <w:adjustRightInd w:val="0"/>
        <w:spacing w:before="0" w:after="0"/>
        <w:ind w:left="360"/>
        <w:jc w:val="both"/>
        <w:textAlignment w:val="baseline"/>
        <w:rPr>
          <w:rFonts w:cs="Arial"/>
          <w:color w:val="0070C0"/>
          <w:spacing w:val="1"/>
          <w:lang w:eastAsia="fr-FR"/>
        </w:rPr>
      </w:pPr>
    </w:p>
    <w:p w14:paraId="1DF142D1" w14:textId="3E59347A" w:rsidR="008A3DDA" w:rsidRPr="004C342D" w:rsidRDefault="008A3DDA" w:rsidP="008A3DDA">
      <w:pPr>
        <w:pStyle w:val="Paragraphedeliste"/>
        <w:keepNext/>
        <w:widowControl w:val="0"/>
        <w:shd w:val="clear" w:color="auto" w:fill="FFFFFF" w:themeFill="background1"/>
        <w:kinsoku w:val="0"/>
        <w:overflowPunct w:val="0"/>
        <w:autoSpaceDE w:val="0"/>
        <w:autoSpaceDN w:val="0"/>
        <w:adjustRightInd w:val="0"/>
        <w:spacing w:before="0" w:after="0"/>
        <w:ind w:left="360"/>
        <w:jc w:val="both"/>
        <w:textAlignment w:val="baseline"/>
        <w:rPr>
          <w:rFonts w:cs="Arial"/>
          <w:color w:val="0070C0"/>
          <w:spacing w:val="1"/>
          <w:lang w:eastAsia="fr-FR"/>
        </w:rPr>
      </w:pPr>
    </w:p>
    <w:p w14:paraId="7F3F0375" w14:textId="44422F12" w:rsidR="008A3DDA" w:rsidRPr="004C342D" w:rsidRDefault="008A3DDA" w:rsidP="008A3DDA">
      <w:pPr>
        <w:pStyle w:val="Paragraphedeliste"/>
        <w:keepNext/>
        <w:widowControl w:val="0"/>
        <w:shd w:val="clear" w:color="auto" w:fill="FFFFFF" w:themeFill="background1"/>
        <w:kinsoku w:val="0"/>
        <w:overflowPunct w:val="0"/>
        <w:autoSpaceDE w:val="0"/>
        <w:autoSpaceDN w:val="0"/>
        <w:adjustRightInd w:val="0"/>
        <w:spacing w:before="0" w:after="0"/>
        <w:ind w:left="360"/>
        <w:jc w:val="both"/>
        <w:textAlignment w:val="baseline"/>
        <w:rPr>
          <w:rFonts w:cs="Arial"/>
          <w:color w:val="0070C0"/>
          <w:spacing w:val="1"/>
          <w:lang w:eastAsia="fr-FR"/>
        </w:rPr>
      </w:pPr>
    </w:p>
    <w:p w14:paraId="3A149FFA" w14:textId="1C3D2F57" w:rsidR="008A3DDA" w:rsidRPr="004C342D" w:rsidRDefault="008A3DDA" w:rsidP="008A3DDA">
      <w:pPr>
        <w:pStyle w:val="Paragraphedeliste"/>
        <w:keepNext/>
        <w:widowControl w:val="0"/>
        <w:shd w:val="clear" w:color="auto" w:fill="FFFFFF" w:themeFill="background1"/>
        <w:kinsoku w:val="0"/>
        <w:overflowPunct w:val="0"/>
        <w:autoSpaceDE w:val="0"/>
        <w:autoSpaceDN w:val="0"/>
        <w:adjustRightInd w:val="0"/>
        <w:spacing w:before="0" w:after="0"/>
        <w:ind w:left="360"/>
        <w:jc w:val="both"/>
        <w:textAlignment w:val="baseline"/>
        <w:rPr>
          <w:rFonts w:cs="Arial"/>
          <w:color w:val="0070C0"/>
          <w:spacing w:val="1"/>
          <w:lang w:eastAsia="fr-FR"/>
        </w:rPr>
      </w:pPr>
    </w:p>
    <w:p w14:paraId="724DD34D" w14:textId="091108BB" w:rsidR="008A3DDA" w:rsidRPr="004C342D" w:rsidRDefault="008A3DDA" w:rsidP="008A3DDA">
      <w:pPr>
        <w:pStyle w:val="Paragraphedeliste"/>
        <w:keepNext/>
        <w:widowControl w:val="0"/>
        <w:shd w:val="clear" w:color="auto" w:fill="FFFFFF" w:themeFill="background1"/>
        <w:kinsoku w:val="0"/>
        <w:overflowPunct w:val="0"/>
        <w:autoSpaceDE w:val="0"/>
        <w:autoSpaceDN w:val="0"/>
        <w:adjustRightInd w:val="0"/>
        <w:spacing w:before="0" w:after="0"/>
        <w:ind w:left="360"/>
        <w:jc w:val="both"/>
        <w:textAlignment w:val="baseline"/>
        <w:rPr>
          <w:rFonts w:cs="Arial"/>
          <w:color w:val="0070C0"/>
          <w:spacing w:val="1"/>
          <w:lang w:eastAsia="fr-FR"/>
        </w:rPr>
      </w:pPr>
    </w:p>
    <w:p w14:paraId="6D88B317" w14:textId="350C7016" w:rsidR="008A3DDA" w:rsidRPr="004C342D" w:rsidRDefault="008A3DDA" w:rsidP="008A3DDA">
      <w:pPr>
        <w:pStyle w:val="Paragraphedeliste"/>
        <w:keepNext/>
        <w:widowControl w:val="0"/>
        <w:shd w:val="clear" w:color="auto" w:fill="FFFFFF" w:themeFill="background1"/>
        <w:kinsoku w:val="0"/>
        <w:overflowPunct w:val="0"/>
        <w:autoSpaceDE w:val="0"/>
        <w:autoSpaceDN w:val="0"/>
        <w:adjustRightInd w:val="0"/>
        <w:spacing w:before="0" w:after="0"/>
        <w:ind w:left="360"/>
        <w:jc w:val="both"/>
        <w:textAlignment w:val="baseline"/>
        <w:rPr>
          <w:rFonts w:cs="Arial"/>
          <w:color w:val="0070C0"/>
          <w:spacing w:val="1"/>
          <w:lang w:eastAsia="fr-FR"/>
        </w:rPr>
      </w:pPr>
    </w:p>
    <w:p w14:paraId="3934D921" w14:textId="77777777" w:rsidR="008A3DDA" w:rsidRPr="004C342D" w:rsidRDefault="008A3DDA" w:rsidP="008A3DDA">
      <w:pPr>
        <w:pStyle w:val="Paragraphedeliste"/>
        <w:keepNext/>
        <w:widowControl w:val="0"/>
        <w:shd w:val="clear" w:color="auto" w:fill="FFFFFF" w:themeFill="background1"/>
        <w:kinsoku w:val="0"/>
        <w:overflowPunct w:val="0"/>
        <w:autoSpaceDE w:val="0"/>
        <w:autoSpaceDN w:val="0"/>
        <w:adjustRightInd w:val="0"/>
        <w:spacing w:before="0" w:after="0"/>
        <w:ind w:left="360"/>
        <w:jc w:val="both"/>
        <w:textAlignment w:val="baseline"/>
        <w:rPr>
          <w:rFonts w:cs="Arial"/>
          <w:color w:val="0070C0"/>
          <w:spacing w:val="1"/>
          <w:lang w:eastAsia="fr-FR"/>
        </w:rPr>
      </w:pPr>
    </w:p>
    <w:p w14:paraId="44F8FEB6" w14:textId="3785C2AF" w:rsidR="001E65DB" w:rsidRDefault="001E65DB" w:rsidP="003E3E25">
      <w:pPr>
        <w:keepNext/>
        <w:kinsoku w:val="0"/>
        <w:overflowPunct w:val="0"/>
        <w:autoSpaceDE w:val="0"/>
        <w:autoSpaceDN w:val="0"/>
        <w:adjustRightInd w:val="0"/>
        <w:spacing w:before="0" w:after="0"/>
        <w:ind w:right="216"/>
        <w:jc w:val="both"/>
        <w:textAlignment w:val="baseline"/>
        <w:rPr>
          <w:rFonts w:cs="Arial"/>
          <w:color w:val="0070C0"/>
          <w:spacing w:val="1"/>
          <w:u w:val="single"/>
          <w:lang w:eastAsia="fr-FR"/>
        </w:rPr>
      </w:pPr>
      <w:r w:rsidRPr="004C342D">
        <w:rPr>
          <w:rFonts w:cs="Arial"/>
          <w:color w:val="0070C0"/>
          <w:spacing w:val="1"/>
          <w:u w:val="single"/>
          <w:lang w:eastAsia="fr-FR"/>
        </w:rPr>
        <w:t>Calculations for Scenario [6c</w:t>
      </w:r>
      <w:r w:rsidR="00546133">
        <w:rPr>
          <w:rFonts w:cs="Arial"/>
          <w:color w:val="0070C0"/>
          <w:spacing w:val="1"/>
          <w:u w:val="single"/>
          <w:lang w:eastAsia="fr-FR"/>
        </w:rPr>
        <w:t>]</w:t>
      </w:r>
    </w:p>
    <w:p w14:paraId="218A907D" w14:textId="77777777" w:rsidR="00546133" w:rsidRPr="004C342D" w:rsidRDefault="00546133" w:rsidP="003E3E25">
      <w:pPr>
        <w:keepNext/>
        <w:kinsoku w:val="0"/>
        <w:overflowPunct w:val="0"/>
        <w:autoSpaceDE w:val="0"/>
        <w:autoSpaceDN w:val="0"/>
        <w:adjustRightInd w:val="0"/>
        <w:spacing w:before="0" w:after="0"/>
        <w:ind w:right="216"/>
        <w:jc w:val="both"/>
        <w:textAlignment w:val="baseline"/>
        <w:rPr>
          <w:rFonts w:cs="Arial"/>
          <w:color w:val="0070C0"/>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23"/>
        <w:gridCol w:w="2649"/>
        <w:gridCol w:w="3244"/>
      </w:tblGrid>
      <w:tr w:rsidR="001E65DB" w:rsidRPr="004C342D" w14:paraId="69224828" w14:textId="77777777" w:rsidTr="001E65DB">
        <w:trPr>
          <w:cantSplit/>
          <w:trHeight w:val="103"/>
          <w:tblHeader/>
        </w:trPr>
        <w:tc>
          <w:tcPr>
            <w:tcW w:w="5000" w:type="pct"/>
            <w:gridSpan w:val="3"/>
            <w:shd w:val="clear" w:color="auto" w:fill="FFFFCC"/>
          </w:tcPr>
          <w:p w14:paraId="1F505D91" w14:textId="77777777" w:rsidR="001E65DB" w:rsidRPr="004C342D" w:rsidRDefault="001E65DB" w:rsidP="003E3E25">
            <w:pPr>
              <w:pStyle w:val="Standaard-Tabellen"/>
              <w:keepNext/>
              <w:rPr>
                <w:rFonts w:eastAsia="Calibri"/>
                <w:b/>
                <w:color w:val="0070C0"/>
                <w:sz w:val="20"/>
              </w:rPr>
            </w:pPr>
            <w:r w:rsidRPr="004C342D">
              <w:rPr>
                <w:rFonts w:eastAsia="Calibri"/>
                <w:b/>
                <w:color w:val="0070C0"/>
                <w:sz w:val="20"/>
              </w:rPr>
              <w:t>Summary table: estimated exposure for Dermal Primary exposure</w:t>
            </w:r>
          </w:p>
        </w:tc>
      </w:tr>
      <w:tr w:rsidR="001E65DB" w:rsidRPr="004C342D" w14:paraId="68B8FBDF" w14:textId="77777777" w:rsidTr="001E65DB">
        <w:trPr>
          <w:cantSplit/>
          <w:trHeight w:val="103"/>
          <w:tblHeader/>
        </w:trPr>
        <w:tc>
          <w:tcPr>
            <w:tcW w:w="1803" w:type="pct"/>
            <w:shd w:val="clear" w:color="auto" w:fill="BFBFBF" w:themeFill="background1" w:themeFillShade="BF"/>
          </w:tcPr>
          <w:p w14:paraId="6337277B" w14:textId="77777777" w:rsidR="001E65DB" w:rsidRPr="004C342D" w:rsidRDefault="001E65DB" w:rsidP="003E3E25">
            <w:pPr>
              <w:keepNext/>
              <w:kinsoku w:val="0"/>
              <w:overflowPunct w:val="0"/>
              <w:autoSpaceDE w:val="0"/>
              <w:autoSpaceDN w:val="0"/>
              <w:adjustRightInd w:val="0"/>
              <w:spacing w:before="0" w:after="0" w:line="276" w:lineRule="auto"/>
              <w:ind w:left="360" w:right="216"/>
              <w:jc w:val="both"/>
              <w:textAlignment w:val="baseline"/>
              <w:rPr>
                <w:rFonts w:cs="Arial"/>
                <w:b/>
                <w:bCs/>
                <w:color w:val="0070C0"/>
                <w:spacing w:val="1"/>
                <w:lang w:eastAsia="fr-FR"/>
              </w:rPr>
            </w:pPr>
            <w:r w:rsidRPr="004C342D">
              <w:rPr>
                <w:rFonts w:cs="Arial"/>
                <w:b/>
                <w:bCs/>
                <w:color w:val="0070C0"/>
                <w:spacing w:val="1"/>
                <w:lang w:eastAsia="fr-FR"/>
              </w:rPr>
              <w:t>Exposure scenario</w:t>
            </w:r>
          </w:p>
        </w:tc>
        <w:tc>
          <w:tcPr>
            <w:tcW w:w="1437" w:type="pct"/>
            <w:shd w:val="clear" w:color="auto" w:fill="BFBFBF" w:themeFill="background1" w:themeFillShade="BF"/>
          </w:tcPr>
          <w:p w14:paraId="55F28AAD" w14:textId="77777777" w:rsidR="001E65DB" w:rsidRPr="004C342D" w:rsidRDefault="001E65DB" w:rsidP="003E3E25">
            <w:pPr>
              <w:keepNext/>
              <w:kinsoku w:val="0"/>
              <w:overflowPunct w:val="0"/>
              <w:autoSpaceDE w:val="0"/>
              <w:autoSpaceDN w:val="0"/>
              <w:adjustRightInd w:val="0"/>
              <w:spacing w:before="0" w:after="0" w:line="276" w:lineRule="auto"/>
              <w:ind w:left="360" w:right="216"/>
              <w:jc w:val="both"/>
              <w:textAlignment w:val="baseline"/>
              <w:rPr>
                <w:rFonts w:cs="Arial"/>
                <w:b/>
                <w:bCs/>
                <w:color w:val="0070C0"/>
                <w:spacing w:val="1"/>
                <w:lang w:eastAsia="fr-FR"/>
              </w:rPr>
            </w:pPr>
            <w:r w:rsidRPr="004C342D">
              <w:rPr>
                <w:rFonts w:cs="Arial"/>
                <w:b/>
                <w:bCs/>
                <w:color w:val="0070C0"/>
                <w:spacing w:val="1"/>
                <w:lang w:eastAsia="fr-FR"/>
              </w:rPr>
              <w:t>Tier/PPE</w:t>
            </w:r>
          </w:p>
        </w:tc>
        <w:tc>
          <w:tcPr>
            <w:tcW w:w="1760" w:type="pct"/>
            <w:shd w:val="clear" w:color="auto" w:fill="BFBFBF" w:themeFill="background1" w:themeFillShade="BF"/>
          </w:tcPr>
          <w:p w14:paraId="54BEE564" w14:textId="77777777" w:rsidR="001E65DB" w:rsidRPr="004C342D" w:rsidRDefault="001E65DB" w:rsidP="003E3E25">
            <w:pPr>
              <w:keepNext/>
              <w:kinsoku w:val="0"/>
              <w:overflowPunct w:val="0"/>
              <w:autoSpaceDE w:val="0"/>
              <w:autoSpaceDN w:val="0"/>
              <w:adjustRightInd w:val="0"/>
              <w:spacing w:before="0" w:after="0" w:line="276" w:lineRule="auto"/>
              <w:ind w:left="68" w:right="117"/>
              <w:jc w:val="both"/>
              <w:textAlignment w:val="baseline"/>
              <w:rPr>
                <w:rFonts w:cs="Arial"/>
                <w:b/>
                <w:bCs/>
                <w:color w:val="0070C0"/>
                <w:spacing w:val="1"/>
                <w:lang w:eastAsia="fr-FR"/>
              </w:rPr>
            </w:pPr>
            <w:r w:rsidRPr="004C342D">
              <w:rPr>
                <w:rFonts w:cs="Arial"/>
                <w:b/>
                <w:bCs/>
                <w:color w:val="0070C0"/>
                <w:spacing w:val="1"/>
                <w:lang w:eastAsia="fr-FR"/>
              </w:rPr>
              <w:t>Estimated dermal uptake</w:t>
            </w:r>
          </w:p>
          <w:p w14:paraId="3A72FF4D" w14:textId="77777777" w:rsidR="001E65DB" w:rsidRPr="004C342D" w:rsidRDefault="001E65DB" w:rsidP="003E3E25">
            <w:pPr>
              <w:keepNext/>
              <w:kinsoku w:val="0"/>
              <w:overflowPunct w:val="0"/>
              <w:autoSpaceDE w:val="0"/>
              <w:autoSpaceDN w:val="0"/>
              <w:adjustRightInd w:val="0"/>
              <w:spacing w:before="0" w:after="0" w:line="276" w:lineRule="auto"/>
              <w:ind w:left="68" w:right="117"/>
              <w:jc w:val="both"/>
              <w:textAlignment w:val="baseline"/>
              <w:rPr>
                <w:rFonts w:cs="Arial"/>
                <w:b/>
                <w:bCs/>
                <w:color w:val="0070C0"/>
                <w:spacing w:val="1"/>
                <w:lang w:eastAsia="fr-FR"/>
              </w:rPr>
            </w:pPr>
            <w:r w:rsidRPr="004C342D">
              <w:rPr>
                <w:rFonts w:cs="Arial"/>
                <w:b/>
                <w:bCs/>
                <w:color w:val="0070C0"/>
                <w:spacing w:val="1"/>
                <w:lang w:eastAsia="fr-FR"/>
              </w:rPr>
              <w:t>(mg/ kg bw/d)</w:t>
            </w:r>
          </w:p>
        </w:tc>
      </w:tr>
      <w:tr w:rsidR="004C342D" w:rsidRPr="004C342D" w14:paraId="0B65BAA4" w14:textId="77777777" w:rsidTr="003E3E25">
        <w:trPr>
          <w:cantSplit/>
          <w:trHeight w:val="207"/>
          <w:tblHeader/>
        </w:trPr>
        <w:tc>
          <w:tcPr>
            <w:tcW w:w="1803" w:type="pct"/>
            <w:shd w:val="clear" w:color="auto" w:fill="auto"/>
            <w:vAlign w:val="center"/>
          </w:tcPr>
          <w:p w14:paraId="1BA37E1E" w14:textId="77777777" w:rsidR="001E65DB" w:rsidRPr="004C342D" w:rsidRDefault="001E65DB" w:rsidP="003E3E25">
            <w:pPr>
              <w:keepNext/>
              <w:kinsoku w:val="0"/>
              <w:overflowPunct w:val="0"/>
              <w:autoSpaceDE w:val="0"/>
              <w:autoSpaceDN w:val="0"/>
              <w:adjustRightInd w:val="0"/>
              <w:spacing w:before="0" w:after="0" w:line="276" w:lineRule="auto"/>
              <w:ind w:left="67" w:right="216"/>
              <w:textAlignment w:val="baseline"/>
              <w:rPr>
                <w:rFonts w:cs="Arial"/>
                <w:color w:val="0070C0"/>
                <w:szCs w:val="18"/>
                <w:lang w:eastAsia="fr-FR"/>
              </w:rPr>
            </w:pPr>
            <w:r w:rsidRPr="004C342D">
              <w:rPr>
                <w:rFonts w:cs="Arial"/>
                <w:color w:val="0070C0"/>
                <w:szCs w:val="18"/>
                <w:lang w:eastAsia="fr-FR"/>
              </w:rPr>
              <w:t>Adult</w:t>
            </w:r>
          </w:p>
        </w:tc>
        <w:tc>
          <w:tcPr>
            <w:tcW w:w="1437" w:type="pct"/>
            <w:shd w:val="clear" w:color="auto" w:fill="auto"/>
            <w:vAlign w:val="center"/>
          </w:tcPr>
          <w:p w14:paraId="6A2A1226" w14:textId="77777777" w:rsidR="001E65DB" w:rsidRPr="004C342D"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0070C0"/>
                <w:spacing w:val="1"/>
                <w:lang w:eastAsia="fr-FR"/>
              </w:rPr>
            </w:pPr>
            <w:r w:rsidRPr="004C342D">
              <w:rPr>
                <w:rFonts w:cs="Arial"/>
                <w:bCs/>
                <w:color w:val="0070C0"/>
                <w:spacing w:val="1"/>
                <w:lang w:eastAsia="fr-FR"/>
              </w:rPr>
              <w:t>Tier 1 (1 application)</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6B07200E" w14:textId="2B0ADF49"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color w:val="0070C0"/>
              </w:rPr>
            </w:pPr>
            <w:r w:rsidRPr="004C342D">
              <w:rPr>
                <w:rFonts w:cs="Calibri"/>
                <w:color w:val="0070C0"/>
              </w:rPr>
              <w:t>2.04</w:t>
            </w:r>
          </w:p>
        </w:tc>
      </w:tr>
      <w:tr w:rsidR="004C342D" w:rsidRPr="004C342D" w14:paraId="14C8CEF6" w14:textId="77777777" w:rsidTr="003E3E25">
        <w:trPr>
          <w:cantSplit/>
          <w:trHeight w:val="153"/>
          <w:tblHeader/>
        </w:trPr>
        <w:tc>
          <w:tcPr>
            <w:tcW w:w="1803" w:type="pct"/>
            <w:shd w:val="clear" w:color="auto" w:fill="auto"/>
            <w:vAlign w:val="center"/>
          </w:tcPr>
          <w:p w14:paraId="58B5DB4D" w14:textId="77777777" w:rsidR="001E65DB" w:rsidRPr="004C342D" w:rsidRDefault="001E65DB" w:rsidP="003E3E25">
            <w:pPr>
              <w:keepNext/>
              <w:kinsoku w:val="0"/>
              <w:overflowPunct w:val="0"/>
              <w:autoSpaceDE w:val="0"/>
              <w:autoSpaceDN w:val="0"/>
              <w:adjustRightInd w:val="0"/>
              <w:spacing w:before="0" w:after="0" w:line="276" w:lineRule="auto"/>
              <w:ind w:left="67" w:right="216"/>
              <w:textAlignment w:val="baseline"/>
              <w:rPr>
                <w:rFonts w:cs="Arial"/>
                <w:color w:val="0070C0"/>
                <w:szCs w:val="18"/>
                <w:lang w:eastAsia="fr-FR"/>
              </w:rPr>
            </w:pPr>
            <w:r w:rsidRPr="004C342D">
              <w:rPr>
                <w:rFonts w:cs="Arial"/>
                <w:color w:val="0070C0"/>
                <w:szCs w:val="18"/>
                <w:lang w:eastAsia="fr-FR"/>
              </w:rPr>
              <w:t>Child (6 to &lt;12 years old)</w:t>
            </w:r>
          </w:p>
        </w:tc>
        <w:tc>
          <w:tcPr>
            <w:tcW w:w="1437" w:type="pct"/>
            <w:shd w:val="clear" w:color="auto" w:fill="auto"/>
            <w:vAlign w:val="center"/>
          </w:tcPr>
          <w:p w14:paraId="53AAFBE1" w14:textId="77777777" w:rsidR="001E65DB" w:rsidRPr="004C342D"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0070C0"/>
                <w:spacing w:val="1"/>
                <w:lang w:eastAsia="fr-FR"/>
              </w:rPr>
            </w:pPr>
            <w:r w:rsidRPr="004C342D">
              <w:rPr>
                <w:rFonts w:cs="Arial"/>
                <w:bCs/>
                <w:color w:val="0070C0"/>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bottom"/>
          </w:tcPr>
          <w:p w14:paraId="618DB796" w14:textId="2AEA767F"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color w:val="0070C0"/>
              </w:rPr>
            </w:pPr>
            <w:r w:rsidRPr="004C342D">
              <w:rPr>
                <w:rFonts w:cs="Calibri"/>
                <w:color w:val="0070C0"/>
              </w:rPr>
              <w:t>2.95</w:t>
            </w:r>
          </w:p>
        </w:tc>
      </w:tr>
      <w:tr w:rsidR="004C342D" w:rsidRPr="004C342D" w14:paraId="4FAC913F" w14:textId="77777777" w:rsidTr="003E3E25">
        <w:trPr>
          <w:cantSplit/>
          <w:trHeight w:val="210"/>
          <w:tblHeader/>
        </w:trPr>
        <w:tc>
          <w:tcPr>
            <w:tcW w:w="1803" w:type="pct"/>
            <w:shd w:val="clear" w:color="auto" w:fill="auto"/>
            <w:vAlign w:val="center"/>
          </w:tcPr>
          <w:p w14:paraId="76B86232" w14:textId="77777777" w:rsidR="001E65DB" w:rsidRPr="004C342D" w:rsidRDefault="001E65DB" w:rsidP="003E3E25">
            <w:pPr>
              <w:keepNext/>
              <w:kinsoku w:val="0"/>
              <w:overflowPunct w:val="0"/>
              <w:autoSpaceDE w:val="0"/>
              <w:autoSpaceDN w:val="0"/>
              <w:adjustRightInd w:val="0"/>
              <w:spacing w:before="0" w:after="0" w:line="276" w:lineRule="auto"/>
              <w:ind w:left="67" w:right="216"/>
              <w:textAlignment w:val="baseline"/>
              <w:rPr>
                <w:rFonts w:cs="Arial"/>
                <w:bCs/>
                <w:color w:val="0070C0"/>
                <w:spacing w:val="1"/>
                <w:u w:val="single"/>
                <w:lang w:eastAsia="fr-FR"/>
              </w:rPr>
            </w:pPr>
            <w:r w:rsidRPr="004C342D">
              <w:rPr>
                <w:rFonts w:cs="Arial"/>
                <w:color w:val="0070C0"/>
                <w:szCs w:val="18"/>
                <w:lang w:eastAsia="fr-FR"/>
              </w:rPr>
              <w:t>Child (2 to &lt;6 years old)</w:t>
            </w:r>
          </w:p>
        </w:tc>
        <w:tc>
          <w:tcPr>
            <w:tcW w:w="1437" w:type="pct"/>
            <w:shd w:val="clear" w:color="auto" w:fill="auto"/>
            <w:vAlign w:val="center"/>
          </w:tcPr>
          <w:p w14:paraId="1A9C0629" w14:textId="77777777" w:rsidR="001E65DB" w:rsidRPr="004C342D"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0070C0"/>
                <w:spacing w:val="1"/>
                <w:lang w:eastAsia="fr-FR"/>
              </w:rPr>
            </w:pPr>
            <w:r w:rsidRPr="004C342D">
              <w:rPr>
                <w:rFonts w:cs="Arial"/>
                <w:bCs/>
                <w:color w:val="0070C0"/>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bottom"/>
          </w:tcPr>
          <w:p w14:paraId="6EA51F3E" w14:textId="03DDC877"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4C342D">
              <w:rPr>
                <w:rFonts w:cs="Calibri"/>
                <w:color w:val="0070C0"/>
              </w:rPr>
              <w:t>3.31</w:t>
            </w:r>
          </w:p>
        </w:tc>
      </w:tr>
      <w:tr w:rsidR="004C342D" w:rsidRPr="004C342D" w14:paraId="5B9A044C" w14:textId="77777777" w:rsidTr="003E3E25">
        <w:trPr>
          <w:cantSplit/>
          <w:trHeight w:val="207"/>
          <w:tblHeader/>
        </w:trPr>
        <w:tc>
          <w:tcPr>
            <w:tcW w:w="1803" w:type="pct"/>
            <w:tcBorders>
              <w:bottom w:val="single" w:sz="6" w:space="0" w:color="auto"/>
            </w:tcBorders>
            <w:shd w:val="clear" w:color="auto" w:fill="auto"/>
            <w:vAlign w:val="center"/>
          </w:tcPr>
          <w:p w14:paraId="2A4D0451" w14:textId="77777777" w:rsidR="001E65DB" w:rsidRPr="004C342D" w:rsidRDefault="001E65DB" w:rsidP="003E3E25">
            <w:pPr>
              <w:keepNext/>
              <w:kinsoku w:val="0"/>
              <w:overflowPunct w:val="0"/>
              <w:autoSpaceDE w:val="0"/>
              <w:autoSpaceDN w:val="0"/>
              <w:adjustRightInd w:val="0"/>
              <w:spacing w:before="0" w:after="0" w:line="276" w:lineRule="auto"/>
              <w:ind w:left="67" w:right="216"/>
              <w:textAlignment w:val="baseline"/>
              <w:rPr>
                <w:rFonts w:cs="Arial"/>
                <w:bCs/>
                <w:color w:val="0070C0"/>
                <w:spacing w:val="1"/>
                <w:u w:val="single"/>
                <w:lang w:eastAsia="fr-FR"/>
              </w:rPr>
            </w:pPr>
            <w:r w:rsidRPr="004C342D">
              <w:rPr>
                <w:rFonts w:cs="Arial"/>
                <w:color w:val="0070C0"/>
                <w:szCs w:val="18"/>
                <w:lang w:eastAsia="fr-FR"/>
              </w:rPr>
              <w:t>Toddler (1 to &lt;2 years old)</w:t>
            </w:r>
          </w:p>
        </w:tc>
        <w:tc>
          <w:tcPr>
            <w:tcW w:w="1437" w:type="pct"/>
            <w:tcBorders>
              <w:bottom w:val="single" w:sz="6" w:space="0" w:color="auto"/>
            </w:tcBorders>
            <w:shd w:val="clear" w:color="auto" w:fill="auto"/>
            <w:vAlign w:val="center"/>
          </w:tcPr>
          <w:p w14:paraId="67AB5683" w14:textId="77777777" w:rsidR="001E65DB" w:rsidRPr="004C342D"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0070C0"/>
                <w:spacing w:val="1"/>
                <w:lang w:eastAsia="fr-FR"/>
              </w:rPr>
            </w:pPr>
            <w:r w:rsidRPr="004C342D">
              <w:rPr>
                <w:rFonts w:cs="Arial"/>
                <w:bCs/>
                <w:color w:val="0070C0"/>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bottom"/>
          </w:tcPr>
          <w:p w14:paraId="3322DD8C" w14:textId="7B89DDCD"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4C342D">
              <w:rPr>
                <w:rFonts w:cs="Calibri"/>
                <w:color w:val="0070C0"/>
              </w:rPr>
              <w:t>3.62</w:t>
            </w:r>
          </w:p>
        </w:tc>
      </w:tr>
      <w:tr w:rsidR="004C342D" w:rsidRPr="004C342D" w14:paraId="7BFC60BE" w14:textId="77777777" w:rsidTr="003E3E25">
        <w:trPr>
          <w:cantSplit/>
          <w:trHeight w:val="207"/>
          <w:tblHeader/>
        </w:trPr>
        <w:tc>
          <w:tcPr>
            <w:tcW w:w="1803" w:type="pct"/>
            <w:tcBorders>
              <w:bottom w:val="double" w:sz="4" w:space="0" w:color="auto"/>
            </w:tcBorders>
            <w:shd w:val="clear" w:color="auto" w:fill="auto"/>
            <w:vAlign w:val="center"/>
          </w:tcPr>
          <w:p w14:paraId="3EA3B98B" w14:textId="77777777" w:rsidR="001E65DB" w:rsidRPr="004C342D" w:rsidRDefault="001E65DB" w:rsidP="003E3E25">
            <w:pPr>
              <w:keepNext/>
              <w:kinsoku w:val="0"/>
              <w:overflowPunct w:val="0"/>
              <w:autoSpaceDE w:val="0"/>
              <w:autoSpaceDN w:val="0"/>
              <w:adjustRightInd w:val="0"/>
              <w:spacing w:before="0" w:after="0" w:line="276" w:lineRule="auto"/>
              <w:ind w:left="67" w:right="216"/>
              <w:textAlignment w:val="baseline"/>
              <w:rPr>
                <w:rFonts w:cs="Arial"/>
                <w:bCs/>
                <w:color w:val="0070C0"/>
                <w:spacing w:val="1"/>
                <w:u w:val="single"/>
                <w:lang w:eastAsia="fr-FR"/>
              </w:rPr>
            </w:pPr>
            <w:r w:rsidRPr="004C342D">
              <w:rPr>
                <w:rFonts w:cs="Arial"/>
                <w:color w:val="0070C0"/>
                <w:szCs w:val="18"/>
                <w:lang w:eastAsia="fr-FR"/>
              </w:rPr>
              <w:t>Infant (&lt;1 year old)</w:t>
            </w:r>
          </w:p>
        </w:tc>
        <w:tc>
          <w:tcPr>
            <w:tcW w:w="1437" w:type="pct"/>
            <w:tcBorders>
              <w:bottom w:val="double" w:sz="4" w:space="0" w:color="auto"/>
            </w:tcBorders>
            <w:shd w:val="clear" w:color="auto" w:fill="auto"/>
            <w:vAlign w:val="center"/>
          </w:tcPr>
          <w:p w14:paraId="2A11CC7C" w14:textId="77777777" w:rsidR="001E65DB" w:rsidRPr="004C342D" w:rsidRDefault="001E65DB" w:rsidP="003E3E25">
            <w:pPr>
              <w:keepNext/>
              <w:kinsoku w:val="0"/>
              <w:overflowPunct w:val="0"/>
              <w:autoSpaceDE w:val="0"/>
              <w:autoSpaceDN w:val="0"/>
              <w:adjustRightInd w:val="0"/>
              <w:spacing w:before="0" w:after="0" w:line="276" w:lineRule="auto"/>
              <w:ind w:left="147" w:right="27"/>
              <w:jc w:val="center"/>
              <w:textAlignment w:val="baseline"/>
              <w:rPr>
                <w:rFonts w:cs="Arial"/>
                <w:bCs/>
                <w:color w:val="0070C0"/>
                <w:spacing w:val="1"/>
                <w:lang w:eastAsia="fr-FR"/>
              </w:rPr>
            </w:pPr>
            <w:r w:rsidRPr="004C342D">
              <w:rPr>
                <w:rFonts w:cs="Arial"/>
                <w:bCs/>
                <w:color w:val="0070C0"/>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bottom"/>
          </w:tcPr>
          <w:p w14:paraId="07DE735D" w14:textId="21A91CA2" w:rsidR="001E65DB" w:rsidRPr="004C342D" w:rsidRDefault="001E65DB" w:rsidP="003E3E25">
            <w:pPr>
              <w:keepNext/>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4C342D">
              <w:rPr>
                <w:rFonts w:cs="Calibri"/>
                <w:color w:val="0070C0"/>
              </w:rPr>
              <w:t>3.87</w:t>
            </w:r>
          </w:p>
        </w:tc>
      </w:tr>
    </w:tbl>
    <w:p w14:paraId="43C948B5" w14:textId="77777777" w:rsidR="00546133" w:rsidRDefault="00546133" w:rsidP="003E3E25">
      <w:pPr>
        <w:keepNext/>
        <w:kinsoku w:val="0"/>
        <w:overflowPunct w:val="0"/>
        <w:autoSpaceDE w:val="0"/>
        <w:autoSpaceDN w:val="0"/>
        <w:adjustRightInd w:val="0"/>
        <w:spacing w:before="0" w:after="0"/>
        <w:ind w:right="216"/>
        <w:jc w:val="both"/>
        <w:textAlignment w:val="baseline"/>
        <w:rPr>
          <w:rFonts w:cs="Arial"/>
          <w:color w:val="0070C0"/>
          <w:spacing w:val="1"/>
          <w:u w:val="single"/>
          <w:lang w:eastAsia="fr-FR"/>
        </w:rPr>
      </w:pPr>
    </w:p>
    <w:p w14:paraId="6B85EA70" w14:textId="00A1370B" w:rsidR="001E65DB" w:rsidRDefault="001E65DB" w:rsidP="003E3E25">
      <w:pPr>
        <w:keepNext/>
        <w:kinsoku w:val="0"/>
        <w:overflowPunct w:val="0"/>
        <w:autoSpaceDE w:val="0"/>
        <w:autoSpaceDN w:val="0"/>
        <w:adjustRightInd w:val="0"/>
        <w:spacing w:before="0" w:after="0"/>
        <w:ind w:right="216"/>
        <w:jc w:val="both"/>
        <w:textAlignment w:val="baseline"/>
        <w:rPr>
          <w:rFonts w:cs="Arial"/>
          <w:color w:val="0070C0"/>
          <w:spacing w:val="1"/>
          <w:u w:val="single"/>
          <w:lang w:eastAsia="fr-FR"/>
        </w:rPr>
      </w:pPr>
      <w:r w:rsidRPr="004C342D">
        <w:rPr>
          <w:rFonts w:cs="Arial"/>
          <w:color w:val="0070C0"/>
          <w:spacing w:val="1"/>
          <w:u w:val="single"/>
          <w:lang w:eastAsia="fr-FR"/>
        </w:rPr>
        <w:t>Calculations for Scenario [6d]</w:t>
      </w:r>
    </w:p>
    <w:p w14:paraId="4646C95B" w14:textId="77777777" w:rsidR="00546133" w:rsidRPr="004C342D" w:rsidRDefault="00546133" w:rsidP="001E65DB">
      <w:pPr>
        <w:keepNext/>
        <w:shd w:val="clear" w:color="auto" w:fill="D9D9D9" w:themeFill="background1" w:themeFillShade="D9"/>
        <w:kinsoku w:val="0"/>
        <w:overflowPunct w:val="0"/>
        <w:autoSpaceDE w:val="0"/>
        <w:autoSpaceDN w:val="0"/>
        <w:adjustRightInd w:val="0"/>
        <w:spacing w:before="0" w:after="0"/>
        <w:ind w:right="216"/>
        <w:jc w:val="both"/>
        <w:textAlignment w:val="baseline"/>
        <w:rPr>
          <w:rFonts w:cs="Arial"/>
          <w:color w:val="0070C0"/>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23"/>
        <w:gridCol w:w="2649"/>
        <w:gridCol w:w="3244"/>
      </w:tblGrid>
      <w:tr w:rsidR="00546133" w:rsidRPr="004C342D" w14:paraId="593467DB" w14:textId="77777777" w:rsidTr="001E65DB">
        <w:trPr>
          <w:cantSplit/>
          <w:trHeight w:val="103"/>
          <w:tblHeader/>
        </w:trPr>
        <w:tc>
          <w:tcPr>
            <w:tcW w:w="5000" w:type="pct"/>
            <w:gridSpan w:val="3"/>
            <w:shd w:val="clear" w:color="auto" w:fill="FFFFCC"/>
          </w:tcPr>
          <w:p w14:paraId="3E839693" w14:textId="77777777" w:rsidR="001E65DB" w:rsidRPr="004C342D" w:rsidRDefault="001E65DB" w:rsidP="001E65DB">
            <w:pPr>
              <w:pStyle w:val="Standaard-Tabellen"/>
              <w:keepNext/>
              <w:rPr>
                <w:rFonts w:eastAsia="Calibri"/>
                <w:b/>
                <w:color w:val="0070C0"/>
                <w:sz w:val="20"/>
              </w:rPr>
            </w:pPr>
            <w:r w:rsidRPr="004C342D">
              <w:rPr>
                <w:rFonts w:eastAsia="Calibri"/>
                <w:b/>
                <w:color w:val="0070C0"/>
                <w:sz w:val="20"/>
              </w:rPr>
              <w:t>Summary table: estimated exposure for Dermal Primary exposure</w:t>
            </w:r>
          </w:p>
        </w:tc>
      </w:tr>
      <w:tr w:rsidR="00546133" w:rsidRPr="004C342D" w14:paraId="68DDB7A4" w14:textId="77777777" w:rsidTr="001E65DB">
        <w:trPr>
          <w:cantSplit/>
          <w:trHeight w:val="103"/>
          <w:tblHeader/>
        </w:trPr>
        <w:tc>
          <w:tcPr>
            <w:tcW w:w="1803" w:type="pct"/>
            <w:shd w:val="clear" w:color="auto" w:fill="BFBFBF" w:themeFill="background1" w:themeFillShade="BF"/>
          </w:tcPr>
          <w:p w14:paraId="4A813053" w14:textId="77777777" w:rsidR="001E65DB" w:rsidRPr="004C342D"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360" w:right="216"/>
              <w:jc w:val="both"/>
              <w:textAlignment w:val="baseline"/>
              <w:rPr>
                <w:rFonts w:cs="Arial"/>
                <w:b/>
                <w:bCs/>
                <w:color w:val="0070C0"/>
                <w:spacing w:val="1"/>
                <w:lang w:eastAsia="fr-FR"/>
              </w:rPr>
            </w:pPr>
            <w:r w:rsidRPr="004C342D">
              <w:rPr>
                <w:rFonts w:cs="Arial"/>
                <w:b/>
                <w:bCs/>
                <w:color w:val="0070C0"/>
                <w:spacing w:val="1"/>
                <w:lang w:eastAsia="fr-FR"/>
              </w:rPr>
              <w:t>Exposure scenario</w:t>
            </w:r>
          </w:p>
        </w:tc>
        <w:tc>
          <w:tcPr>
            <w:tcW w:w="1437" w:type="pct"/>
            <w:shd w:val="clear" w:color="auto" w:fill="BFBFBF" w:themeFill="background1" w:themeFillShade="BF"/>
          </w:tcPr>
          <w:p w14:paraId="5927ABFB" w14:textId="77777777" w:rsidR="001E65DB" w:rsidRPr="004C342D"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360" w:right="216"/>
              <w:jc w:val="both"/>
              <w:textAlignment w:val="baseline"/>
              <w:rPr>
                <w:rFonts w:cs="Arial"/>
                <w:b/>
                <w:bCs/>
                <w:color w:val="0070C0"/>
                <w:spacing w:val="1"/>
                <w:lang w:eastAsia="fr-FR"/>
              </w:rPr>
            </w:pPr>
            <w:r w:rsidRPr="004C342D">
              <w:rPr>
                <w:rFonts w:cs="Arial"/>
                <w:b/>
                <w:bCs/>
                <w:color w:val="0070C0"/>
                <w:spacing w:val="1"/>
                <w:lang w:eastAsia="fr-FR"/>
              </w:rPr>
              <w:t>Tier/PPE</w:t>
            </w:r>
          </w:p>
        </w:tc>
        <w:tc>
          <w:tcPr>
            <w:tcW w:w="1760" w:type="pct"/>
            <w:shd w:val="clear" w:color="auto" w:fill="BFBFBF" w:themeFill="background1" w:themeFillShade="BF"/>
          </w:tcPr>
          <w:p w14:paraId="61FD8F21" w14:textId="77777777" w:rsidR="001E65DB" w:rsidRPr="004C342D"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color w:val="0070C0"/>
                <w:spacing w:val="1"/>
                <w:lang w:eastAsia="fr-FR"/>
              </w:rPr>
            </w:pPr>
            <w:r w:rsidRPr="004C342D">
              <w:rPr>
                <w:rFonts w:cs="Arial"/>
                <w:b/>
                <w:bCs/>
                <w:color w:val="0070C0"/>
                <w:spacing w:val="1"/>
                <w:lang w:eastAsia="fr-FR"/>
              </w:rPr>
              <w:t>Estimated dermal uptake</w:t>
            </w:r>
          </w:p>
          <w:p w14:paraId="5768C1C0" w14:textId="77777777" w:rsidR="001E65DB" w:rsidRPr="004C342D"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68" w:right="117"/>
              <w:jc w:val="both"/>
              <w:textAlignment w:val="baseline"/>
              <w:rPr>
                <w:rFonts w:cs="Arial"/>
                <w:b/>
                <w:bCs/>
                <w:color w:val="0070C0"/>
                <w:spacing w:val="1"/>
                <w:lang w:eastAsia="fr-FR"/>
              </w:rPr>
            </w:pPr>
            <w:r w:rsidRPr="004C342D">
              <w:rPr>
                <w:rFonts w:cs="Arial"/>
                <w:b/>
                <w:bCs/>
                <w:color w:val="0070C0"/>
                <w:spacing w:val="1"/>
                <w:lang w:eastAsia="fr-FR"/>
              </w:rPr>
              <w:t>(mg/ kg bw/d)</w:t>
            </w:r>
          </w:p>
        </w:tc>
      </w:tr>
      <w:tr w:rsidR="004C342D" w:rsidRPr="003E3E25" w14:paraId="4524809F" w14:textId="77777777" w:rsidTr="003E3E25">
        <w:trPr>
          <w:cantSplit/>
          <w:trHeight w:val="207"/>
          <w:tblHeader/>
        </w:trPr>
        <w:tc>
          <w:tcPr>
            <w:tcW w:w="1803" w:type="pct"/>
            <w:shd w:val="clear" w:color="auto" w:fill="auto"/>
            <w:vAlign w:val="center"/>
          </w:tcPr>
          <w:p w14:paraId="1CDB0711" w14:textId="77777777" w:rsidR="001E65DB" w:rsidRPr="003E3E25"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67" w:right="216"/>
              <w:textAlignment w:val="baseline"/>
              <w:rPr>
                <w:rFonts w:cs="Arial"/>
                <w:color w:val="0070C0"/>
                <w:szCs w:val="18"/>
                <w:lang w:eastAsia="fr-FR"/>
              </w:rPr>
            </w:pPr>
            <w:r w:rsidRPr="003E3E25">
              <w:rPr>
                <w:rFonts w:cs="Arial"/>
                <w:color w:val="0070C0"/>
                <w:szCs w:val="18"/>
                <w:lang w:eastAsia="fr-FR"/>
              </w:rPr>
              <w:t>Adult</w:t>
            </w:r>
          </w:p>
        </w:tc>
        <w:tc>
          <w:tcPr>
            <w:tcW w:w="1437" w:type="pct"/>
            <w:shd w:val="clear" w:color="auto" w:fill="auto"/>
            <w:vAlign w:val="center"/>
          </w:tcPr>
          <w:p w14:paraId="19AACDA7" w14:textId="77777777" w:rsidR="001E65DB" w:rsidRPr="003E3E25"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147" w:right="27"/>
              <w:jc w:val="center"/>
              <w:textAlignment w:val="baseline"/>
              <w:rPr>
                <w:rFonts w:cs="Arial"/>
                <w:bCs/>
                <w:color w:val="0070C0"/>
                <w:spacing w:val="1"/>
                <w:lang w:eastAsia="fr-FR"/>
              </w:rPr>
            </w:pPr>
            <w:r w:rsidRPr="003E3E25">
              <w:rPr>
                <w:rFonts w:cs="Arial"/>
                <w:bCs/>
                <w:color w:val="0070C0"/>
                <w:spacing w:val="1"/>
                <w:lang w:eastAsia="fr-FR"/>
              </w:rPr>
              <w:t>Tier 1 (1 application)</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48A0352B" w14:textId="338273AB" w:rsidR="001E65DB" w:rsidRPr="003E3E25" w:rsidRDefault="001E65DB" w:rsidP="004C342D">
            <w:pPr>
              <w:keepNext/>
              <w:shd w:val="clear" w:color="auto" w:fill="D9D9D9" w:themeFill="background1" w:themeFillShade="D9"/>
              <w:kinsoku w:val="0"/>
              <w:overflowPunct w:val="0"/>
              <w:autoSpaceDE w:val="0"/>
              <w:autoSpaceDN w:val="0"/>
              <w:adjustRightInd w:val="0"/>
              <w:spacing w:before="0" w:after="0" w:line="276" w:lineRule="auto"/>
              <w:ind w:left="68" w:right="117"/>
              <w:jc w:val="center"/>
              <w:textAlignment w:val="baseline"/>
              <w:rPr>
                <w:color w:val="0070C0"/>
              </w:rPr>
            </w:pPr>
            <w:r w:rsidRPr="003E3E25">
              <w:rPr>
                <w:rFonts w:cs="Calibri"/>
                <w:color w:val="0070C0"/>
              </w:rPr>
              <w:t>1</w:t>
            </w:r>
            <w:r w:rsidR="004C342D" w:rsidRPr="003E3E25">
              <w:rPr>
                <w:rFonts w:cs="Calibri"/>
                <w:color w:val="0070C0"/>
              </w:rPr>
              <w:t>.</w:t>
            </w:r>
            <w:r w:rsidRPr="003E3E25">
              <w:rPr>
                <w:rFonts w:cs="Calibri"/>
                <w:color w:val="0070C0"/>
              </w:rPr>
              <w:t>44</w:t>
            </w:r>
          </w:p>
        </w:tc>
      </w:tr>
      <w:tr w:rsidR="004C342D" w:rsidRPr="003E3E25" w14:paraId="0A2988BC" w14:textId="77777777" w:rsidTr="003E3E25">
        <w:trPr>
          <w:cantSplit/>
          <w:trHeight w:val="153"/>
          <w:tblHeader/>
        </w:trPr>
        <w:tc>
          <w:tcPr>
            <w:tcW w:w="1803" w:type="pct"/>
            <w:shd w:val="clear" w:color="auto" w:fill="auto"/>
            <w:vAlign w:val="center"/>
          </w:tcPr>
          <w:p w14:paraId="246730F9" w14:textId="77777777" w:rsidR="001E65DB" w:rsidRPr="003E3E25"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67" w:right="216"/>
              <w:textAlignment w:val="baseline"/>
              <w:rPr>
                <w:rFonts w:cs="Arial"/>
                <w:color w:val="0070C0"/>
                <w:szCs w:val="18"/>
                <w:lang w:eastAsia="fr-FR"/>
              </w:rPr>
            </w:pPr>
            <w:r w:rsidRPr="003E3E25">
              <w:rPr>
                <w:rFonts w:cs="Arial"/>
                <w:color w:val="0070C0"/>
                <w:szCs w:val="18"/>
                <w:lang w:eastAsia="fr-FR"/>
              </w:rPr>
              <w:t>Child (6 to &lt;12 years old)</w:t>
            </w:r>
          </w:p>
        </w:tc>
        <w:tc>
          <w:tcPr>
            <w:tcW w:w="1437" w:type="pct"/>
            <w:shd w:val="clear" w:color="auto" w:fill="auto"/>
            <w:vAlign w:val="center"/>
          </w:tcPr>
          <w:p w14:paraId="25CE98CD" w14:textId="77777777" w:rsidR="001E65DB" w:rsidRPr="003E3E25"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147" w:right="27"/>
              <w:jc w:val="center"/>
              <w:textAlignment w:val="baseline"/>
              <w:rPr>
                <w:rFonts w:cs="Arial"/>
                <w:bCs/>
                <w:color w:val="0070C0"/>
                <w:spacing w:val="1"/>
                <w:lang w:eastAsia="fr-FR"/>
              </w:rPr>
            </w:pPr>
            <w:r w:rsidRPr="003E3E25">
              <w:rPr>
                <w:rFonts w:cs="Arial"/>
                <w:bCs/>
                <w:color w:val="0070C0"/>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bottom"/>
          </w:tcPr>
          <w:p w14:paraId="01C8A9DF" w14:textId="3591CD14" w:rsidR="001E65DB" w:rsidRPr="003E3E25" w:rsidRDefault="001E65DB" w:rsidP="004C342D">
            <w:pPr>
              <w:keepNext/>
              <w:shd w:val="clear" w:color="auto" w:fill="D9D9D9" w:themeFill="background1" w:themeFillShade="D9"/>
              <w:kinsoku w:val="0"/>
              <w:overflowPunct w:val="0"/>
              <w:autoSpaceDE w:val="0"/>
              <w:autoSpaceDN w:val="0"/>
              <w:adjustRightInd w:val="0"/>
              <w:spacing w:before="0" w:after="0" w:line="276" w:lineRule="auto"/>
              <w:ind w:left="68" w:right="117"/>
              <w:jc w:val="center"/>
              <w:textAlignment w:val="baseline"/>
              <w:rPr>
                <w:color w:val="0070C0"/>
              </w:rPr>
            </w:pPr>
            <w:r w:rsidRPr="003E3E25">
              <w:rPr>
                <w:rFonts w:cs="Calibri"/>
                <w:color w:val="0070C0"/>
              </w:rPr>
              <w:t>2</w:t>
            </w:r>
            <w:r w:rsidR="004C342D" w:rsidRPr="003E3E25">
              <w:rPr>
                <w:rFonts w:cs="Calibri"/>
                <w:color w:val="0070C0"/>
              </w:rPr>
              <w:t>.</w:t>
            </w:r>
            <w:r w:rsidRPr="003E3E25">
              <w:rPr>
                <w:rFonts w:cs="Calibri"/>
                <w:color w:val="0070C0"/>
              </w:rPr>
              <w:t>08</w:t>
            </w:r>
          </w:p>
        </w:tc>
      </w:tr>
      <w:tr w:rsidR="004C342D" w:rsidRPr="003E3E25" w14:paraId="06E7B192" w14:textId="77777777" w:rsidTr="003E3E25">
        <w:trPr>
          <w:cantSplit/>
          <w:trHeight w:val="210"/>
          <w:tblHeader/>
        </w:trPr>
        <w:tc>
          <w:tcPr>
            <w:tcW w:w="1803" w:type="pct"/>
            <w:shd w:val="clear" w:color="auto" w:fill="auto"/>
            <w:vAlign w:val="center"/>
          </w:tcPr>
          <w:p w14:paraId="766F5B07" w14:textId="77777777" w:rsidR="001E65DB" w:rsidRPr="003E3E25"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67" w:right="216"/>
              <w:textAlignment w:val="baseline"/>
              <w:rPr>
                <w:rFonts w:cs="Arial"/>
                <w:bCs/>
                <w:color w:val="0070C0"/>
                <w:spacing w:val="1"/>
                <w:u w:val="single"/>
                <w:lang w:eastAsia="fr-FR"/>
              </w:rPr>
            </w:pPr>
            <w:r w:rsidRPr="003E3E25">
              <w:rPr>
                <w:rFonts w:cs="Arial"/>
                <w:color w:val="0070C0"/>
                <w:szCs w:val="18"/>
                <w:lang w:eastAsia="fr-FR"/>
              </w:rPr>
              <w:t>Child (2 to &lt;6 years old)</w:t>
            </w:r>
          </w:p>
        </w:tc>
        <w:tc>
          <w:tcPr>
            <w:tcW w:w="1437" w:type="pct"/>
            <w:shd w:val="clear" w:color="auto" w:fill="auto"/>
            <w:vAlign w:val="center"/>
          </w:tcPr>
          <w:p w14:paraId="29041E5C" w14:textId="77777777" w:rsidR="001E65DB" w:rsidRPr="003E3E25"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147" w:right="27"/>
              <w:jc w:val="center"/>
              <w:textAlignment w:val="baseline"/>
              <w:rPr>
                <w:rFonts w:cs="Arial"/>
                <w:bCs/>
                <w:color w:val="0070C0"/>
                <w:spacing w:val="1"/>
                <w:lang w:eastAsia="fr-FR"/>
              </w:rPr>
            </w:pPr>
            <w:r w:rsidRPr="003E3E25">
              <w:rPr>
                <w:rFonts w:cs="Arial"/>
                <w:bCs/>
                <w:color w:val="0070C0"/>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bottom"/>
          </w:tcPr>
          <w:p w14:paraId="1E0D7FAC" w14:textId="5B016119" w:rsidR="001E65DB" w:rsidRPr="003E3E25" w:rsidRDefault="001E65DB" w:rsidP="004C342D">
            <w:pPr>
              <w:keepNext/>
              <w:shd w:val="clear" w:color="auto" w:fill="D9D9D9" w:themeFill="background1" w:themeFillShade="D9"/>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3E3E25">
              <w:rPr>
                <w:rFonts w:cs="Calibri"/>
                <w:color w:val="0070C0"/>
              </w:rPr>
              <w:t>2</w:t>
            </w:r>
            <w:r w:rsidR="004C342D" w:rsidRPr="003E3E25">
              <w:rPr>
                <w:rFonts w:cs="Calibri"/>
                <w:color w:val="0070C0"/>
              </w:rPr>
              <w:t>.</w:t>
            </w:r>
            <w:r w:rsidRPr="003E3E25">
              <w:rPr>
                <w:rFonts w:cs="Calibri"/>
                <w:color w:val="0070C0"/>
              </w:rPr>
              <w:t>34</w:t>
            </w:r>
          </w:p>
        </w:tc>
      </w:tr>
      <w:tr w:rsidR="004C342D" w:rsidRPr="003E3E25" w14:paraId="3C19D382" w14:textId="77777777" w:rsidTr="003E3E25">
        <w:trPr>
          <w:cantSplit/>
          <w:trHeight w:val="207"/>
          <w:tblHeader/>
        </w:trPr>
        <w:tc>
          <w:tcPr>
            <w:tcW w:w="1803" w:type="pct"/>
            <w:tcBorders>
              <w:bottom w:val="single" w:sz="6" w:space="0" w:color="auto"/>
            </w:tcBorders>
            <w:shd w:val="clear" w:color="auto" w:fill="auto"/>
            <w:vAlign w:val="center"/>
          </w:tcPr>
          <w:p w14:paraId="0193D77B" w14:textId="77777777" w:rsidR="001E65DB" w:rsidRPr="003E3E25"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67" w:right="216"/>
              <w:textAlignment w:val="baseline"/>
              <w:rPr>
                <w:rFonts w:cs="Arial"/>
                <w:bCs/>
                <w:color w:val="0070C0"/>
                <w:spacing w:val="1"/>
                <w:u w:val="single"/>
                <w:lang w:eastAsia="fr-FR"/>
              </w:rPr>
            </w:pPr>
            <w:r w:rsidRPr="003E3E25">
              <w:rPr>
                <w:rFonts w:cs="Arial"/>
                <w:color w:val="0070C0"/>
                <w:szCs w:val="18"/>
                <w:lang w:eastAsia="fr-FR"/>
              </w:rPr>
              <w:t>Toddler (1 to &lt;2 years old)</w:t>
            </w:r>
          </w:p>
        </w:tc>
        <w:tc>
          <w:tcPr>
            <w:tcW w:w="1437" w:type="pct"/>
            <w:tcBorders>
              <w:bottom w:val="single" w:sz="6" w:space="0" w:color="auto"/>
            </w:tcBorders>
            <w:shd w:val="clear" w:color="auto" w:fill="auto"/>
            <w:vAlign w:val="center"/>
          </w:tcPr>
          <w:p w14:paraId="1FBE27F5" w14:textId="77777777" w:rsidR="001E65DB" w:rsidRPr="003E3E25"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147" w:right="27"/>
              <w:jc w:val="center"/>
              <w:textAlignment w:val="baseline"/>
              <w:rPr>
                <w:rFonts w:cs="Arial"/>
                <w:bCs/>
                <w:color w:val="0070C0"/>
                <w:spacing w:val="1"/>
                <w:lang w:eastAsia="fr-FR"/>
              </w:rPr>
            </w:pPr>
            <w:r w:rsidRPr="003E3E25">
              <w:rPr>
                <w:rFonts w:cs="Arial"/>
                <w:bCs/>
                <w:color w:val="0070C0"/>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bottom"/>
          </w:tcPr>
          <w:p w14:paraId="5D0FA42A" w14:textId="6746B4CA" w:rsidR="001E65DB" w:rsidRPr="003E3E25" w:rsidRDefault="001E65DB" w:rsidP="004C342D">
            <w:pPr>
              <w:keepNext/>
              <w:shd w:val="clear" w:color="auto" w:fill="D9D9D9" w:themeFill="background1" w:themeFillShade="D9"/>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3E3E25">
              <w:rPr>
                <w:rFonts w:cs="Calibri"/>
                <w:color w:val="0070C0"/>
              </w:rPr>
              <w:t>2</w:t>
            </w:r>
            <w:r w:rsidR="004C342D" w:rsidRPr="003E3E25">
              <w:rPr>
                <w:rFonts w:cs="Calibri"/>
                <w:color w:val="0070C0"/>
              </w:rPr>
              <w:t>.</w:t>
            </w:r>
            <w:r w:rsidRPr="003E3E25">
              <w:rPr>
                <w:rFonts w:cs="Calibri"/>
                <w:color w:val="0070C0"/>
              </w:rPr>
              <w:t>56</w:t>
            </w:r>
          </w:p>
        </w:tc>
      </w:tr>
      <w:tr w:rsidR="004C342D" w:rsidRPr="003E3E25" w14:paraId="713FE0BA" w14:textId="77777777" w:rsidTr="003E3E25">
        <w:trPr>
          <w:cantSplit/>
          <w:trHeight w:val="207"/>
          <w:tblHeader/>
        </w:trPr>
        <w:tc>
          <w:tcPr>
            <w:tcW w:w="1803" w:type="pct"/>
            <w:tcBorders>
              <w:bottom w:val="double" w:sz="4" w:space="0" w:color="auto"/>
            </w:tcBorders>
            <w:shd w:val="clear" w:color="auto" w:fill="auto"/>
            <w:vAlign w:val="center"/>
          </w:tcPr>
          <w:p w14:paraId="45D40821" w14:textId="77777777" w:rsidR="001E65DB" w:rsidRPr="003E3E25"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67" w:right="216"/>
              <w:textAlignment w:val="baseline"/>
              <w:rPr>
                <w:rFonts w:cs="Arial"/>
                <w:bCs/>
                <w:color w:val="0070C0"/>
                <w:spacing w:val="1"/>
                <w:u w:val="single"/>
                <w:lang w:eastAsia="fr-FR"/>
              </w:rPr>
            </w:pPr>
            <w:r w:rsidRPr="003E3E25">
              <w:rPr>
                <w:rFonts w:cs="Arial"/>
                <w:color w:val="0070C0"/>
                <w:szCs w:val="18"/>
                <w:lang w:eastAsia="fr-FR"/>
              </w:rPr>
              <w:t>Infant (&lt;1 year old)</w:t>
            </w:r>
          </w:p>
        </w:tc>
        <w:tc>
          <w:tcPr>
            <w:tcW w:w="1437" w:type="pct"/>
            <w:tcBorders>
              <w:bottom w:val="double" w:sz="4" w:space="0" w:color="auto"/>
            </w:tcBorders>
            <w:shd w:val="clear" w:color="auto" w:fill="auto"/>
            <w:vAlign w:val="center"/>
          </w:tcPr>
          <w:p w14:paraId="7248B506" w14:textId="77777777" w:rsidR="001E65DB" w:rsidRPr="003E3E25" w:rsidRDefault="001E65DB" w:rsidP="001E65DB">
            <w:pPr>
              <w:keepNext/>
              <w:shd w:val="clear" w:color="auto" w:fill="D9D9D9" w:themeFill="background1" w:themeFillShade="D9"/>
              <w:kinsoku w:val="0"/>
              <w:overflowPunct w:val="0"/>
              <w:autoSpaceDE w:val="0"/>
              <w:autoSpaceDN w:val="0"/>
              <w:adjustRightInd w:val="0"/>
              <w:spacing w:before="0" w:after="0" w:line="276" w:lineRule="auto"/>
              <w:ind w:left="147" w:right="27"/>
              <w:jc w:val="center"/>
              <w:textAlignment w:val="baseline"/>
              <w:rPr>
                <w:rFonts w:cs="Arial"/>
                <w:bCs/>
                <w:color w:val="0070C0"/>
                <w:spacing w:val="1"/>
                <w:lang w:eastAsia="fr-FR"/>
              </w:rPr>
            </w:pPr>
            <w:r w:rsidRPr="003E3E25">
              <w:rPr>
                <w:rFonts w:cs="Arial"/>
                <w:bCs/>
                <w:color w:val="0070C0"/>
                <w:spacing w:val="1"/>
                <w:lang w:eastAsia="fr-FR"/>
              </w:rPr>
              <w:t>Tier 1 (1 application)</w:t>
            </w:r>
          </w:p>
        </w:tc>
        <w:tc>
          <w:tcPr>
            <w:tcW w:w="1760" w:type="pct"/>
            <w:tcBorders>
              <w:top w:val="nil"/>
              <w:left w:val="single" w:sz="4" w:space="0" w:color="auto"/>
              <w:bottom w:val="single" w:sz="4" w:space="0" w:color="auto"/>
              <w:right w:val="single" w:sz="4" w:space="0" w:color="auto"/>
            </w:tcBorders>
            <w:shd w:val="clear" w:color="auto" w:fill="auto"/>
            <w:vAlign w:val="bottom"/>
          </w:tcPr>
          <w:p w14:paraId="6A559B9E" w14:textId="2EA40ECB" w:rsidR="001E65DB" w:rsidRPr="003E3E25" w:rsidRDefault="001E65DB" w:rsidP="004C342D">
            <w:pPr>
              <w:keepNext/>
              <w:shd w:val="clear" w:color="auto" w:fill="D9D9D9" w:themeFill="background1" w:themeFillShade="D9"/>
              <w:kinsoku w:val="0"/>
              <w:overflowPunct w:val="0"/>
              <w:autoSpaceDE w:val="0"/>
              <w:autoSpaceDN w:val="0"/>
              <w:adjustRightInd w:val="0"/>
              <w:spacing w:before="0" w:after="0" w:line="276" w:lineRule="auto"/>
              <w:ind w:left="68" w:right="117"/>
              <w:jc w:val="center"/>
              <w:textAlignment w:val="baseline"/>
              <w:rPr>
                <w:rFonts w:cs="Arial"/>
                <w:color w:val="0070C0"/>
                <w:spacing w:val="1"/>
                <w:u w:val="single"/>
                <w:lang w:eastAsia="fr-FR"/>
              </w:rPr>
            </w:pPr>
            <w:r w:rsidRPr="003E3E25">
              <w:rPr>
                <w:rFonts w:cs="Calibri"/>
                <w:color w:val="0070C0"/>
              </w:rPr>
              <w:t>2</w:t>
            </w:r>
            <w:r w:rsidR="004C342D" w:rsidRPr="003E3E25">
              <w:rPr>
                <w:rFonts w:cs="Calibri"/>
                <w:color w:val="0070C0"/>
              </w:rPr>
              <w:t>.</w:t>
            </w:r>
            <w:r w:rsidRPr="003E3E25">
              <w:rPr>
                <w:rFonts w:cs="Calibri"/>
                <w:color w:val="0070C0"/>
              </w:rPr>
              <w:t>73</w:t>
            </w:r>
          </w:p>
        </w:tc>
      </w:tr>
    </w:tbl>
    <w:p w14:paraId="3923B49D" w14:textId="28300310" w:rsidR="001E65DB" w:rsidRDefault="001E65DB" w:rsidP="008A3DDA">
      <w:pPr>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color w:val="2E74B5" w:themeColor="accent1" w:themeShade="BF"/>
          <w:spacing w:val="1"/>
          <w:u w:val="single"/>
          <w:lang w:eastAsia="fr-FR"/>
        </w:rPr>
      </w:pPr>
    </w:p>
    <w:p w14:paraId="29D4AEEC" w14:textId="77777777" w:rsidR="001E65DB" w:rsidRPr="003E3E25"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color w:val="2E74B5" w:themeColor="accent1" w:themeShade="BF"/>
          <w:spacing w:val="1"/>
          <w:u w:val="single"/>
          <w:lang w:eastAsia="fr-FR"/>
        </w:rPr>
      </w:pPr>
      <w:r w:rsidRPr="003E3E25">
        <w:rPr>
          <w:rFonts w:cs="Arial"/>
          <w:color w:val="2E74B5" w:themeColor="accent1" w:themeShade="BF"/>
          <w:spacing w:val="1"/>
          <w:u w:val="single"/>
          <w:lang w:eastAsia="fr-FR"/>
        </w:rPr>
        <w:t>The following combined scenario are assessed:</w:t>
      </w:r>
    </w:p>
    <w:p w14:paraId="4FC54EC9" w14:textId="77777777" w:rsidR="001E65DB" w:rsidRPr="003E3E25" w:rsidRDefault="001E65DB" w:rsidP="003E3E25">
      <w:pPr>
        <w:widowControl w:val="0"/>
        <w:numPr>
          <w:ilvl w:val="0"/>
          <w:numId w:val="17"/>
        </w:numPr>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r w:rsidRPr="003E3E25">
        <w:rPr>
          <w:rFonts w:cs="Arial"/>
          <w:b/>
          <w:color w:val="2E74B5" w:themeColor="accent1" w:themeShade="BF"/>
          <w:spacing w:val="1"/>
          <w:u w:val="single"/>
          <w:lang w:eastAsia="fr-FR"/>
        </w:rPr>
        <w:t>For application against mosquitoes</w:t>
      </w:r>
    </w:p>
    <w:p w14:paraId="5F6C4890" w14:textId="77777777" w:rsidR="001E65DB" w:rsidRPr="003E3E25"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p>
    <w:p w14:paraId="5828AA75" w14:textId="77777777" w:rsidR="001E65DB" w:rsidRPr="003E3E25" w:rsidRDefault="001E65DB" w:rsidP="003E3E25">
      <w:pPr>
        <w:widowControl w:val="0"/>
        <w:numPr>
          <w:ilvl w:val="1"/>
          <w:numId w:val="17"/>
        </w:numPr>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r w:rsidRPr="003E3E25">
        <w:rPr>
          <w:rFonts w:cs="Arial"/>
          <w:b/>
          <w:color w:val="2E74B5" w:themeColor="accent1" w:themeShade="BF"/>
          <w:spacing w:val="1"/>
          <w:u w:val="single"/>
          <w:lang w:eastAsia="fr-FR"/>
        </w:rPr>
        <w:t>Skin application (tropical zone) + exposure linked to application on clothes+ exposure during application on clothes</w:t>
      </w:r>
    </w:p>
    <w:p w14:paraId="2B2024CB" w14:textId="77777777" w:rsidR="001E65DB" w:rsidRPr="007A1D6D" w:rsidRDefault="001E65DB" w:rsidP="008A3DDA">
      <w:pPr>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1E65DB" w:rsidRPr="007A1D6D" w14:paraId="62F66EC1" w14:textId="77777777" w:rsidTr="004C342D">
        <w:trPr>
          <w:cantSplit/>
          <w:trHeight w:val="140"/>
          <w:tblHeader/>
        </w:trPr>
        <w:tc>
          <w:tcPr>
            <w:tcW w:w="1842" w:type="pct"/>
            <w:shd w:val="clear" w:color="auto" w:fill="BFBFBF" w:themeFill="background1" w:themeFillShade="BF"/>
          </w:tcPr>
          <w:p w14:paraId="0B3054DE" w14:textId="77777777" w:rsidR="001E65DB" w:rsidRPr="004C342D"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
                <w:bCs/>
                <w:color w:val="2E74B5" w:themeColor="accent1" w:themeShade="BF"/>
                <w:spacing w:val="1"/>
                <w:lang w:eastAsia="fr-FR"/>
              </w:rPr>
            </w:pPr>
            <w:r w:rsidRPr="004C342D">
              <w:rPr>
                <w:rFonts w:cs="Arial"/>
                <w:b/>
                <w:bCs/>
                <w:color w:val="2E74B5" w:themeColor="accent1" w:themeShade="BF"/>
                <w:spacing w:val="1"/>
                <w:lang w:eastAsia="fr-FR"/>
              </w:rPr>
              <w:t>Exposure scenario</w:t>
            </w:r>
          </w:p>
        </w:tc>
        <w:tc>
          <w:tcPr>
            <w:tcW w:w="1398" w:type="pct"/>
            <w:shd w:val="clear" w:color="auto" w:fill="BFBFBF" w:themeFill="background1" w:themeFillShade="BF"/>
          </w:tcPr>
          <w:p w14:paraId="5834894F" w14:textId="77777777" w:rsidR="001E65DB" w:rsidRPr="004C342D"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
                <w:bCs/>
                <w:color w:val="2E74B5" w:themeColor="accent1" w:themeShade="BF"/>
                <w:spacing w:val="1"/>
                <w:lang w:eastAsia="fr-FR"/>
              </w:rPr>
            </w:pPr>
            <w:r w:rsidRPr="004C342D">
              <w:rPr>
                <w:rFonts w:cs="Arial"/>
                <w:b/>
                <w:bCs/>
                <w:color w:val="2E74B5" w:themeColor="accent1" w:themeShade="BF"/>
                <w:spacing w:val="1"/>
                <w:lang w:eastAsia="fr-FR"/>
              </w:rPr>
              <w:t>Tier/PPE</w:t>
            </w:r>
          </w:p>
        </w:tc>
        <w:tc>
          <w:tcPr>
            <w:tcW w:w="1760" w:type="pct"/>
            <w:tcBorders>
              <w:bottom w:val="single" w:sz="4" w:space="0" w:color="auto"/>
            </w:tcBorders>
            <w:shd w:val="clear" w:color="auto" w:fill="BFBFBF" w:themeFill="background1" w:themeFillShade="BF"/>
          </w:tcPr>
          <w:p w14:paraId="72849288" w14:textId="77777777" w:rsidR="001E65DB" w:rsidRPr="004C342D"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
                <w:bCs/>
                <w:color w:val="2E74B5" w:themeColor="accent1" w:themeShade="BF"/>
                <w:spacing w:val="1"/>
                <w:lang w:eastAsia="fr-FR"/>
              </w:rPr>
            </w:pPr>
            <w:r w:rsidRPr="004C342D">
              <w:rPr>
                <w:rFonts w:cs="Arial"/>
                <w:b/>
                <w:bCs/>
                <w:color w:val="2E74B5" w:themeColor="accent1" w:themeShade="BF"/>
                <w:spacing w:val="1"/>
                <w:lang w:eastAsia="fr-FR"/>
              </w:rPr>
              <w:t>Estimated dermal uptake (mg/kg bw/d)</w:t>
            </w:r>
          </w:p>
        </w:tc>
      </w:tr>
      <w:tr w:rsidR="001E65DB" w:rsidRPr="003E3E25" w14:paraId="0BFD92C3" w14:textId="77777777" w:rsidTr="003E3E25">
        <w:trPr>
          <w:cantSplit/>
          <w:trHeight w:val="282"/>
          <w:tblHeader/>
        </w:trPr>
        <w:tc>
          <w:tcPr>
            <w:tcW w:w="1842" w:type="pct"/>
            <w:shd w:val="clear" w:color="auto" w:fill="auto"/>
            <w:vAlign w:val="center"/>
          </w:tcPr>
          <w:p w14:paraId="2303CBFD" w14:textId="77777777" w:rsidR="001E65DB" w:rsidRPr="003E3E25"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Cs/>
                <w:color w:val="2E74B5" w:themeColor="accent1" w:themeShade="BF"/>
                <w:spacing w:val="1"/>
                <w:lang w:eastAsia="fr-FR"/>
              </w:rPr>
            </w:pPr>
            <w:r w:rsidRPr="003E3E25">
              <w:rPr>
                <w:rFonts w:cs="Arial"/>
                <w:color w:val="2E74B5" w:themeColor="accent1" w:themeShade="BF"/>
                <w:spacing w:val="1"/>
                <w:lang w:eastAsia="fr-FR"/>
              </w:rPr>
              <w:t>Adult (2 applications)</w:t>
            </w:r>
          </w:p>
        </w:tc>
        <w:tc>
          <w:tcPr>
            <w:tcW w:w="1398" w:type="pct"/>
            <w:tcBorders>
              <w:right w:val="single" w:sz="4" w:space="0" w:color="auto"/>
            </w:tcBorders>
            <w:shd w:val="clear" w:color="auto" w:fill="auto"/>
            <w:vAlign w:val="center"/>
          </w:tcPr>
          <w:p w14:paraId="63B575A3" w14:textId="77777777" w:rsidR="001E65DB" w:rsidRPr="003E3E25" w:rsidRDefault="001E65DB" w:rsidP="00546133">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436EC80E" w14:textId="77777777" w:rsidR="001E65DB" w:rsidRPr="003E3E25" w:rsidRDefault="001E65DB" w:rsidP="004C342D">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6.37</w:t>
            </w:r>
          </w:p>
        </w:tc>
      </w:tr>
      <w:tr w:rsidR="001E65DB" w:rsidRPr="003E3E25" w14:paraId="2D5971F8" w14:textId="77777777" w:rsidTr="003E3E25">
        <w:trPr>
          <w:cantSplit/>
          <w:trHeight w:val="282"/>
          <w:tblHeader/>
        </w:trPr>
        <w:tc>
          <w:tcPr>
            <w:tcW w:w="1842" w:type="pct"/>
            <w:shd w:val="clear" w:color="auto" w:fill="auto"/>
            <w:vAlign w:val="center"/>
          </w:tcPr>
          <w:p w14:paraId="19F3F5DE" w14:textId="77777777" w:rsidR="001E65DB" w:rsidRPr="003E3E25"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color w:val="2E74B5" w:themeColor="accent1" w:themeShade="BF"/>
                <w:spacing w:val="1"/>
                <w:lang w:eastAsia="fr-FR"/>
              </w:rPr>
            </w:pPr>
            <w:r w:rsidRPr="003E3E25">
              <w:rPr>
                <w:rFonts w:cs="Arial"/>
                <w:color w:val="2E74B5" w:themeColor="accent1" w:themeShade="BF"/>
                <w:spacing w:val="1"/>
                <w:lang w:eastAsia="fr-FR"/>
              </w:rPr>
              <w:t>Adult (1 application)</w:t>
            </w:r>
          </w:p>
        </w:tc>
        <w:tc>
          <w:tcPr>
            <w:tcW w:w="1398" w:type="pct"/>
            <w:tcBorders>
              <w:right w:val="single" w:sz="4" w:space="0" w:color="auto"/>
            </w:tcBorders>
            <w:shd w:val="clear" w:color="auto" w:fill="auto"/>
            <w:vAlign w:val="center"/>
          </w:tcPr>
          <w:p w14:paraId="3F2C13E0" w14:textId="77777777" w:rsidR="001E65DB" w:rsidRPr="003E3E25" w:rsidRDefault="001E65DB" w:rsidP="00546133">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Tier 1</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19034421" w14:textId="77777777" w:rsidR="001E65DB" w:rsidRPr="003E3E25" w:rsidRDefault="001E65DB" w:rsidP="004C342D">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4.01</w:t>
            </w:r>
          </w:p>
        </w:tc>
      </w:tr>
      <w:tr w:rsidR="001E65DB" w:rsidRPr="003E3E25" w14:paraId="23185384" w14:textId="77777777" w:rsidTr="003E3E25">
        <w:trPr>
          <w:cantSplit/>
          <w:trHeight w:val="209"/>
          <w:tblHeader/>
        </w:trPr>
        <w:tc>
          <w:tcPr>
            <w:tcW w:w="1842" w:type="pct"/>
            <w:shd w:val="clear" w:color="auto" w:fill="auto"/>
            <w:vAlign w:val="center"/>
          </w:tcPr>
          <w:p w14:paraId="5B75F19D" w14:textId="77777777" w:rsidR="001E65DB" w:rsidRPr="003E3E25"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Cs/>
                <w:color w:val="2E74B5" w:themeColor="accent1" w:themeShade="BF"/>
                <w:spacing w:val="1"/>
                <w:lang w:eastAsia="fr-FR"/>
              </w:rPr>
            </w:pPr>
            <w:r w:rsidRPr="003E3E25">
              <w:rPr>
                <w:rFonts w:cs="Arial"/>
                <w:color w:val="2E74B5" w:themeColor="accent1" w:themeShade="BF"/>
                <w:spacing w:val="1"/>
                <w:lang w:eastAsia="fr-FR"/>
              </w:rPr>
              <w:t>Child (6 to &lt;12 years old)</w:t>
            </w:r>
          </w:p>
        </w:tc>
        <w:tc>
          <w:tcPr>
            <w:tcW w:w="1398" w:type="pct"/>
            <w:tcBorders>
              <w:right w:val="single" w:sz="4" w:space="0" w:color="auto"/>
            </w:tcBorders>
            <w:shd w:val="clear" w:color="auto" w:fill="auto"/>
            <w:vAlign w:val="center"/>
          </w:tcPr>
          <w:p w14:paraId="56C2E88E" w14:textId="77777777" w:rsidR="001E65DB" w:rsidRPr="003E3E25" w:rsidRDefault="001E65DB" w:rsidP="00546133">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Tier 2</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0E60653B" w14:textId="77777777" w:rsidR="001E65DB" w:rsidRPr="003E3E25" w:rsidRDefault="001E65DB" w:rsidP="004C342D">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4.76</w:t>
            </w:r>
          </w:p>
        </w:tc>
      </w:tr>
      <w:tr w:rsidR="001E65DB" w:rsidRPr="003E3E25" w14:paraId="78C0F827" w14:textId="77777777" w:rsidTr="003E3E25">
        <w:trPr>
          <w:cantSplit/>
          <w:trHeight w:val="286"/>
          <w:tblHeader/>
        </w:trPr>
        <w:tc>
          <w:tcPr>
            <w:tcW w:w="1842" w:type="pct"/>
            <w:shd w:val="clear" w:color="auto" w:fill="auto"/>
            <w:vAlign w:val="center"/>
          </w:tcPr>
          <w:p w14:paraId="7748A293" w14:textId="77777777" w:rsidR="001E65DB" w:rsidRPr="003E3E25"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Cs/>
                <w:color w:val="2E74B5" w:themeColor="accent1" w:themeShade="BF"/>
                <w:spacing w:val="1"/>
                <w:lang w:eastAsia="fr-FR"/>
              </w:rPr>
            </w:pPr>
            <w:r w:rsidRPr="003E3E25">
              <w:rPr>
                <w:rFonts w:cs="Arial"/>
                <w:color w:val="2E74B5" w:themeColor="accent1" w:themeShade="BF"/>
                <w:spacing w:val="1"/>
                <w:lang w:eastAsia="fr-FR"/>
              </w:rPr>
              <w:t>Child (2 to &lt;6 years old)</w:t>
            </w:r>
          </w:p>
        </w:tc>
        <w:tc>
          <w:tcPr>
            <w:tcW w:w="1398" w:type="pct"/>
            <w:tcBorders>
              <w:right w:val="single" w:sz="4" w:space="0" w:color="auto"/>
            </w:tcBorders>
            <w:shd w:val="clear" w:color="auto" w:fill="auto"/>
            <w:vAlign w:val="center"/>
          </w:tcPr>
          <w:p w14:paraId="3891E760" w14:textId="77777777" w:rsidR="001E65DB" w:rsidRPr="003E3E25" w:rsidRDefault="001E65DB" w:rsidP="00546133">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Tier 2</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50661F06" w14:textId="77777777" w:rsidR="001E65DB" w:rsidRPr="003E3E25" w:rsidRDefault="001E65DB" w:rsidP="004C342D">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5.40</w:t>
            </w:r>
          </w:p>
        </w:tc>
      </w:tr>
      <w:tr w:rsidR="001E65DB" w:rsidRPr="003E3E25" w14:paraId="666B362A" w14:textId="77777777" w:rsidTr="003E3E25">
        <w:trPr>
          <w:cantSplit/>
          <w:trHeight w:val="282"/>
          <w:tblHeader/>
        </w:trPr>
        <w:tc>
          <w:tcPr>
            <w:tcW w:w="1842" w:type="pct"/>
            <w:shd w:val="clear" w:color="auto" w:fill="auto"/>
            <w:vAlign w:val="center"/>
          </w:tcPr>
          <w:p w14:paraId="1DFCDB3E" w14:textId="77777777" w:rsidR="001E65DB" w:rsidRPr="003E3E25"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Cs/>
                <w:color w:val="2E74B5" w:themeColor="accent1" w:themeShade="BF"/>
                <w:spacing w:val="1"/>
                <w:lang w:eastAsia="fr-FR"/>
              </w:rPr>
            </w:pPr>
            <w:r w:rsidRPr="003E3E25">
              <w:rPr>
                <w:rFonts w:cs="Arial"/>
                <w:color w:val="2E74B5" w:themeColor="accent1" w:themeShade="BF"/>
                <w:spacing w:val="1"/>
                <w:lang w:eastAsia="fr-FR"/>
              </w:rPr>
              <w:t>Toddler (1 to &lt;2 years old)</w:t>
            </w:r>
          </w:p>
        </w:tc>
        <w:tc>
          <w:tcPr>
            <w:tcW w:w="1398" w:type="pct"/>
            <w:tcBorders>
              <w:right w:val="single" w:sz="4" w:space="0" w:color="auto"/>
            </w:tcBorders>
            <w:shd w:val="clear" w:color="auto" w:fill="auto"/>
            <w:vAlign w:val="center"/>
          </w:tcPr>
          <w:p w14:paraId="0873A2BB" w14:textId="77777777" w:rsidR="001E65DB" w:rsidRPr="003E3E25" w:rsidRDefault="001E65DB" w:rsidP="00546133">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Tier 2</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14:paraId="5736A52B" w14:textId="77777777" w:rsidR="001E65DB" w:rsidRPr="003E3E25" w:rsidRDefault="001E65DB" w:rsidP="004C342D">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5.97</w:t>
            </w:r>
          </w:p>
        </w:tc>
      </w:tr>
      <w:tr w:rsidR="001E65DB" w:rsidRPr="003E3E25" w14:paraId="102D7A0B" w14:textId="77777777" w:rsidTr="003E3E25">
        <w:trPr>
          <w:cantSplit/>
          <w:trHeight w:val="282"/>
          <w:tblHeader/>
        </w:trPr>
        <w:tc>
          <w:tcPr>
            <w:tcW w:w="1842" w:type="pct"/>
            <w:tcBorders>
              <w:bottom w:val="double" w:sz="4" w:space="0" w:color="auto"/>
            </w:tcBorders>
            <w:shd w:val="clear" w:color="auto" w:fill="auto"/>
            <w:vAlign w:val="center"/>
          </w:tcPr>
          <w:p w14:paraId="3A09D767" w14:textId="77777777" w:rsidR="001E65DB" w:rsidRPr="003E3E25"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Cs/>
                <w:color w:val="2E74B5" w:themeColor="accent1" w:themeShade="BF"/>
                <w:spacing w:val="1"/>
                <w:lang w:eastAsia="fr-FR"/>
              </w:rPr>
            </w:pPr>
            <w:r w:rsidRPr="003E3E25">
              <w:rPr>
                <w:rFonts w:cs="Arial"/>
                <w:color w:val="2E74B5" w:themeColor="accent1" w:themeShade="BF"/>
                <w:spacing w:val="1"/>
                <w:lang w:eastAsia="fr-FR"/>
              </w:rPr>
              <w:t>Infant (&lt;1 year old)</w:t>
            </w:r>
          </w:p>
        </w:tc>
        <w:tc>
          <w:tcPr>
            <w:tcW w:w="1398" w:type="pct"/>
            <w:tcBorders>
              <w:bottom w:val="double" w:sz="4" w:space="0" w:color="auto"/>
              <w:right w:val="single" w:sz="4" w:space="0" w:color="auto"/>
            </w:tcBorders>
            <w:shd w:val="clear" w:color="auto" w:fill="auto"/>
            <w:vAlign w:val="center"/>
          </w:tcPr>
          <w:p w14:paraId="269964B5" w14:textId="77777777" w:rsidR="001E65DB" w:rsidRPr="003E3E25" w:rsidRDefault="001E65DB" w:rsidP="00546133">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Tier 2</w:t>
            </w:r>
          </w:p>
        </w:tc>
        <w:tc>
          <w:tcPr>
            <w:tcW w:w="1760" w:type="pct"/>
            <w:tcBorders>
              <w:top w:val="single" w:sz="4" w:space="0" w:color="auto"/>
              <w:left w:val="single" w:sz="4" w:space="0" w:color="auto"/>
              <w:bottom w:val="double" w:sz="4" w:space="0" w:color="auto"/>
              <w:right w:val="single" w:sz="4" w:space="0" w:color="auto"/>
            </w:tcBorders>
            <w:shd w:val="clear" w:color="auto" w:fill="auto"/>
            <w:vAlign w:val="bottom"/>
          </w:tcPr>
          <w:p w14:paraId="65B948DF" w14:textId="77777777" w:rsidR="001E65DB" w:rsidRPr="003E3E25" w:rsidRDefault="001E65DB" w:rsidP="004C342D">
            <w:pPr>
              <w:widowControl w:val="0"/>
              <w:shd w:val="clear" w:color="auto" w:fill="D9D9D9" w:themeFill="background1" w:themeFillShade="D9"/>
              <w:kinsoku w:val="0"/>
              <w:overflowPunct w:val="0"/>
              <w:autoSpaceDE w:val="0"/>
              <w:autoSpaceDN w:val="0"/>
              <w:adjustRightInd w:val="0"/>
              <w:spacing w:before="0" w:after="0" w:line="290" w:lineRule="exact"/>
              <w:ind w:right="216"/>
              <w:jc w:val="center"/>
              <w:textAlignment w:val="baseline"/>
              <w:rPr>
                <w:rFonts w:cs="Arial"/>
                <w:bCs/>
                <w:color w:val="2E74B5" w:themeColor="accent1" w:themeShade="BF"/>
                <w:spacing w:val="1"/>
                <w:lang w:eastAsia="fr-FR"/>
              </w:rPr>
            </w:pPr>
            <w:r w:rsidRPr="003E3E25">
              <w:rPr>
                <w:rFonts w:cs="Arial"/>
                <w:bCs/>
                <w:color w:val="2E74B5" w:themeColor="accent1" w:themeShade="BF"/>
                <w:spacing w:val="1"/>
                <w:lang w:eastAsia="fr-FR"/>
              </w:rPr>
              <w:t>6.38</w:t>
            </w:r>
          </w:p>
        </w:tc>
      </w:tr>
    </w:tbl>
    <w:p w14:paraId="3BAFA21B" w14:textId="77777777" w:rsidR="001E65DB" w:rsidRPr="007A1D6D" w:rsidRDefault="001E65DB" w:rsidP="008A3DDA">
      <w:pPr>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p>
    <w:p w14:paraId="5BEAC2CB" w14:textId="77777777" w:rsidR="001E65DB" w:rsidRPr="007A1D6D" w:rsidRDefault="001E65DB" w:rsidP="003E3E25">
      <w:pPr>
        <w:widowControl w:val="0"/>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p>
    <w:p w14:paraId="583FCF8B" w14:textId="77777777" w:rsidR="001E65DB" w:rsidRPr="007A1D6D" w:rsidRDefault="001E65DB" w:rsidP="003E3E25">
      <w:pPr>
        <w:widowControl w:val="0"/>
        <w:numPr>
          <w:ilvl w:val="1"/>
          <w:numId w:val="17"/>
        </w:numPr>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r w:rsidRPr="007A1D6D">
        <w:rPr>
          <w:rFonts w:cs="Arial"/>
          <w:b/>
          <w:color w:val="2E74B5" w:themeColor="accent1" w:themeShade="BF"/>
          <w:spacing w:val="1"/>
          <w:u w:val="single"/>
          <w:lang w:eastAsia="fr-FR"/>
        </w:rPr>
        <w:t>Skin application (temperate zone) + exposure linked to application on clothes+ exposure during application on clothes</w:t>
      </w:r>
    </w:p>
    <w:p w14:paraId="2309F39F" w14:textId="77777777" w:rsidR="001E65DB" w:rsidRPr="007A1D6D" w:rsidRDefault="001E65DB" w:rsidP="008A3DDA">
      <w:pPr>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p>
    <w:p w14:paraId="4FD3D25C" w14:textId="77777777" w:rsidR="001E65DB" w:rsidRPr="007A1D6D" w:rsidRDefault="001E65DB" w:rsidP="008A3DDA">
      <w:pPr>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p>
    <w:tbl>
      <w:tblPr>
        <w:tblW w:w="4904" w:type="pct"/>
        <w:tblBorders>
          <w:top w:val="single" w:sz="6" w:space="0" w:color="auto"/>
          <w:left w:val="single" w:sz="6" w:space="0" w:color="auto"/>
          <w:bottom w:val="doub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1E65DB" w:rsidRPr="007A1D6D" w14:paraId="0EE87ECC" w14:textId="77777777" w:rsidTr="004C342D">
        <w:trPr>
          <w:cantSplit/>
          <w:trHeight w:val="140"/>
          <w:tblHeader/>
        </w:trPr>
        <w:tc>
          <w:tcPr>
            <w:tcW w:w="1842" w:type="pct"/>
            <w:shd w:val="clear" w:color="auto" w:fill="BFBFBF" w:themeFill="background1" w:themeFillShade="BF"/>
          </w:tcPr>
          <w:p w14:paraId="0C39E4B9" w14:textId="2B7D1983" w:rsidR="003E3E25"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
                <w:bCs/>
                <w:color w:val="2E74B5" w:themeColor="accent1" w:themeShade="BF"/>
                <w:spacing w:val="1"/>
                <w:lang w:eastAsia="fr-FR"/>
              </w:rPr>
            </w:pPr>
            <w:r w:rsidRPr="004C342D">
              <w:rPr>
                <w:rFonts w:cs="Arial"/>
                <w:b/>
                <w:bCs/>
                <w:color w:val="2E74B5" w:themeColor="accent1" w:themeShade="BF"/>
                <w:spacing w:val="1"/>
                <w:lang w:eastAsia="fr-FR"/>
              </w:rPr>
              <w:t>Exposure scenario</w:t>
            </w:r>
          </w:p>
          <w:p w14:paraId="79488303" w14:textId="77777777" w:rsidR="001E65DB" w:rsidRPr="003E3E25" w:rsidRDefault="001E65DB" w:rsidP="003E3E25">
            <w:pPr>
              <w:jc w:val="center"/>
              <w:rPr>
                <w:rFonts w:cs="Arial"/>
                <w:lang w:eastAsia="fr-FR"/>
              </w:rPr>
            </w:pPr>
          </w:p>
        </w:tc>
        <w:tc>
          <w:tcPr>
            <w:tcW w:w="1398" w:type="pct"/>
            <w:shd w:val="clear" w:color="auto" w:fill="BFBFBF" w:themeFill="background1" w:themeFillShade="BF"/>
          </w:tcPr>
          <w:p w14:paraId="240843C2" w14:textId="77777777" w:rsidR="001E65DB" w:rsidRPr="004C342D"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
                <w:bCs/>
                <w:color w:val="2E74B5" w:themeColor="accent1" w:themeShade="BF"/>
                <w:spacing w:val="1"/>
                <w:lang w:eastAsia="fr-FR"/>
              </w:rPr>
            </w:pPr>
            <w:r w:rsidRPr="004C342D">
              <w:rPr>
                <w:rFonts w:cs="Arial"/>
                <w:b/>
                <w:bCs/>
                <w:color w:val="2E74B5" w:themeColor="accent1" w:themeShade="BF"/>
                <w:spacing w:val="1"/>
                <w:lang w:eastAsia="fr-FR"/>
              </w:rPr>
              <w:t>Tier/PPE</w:t>
            </w:r>
          </w:p>
        </w:tc>
        <w:tc>
          <w:tcPr>
            <w:tcW w:w="1760" w:type="pct"/>
            <w:shd w:val="clear" w:color="auto" w:fill="BFBFBF" w:themeFill="background1" w:themeFillShade="BF"/>
          </w:tcPr>
          <w:p w14:paraId="6C1C25F1" w14:textId="77777777" w:rsidR="001E65DB" w:rsidRPr="004C342D"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
                <w:bCs/>
                <w:color w:val="2E74B5" w:themeColor="accent1" w:themeShade="BF"/>
                <w:spacing w:val="1"/>
                <w:lang w:eastAsia="fr-FR"/>
              </w:rPr>
            </w:pPr>
            <w:r w:rsidRPr="004C342D">
              <w:rPr>
                <w:rFonts w:cs="Arial"/>
                <w:b/>
                <w:bCs/>
                <w:color w:val="2E74B5" w:themeColor="accent1" w:themeShade="BF"/>
                <w:spacing w:val="1"/>
                <w:lang w:eastAsia="fr-FR"/>
              </w:rPr>
              <w:t>Estimated dermal uptake (mg/kg bw/d)</w:t>
            </w:r>
          </w:p>
        </w:tc>
      </w:tr>
      <w:tr w:rsidR="001E65DB" w:rsidRPr="007A1D6D" w14:paraId="3105F013" w14:textId="77777777" w:rsidTr="003E3E25">
        <w:trPr>
          <w:cantSplit/>
          <w:trHeight w:val="282"/>
          <w:tblHeader/>
        </w:trPr>
        <w:tc>
          <w:tcPr>
            <w:tcW w:w="1842" w:type="pct"/>
            <w:shd w:val="clear" w:color="auto" w:fill="auto"/>
            <w:vAlign w:val="center"/>
          </w:tcPr>
          <w:p w14:paraId="08550F7C"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Adult (2 applications)</w:t>
            </w:r>
          </w:p>
        </w:tc>
        <w:tc>
          <w:tcPr>
            <w:tcW w:w="1398" w:type="pct"/>
            <w:shd w:val="clear" w:color="auto" w:fill="auto"/>
            <w:vAlign w:val="center"/>
          </w:tcPr>
          <w:p w14:paraId="423FC470"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1</w:t>
            </w:r>
          </w:p>
        </w:tc>
        <w:tc>
          <w:tcPr>
            <w:tcW w:w="1760" w:type="pct"/>
            <w:shd w:val="clear" w:color="auto" w:fill="auto"/>
            <w:vAlign w:val="bottom"/>
          </w:tcPr>
          <w:p w14:paraId="235FE5F7"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4.97</w:t>
            </w:r>
          </w:p>
        </w:tc>
      </w:tr>
      <w:tr w:rsidR="001E65DB" w:rsidRPr="007A1D6D" w14:paraId="57AC8AB6" w14:textId="77777777" w:rsidTr="003E3E25">
        <w:trPr>
          <w:cantSplit/>
          <w:trHeight w:val="282"/>
          <w:tblHeader/>
        </w:trPr>
        <w:tc>
          <w:tcPr>
            <w:tcW w:w="1842" w:type="pct"/>
            <w:shd w:val="clear" w:color="auto" w:fill="auto"/>
            <w:vAlign w:val="center"/>
          </w:tcPr>
          <w:p w14:paraId="4BD7DD59"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Adult (1 application)</w:t>
            </w:r>
          </w:p>
        </w:tc>
        <w:tc>
          <w:tcPr>
            <w:tcW w:w="1398" w:type="pct"/>
            <w:shd w:val="clear" w:color="auto" w:fill="auto"/>
            <w:vAlign w:val="center"/>
          </w:tcPr>
          <w:p w14:paraId="33536E02"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1</w:t>
            </w:r>
          </w:p>
        </w:tc>
        <w:tc>
          <w:tcPr>
            <w:tcW w:w="1760" w:type="pct"/>
            <w:shd w:val="clear" w:color="auto" w:fill="auto"/>
            <w:vAlign w:val="bottom"/>
          </w:tcPr>
          <w:p w14:paraId="22B011EE"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3.43</w:t>
            </w:r>
          </w:p>
        </w:tc>
      </w:tr>
      <w:tr w:rsidR="001E65DB" w:rsidRPr="007A1D6D" w14:paraId="6235C687" w14:textId="77777777" w:rsidTr="003E3E25">
        <w:trPr>
          <w:cantSplit/>
          <w:trHeight w:val="209"/>
          <w:tblHeader/>
        </w:trPr>
        <w:tc>
          <w:tcPr>
            <w:tcW w:w="1842" w:type="pct"/>
            <w:shd w:val="clear" w:color="auto" w:fill="auto"/>
            <w:vAlign w:val="center"/>
          </w:tcPr>
          <w:p w14:paraId="11524B40"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Child (6 to &lt;12 years old) (2 applications)</w:t>
            </w:r>
          </w:p>
        </w:tc>
        <w:tc>
          <w:tcPr>
            <w:tcW w:w="1398" w:type="pct"/>
            <w:shd w:val="clear" w:color="auto" w:fill="auto"/>
            <w:vAlign w:val="center"/>
          </w:tcPr>
          <w:p w14:paraId="1D1D95A4"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2</w:t>
            </w:r>
          </w:p>
        </w:tc>
        <w:tc>
          <w:tcPr>
            <w:tcW w:w="1760" w:type="pct"/>
            <w:shd w:val="clear" w:color="auto" w:fill="auto"/>
            <w:vAlign w:val="bottom"/>
          </w:tcPr>
          <w:p w14:paraId="130281AF"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6.09</w:t>
            </w:r>
          </w:p>
        </w:tc>
      </w:tr>
      <w:tr w:rsidR="001E65DB" w:rsidRPr="007A1D6D" w14:paraId="3B21F3F8" w14:textId="77777777" w:rsidTr="003E3E25">
        <w:trPr>
          <w:cantSplit/>
          <w:trHeight w:val="209"/>
          <w:tblHeader/>
        </w:trPr>
        <w:tc>
          <w:tcPr>
            <w:tcW w:w="1842" w:type="pct"/>
            <w:shd w:val="clear" w:color="auto" w:fill="auto"/>
            <w:vAlign w:val="center"/>
          </w:tcPr>
          <w:p w14:paraId="440E0C79"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Child (6 to &lt;12 years old) (1 application)</w:t>
            </w:r>
          </w:p>
        </w:tc>
        <w:tc>
          <w:tcPr>
            <w:tcW w:w="1398" w:type="pct"/>
            <w:shd w:val="clear" w:color="auto" w:fill="auto"/>
            <w:vAlign w:val="center"/>
          </w:tcPr>
          <w:p w14:paraId="6A015938"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2</w:t>
            </w:r>
          </w:p>
        </w:tc>
        <w:tc>
          <w:tcPr>
            <w:tcW w:w="1760" w:type="pct"/>
            <w:shd w:val="clear" w:color="auto" w:fill="auto"/>
            <w:vAlign w:val="bottom"/>
          </w:tcPr>
          <w:p w14:paraId="50C89C53"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4.09</w:t>
            </w:r>
          </w:p>
        </w:tc>
      </w:tr>
      <w:tr w:rsidR="001E65DB" w:rsidRPr="007A1D6D" w14:paraId="6CD09E1A" w14:textId="77777777" w:rsidTr="003E3E25">
        <w:trPr>
          <w:cantSplit/>
          <w:trHeight w:val="286"/>
          <w:tblHeader/>
        </w:trPr>
        <w:tc>
          <w:tcPr>
            <w:tcW w:w="1842" w:type="pct"/>
            <w:shd w:val="clear" w:color="auto" w:fill="auto"/>
            <w:vAlign w:val="center"/>
          </w:tcPr>
          <w:p w14:paraId="20994670"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Child (2 to &lt;6 years old)</w:t>
            </w:r>
          </w:p>
        </w:tc>
        <w:tc>
          <w:tcPr>
            <w:tcW w:w="1398" w:type="pct"/>
            <w:shd w:val="clear" w:color="auto" w:fill="auto"/>
            <w:vAlign w:val="center"/>
          </w:tcPr>
          <w:p w14:paraId="33300C42"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2</w:t>
            </w:r>
          </w:p>
        </w:tc>
        <w:tc>
          <w:tcPr>
            <w:tcW w:w="1760" w:type="pct"/>
            <w:shd w:val="clear" w:color="auto" w:fill="auto"/>
            <w:vAlign w:val="bottom"/>
          </w:tcPr>
          <w:p w14:paraId="55530416"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4.63</w:t>
            </w:r>
          </w:p>
        </w:tc>
      </w:tr>
      <w:tr w:rsidR="001E65DB" w:rsidRPr="007A1D6D" w14:paraId="69BCF683" w14:textId="77777777" w:rsidTr="003E3E25">
        <w:trPr>
          <w:cantSplit/>
          <w:trHeight w:val="282"/>
          <w:tblHeader/>
        </w:trPr>
        <w:tc>
          <w:tcPr>
            <w:tcW w:w="1842" w:type="pct"/>
            <w:shd w:val="clear" w:color="auto" w:fill="auto"/>
            <w:vAlign w:val="center"/>
          </w:tcPr>
          <w:p w14:paraId="1A4E2AAF"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Toddler (1 to &lt;2 years old)</w:t>
            </w:r>
          </w:p>
        </w:tc>
        <w:tc>
          <w:tcPr>
            <w:tcW w:w="1398" w:type="pct"/>
            <w:shd w:val="clear" w:color="auto" w:fill="auto"/>
            <w:vAlign w:val="center"/>
          </w:tcPr>
          <w:p w14:paraId="43C829F4"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2</w:t>
            </w:r>
          </w:p>
        </w:tc>
        <w:tc>
          <w:tcPr>
            <w:tcW w:w="1760" w:type="pct"/>
            <w:shd w:val="clear" w:color="auto" w:fill="auto"/>
            <w:vAlign w:val="bottom"/>
          </w:tcPr>
          <w:p w14:paraId="70FE6030"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5.12</w:t>
            </w:r>
          </w:p>
        </w:tc>
      </w:tr>
      <w:tr w:rsidR="001E65DB" w:rsidRPr="007A1D6D" w14:paraId="10247638" w14:textId="77777777" w:rsidTr="003E3E25">
        <w:trPr>
          <w:cantSplit/>
          <w:trHeight w:val="282"/>
          <w:tblHeader/>
        </w:trPr>
        <w:tc>
          <w:tcPr>
            <w:tcW w:w="1842" w:type="pct"/>
            <w:shd w:val="clear" w:color="auto" w:fill="auto"/>
            <w:vAlign w:val="center"/>
          </w:tcPr>
          <w:p w14:paraId="114A0125"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Infant (&lt;1 year old)</w:t>
            </w:r>
          </w:p>
        </w:tc>
        <w:tc>
          <w:tcPr>
            <w:tcW w:w="1398" w:type="pct"/>
            <w:shd w:val="clear" w:color="auto" w:fill="auto"/>
            <w:vAlign w:val="center"/>
          </w:tcPr>
          <w:p w14:paraId="5F1A9E17"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2</w:t>
            </w:r>
          </w:p>
        </w:tc>
        <w:tc>
          <w:tcPr>
            <w:tcW w:w="1760" w:type="pct"/>
            <w:shd w:val="clear" w:color="auto" w:fill="auto"/>
            <w:vAlign w:val="bottom"/>
          </w:tcPr>
          <w:p w14:paraId="1B2FB44C"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5.47</w:t>
            </w:r>
          </w:p>
        </w:tc>
      </w:tr>
    </w:tbl>
    <w:p w14:paraId="61D7F512" w14:textId="77777777" w:rsidR="001E65DB" w:rsidRPr="007A1D6D" w:rsidRDefault="001E65DB" w:rsidP="008A3DDA">
      <w:pPr>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p>
    <w:p w14:paraId="34E18C41" w14:textId="77777777" w:rsidR="001E65DB" w:rsidRPr="003E3E25" w:rsidRDefault="001E65DB" w:rsidP="003E3E25">
      <w:pPr>
        <w:widowControl w:val="0"/>
        <w:numPr>
          <w:ilvl w:val="0"/>
          <w:numId w:val="17"/>
        </w:numPr>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r w:rsidRPr="003E3E25">
        <w:rPr>
          <w:rFonts w:cs="Arial"/>
          <w:b/>
          <w:color w:val="2E74B5" w:themeColor="accent1" w:themeShade="BF"/>
          <w:spacing w:val="1"/>
          <w:u w:val="single"/>
          <w:lang w:eastAsia="fr-FR"/>
        </w:rPr>
        <w:t>For application against ticks</w:t>
      </w:r>
    </w:p>
    <w:p w14:paraId="4BCE75DA" w14:textId="77777777" w:rsidR="001E65DB" w:rsidRPr="003E3E25" w:rsidRDefault="001E65DB" w:rsidP="003E3E25">
      <w:pPr>
        <w:widowControl w:val="0"/>
        <w:numPr>
          <w:ilvl w:val="1"/>
          <w:numId w:val="17"/>
        </w:numPr>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r w:rsidRPr="003E3E25">
        <w:rPr>
          <w:rFonts w:cs="Arial"/>
          <w:b/>
          <w:color w:val="2E74B5" w:themeColor="accent1" w:themeShade="BF"/>
          <w:spacing w:val="1"/>
          <w:u w:val="single"/>
          <w:lang w:eastAsia="fr-FR"/>
        </w:rPr>
        <w:t>Skin application + exposure linked to application on clothes+ exposure during application on clothes</w:t>
      </w:r>
    </w:p>
    <w:p w14:paraId="76831373" w14:textId="11C77F9B" w:rsidR="001E65DB" w:rsidRPr="007A1D6D" w:rsidRDefault="001E65DB" w:rsidP="008A3DDA">
      <w:pPr>
        <w:widowControl w:val="0"/>
        <w:shd w:val="clear" w:color="auto" w:fill="FFFFFF" w:themeFill="background1"/>
        <w:kinsoku w:val="0"/>
        <w:overflowPunct w:val="0"/>
        <w:autoSpaceDE w:val="0"/>
        <w:autoSpaceDN w:val="0"/>
        <w:adjustRightInd w:val="0"/>
        <w:spacing w:before="0" w:after="0" w:line="290" w:lineRule="exact"/>
        <w:ind w:right="216"/>
        <w:jc w:val="both"/>
        <w:textAlignment w:val="baseline"/>
        <w:rPr>
          <w:rFonts w:cs="Arial"/>
          <w:b/>
          <w:color w:val="2E74B5" w:themeColor="accent1" w:themeShade="BF"/>
          <w:spacing w:val="1"/>
          <w:u w:val="single"/>
          <w:lang w:eastAsia="fr-FR"/>
        </w:rPr>
      </w:pPr>
    </w:p>
    <w:tbl>
      <w:tblPr>
        <w:tblW w:w="4904" w:type="pct"/>
        <w:tblBorders>
          <w:top w:val="single" w:sz="6" w:space="0" w:color="auto"/>
          <w:left w:val="single" w:sz="6" w:space="0" w:color="auto"/>
          <w:bottom w:val="doub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2577"/>
        <w:gridCol w:w="3244"/>
      </w:tblGrid>
      <w:tr w:rsidR="001E65DB" w:rsidRPr="007A1D6D" w14:paraId="1EA693AB" w14:textId="77777777" w:rsidTr="004C342D">
        <w:trPr>
          <w:cantSplit/>
          <w:trHeight w:val="140"/>
          <w:tblHeader/>
        </w:trPr>
        <w:tc>
          <w:tcPr>
            <w:tcW w:w="1842" w:type="pct"/>
            <w:shd w:val="clear" w:color="auto" w:fill="BFBFBF" w:themeFill="background1" w:themeFillShade="BF"/>
          </w:tcPr>
          <w:p w14:paraId="1D8E235B" w14:textId="77777777" w:rsidR="001E65DB" w:rsidRPr="004C342D"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
                <w:bCs/>
                <w:color w:val="2E74B5" w:themeColor="accent1" w:themeShade="BF"/>
                <w:spacing w:val="1"/>
                <w:lang w:eastAsia="fr-FR"/>
              </w:rPr>
            </w:pPr>
            <w:r w:rsidRPr="004C342D">
              <w:rPr>
                <w:rFonts w:cs="Arial"/>
                <w:b/>
                <w:bCs/>
                <w:color w:val="2E74B5" w:themeColor="accent1" w:themeShade="BF"/>
                <w:spacing w:val="1"/>
                <w:lang w:eastAsia="fr-FR"/>
              </w:rPr>
              <w:t>Exposure scenario</w:t>
            </w:r>
          </w:p>
        </w:tc>
        <w:tc>
          <w:tcPr>
            <w:tcW w:w="1398" w:type="pct"/>
            <w:shd w:val="clear" w:color="auto" w:fill="BFBFBF" w:themeFill="background1" w:themeFillShade="BF"/>
          </w:tcPr>
          <w:p w14:paraId="70EF2835" w14:textId="77777777" w:rsidR="001E65DB" w:rsidRPr="004C342D"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
                <w:bCs/>
                <w:color w:val="2E74B5" w:themeColor="accent1" w:themeShade="BF"/>
                <w:spacing w:val="1"/>
                <w:lang w:eastAsia="fr-FR"/>
              </w:rPr>
            </w:pPr>
            <w:r w:rsidRPr="004C342D">
              <w:rPr>
                <w:rFonts w:cs="Arial"/>
                <w:b/>
                <w:bCs/>
                <w:color w:val="2E74B5" w:themeColor="accent1" w:themeShade="BF"/>
                <w:spacing w:val="1"/>
                <w:lang w:eastAsia="fr-FR"/>
              </w:rPr>
              <w:t>Tier/PPE</w:t>
            </w:r>
          </w:p>
        </w:tc>
        <w:tc>
          <w:tcPr>
            <w:tcW w:w="1760" w:type="pct"/>
            <w:shd w:val="clear" w:color="auto" w:fill="BFBFBF" w:themeFill="background1" w:themeFillShade="BF"/>
          </w:tcPr>
          <w:p w14:paraId="21E66467" w14:textId="77777777" w:rsidR="001E65DB" w:rsidRPr="004C342D" w:rsidRDefault="001E65DB" w:rsidP="001E65DB">
            <w:pPr>
              <w:widowControl w:val="0"/>
              <w:shd w:val="clear" w:color="auto" w:fill="D9D9D9" w:themeFill="background1" w:themeFillShade="D9"/>
              <w:kinsoku w:val="0"/>
              <w:overflowPunct w:val="0"/>
              <w:autoSpaceDE w:val="0"/>
              <w:autoSpaceDN w:val="0"/>
              <w:adjustRightInd w:val="0"/>
              <w:spacing w:before="0" w:after="0" w:line="290" w:lineRule="exact"/>
              <w:ind w:right="216"/>
              <w:jc w:val="both"/>
              <w:textAlignment w:val="baseline"/>
              <w:rPr>
                <w:rFonts w:cs="Arial"/>
                <w:b/>
                <w:bCs/>
                <w:color w:val="2E74B5" w:themeColor="accent1" w:themeShade="BF"/>
                <w:spacing w:val="1"/>
                <w:lang w:eastAsia="fr-FR"/>
              </w:rPr>
            </w:pPr>
            <w:r w:rsidRPr="004C342D">
              <w:rPr>
                <w:rFonts w:cs="Arial"/>
                <w:b/>
                <w:bCs/>
                <w:color w:val="2E74B5" w:themeColor="accent1" w:themeShade="BF"/>
                <w:spacing w:val="1"/>
                <w:lang w:eastAsia="fr-FR"/>
              </w:rPr>
              <w:t>Estimated dermal uptake (mg/kg bw/d)</w:t>
            </w:r>
          </w:p>
        </w:tc>
      </w:tr>
      <w:tr w:rsidR="001E65DB" w:rsidRPr="007A1D6D" w14:paraId="58777038" w14:textId="77777777" w:rsidTr="003E3E25">
        <w:trPr>
          <w:cantSplit/>
          <w:trHeight w:val="282"/>
          <w:tblHeader/>
        </w:trPr>
        <w:tc>
          <w:tcPr>
            <w:tcW w:w="1842" w:type="pct"/>
            <w:shd w:val="clear" w:color="auto" w:fill="auto"/>
            <w:vAlign w:val="center"/>
          </w:tcPr>
          <w:p w14:paraId="777BCF33" w14:textId="77777777" w:rsidR="001E65DB" w:rsidRPr="003E3E25" w:rsidRDefault="001E65DB" w:rsidP="003E3E25">
            <w:pPr>
              <w:spacing w:before="0" w:after="0"/>
              <w:jc w:val="both"/>
              <w:rPr>
                <w:rFonts w:cs="Arial"/>
                <w:color w:val="0070C0"/>
                <w:spacing w:val="1"/>
                <w:lang w:eastAsia="fr-FR"/>
              </w:rPr>
            </w:pPr>
            <w:r w:rsidRPr="003E3E25">
              <w:rPr>
                <w:rFonts w:cs="Arial"/>
                <w:color w:val="0070C0"/>
                <w:spacing w:val="1"/>
                <w:lang w:eastAsia="fr-FR"/>
              </w:rPr>
              <w:t>Adult (2 applications)</w:t>
            </w:r>
          </w:p>
        </w:tc>
        <w:tc>
          <w:tcPr>
            <w:tcW w:w="1398" w:type="pct"/>
            <w:shd w:val="clear" w:color="auto" w:fill="auto"/>
            <w:vAlign w:val="center"/>
          </w:tcPr>
          <w:p w14:paraId="63C8CDB0"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1</w:t>
            </w:r>
          </w:p>
        </w:tc>
        <w:tc>
          <w:tcPr>
            <w:tcW w:w="1760" w:type="pct"/>
            <w:shd w:val="clear" w:color="auto" w:fill="auto"/>
            <w:vAlign w:val="bottom"/>
          </w:tcPr>
          <w:p w14:paraId="2987C403"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5.57</w:t>
            </w:r>
          </w:p>
        </w:tc>
      </w:tr>
      <w:tr w:rsidR="001E65DB" w:rsidRPr="007A1D6D" w14:paraId="0D6E7776" w14:textId="77777777" w:rsidTr="003E3E25">
        <w:trPr>
          <w:cantSplit/>
          <w:trHeight w:val="282"/>
          <w:tblHeader/>
        </w:trPr>
        <w:tc>
          <w:tcPr>
            <w:tcW w:w="1842" w:type="pct"/>
            <w:shd w:val="clear" w:color="auto" w:fill="auto"/>
            <w:vAlign w:val="center"/>
          </w:tcPr>
          <w:p w14:paraId="7918F8F8" w14:textId="77777777" w:rsidR="001E65DB" w:rsidRPr="003E3E25" w:rsidRDefault="001E65DB" w:rsidP="003E3E25">
            <w:pPr>
              <w:spacing w:before="0" w:after="0"/>
              <w:jc w:val="both"/>
              <w:rPr>
                <w:rFonts w:cs="Arial"/>
                <w:color w:val="0070C0"/>
                <w:spacing w:val="1"/>
                <w:lang w:eastAsia="fr-FR"/>
              </w:rPr>
            </w:pPr>
            <w:r w:rsidRPr="003E3E25">
              <w:rPr>
                <w:rFonts w:cs="Arial"/>
                <w:color w:val="0070C0"/>
                <w:spacing w:val="1"/>
                <w:lang w:eastAsia="fr-FR"/>
              </w:rPr>
              <w:t>Adult (1 application)</w:t>
            </w:r>
          </w:p>
        </w:tc>
        <w:tc>
          <w:tcPr>
            <w:tcW w:w="1398" w:type="pct"/>
            <w:shd w:val="clear" w:color="auto" w:fill="auto"/>
            <w:vAlign w:val="center"/>
          </w:tcPr>
          <w:p w14:paraId="4E14401F"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1</w:t>
            </w:r>
          </w:p>
        </w:tc>
        <w:tc>
          <w:tcPr>
            <w:tcW w:w="1760" w:type="pct"/>
            <w:shd w:val="clear" w:color="auto" w:fill="auto"/>
            <w:vAlign w:val="bottom"/>
          </w:tcPr>
          <w:p w14:paraId="79ECD32E"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4.03</w:t>
            </w:r>
          </w:p>
        </w:tc>
      </w:tr>
      <w:tr w:rsidR="001E65DB" w:rsidRPr="007A1D6D" w14:paraId="6932A368" w14:textId="77777777" w:rsidTr="003E3E25">
        <w:trPr>
          <w:cantSplit/>
          <w:trHeight w:val="209"/>
          <w:tblHeader/>
        </w:trPr>
        <w:tc>
          <w:tcPr>
            <w:tcW w:w="1842" w:type="pct"/>
            <w:shd w:val="clear" w:color="auto" w:fill="auto"/>
            <w:vAlign w:val="center"/>
          </w:tcPr>
          <w:p w14:paraId="61E9A522" w14:textId="77777777" w:rsidR="001E65DB" w:rsidRPr="003E3E25" w:rsidRDefault="001E65DB" w:rsidP="003E3E25">
            <w:pPr>
              <w:spacing w:before="0" w:after="0"/>
              <w:jc w:val="both"/>
              <w:rPr>
                <w:rFonts w:cs="Arial"/>
                <w:color w:val="0070C0"/>
                <w:spacing w:val="1"/>
                <w:lang w:eastAsia="fr-FR"/>
              </w:rPr>
            </w:pPr>
            <w:r w:rsidRPr="003E3E25">
              <w:rPr>
                <w:rFonts w:cs="Arial"/>
                <w:color w:val="0070C0"/>
                <w:spacing w:val="1"/>
                <w:lang w:eastAsia="fr-FR"/>
              </w:rPr>
              <w:t>Child (6 to &lt;12 years old) (2 applications)</w:t>
            </w:r>
          </w:p>
        </w:tc>
        <w:tc>
          <w:tcPr>
            <w:tcW w:w="1398" w:type="pct"/>
            <w:shd w:val="clear" w:color="auto" w:fill="auto"/>
            <w:vAlign w:val="center"/>
          </w:tcPr>
          <w:p w14:paraId="5B70FD30"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2</w:t>
            </w:r>
          </w:p>
        </w:tc>
        <w:tc>
          <w:tcPr>
            <w:tcW w:w="1760" w:type="pct"/>
            <w:shd w:val="clear" w:color="auto" w:fill="auto"/>
            <w:vAlign w:val="bottom"/>
          </w:tcPr>
          <w:p w14:paraId="18AE1399"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6.96</w:t>
            </w:r>
          </w:p>
        </w:tc>
      </w:tr>
      <w:tr w:rsidR="001E65DB" w:rsidRPr="007A1D6D" w14:paraId="3C067DA1" w14:textId="77777777" w:rsidTr="003E3E25">
        <w:trPr>
          <w:cantSplit/>
          <w:trHeight w:val="209"/>
          <w:tblHeader/>
        </w:trPr>
        <w:tc>
          <w:tcPr>
            <w:tcW w:w="1842" w:type="pct"/>
            <w:shd w:val="clear" w:color="auto" w:fill="auto"/>
            <w:vAlign w:val="center"/>
          </w:tcPr>
          <w:p w14:paraId="56B3A9EB" w14:textId="77777777" w:rsidR="001E65DB" w:rsidRPr="003E3E25" w:rsidRDefault="001E65DB" w:rsidP="003E3E25">
            <w:pPr>
              <w:spacing w:before="0" w:after="0"/>
              <w:jc w:val="both"/>
              <w:rPr>
                <w:rFonts w:cs="Arial"/>
                <w:color w:val="0070C0"/>
                <w:spacing w:val="1"/>
                <w:lang w:eastAsia="fr-FR"/>
              </w:rPr>
            </w:pPr>
            <w:r w:rsidRPr="003E3E25">
              <w:rPr>
                <w:rFonts w:cs="Arial"/>
                <w:color w:val="0070C0"/>
                <w:spacing w:val="1"/>
                <w:lang w:eastAsia="fr-FR"/>
              </w:rPr>
              <w:t>Child (6 to &lt;12 years old) (1 application)</w:t>
            </w:r>
          </w:p>
        </w:tc>
        <w:tc>
          <w:tcPr>
            <w:tcW w:w="1398" w:type="pct"/>
            <w:shd w:val="clear" w:color="auto" w:fill="auto"/>
            <w:vAlign w:val="center"/>
          </w:tcPr>
          <w:p w14:paraId="458A6DBE"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2</w:t>
            </w:r>
          </w:p>
        </w:tc>
        <w:tc>
          <w:tcPr>
            <w:tcW w:w="1760" w:type="pct"/>
            <w:shd w:val="clear" w:color="auto" w:fill="auto"/>
            <w:vAlign w:val="bottom"/>
          </w:tcPr>
          <w:p w14:paraId="6AA0F5E7"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4.95</w:t>
            </w:r>
          </w:p>
        </w:tc>
      </w:tr>
      <w:tr w:rsidR="001E65DB" w:rsidRPr="007A1D6D" w14:paraId="1449A211" w14:textId="77777777" w:rsidTr="003E3E25">
        <w:trPr>
          <w:cantSplit/>
          <w:trHeight w:val="286"/>
          <w:tblHeader/>
        </w:trPr>
        <w:tc>
          <w:tcPr>
            <w:tcW w:w="1842" w:type="pct"/>
            <w:tcBorders>
              <w:bottom w:val="single" w:sz="6" w:space="0" w:color="auto"/>
            </w:tcBorders>
            <w:shd w:val="clear" w:color="auto" w:fill="auto"/>
            <w:vAlign w:val="center"/>
          </w:tcPr>
          <w:p w14:paraId="600E53BE" w14:textId="77777777" w:rsidR="001E65DB" w:rsidRPr="003E3E25" w:rsidRDefault="001E65DB" w:rsidP="003E3E25">
            <w:pPr>
              <w:spacing w:before="0" w:after="0"/>
              <w:jc w:val="both"/>
              <w:rPr>
                <w:rFonts w:cs="Arial"/>
                <w:color w:val="0070C0"/>
                <w:spacing w:val="1"/>
                <w:lang w:eastAsia="fr-FR"/>
              </w:rPr>
            </w:pPr>
            <w:r w:rsidRPr="003E3E25">
              <w:rPr>
                <w:rFonts w:cs="Arial"/>
                <w:color w:val="0070C0"/>
                <w:spacing w:val="1"/>
                <w:lang w:eastAsia="fr-FR"/>
              </w:rPr>
              <w:t>Child (2 to &lt;6 years old)</w:t>
            </w:r>
          </w:p>
        </w:tc>
        <w:tc>
          <w:tcPr>
            <w:tcW w:w="1398" w:type="pct"/>
            <w:tcBorders>
              <w:bottom w:val="single" w:sz="6" w:space="0" w:color="auto"/>
            </w:tcBorders>
            <w:shd w:val="clear" w:color="auto" w:fill="auto"/>
            <w:vAlign w:val="center"/>
          </w:tcPr>
          <w:p w14:paraId="20AF7A17"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2</w:t>
            </w:r>
          </w:p>
        </w:tc>
        <w:tc>
          <w:tcPr>
            <w:tcW w:w="1760" w:type="pct"/>
            <w:tcBorders>
              <w:bottom w:val="single" w:sz="6" w:space="0" w:color="auto"/>
            </w:tcBorders>
            <w:shd w:val="clear" w:color="auto" w:fill="auto"/>
            <w:vAlign w:val="bottom"/>
          </w:tcPr>
          <w:p w14:paraId="06EB8493"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5.60</w:t>
            </w:r>
          </w:p>
        </w:tc>
      </w:tr>
      <w:tr w:rsidR="001E65DB" w:rsidRPr="007A1D6D" w14:paraId="4D08BF4A" w14:textId="77777777" w:rsidTr="003E3E25">
        <w:trPr>
          <w:cantSplit/>
          <w:trHeight w:val="282"/>
          <w:tblHeader/>
        </w:trPr>
        <w:tc>
          <w:tcPr>
            <w:tcW w:w="1842" w:type="pct"/>
            <w:tcBorders>
              <w:bottom w:val="single" w:sz="6" w:space="0" w:color="auto"/>
            </w:tcBorders>
            <w:shd w:val="clear" w:color="auto" w:fill="auto"/>
            <w:vAlign w:val="center"/>
          </w:tcPr>
          <w:p w14:paraId="67DB3586" w14:textId="77777777" w:rsidR="001E65DB" w:rsidRPr="003E3E25" w:rsidRDefault="001E65DB" w:rsidP="003E3E25">
            <w:pPr>
              <w:spacing w:before="0" w:after="0"/>
              <w:jc w:val="both"/>
              <w:rPr>
                <w:rFonts w:cs="Arial"/>
                <w:color w:val="0070C0"/>
                <w:spacing w:val="1"/>
                <w:lang w:eastAsia="fr-FR"/>
              </w:rPr>
            </w:pPr>
            <w:r w:rsidRPr="003E3E25">
              <w:rPr>
                <w:rFonts w:cs="Arial"/>
                <w:color w:val="0070C0"/>
                <w:spacing w:val="1"/>
                <w:lang w:eastAsia="fr-FR"/>
              </w:rPr>
              <w:t>Toddler (1 to &lt;2 years old)</w:t>
            </w:r>
          </w:p>
        </w:tc>
        <w:tc>
          <w:tcPr>
            <w:tcW w:w="1398" w:type="pct"/>
            <w:tcBorders>
              <w:bottom w:val="single" w:sz="6" w:space="0" w:color="auto"/>
            </w:tcBorders>
            <w:shd w:val="clear" w:color="auto" w:fill="auto"/>
            <w:vAlign w:val="center"/>
          </w:tcPr>
          <w:p w14:paraId="5FA13D3B"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2</w:t>
            </w:r>
          </w:p>
        </w:tc>
        <w:tc>
          <w:tcPr>
            <w:tcW w:w="1760" w:type="pct"/>
            <w:tcBorders>
              <w:bottom w:val="single" w:sz="6" w:space="0" w:color="auto"/>
            </w:tcBorders>
            <w:shd w:val="clear" w:color="auto" w:fill="auto"/>
            <w:vAlign w:val="bottom"/>
          </w:tcPr>
          <w:p w14:paraId="47B6DB52"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6.18</w:t>
            </w:r>
          </w:p>
        </w:tc>
      </w:tr>
      <w:tr w:rsidR="001E65DB" w:rsidRPr="007A1D6D" w14:paraId="211B1894" w14:textId="77777777" w:rsidTr="003E3E25">
        <w:trPr>
          <w:cantSplit/>
          <w:trHeight w:val="282"/>
          <w:tblHeader/>
        </w:trPr>
        <w:tc>
          <w:tcPr>
            <w:tcW w:w="1842" w:type="pct"/>
            <w:tcBorders>
              <w:bottom w:val="single" w:sz="6" w:space="0" w:color="auto"/>
            </w:tcBorders>
            <w:shd w:val="clear" w:color="auto" w:fill="auto"/>
            <w:vAlign w:val="center"/>
          </w:tcPr>
          <w:p w14:paraId="639F664D" w14:textId="77777777" w:rsidR="001E65DB" w:rsidRPr="003E3E25" w:rsidRDefault="001E65DB" w:rsidP="003E3E25">
            <w:pPr>
              <w:spacing w:before="0" w:after="0"/>
              <w:jc w:val="both"/>
              <w:rPr>
                <w:rFonts w:cs="Arial"/>
                <w:color w:val="0070C0"/>
                <w:spacing w:val="1"/>
                <w:lang w:eastAsia="fr-FR"/>
              </w:rPr>
            </w:pPr>
            <w:r w:rsidRPr="003E3E25">
              <w:rPr>
                <w:rFonts w:cs="Arial"/>
                <w:color w:val="0070C0"/>
                <w:spacing w:val="1"/>
                <w:lang w:eastAsia="fr-FR"/>
              </w:rPr>
              <w:t>Infant (&lt;1 year old)</w:t>
            </w:r>
          </w:p>
        </w:tc>
        <w:tc>
          <w:tcPr>
            <w:tcW w:w="1398" w:type="pct"/>
            <w:tcBorders>
              <w:bottom w:val="single" w:sz="6" w:space="0" w:color="auto"/>
            </w:tcBorders>
            <w:shd w:val="clear" w:color="auto" w:fill="auto"/>
            <w:vAlign w:val="center"/>
          </w:tcPr>
          <w:p w14:paraId="752491CE"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Tier 2</w:t>
            </w:r>
          </w:p>
        </w:tc>
        <w:tc>
          <w:tcPr>
            <w:tcW w:w="1760" w:type="pct"/>
            <w:tcBorders>
              <w:bottom w:val="single" w:sz="6" w:space="0" w:color="auto"/>
            </w:tcBorders>
            <w:shd w:val="clear" w:color="auto" w:fill="auto"/>
            <w:vAlign w:val="bottom"/>
          </w:tcPr>
          <w:p w14:paraId="16FA7304" w14:textId="77777777" w:rsidR="001E65DB" w:rsidRPr="003E3E25" w:rsidRDefault="001E65DB" w:rsidP="003E3E25">
            <w:pPr>
              <w:spacing w:before="0" w:after="0"/>
              <w:jc w:val="center"/>
              <w:rPr>
                <w:rFonts w:cs="Arial"/>
                <w:color w:val="0070C0"/>
                <w:spacing w:val="1"/>
                <w:lang w:eastAsia="fr-FR"/>
              </w:rPr>
            </w:pPr>
            <w:r w:rsidRPr="003E3E25">
              <w:rPr>
                <w:rFonts w:cs="Arial"/>
                <w:color w:val="0070C0"/>
                <w:spacing w:val="1"/>
                <w:lang w:eastAsia="fr-FR"/>
              </w:rPr>
              <w:t>6.60</w:t>
            </w:r>
          </w:p>
        </w:tc>
      </w:tr>
    </w:tbl>
    <w:p w14:paraId="278A9B1E" w14:textId="77777777" w:rsidR="001E65DB" w:rsidRPr="007E29F8" w:rsidRDefault="001E65DB" w:rsidP="008A3DDA">
      <w:pPr>
        <w:widowControl w:val="0"/>
        <w:kinsoku w:val="0"/>
        <w:overflowPunct w:val="0"/>
        <w:autoSpaceDE w:val="0"/>
        <w:autoSpaceDN w:val="0"/>
        <w:adjustRightInd w:val="0"/>
        <w:spacing w:before="0" w:after="0" w:line="290" w:lineRule="exact"/>
        <w:ind w:right="216"/>
        <w:jc w:val="both"/>
        <w:textAlignment w:val="baseline"/>
        <w:rPr>
          <w:rFonts w:cs="Arial"/>
          <w:color w:val="2E74B5" w:themeColor="accent1" w:themeShade="BF"/>
          <w:spacing w:val="1"/>
          <w:u w:val="single"/>
          <w:lang w:eastAsia="fr-FR"/>
        </w:rPr>
      </w:pPr>
    </w:p>
    <w:p w14:paraId="0B6D8DF7" w14:textId="77777777" w:rsidR="001E65DB" w:rsidRDefault="001E65DB" w:rsidP="008A3DDA">
      <w:pPr>
        <w:widowControl w:val="0"/>
        <w:kinsoku w:val="0"/>
        <w:overflowPunct w:val="0"/>
        <w:autoSpaceDE w:val="0"/>
        <w:autoSpaceDN w:val="0"/>
        <w:adjustRightInd w:val="0"/>
        <w:spacing w:before="0" w:after="0"/>
        <w:ind w:right="216"/>
        <w:jc w:val="both"/>
        <w:textAlignment w:val="baseline"/>
        <w:rPr>
          <w:rFonts w:cs="Arial"/>
          <w:color w:val="2E74B5" w:themeColor="accent1" w:themeShade="BF"/>
          <w:spacing w:val="1"/>
          <w:lang w:eastAsia="fr-FR"/>
        </w:rPr>
      </w:pPr>
    </w:p>
    <w:p w14:paraId="04EBFBD3" w14:textId="77777777" w:rsidR="001E65DB" w:rsidRPr="00D25E05"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color w:val="0070C0"/>
          <w:spacing w:val="1"/>
          <w:lang w:eastAsia="fr-FR"/>
        </w:rPr>
      </w:pPr>
      <w:r w:rsidRPr="00D25E05">
        <w:rPr>
          <w:rFonts w:cs="Arial"/>
          <w:b/>
          <w:color w:val="0070C0"/>
          <w:spacing w:val="1"/>
          <w:lang w:eastAsia="fr-FR"/>
        </w:rPr>
        <w:t>Combined scenarios mosquitos (tropical zone): treated skin [1b], during application on clothes [2] for adult only, and by treated clothes [6d]:</w:t>
      </w:r>
    </w:p>
    <w:p w14:paraId="6C287EE1" w14:textId="77777777" w:rsidR="001E65DB" w:rsidRPr="00D25E05" w:rsidRDefault="001E65DB" w:rsidP="008A3DDA">
      <w:pPr>
        <w:widowControl w:val="0"/>
        <w:kinsoku w:val="0"/>
        <w:overflowPunct w:val="0"/>
        <w:autoSpaceDE w:val="0"/>
        <w:autoSpaceDN w:val="0"/>
        <w:adjustRightInd w:val="0"/>
        <w:spacing w:before="0" w:after="0" w:line="360" w:lineRule="auto"/>
        <w:ind w:right="216"/>
        <w:jc w:val="both"/>
        <w:textAlignment w:val="baseline"/>
        <w:rPr>
          <w:rFonts w:cs="Arial"/>
          <w:b/>
          <w:color w:val="0070C0"/>
          <w:spacing w:val="1"/>
          <w:lang w:eastAsia="fr-FR"/>
        </w:rPr>
      </w:pPr>
    </w:p>
    <w:tbl>
      <w:tblPr>
        <w:tblW w:w="10485" w:type="dxa"/>
        <w:jc w:val="center"/>
        <w:tblCellMar>
          <w:left w:w="70" w:type="dxa"/>
          <w:right w:w="70" w:type="dxa"/>
        </w:tblCellMar>
        <w:tblLook w:val="04A0" w:firstRow="1" w:lastRow="0" w:firstColumn="1" w:lastColumn="0" w:noHBand="0" w:noVBand="1"/>
      </w:tblPr>
      <w:tblGrid>
        <w:gridCol w:w="3109"/>
        <w:gridCol w:w="577"/>
        <w:gridCol w:w="1002"/>
        <w:gridCol w:w="1264"/>
        <w:gridCol w:w="1343"/>
        <w:gridCol w:w="1551"/>
        <w:gridCol w:w="1639"/>
      </w:tblGrid>
      <w:tr w:rsidR="00D25E05" w:rsidRPr="00D25E05" w14:paraId="290DE43F" w14:textId="77777777" w:rsidTr="004C342D">
        <w:trPr>
          <w:trHeight w:val="59"/>
          <w:jc w:val="center"/>
        </w:trPr>
        <w:tc>
          <w:tcPr>
            <w:tcW w:w="3109"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6898648A"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Task/ Scenario</w:t>
            </w:r>
          </w:p>
        </w:tc>
        <w:tc>
          <w:tcPr>
            <w:tcW w:w="577"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3955E411"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Tier</w:t>
            </w:r>
          </w:p>
        </w:tc>
        <w:tc>
          <w:tcPr>
            <w:tcW w:w="1002" w:type="dxa"/>
            <w:tcBorders>
              <w:top w:val="single" w:sz="8" w:space="0" w:color="auto"/>
              <w:left w:val="nil"/>
              <w:bottom w:val="single" w:sz="4" w:space="0" w:color="auto"/>
              <w:right w:val="single" w:sz="8" w:space="0" w:color="auto"/>
            </w:tcBorders>
            <w:shd w:val="clear" w:color="000000" w:fill="FFFFCC"/>
            <w:vAlign w:val="center"/>
            <w:hideMark/>
          </w:tcPr>
          <w:p w14:paraId="2F1B232A"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AEL mg/kg bw/d</w:t>
            </w:r>
          </w:p>
        </w:tc>
        <w:tc>
          <w:tcPr>
            <w:tcW w:w="1264" w:type="dxa"/>
            <w:tcBorders>
              <w:top w:val="single" w:sz="8" w:space="0" w:color="auto"/>
              <w:left w:val="nil"/>
              <w:bottom w:val="single" w:sz="4" w:space="0" w:color="auto"/>
              <w:right w:val="single" w:sz="8" w:space="0" w:color="auto"/>
            </w:tcBorders>
            <w:shd w:val="clear" w:color="000000" w:fill="FFFFCC"/>
            <w:vAlign w:val="center"/>
            <w:hideMark/>
          </w:tcPr>
          <w:p w14:paraId="3F20C492"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Estimated uptake mg/kg bw/d</w:t>
            </w:r>
          </w:p>
        </w:tc>
        <w:tc>
          <w:tcPr>
            <w:tcW w:w="1343" w:type="dxa"/>
            <w:tcBorders>
              <w:top w:val="single" w:sz="8" w:space="0" w:color="auto"/>
              <w:left w:val="nil"/>
              <w:bottom w:val="single" w:sz="4" w:space="0" w:color="auto"/>
              <w:right w:val="single" w:sz="8" w:space="0" w:color="auto"/>
            </w:tcBorders>
            <w:shd w:val="clear" w:color="000000" w:fill="FFFFCC"/>
            <w:vAlign w:val="center"/>
            <w:hideMark/>
          </w:tcPr>
          <w:p w14:paraId="6721E55C"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Estimated uptake/ AEL (%)</w:t>
            </w:r>
          </w:p>
        </w:tc>
        <w:tc>
          <w:tcPr>
            <w:tcW w:w="1551"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1A68EFD6"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 xml:space="preserve">Number of applications claimed </w:t>
            </w:r>
            <w:r w:rsidRPr="00D25E05">
              <w:rPr>
                <w:rFonts w:eastAsia="Calibri" w:cs="Arial"/>
                <w:b/>
                <w:i/>
                <w:color w:val="0070C0"/>
                <w:szCs w:val="22"/>
                <w:lang w:eastAsia="en-US"/>
              </w:rPr>
              <w:t>(on skin)</w:t>
            </w:r>
          </w:p>
        </w:tc>
        <w:tc>
          <w:tcPr>
            <w:tcW w:w="1639" w:type="dxa"/>
            <w:tcBorders>
              <w:top w:val="single" w:sz="8" w:space="0" w:color="auto"/>
              <w:left w:val="nil"/>
              <w:bottom w:val="single" w:sz="4" w:space="0" w:color="auto"/>
              <w:right w:val="single" w:sz="8" w:space="0" w:color="auto"/>
            </w:tcBorders>
            <w:shd w:val="clear" w:color="000000" w:fill="FFFFCC"/>
            <w:vAlign w:val="center"/>
            <w:hideMark/>
          </w:tcPr>
          <w:p w14:paraId="46C5B06B"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Acceptable (yes/no)</w:t>
            </w:r>
          </w:p>
        </w:tc>
      </w:tr>
      <w:tr w:rsidR="00D25E05" w:rsidRPr="00D25E05" w14:paraId="79B5E5B9"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4FA0388" w14:textId="77777777" w:rsidR="001E65DB" w:rsidRPr="00D25E05" w:rsidRDefault="001E65DB" w:rsidP="003E3E25">
            <w:pPr>
              <w:spacing w:before="0" w:after="0"/>
              <w:jc w:val="both"/>
              <w:rPr>
                <w:rFonts w:eastAsia="Calibri" w:cs="Arial"/>
                <w:color w:val="0070C0"/>
                <w:szCs w:val="22"/>
                <w:lang w:eastAsia="en-US"/>
              </w:rPr>
            </w:pPr>
            <w:r w:rsidRPr="00D25E05">
              <w:rPr>
                <w:rFonts w:cs="Arial"/>
                <w:color w:val="0070C0"/>
                <w:spacing w:val="1"/>
                <w:lang w:eastAsia="fr-FR"/>
              </w:rPr>
              <w:t>Adult (2 applications)</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6662630"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7D3D89B"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05296BA2" w14:textId="77777777" w:rsidR="001E65DB" w:rsidRPr="00D25E05" w:rsidRDefault="001E65DB" w:rsidP="003E3E25">
            <w:pPr>
              <w:spacing w:before="0" w:after="0"/>
              <w:jc w:val="center"/>
              <w:rPr>
                <w:rFonts w:eastAsia="Calibri" w:cs="Arial"/>
                <w:color w:val="0070C0"/>
                <w:szCs w:val="22"/>
                <w:lang w:eastAsia="en-US"/>
              </w:rPr>
            </w:pPr>
            <w:r w:rsidRPr="00D25E05">
              <w:rPr>
                <w:rFonts w:cs="Arial"/>
                <w:color w:val="0070C0"/>
                <w:spacing w:val="1"/>
                <w:lang w:eastAsia="fr-FR"/>
              </w:rPr>
              <w:t>6.37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2112D79B"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127%</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AE62029"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96CB058"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r w:rsidR="00D25E05" w:rsidRPr="00D25E05" w14:paraId="63237619"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23AEE88" w14:textId="77777777" w:rsidR="001E65DB" w:rsidRPr="00D25E05" w:rsidRDefault="001E65DB" w:rsidP="003E3E25">
            <w:pPr>
              <w:spacing w:before="0" w:after="0"/>
              <w:jc w:val="both"/>
              <w:rPr>
                <w:rFonts w:cs="Arial"/>
                <w:color w:val="0070C0"/>
                <w:szCs w:val="18"/>
                <w:lang w:eastAsia="fr-FR"/>
              </w:rPr>
            </w:pPr>
            <w:r w:rsidRPr="00D25E05">
              <w:rPr>
                <w:rFonts w:cs="Arial"/>
                <w:color w:val="0070C0"/>
                <w:spacing w:val="1"/>
                <w:lang w:eastAsia="fr-FR"/>
              </w:rPr>
              <w:t>Adult (1 application)</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39DDA8DB"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7A39E0C"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2AF2E696" w14:textId="77777777" w:rsidR="001E65DB" w:rsidRPr="00D25E05" w:rsidRDefault="001E65DB" w:rsidP="003E3E25">
            <w:pPr>
              <w:spacing w:before="0" w:after="0"/>
              <w:jc w:val="center"/>
              <w:rPr>
                <w:rFonts w:ascii="Calibri" w:hAnsi="Calibri" w:cs="Calibri"/>
                <w:color w:val="0070C0"/>
                <w:sz w:val="22"/>
                <w:szCs w:val="22"/>
              </w:rPr>
            </w:pPr>
            <w:r w:rsidRPr="00D25E05">
              <w:rPr>
                <w:rFonts w:cs="Arial"/>
                <w:color w:val="0070C0"/>
                <w:spacing w:val="1"/>
                <w:lang w:eastAsia="fr-FR"/>
              </w:rPr>
              <w:t>4.01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4384D31F" w14:textId="77777777" w:rsidR="001E65DB" w:rsidRPr="00D25E05" w:rsidRDefault="001E65DB" w:rsidP="003E3E25">
            <w:pPr>
              <w:spacing w:before="0" w:after="0"/>
              <w:jc w:val="center"/>
              <w:rPr>
                <w:rFonts w:ascii="Calibri" w:hAnsi="Calibri" w:cs="Calibri"/>
                <w:color w:val="0070C0"/>
                <w:sz w:val="22"/>
                <w:szCs w:val="22"/>
              </w:rPr>
            </w:pPr>
            <w:r w:rsidRPr="00D25E05">
              <w:rPr>
                <w:rFonts w:ascii="Calibri" w:hAnsi="Calibri" w:cs="Calibri"/>
                <w:color w:val="0070C0"/>
                <w:sz w:val="22"/>
                <w:szCs w:val="22"/>
              </w:rPr>
              <w:t>80%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9A422CD"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8D80AD0"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Yes</w:t>
            </w:r>
          </w:p>
        </w:tc>
      </w:tr>
      <w:tr w:rsidR="00D25E05" w:rsidRPr="00D25E05" w14:paraId="7A4C4C2B"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276812F" w14:textId="77777777" w:rsidR="001E65DB" w:rsidRPr="00D25E05" w:rsidRDefault="001E65DB" w:rsidP="003E3E25">
            <w:pPr>
              <w:spacing w:before="0" w:after="0"/>
              <w:jc w:val="both"/>
              <w:rPr>
                <w:rFonts w:eastAsia="Calibri" w:cs="Arial"/>
                <w:color w:val="0070C0"/>
                <w:szCs w:val="22"/>
                <w:lang w:eastAsia="en-US"/>
              </w:rPr>
            </w:pPr>
            <w:r w:rsidRPr="00D25E05">
              <w:rPr>
                <w:rFonts w:cs="Arial"/>
                <w:color w:val="0070C0"/>
                <w:spacing w:val="1"/>
                <w:lang w:eastAsia="fr-FR"/>
              </w:rPr>
              <w:t>Child (6 to &lt;12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746DBAF"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466D330"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27C0DA24" w14:textId="77777777" w:rsidR="001E65DB" w:rsidRPr="00D25E05" w:rsidRDefault="001E65DB" w:rsidP="003E3E25">
            <w:pPr>
              <w:spacing w:before="0" w:after="0"/>
              <w:jc w:val="center"/>
              <w:rPr>
                <w:rFonts w:eastAsia="Calibri" w:cs="Arial"/>
                <w:color w:val="0070C0"/>
                <w:szCs w:val="22"/>
                <w:lang w:eastAsia="en-US"/>
              </w:rPr>
            </w:pPr>
            <w:r w:rsidRPr="00D25E05">
              <w:rPr>
                <w:rFonts w:cs="Arial"/>
                <w:color w:val="0070C0"/>
                <w:spacing w:val="1"/>
                <w:lang w:eastAsia="fr-FR"/>
              </w:rPr>
              <w:t>4.76</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2C7D5ABD"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95%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00EDF52"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59A44C0"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Yes</w:t>
            </w:r>
          </w:p>
        </w:tc>
      </w:tr>
      <w:tr w:rsidR="00D25E05" w:rsidRPr="00D25E05" w14:paraId="2639A08F"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C130654" w14:textId="77777777" w:rsidR="001E65DB" w:rsidRPr="00D25E05" w:rsidRDefault="001E65DB" w:rsidP="003E3E25">
            <w:pPr>
              <w:spacing w:before="0" w:after="0"/>
              <w:jc w:val="both"/>
              <w:rPr>
                <w:rFonts w:eastAsia="Calibri" w:cs="Arial"/>
                <w:color w:val="0070C0"/>
                <w:szCs w:val="22"/>
                <w:lang w:eastAsia="en-US"/>
              </w:rPr>
            </w:pPr>
            <w:r w:rsidRPr="00D25E05">
              <w:rPr>
                <w:rFonts w:cs="Arial"/>
                <w:color w:val="0070C0"/>
                <w:spacing w:val="1"/>
                <w:lang w:eastAsia="fr-FR"/>
              </w:rPr>
              <w:t>Child (2 to &lt;6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60E6B654"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DEDB159"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72B96E55" w14:textId="77777777" w:rsidR="001E65DB" w:rsidRPr="00D25E05" w:rsidRDefault="001E65DB" w:rsidP="003E3E25">
            <w:pPr>
              <w:spacing w:before="0" w:after="0"/>
              <w:jc w:val="center"/>
              <w:rPr>
                <w:rFonts w:eastAsia="Calibri" w:cs="Arial"/>
                <w:color w:val="0070C0"/>
                <w:szCs w:val="22"/>
                <w:lang w:eastAsia="en-US"/>
              </w:rPr>
            </w:pPr>
            <w:r w:rsidRPr="00D25E05">
              <w:rPr>
                <w:rFonts w:cs="Arial"/>
                <w:color w:val="0070C0"/>
                <w:spacing w:val="1"/>
                <w:lang w:eastAsia="fr-FR"/>
              </w:rPr>
              <w:t>5.40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4ECAAC43"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108%</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03F6A12"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2BD50550"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r w:rsidR="00D25E05" w:rsidRPr="00D25E05" w14:paraId="2FF8FB41"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BD16744" w14:textId="77777777" w:rsidR="001E65DB" w:rsidRPr="00D25E05" w:rsidRDefault="001E65DB" w:rsidP="003E3E25">
            <w:pPr>
              <w:spacing w:before="0" w:after="0"/>
              <w:jc w:val="both"/>
              <w:rPr>
                <w:rFonts w:eastAsia="Calibri" w:cs="Arial"/>
                <w:color w:val="0070C0"/>
                <w:szCs w:val="22"/>
                <w:lang w:eastAsia="en-US"/>
              </w:rPr>
            </w:pPr>
            <w:r w:rsidRPr="00D25E05">
              <w:rPr>
                <w:rFonts w:cs="Arial"/>
                <w:color w:val="0070C0"/>
                <w:spacing w:val="1"/>
                <w:lang w:eastAsia="fr-FR"/>
              </w:rPr>
              <w:t>Toddler (1 to &lt;2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B7362F5"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14A8473E"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16C1E147" w14:textId="77777777" w:rsidR="001E65DB" w:rsidRPr="00D25E05" w:rsidRDefault="001E65DB" w:rsidP="003E3E25">
            <w:pPr>
              <w:spacing w:before="0" w:after="0"/>
              <w:jc w:val="center"/>
              <w:rPr>
                <w:rFonts w:eastAsia="Calibri" w:cs="Arial"/>
                <w:color w:val="0070C0"/>
                <w:szCs w:val="22"/>
                <w:lang w:eastAsia="en-US"/>
              </w:rPr>
            </w:pPr>
            <w:r w:rsidRPr="00D25E05">
              <w:rPr>
                <w:rFonts w:cs="Arial"/>
                <w:color w:val="0070C0"/>
                <w:spacing w:val="1"/>
                <w:lang w:eastAsia="fr-FR"/>
              </w:rPr>
              <w:t>5.97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26EC2CC6"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119%</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D7E6273"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493AA4D"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r w:rsidR="00D25E05" w:rsidRPr="00D25E05" w14:paraId="4F81DBDE"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DCBB7B0" w14:textId="77777777" w:rsidR="001E65DB" w:rsidRPr="00D25E05" w:rsidRDefault="001E65DB" w:rsidP="003E3E25">
            <w:pPr>
              <w:spacing w:before="0" w:after="0"/>
              <w:jc w:val="both"/>
              <w:rPr>
                <w:rFonts w:eastAsia="Calibri" w:cs="Arial"/>
                <w:color w:val="0070C0"/>
                <w:szCs w:val="22"/>
                <w:lang w:eastAsia="en-US"/>
              </w:rPr>
            </w:pPr>
            <w:r w:rsidRPr="00D25E05">
              <w:rPr>
                <w:rFonts w:cs="Arial"/>
                <w:color w:val="0070C0"/>
                <w:spacing w:val="1"/>
                <w:lang w:eastAsia="fr-FR"/>
              </w:rPr>
              <w:t>Infant (&lt;1 year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B52DB4B"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4B38592"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7617E3CA" w14:textId="77777777" w:rsidR="001E65DB" w:rsidRPr="00D25E05" w:rsidRDefault="001E65DB" w:rsidP="003E3E25">
            <w:pPr>
              <w:spacing w:before="0" w:after="0"/>
              <w:jc w:val="center"/>
              <w:rPr>
                <w:rFonts w:eastAsia="Calibri" w:cs="Arial"/>
                <w:color w:val="0070C0"/>
                <w:szCs w:val="22"/>
                <w:lang w:eastAsia="en-US"/>
              </w:rPr>
            </w:pPr>
            <w:r w:rsidRPr="00D25E05">
              <w:rPr>
                <w:rFonts w:cs="Arial"/>
                <w:color w:val="0070C0"/>
                <w:spacing w:val="1"/>
                <w:lang w:eastAsia="fr-FR"/>
              </w:rPr>
              <w:t>6.38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bottom"/>
          </w:tcPr>
          <w:p w14:paraId="0D8AAD9A"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128%</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C32B21B"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5FE78262"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bl>
    <w:p w14:paraId="484DA7BA" w14:textId="77777777" w:rsidR="001E65DB" w:rsidRPr="00D25E05" w:rsidRDefault="001E65DB" w:rsidP="003E3E25">
      <w:pPr>
        <w:widowControl w:val="0"/>
        <w:kinsoku w:val="0"/>
        <w:overflowPunct w:val="0"/>
        <w:autoSpaceDE w:val="0"/>
        <w:autoSpaceDN w:val="0"/>
        <w:adjustRightInd w:val="0"/>
        <w:spacing w:before="0" w:after="0"/>
        <w:ind w:right="216"/>
        <w:jc w:val="both"/>
        <w:textAlignment w:val="baseline"/>
        <w:rPr>
          <w:rFonts w:cs="Arial"/>
          <w:color w:val="0070C0"/>
          <w:spacing w:val="1"/>
          <w:lang w:eastAsia="fr-FR"/>
        </w:rPr>
      </w:pPr>
    </w:p>
    <w:p w14:paraId="66285F63" w14:textId="77777777" w:rsidR="001E65DB" w:rsidRPr="00D25E05" w:rsidRDefault="001E65DB" w:rsidP="003E3E25">
      <w:pPr>
        <w:widowControl w:val="0"/>
        <w:kinsoku w:val="0"/>
        <w:overflowPunct w:val="0"/>
        <w:autoSpaceDE w:val="0"/>
        <w:autoSpaceDN w:val="0"/>
        <w:adjustRightInd w:val="0"/>
        <w:spacing w:before="0" w:after="0"/>
        <w:ind w:right="216"/>
        <w:jc w:val="both"/>
        <w:textAlignment w:val="baseline"/>
        <w:rPr>
          <w:rFonts w:cs="Arial"/>
          <w:color w:val="0070C0"/>
          <w:spacing w:val="1"/>
          <w:lang w:eastAsia="fr-FR"/>
        </w:rPr>
      </w:pPr>
    </w:p>
    <w:p w14:paraId="35E04A7B" w14:textId="77777777" w:rsidR="001E65DB" w:rsidRPr="00D25E05"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color w:val="0070C0"/>
          <w:spacing w:val="1"/>
          <w:lang w:eastAsia="fr-FR"/>
        </w:rPr>
      </w:pPr>
      <w:r w:rsidRPr="00D25E05">
        <w:rPr>
          <w:rFonts w:cs="Arial"/>
          <w:b/>
          <w:color w:val="0070C0"/>
          <w:spacing w:val="1"/>
          <w:lang w:eastAsia="fr-FR"/>
        </w:rPr>
        <w:t>Combined scenarios mosquitos (temperate zone): treated skin [1a], during application on clothes [2] for adult only, and by treated clothes [6d]:</w:t>
      </w:r>
    </w:p>
    <w:p w14:paraId="789631A3" w14:textId="77777777" w:rsidR="001E65DB" w:rsidRPr="00D25E05" w:rsidRDefault="001E65DB" w:rsidP="008A3DDA">
      <w:pPr>
        <w:widowControl w:val="0"/>
        <w:kinsoku w:val="0"/>
        <w:overflowPunct w:val="0"/>
        <w:autoSpaceDE w:val="0"/>
        <w:autoSpaceDN w:val="0"/>
        <w:adjustRightInd w:val="0"/>
        <w:spacing w:before="0" w:after="0" w:line="360" w:lineRule="auto"/>
        <w:ind w:right="216"/>
        <w:jc w:val="both"/>
        <w:textAlignment w:val="baseline"/>
        <w:rPr>
          <w:rFonts w:cs="Arial"/>
          <w:b/>
          <w:color w:val="0070C0"/>
          <w:spacing w:val="1"/>
          <w:lang w:eastAsia="fr-FR"/>
        </w:rPr>
      </w:pPr>
    </w:p>
    <w:tbl>
      <w:tblPr>
        <w:tblW w:w="10485" w:type="dxa"/>
        <w:jc w:val="center"/>
        <w:tblCellMar>
          <w:left w:w="70" w:type="dxa"/>
          <w:right w:w="70" w:type="dxa"/>
        </w:tblCellMar>
        <w:tblLook w:val="04A0" w:firstRow="1" w:lastRow="0" w:firstColumn="1" w:lastColumn="0" w:noHBand="0" w:noVBand="1"/>
      </w:tblPr>
      <w:tblGrid>
        <w:gridCol w:w="3109"/>
        <w:gridCol w:w="577"/>
        <w:gridCol w:w="1002"/>
        <w:gridCol w:w="1264"/>
        <w:gridCol w:w="1343"/>
        <w:gridCol w:w="1551"/>
        <w:gridCol w:w="1639"/>
      </w:tblGrid>
      <w:tr w:rsidR="00D25E05" w:rsidRPr="00D25E05" w14:paraId="008099A6" w14:textId="77777777" w:rsidTr="004C342D">
        <w:trPr>
          <w:trHeight w:val="59"/>
          <w:jc w:val="center"/>
        </w:trPr>
        <w:tc>
          <w:tcPr>
            <w:tcW w:w="3109"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34FB3C11"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Task/ Scenario</w:t>
            </w:r>
          </w:p>
        </w:tc>
        <w:tc>
          <w:tcPr>
            <w:tcW w:w="577"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253C29C6"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Tier</w:t>
            </w:r>
          </w:p>
        </w:tc>
        <w:tc>
          <w:tcPr>
            <w:tcW w:w="1002" w:type="dxa"/>
            <w:tcBorders>
              <w:top w:val="single" w:sz="8" w:space="0" w:color="auto"/>
              <w:left w:val="nil"/>
              <w:bottom w:val="single" w:sz="4" w:space="0" w:color="auto"/>
              <w:right w:val="single" w:sz="8" w:space="0" w:color="auto"/>
            </w:tcBorders>
            <w:shd w:val="clear" w:color="000000" w:fill="FFFFCC"/>
            <w:vAlign w:val="center"/>
            <w:hideMark/>
          </w:tcPr>
          <w:p w14:paraId="101B635B"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AEL mg/kg bw/d</w:t>
            </w:r>
          </w:p>
        </w:tc>
        <w:tc>
          <w:tcPr>
            <w:tcW w:w="1264" w:type="dxa"/>
            <w:tcBorders>
              <w:top w:val="single" w:sz="8" w:space="0" w:color="auto"/>
              <w:left w:val="nil"/>
              <w:bottom w:val="single" w:sz="4" w:space="0" w:color="auto"/>
              <w:right w:val="single" w:sz="8" w:space="0" w:color="auto"/>
            </w:tcBorders>
            <w:shd w:val="clear" w:color="000000" w:fill="FFFFCC"/>
            <w:vAlign w:val="center"/>
            <w:hideMark/>
          </w:tcPr>
          <w:p w14:paraId="05BF460C"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Estimated uptake mg/kg bw/d</w:t>
            </w:r>
          </w:p>
        </w:tc>
        <w:tc>
          <w:tcPr>
            <w:tcW w:w="1343" w:type="dxa"/>
            <w:tcBorders>
              <w:top w:val="single" w:sz="8" w:space="0" w:color="auto"/>
              <w:left w:val="nil"/>
              <w:bottom w:val="single" w:sz="4" w:space="0" w:color="auto"/>
              <w:right w:val="single" w:sz="8" w:space="0" w:color="auto"/>
            </w:tcBorders>
            <w:shd w:val="clear" w:color="000000" w:fill="FFFFCC"/>
            <w:vAlign w:val="center"/>
            <w:hideMark/>
          </w:tcPr>
          <w:p w14:paraId="15EEDF60"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Estimated uptake/ AEL (%)</w:t>
            </w:r>
          </w:p>
        </w:tc>
        <w:tc>
          <w:tcPr>
            <w:tcW w:w="1551"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07FC3561"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 xml:space="preserve">Number of applications claimed </w:t>
            </w:r>
            <w:r w:rsidRPr="00D25E05">
              <w:rPr>
                <w:rFonts w:eastAsia="Calibri" w:cs="Arial"/>
                <w:b/>
                <w:i/>
                <w:color w:val="0070C0"/>
                <w:szCs w:val="22"/>
                <w:lang w:eastAsia="en-US"/>
              </w:rPr>
              <w:t>(on skin)</w:t>
            </w:r>
          </w:p>
        </w:tc>
        <w:tc>
          <w:tcPr>
            <w:tcW w:w="1639" w:type="dxa"/>
            <w:tcBorders>
              <w:top w:val="single" w:sz="8" w:space="0" w:color="auto"/>
              <w:left w:val="nil"/>
              <w:bottom w:val="single" w:sz="4" w:space="0" w:color="auto"/>
              <w:right w:val="single" w:sz="8" w:space="0" w:color="auto"/>
            </w:tcBorders>
            <w:shd w:val="clear" w:color="000000" w:fill="FFFFCC"/>
            <w:vAlign w:val="center"/>
            <w:hideMark/>
          </w:tcPr>
          <w:p w14:paraId="719872FF" w14:textId="77777777" w:rsidR="001E65DB" w:rsidRPr="00D25E05" w:rsidRDefault="001E65DB" w:rsidP="001E65DB">
            <w:pPr>
              <w:spacing w:before="0" w:after="0"/>
              <w:jc w:val="both"/>
              <w:rPr>
                <w:rFonts w:eastAsia="Calibri" w:cs="Arial"/>
                <w:b/>
                <w:color w:val="0070C0"/>
                <w:szCs w:val="22"/>
                <w:lang w:eastAsia="en-US"/>
              </w:rPr>
            </w:pPr>
            <w:r w:rsidRPr="00D25E05">
              <w:rPr>
                <w:rFonts w:eastAsia="Calibri" w:cs="Arial"/>
                <w:b/>
                <w:color w:val="0070C0"/>
                <w:szCs w:val="22"/>
                <w:lang w:eastAsia="en-US"/>
              </w:rPr>
              <w:t>Acceptable (yes/no)</w:t>
            </w:r>
          </w:p>
        </w:tc>
      </w:tr>
      <w:tr w:rsidR="00D25E05" w:rsidRPr="00D25E05" w14:paraId="29795C9D"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0933644" w14:textId="77777777" w:rsidR="001E65DB" w:rsidRPr="00D25E05" w:rsidRDefault="001E65DB" w:rsidP="003E3E25">
            <w:pPr>
              <w:spacing w:before="0" w:after="0"/>
              <w:jc w:val="both"/>
              <w:rPr>
                <w:rFonts w:eastAsia="Calibri" w:cs="Arial"/>
                <w:color w:val="0070C0"/>
                <w:szCs w:val="22"/>
                <w:lang w:eastAsia="en-US"/>
              </w:rPr>
            </w:pPr>
            <w:r w:rsidRPr="00D25E05">
              <w:rPr>
                <w:rFonts w:cs="Arial"/>
                <w:color w:val="0070C0"/>
                <w:spacing w:val="1"/>
                <w:lang w:eastAsia="fr-FR"/>
              </w:rPr>
              <w:t>Adult (2 applications)</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A95BB0E"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D35B9B1"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1217839" w14:textId="77777777" w:rsidR="001E65DB" w:rsidRPr="00D25E05" w:rsidRDefault="001E65DB" w:rsidP="003E3E25">
            <w:pPr>
              <w:spacing w:before="0" w:after="0"/>
              <w:jc w:val="center"/>
              <w:rPr>
                <w:rFonts w:eastAsia="Calibri" w:cs="Arial"/>
                <w:color w:val="0070C0"/>
                <w:szCs w:val="22"/>
                <w:lang w:eastAsia="en-US"/>
              </w:rPr>
            </w:pPr>
            <w:r w:rsidRPr="00D25E05">
              <w:rPr>
                <w:rFonts w:cs="Arial"/>
                <w:color w:val="0070C0"/>
                <w:spacing w:val="1"/>
                <w:lang w:eastAsia="fr-FR"/>
              </w:rPr>
              <w:t>4.97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0DC9AB" w14:textId="77777777" w:rsidR="001E65DB" w:rsidRPr="00D25E05" w:rsidRDefault="001E65DB" w:rsidP="003E3E25">
            <w:pPr>
              <w:spacing w:before="0" w:after="0"/>
              <w:jc w:val="center"/>
              <w:rPr>
                <w:rFonts w:eastAsia="Calibri" w:cs="Arial"/>
                <w:color w:val="0070C0"/>
                <w:szCs w:val="22"/>
                <w:lang w:eastAsia="en-US"/>
              </w:rPr>
            </w:pPr>
            <w:r w:rsidRPr="00D25E05">
              <w:rPr>
                <w:rFonts w:ascii="Calibri" w:hAnsi="Calibri" w:cs="Calibri"/>
                <w:color w:val="0070C0"/>
                <w:sz w:val="22"/>
                <w:szCs w:val="22"/>
              </w:rPr>
              <w:t>99%</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7FE9058"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3BF462A6"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Yes</w:t>
            </w:r>
          </w:p>
        </w:tc>
      </w:tr>
      <w:tr w:rsidR="00D25E05" w:rsidRPr="00D25E05" w14:paraId="5F3656D9"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FE2B280" w14:textId="77777777" w:rsidR="001E65DB" w:rsidRPr="00D25E05" w:rsidRDefault="001E65DB" w:rsidP="003E3E25">
            <w:pPr>
              <w:spacing w:before="0" w:after="0"/>
              <w:jc w:val="both"/>
              <w:rPr>
                <w:rFonts w:eastAsia="Calibri" w:cs="Arial"/>
                <w:color w:val="0070C0"/>
                <w:szCs w:val="22"/>
                <w:lang w:eastAsia="en-US"/>
              </w:rPr>
            </w:pPr>
            <w:r w:rsidRPr="00D25E05">
              <w:rPr>
                <w:rFonts w:cs="Arial"/>
                <w:color w:val="0070C0"/>
                <w:spacing w:val="1"/>
                <w:lang w:eastAsia="fr-FR"/>
              </w:rPr>
              <w:t>Adult (1 application)</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6E6AC92"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A772F3B"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95BF49A" w14:textId="77777777" w:rsidR="001E65DB" w:rsidRPr="00D25E05" w:rsidRDefault="001E65DB" w:rsidP="003E3E25">
            <w:pPr>
              <w:spacing w:before="0" w:after="0"/>
              <w:jc w:val="center"/>
              <w:rPr>
                <w:rFonts w:eastAsia="Calibri" w:cs="Arial"/>
                <w:color w:val="0070C0"/>
                <w:szCs w:val="22"/>
                <w:lang w:eastAsia="en-US"/>
              </w:rPr>
            </w:pPr>
            <w:r w:rsidRPr="00D25E05">
              <w:rPr>
                <w:rFonts w:cs="Arial"/>
                <w:color w:val="0070C0"/>
                <w:spacing w:val="1"/>
                <w:lang w:eastAsia="fr-FR"/>
              </w:rPr>
              <w:t>3.43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7C38FAF" w14:textId="77777777" w:rsidR="001E65DB" w:rsidRPr="00D25E05" w:rsidRDefault="001E65DB" w:rsidP="003E3E25">
            <w:pPr>
              <w:spacing w:before="0" w:after="0"/>
              <w:jc w:val="center"/>
              <w:rPr>
                <w:rFonts w:eastAsia="Calibri" w:cs="Arial"/>
                <w:color w:val="0070C0"/>
                <w:szCs w:val="22"/>
                <w:lang w:eastAsia="en-US"/>
              </w:rPr>
            </w:pPr>
            <w:r w:rsidRPr="00D25E05">
              <w:rPr>
                <w:rFonts w:ascii="Calibri" w:hAnsi="Calibri" w:cs="Calibri"/>
                <w:color w:val="0070C0"/>
                <w:sz w:val="22"/>
                <w:szCs w:val="22"/>
              </w:rPr>
              <w:t>69%</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46C2150"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5346D3C0"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Yes</w:t>
            </w:r>
          </w:p>
        </w:tc>
      </w:tr>
      <w:tr w:rsidR="00D25E05" w:rsidRPr="00D25E05" w14:paraId="14FA5B85"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2AEA477" w14:textId="77777777" w:rsidR="001E65DB" w:rsidRPr="00D25E05" w:rsidRDefault="001E65DB" w:rsidP="003E3E25">
            <w:pPr>
              <w:spacing w:before="0" w:after="0"/>
              <w:jc w:val="both"/>
              <w:rPr>
                <w:rFonts w:cs="Arial"/>
                <w:color w:val="0070C0"/>
                <w:szCs w:val="18"/>
                <w:lang w:eastAsia="fr-FR"/>
              </w:rPr>
            </w:pPr>
            <w:r w:rsidRPr="00D25E05">
              <w:rPr>
                <w:rFonts w:cs="Arial"/>
                <w:color w:val="0070C0"/>
                <w:spacing w:val="1"/>
                <w:lang w:eastAsia="fr-FR"/>
              </w:rPr>
              <w:t>Child (6 to &lt;12 years old) (2 applications)</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0E836B5"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787908D"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6C1400D" w14:textId="77777777" w:rsidR="001E65DB" w:rsidRPr="00D25E05" w:rsidRDefault="001E65DB" w:rsidP="003E3E25">
            <w:pPr>
              <w:spacing w:before="0" w:after="0"/>
              <w:jc w:val="center"/>
              <w:rPr>
                <w:rFonts w:ascii="Calibri" w:hAnsi="Calibri" w:cs="Calibri"/>
                <w:color w:val="0070C0"/>
                <w:sz w:val="22"/>
                <w:szCs w:val="22"/>
              </w:rPr>
            </w:pPr>
            <w:r w:rsidRPr="00D25E05">
              <w:rPr>
                <w:rFonts w:cs="Arial"/>
                <w:color w:val="0070C0"/>
                <w:spacing w:val="1"/>
                <w:lang w:eastAsia="fr-FR"/>
              </w:rPr>
              <w:t>6.09</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EC2E980" w14:textId="77777777" w:rsidR="001E65DB" w:rsidRPr="00C56DE0" w:rsidRDefault="001E65DB" w:rsidP="003E3E25">
            <w:pPr>
              <w:spacing w:before="0" w:after="0"/>
              <w:jc w:val="center"/>
              <w:rPr>
                <w:rFonts w:ascii="Calibri" w:hAnsi="Calibri" w:cs="Calibri"/>
                <w:b/>
                <w:color w:val="0070C0"/>
                <w:sz w:val="22"/>
                <w:szCs w:val="22"/>
              </w:rPr>
            </w:pPr>
            <w:r w:rsidRPr="00C56DE0">
              <w:rPr>
                <w:rFonts w:ascii="Calibri" w:hAnsi="Calibri" w:cs="Calibri"/>
                <w:b/>
                <w:color w:val="0070C0"/>
                <w:sz w:val="22"/>
                <w:szCs w:val="22"/>
              </w:rPr>
              <w:t>122%</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6847E82"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3F6251C"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r w:rsidR="00D25E05" w:rsidRPr="00D25E05" w14:paraId="41E3ABAF"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395C792" w14:textId="77777777" w:rsidR="001E65DB" w:rsidRPr="00D25E05" w:rsidRDefault="001E65DB" w:rsidP="003E3E25">
            <w:pPr>
              <w:spacing w:before="0" w:after="0"/>
              <w:jc w:val="both"/>
              <w:rPr>
                <w:rFonts w:cs="Arial"/>
                <w:color w:val="0070C0"/>
                <w:szCs w:val="18"/>
                <w:lang w:eastAsia="fr-FR"/>
              </w:rPr>
            </w:pPr>
            <w:r w:rsidRPr="00D25E05">
              <w:rPr>
                <w:rFonts w:cs="Arial"/>
                <w:color w:val="0070C0"/>
                <w:spacing w:val="1"/>
                <w:lang w:eastAsia="fr-FR"/>
              </w:rPr>
              <w:t>Child (6 to &lt;12 years old) (1 application)</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416061B"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BF4FA05"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0288534" w14:textId="77777777" w:rsidR="001E65DB" w:rsidRPr="00D25E05" w:rsidRDefault="001E65DB" w:rsidP="003E3E25">
            <w:pPr>
              <w:spacing w:before="0" w:after="0"/>
              <w:jc w:val="center"/>
              <w:rPr>
                <w:rFonts w:ascii="Calibri" w:hAnsi="Calibri" w:cs="Calibri"/>
                <w:color w:val="0070C0"/>
                <w:sz w:val="22"/>
                <w:szCs w:val="22"/>
              </w:rPr>
            </w:pPr>
            <w:r w:rsidRPr="00D25E05">
              <w:rPr>
                <w:rFonts w:cs="Arial"/>
                <w:color w:val="0070C0"/>
                <w:spacing w:val="1"/>
                <w:lang w:eastAsia="fr-FR"/>
              </w:rPr>
              <w:t>4.09</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D8B119B" w14:textId="77777777" w:rsidR="001E65DB" w:rsidRPr="00D25E05" w:rsidRDefault="001E65DB" w:rsidP="003E3E25">
            <w:pPr>
              <w:spacing w:before="0" w:after="0"/>
              <w:jc w:val="center"/>
              <w:rPr>
                <w:rFonts w:ascii="Calibri" w:hAnsi="Calibri" w:cs="Calibri"/>
                <w:color w:val="0070C0"/>
                <w:sz w:val="22"/>
                <w:szCs w:val="22"/>
              </w:rPr>
            </w:pPr>
            <w:r w:rsidRPr="00D25E05">
              <w:rPr>
                <w:rFonts w:ascii="Calibri" w:hAnsi="Calibri" w:cs="Calibri"/>
                <w:color w:val="0070C0"/>
                <w:sz w:val="22"/>
                <w:szCs w:val="22"/>
              </w:rPr>
              <w:t>82%</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B2F287F"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4B316B06"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Yes</w:t>
            </w:r>
          </w:p>
        </w:tc>
      </w:tr>
      <w:tr w:rsidR="00D25E05" w:rsidRPr="00D25E05" w14:paraId="656EB266" w14:textId="77777777" w:rsidTr="003E3E25">
        <w:trPr>
          <w:trHeight w:val="70"/>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63E1EA2" w14:textId="77777777" w:rsidR="001E65DB" w:rsidRPr="00D25E05" w:rsidRDefault="001E65DB" w:rsidP="003E3E25">
            <w:pPr>
              <w:spacing w:before="0" w:after="0"/>
              <w:jc w:val="both"/>
              <w:rPr>
                <w:rFonts w:eastAsia="Calibri" w:cs="Arial"/>
                <w:color w:val="0070C0"/>
                <w:szCs w:val="22"/>
                <w:lang w:eastAsia="en-US"/>
              </w:rPr>
            </w:pPr>
            <w:r w:rsidRPr="00D25E05">
              <w:rPr>
                <w:rFonts w:cs="Arial"/>
                <w:color w:val="0070C0"/>
                <w:spacing w:val="1"/>
                <w:lang w:eastAsia="fr-FR"/>
              </w:rPr>
              <w:t>Child (2 to &lt;6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82A0053"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6E5B30F6"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B725224" w14:textId="77777777" w:rsidR="001E65DB" w:rsidRPr="00D25E05" w:rsidRDefault="001E65DB" w:rsidP="003E3E25">
            <w:pPr>
              <w:spacing w:before="0" w:after="0"/>
              <w:jc w:val="center"/>
              <w:rPr>
                <w:rFonts w:eastAsia="Calibri" w:cs="Arial"/>
                <w:color w:val="0070C0"/>
                <w:szCs w:val="22"/>
                <w:lang w:eastAsia="en-US"/>
              </w:rPr>
            </w:pPr>
            <w:r w:rsidRPr="00D25E05">
              <w:rPr>
                <w:rFonts w:cs="Arial"/>
                <w:color w:val="0070C0"/>
                <w:spacing w:val="1"/>
                <w:lang w:eastAsia="fr-FR"/>
              </w:rPr>
              <w:t>4.63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BC603D3"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93%</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68D79D6"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5C87EBD2"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Yes</w:t>
            </w:r>
          </w:p>
        </w:tc>
      </w:tr>
      <w:tr w:rsidR="00D25E05" w:rsidRPr="00D25E05" w14:paraId="4FC044BE"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2BEEE76" w14:textId="77777777" w:rsidR="001E65DB" w:rsidRPr="00D25E05" w:rsidRDefault="001E65DB" w:rsidP="003E3E25">
            <w:pPr>
              <w:spacing w:before="0" w:after="0"/>
              <w:jc w:val="both"/>
              <w:rPr>
                <w:rFonts w:eastAsia="Calibri" w:cs="Arial"/>
                <w:color w:val="0070C0"/>
                <w:szCs w:val="22"/>
                <w:lang w:eastAsia="en-US"/>
              </w:rPr>
            </w:pPr>
            <w:r w:rsidRPr="00D25E05">
              <w:rPr>
                <w:rFonts w:cs="Arial"/>
                <w:color w:val="0070C0"/>
                <w:spacing w:val="1"/>
                <w:lang w:eastAsia="fr-FR"/>
              </w:rPr>
              <w:t>Toddler (1 to &lt;2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1CF04ED"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DFCCCB2"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6457EEA" w14:textId="77777777" w:rsidR="001E65DB" w:rsidRPr="00D25E05" w:rsidRDefault="001E65DB" w:rsidP="003E3E25">
            <w:pPr>
              <w:spacing w:before="0" w:after="0"/>
              <w:jc w:val="center"/>
              <w:rPr>
                <w:rFonts w:eastAsia="Calibri" w:cs="Arial"/>
                <w:color w:val="0070C0"/>
                <w:szCs w:val="22"/>
                <w:lang w:eastAsia="en-US"/>
              </w:rPr>
            </w:pPr>
            <w:r w:rsidRPr="00D25E05">
              <w:rPr>
                <w:rFonts w:cs="Arial"/>
                <w:color w:val="0070C0"/>
                <w:spacing w:val="1"/>
                <w:lang w:eastAsia="fr-FR"/>
              </w:rPr>
              <w:t>5.12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229DF8"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102%</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212E719"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2A385FCF"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r w:rsidR="00D25E05" w:rsidRPr="00D25E05" w14:paraId="02244129"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E1A14E0" w14:textId="77777777" w:rsidR="001E65DB" w:rsidRPr="00D25E05" w:rsidRDefault="001E65DB" w:rsidP="003E3E25">
            <w:pPr>
              <w:spacing w:before="0" w:after="0"/>
              <w:jc w:val="both"/>
              <w:rPr>
                <w:rFonts w:eastAsia="Calibri" w:cs="Arial"/>
                <w:color w:val="0070C0"/>
                <w:szCs w:val="22"/>
                <w:lang w:eastAsia="en-US"/>
              </w:rPr>
            </w:pPr>
            <w:r w:rsidRPr="00D25E05">
              <w:rPr>
                <w:rFonts w:cs="Arial"/>
                <w:color w:val="0070C0"/>
                <w:spacing w:val="1"/>
                <w:lang w:eastAsia="fr-FR"/>
              </w:rPr>
              <w:t>Infant (&lt;1 year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699FA5C5"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CA772F3"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EF19BD6" w14:textId="77777777" w:rsidR="001E65DB" w:rsidRPr="00D25E05" w:rsidRDefault="001E65DB" w:rsidP="003E3E25">
            <w:pPr>
              <w:spacing w:before="0" w:after="0"/>
              <w:jc w:val="center"/>
              <w:rPr>
                <w:rFonts w:eastAsia="Calibri" w:cs="Arial"/>
                <w:color w:val="0070C0"/>
                <w:szCs w:val="22"/>
                <w:lang w:eastAsia="en-US"/>
              </w:rPr>
            </w:pPr>
            <w:r w:rsidRPr="00D25E05">
              <w:rPr>
                <w:rFonts w:cs="Arial"/>
                <w:color w:val="0070C0"/>
                <w:spacing w:val="1"/>
                <w:lang w:eastAsia="fr-FR"/>
              </w:rPr>
              <w:t>5.47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5F42621"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109%</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2677B1C" w14:textId="77777777" w:rsidR="001E65DB" w:rsidRPr="00D25E05" w:rsidRDefault="001E65DB" w:rsidP="003E3E25">
            <w:pPr>
              <w:spacing w:before="0" w:after="0"/>
              <w:jc w:val="center"/>
              <w:rPr>
                <w:rFonts w:eastAsia="Calibri" w:cs="Arial"/>
                <w:color w:val="0070C0"/>
                <w:szCs w:val="22"/>
                <w:lang w:eastAsia="en-US"/>
              </w:rPr>
            </w:pPr>
            <w:r w:rsidRPr="00D25E05">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56EAA0B6" w14:textId="77777777" w:rsidR="001E65DB" w:rsidRPr="00C56DE0" w:rsidRDefault="001E65DB" w:rsidP="003E3E25">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bl>
    <w:p w14:paraId="43E4809C" w14:textId="77777777" w:rsidR="001E65DB" w:rsidRPr="00D25E05" w:rsidRDefault="001E65DB" w:rsidP="003E3E25">
      <w:pPr>
        <w:widowControl w:val="0"/>
        <w:kinsoku w:val="0"/>
        <w:overflowPunct w:val="0"/>
        <w:autoSpaceDE w:val="0"/>
        <w:autoSpaceDN w:val="0"/>
        <w:adjustRightInd w:val="0"/>
        <w:spacing w:before="0" w:after="0"/>
        <w:ind w:right="216"/>
        <w:jc w:val="both"/>
        <w:textAlignment w:val="baseline"/>
        <w:rPr>
          <w:rFonts w:cs="Arial"/>
          <w:color w:val="0070C0"/>
          <w:spacing w:val="1"/>
          <w:lang w:eastAsia="fr-FR"/>
        </w:rPr>
      </w:pPr>
    </w:p>
    <w:p w14:paraId="3026BBCA" w14:textId="77777777" w:rsidR="001E65DB" w:rsidRPr="00D25E05" w:rsidRDefault="001E65DB" w:rsidP="003E3E25">
      <w:pPr>
        <w:widowControl w:val="0"/>
        <w:kinsoku w:val="0"/>
        <w:overflowPunct w:val="0"/>
        <w:autoSpaceDE w:val="0"/>
        <w:autoSpaceDN w:val="0"/>
        <w:adjustRightInd w:val="0"/>
        <w:spacing w:before="0" w:after="0" w:line="360" w:lineRule="auto"/>
        <w:ind w:right="216"/>
        <w:jc w:val="both"/>
        <w:textAlignment w:val="baseline"/>
        <w:rPr>
          <w:rFonts w:cs="Arial"/>
          <w:b/>
          <w:color w:val="0070C0"/>
          <w:spacing w:val="1"/>
          <w:lang w:eastAsia="fr-FR"/>
        </w:rPr>
      </w:pPr>
      <w:r w:rsidRPr="00D25E05">
        <w:rPr>
          <w:rFonts w:cs="Arial"/>
          <w:b/>
          <w:color w:val="0070C0"/>
          <w:spacing w:val="1"/>
          <w:lang w:eastAsia="fr-FR"/>
        </w:rPr>
        <w:t>Combined scenarios ticks: treated skin [1a], during application on clothes [2] for adult only, and by treated clothes [6c]</w:t>
      </w:r>
    </w:p>
    <w:p w14:paraId="58FEFA11" w14:textId="77777777" w:rsidR="001E65DB" w:rsidRDefault="001E65DB" w:rsidP="008A3DDA">
      <w:pPr>
        <w:widowControl w:val="0"/>
        <w:kinsoku w:val="0"/>
        <w:overflowPunct w:val="0"/>
        <w:autoSpaceDE w:val="0"/>
        <w:autoSpaceDN w:val="0"/>
        <w:adjustRightInd w:val="0"/>
        <w:spacing w:before="0" w:after="0" w:line="360" w:lineRule="auto"/>
        <w:ind w:right="216"/>
        <w:jc w:val="both"/>
        <w:textAlignment w:val="baseline"/>
        <w:rPr>
          <w:rFonts w:cs="Arial"/>
          <w:b/>
          <w:spacing w:val="1"/>
          <w:lang w:eastAsia="fr-FR"/>
        </w:rPr>
      </w:pPr>
    </w:p>
    <w:tbl>
      <w:tblPr>
        <w:tblW w:w="10485" w:type="dxa"/>
        <w:jc w:val="center"/>
        <w:tblCellMar>
          <w:left w:w="70" w:type="dxa"/>
          <w:right w:w="70" w:type="dxa"/>
        </w:tblCellMar>
        <w:tblLook w:val="04A0" w:firstRow="1" w:lastRow="0" w:firstColumn="1" w:lastColumn="0" w:noHBand="0" w:noVBand="1"/>
      </w:tblPr>
      <w:tblGrid>
        <w:gridCol w:w="3109"/>
        <w:gridCol w:w="577"/>
        <w:gridCol w:w="1002"/>
        <w:gridCol w:w="1264"/>
        <w:gridCol w:w="1343"/>
        <w:gridCol w:w="1551"/>
        <w:gridCol w:w="1639"/>
      </w:tblGrid>
      <w:tr w:rsidR="001E65DB" w:rsidRPr="00F21E42" w14:paraId="59A656A8" w14:textId="77777777" w:rsidTr="004C342D">
        <w:trPr>
          <w:trHeight w:val="59"/>
          <w:jc w:val="center"/>
        </w:trPr>
        <w:tc>
          <w:tcPr>
            <w:tcW w:w="3109"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48CC352B"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Task/ Scenario</w:t>
            </w:r>
          </w:p>
        </w:tc>
        <w:tc>
          <w:tcPr>
            <w:tcW w:w="577"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5D20880A"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Tier</w:t>
            </w:r>
          </w:p>
        </w:tc>
        <w:tc>
          <w:tcPr>
            <w:tcW w:w="1002" w:type="dxa"/>
            <w:tcBorders>
              <w:top w:val="single" w:sz="8" w:space="0" w:color="auto"/>
              <w:left w:val="nil"/>
              <w:bottom w:val="single" w:sz="4" w:space="0" w:color="auto"/>
              <w:right w:val="single" w:sz="8" w:space="0" w:color="auto"/>
            </w:tcBorders>
            <w:shd w:val="clear" w:color="000000" w:fill="FFFFCC"/>
            <w:vAlign w:val="center"/>
            <w:hideMark/>
          </w:tcPr>
          <w:p w14:paraId="440FC42B"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AEL mg/kg bw/d</w:t>
            </w:r>
          </w:p>
        </w:tc>
        <w:tc>
          <w:tcPr>
            <w:tcW w:w="1264" w:type="dxa"/>
            <w:tcBorders>
              <w:top w:val="single" w:sz="8" w:space="0" w:color="auto"/>
              <w:left w:val="nil"/>
              <w:bottom w:val="single" w:sz="4" w:space="0" w:color="auto"/>
              <w:right w:val="single" w:sz="8" w:space="0" w:color="auto"/>
            </w:tcBorders>
            <w:shd w:val="clear" w:color="000000" w:fill="FFFFCC"/>
            <w:vAlign w:val="center"/>
            <w:hideMark/>
          </w:tcPr>
          <w:p w14:paraId="2BE58BFA"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Estimated uptake mg/kg bw/d</w:t>
            </w:r>
          </w:p>
        </w:tc>
        <w:tc>
          <w:tcPr>
            <w:tcW w:w="1343" w:type="dxa"/>
            <w:tcBorders>
              <w:top w:val="single" w:sz="8" w:space="0" w:color="auto"/>
              <w:left w:val="nil"/>
              <w:bottom w:val="single" w:sz="4" w:space="0" w:color="auto"/>
              <w:right w:val="single" w:sz="8" w:space="0" w:color="auto"/>
            </w:tcBorders>
            <w:shd w:val="clear" w:color="000000" w:fill="FFFFCC"/>
            <w:vAlign w:val="center"/>
            <w:hideMark/>
          </w:tcPr>
          <w:p w14:paraId="2037ADF2"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Estimated uptake/ AEL (%)</w:t>
            </w:r>
          </w:p>
        </w:tc>
        <w:tc>
          <w:tcPr>
            <w:tcW w:w="1551" w:type="dxa"/>
            <w:tcBorders>
              <w:top w:val="single" w:sz="8" w:space="0" w:color="auto"/>
              <w:left w:val="single" w:sz="8" w:space="0" w:color="auto"/>
              <w:bottom w:val="single" w:sz="4" w:space="0" w:color="auto"/>
              <w:right w:val="single" w:sz="8" w:space="0" w:color="auto"/>
            </w:tcBorders>
            <w:shd w:val="clear" w:color="000000" w:fill="FFFFCC"/>
            <w:vAlign w:val="center"/>
            <w:hideMark/>
          </w:tcPr>
          <w:p w14:paraId="1318D244"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 xml:space="preserve">Number of applications claimed </w:t>
            </w:r>
            <w:r w:rsidRPr="004C342D">
              <w:rPr>
                <w:rFonts w:eastAsia="Calibri" w:cs="Arial"/>
                <w:b/>
                <w:i/>
                <w:color w:val="0070C0"/>
                <w:szCs w:val="22"/>
                <w:lang w:eastAsia="en-US"/>
              </w:rPr>
              <w:t>(on skin)</w:t>
            </w:r>
          </w:p>
        </w:tc>
        <w:tc>
          <w:tcPr>
            <w:tcW w:w="1639" w:type="dxa"/>
            <w:tcBorders>
              <w:top w:val="single" w:sz="8" w:space="0" w:color="auto"/>
              <w:left w:val="nil"/>
              <w:bottom w:val="single" w:sz="4" w:space="0" w:color="auto"/>
              <w:right w:val="single" w:sz="8" w:space="0" w:color="auto"/>
            </w:tcBorders>
            <w:shd w:val="clear" w:color="000000" w:fill="FFFFCC"/>
            <w:vAlign w:val="center"/>
            <w:hideMark/>
          </w:tcPr>
          <w:p w14:paraId="3A473AC4" w14:textId="77777777" w:rsidR="001E65DB" w:rsidRPr="004C342D" w:rsidRDefault="001E65DB" w:rsidP="001E65DB">
            <w:pPr>
              <w:spacing w:before="0" w:after="0"/>
              <w:jc w:val="both"/>
              <w:rPr>
                <w:rFonts w:eastAsia="Calibri" w:cs="Arial"/>
                <w:b/>
                <w:color w:val="0070C0"/>
                <w:szCs w:val="22"/>
                <w:lang w:eastAsia="en-US"/>
              </w:rPr>
            </w:pPr>
            <w:r w:rsidRPr="004C342D">
              <w:rPr>
                <w:rFonts w:eastAsia="Calibri" w:cs="Arial"/>
                <w:b/>
                <w:color w:val="0070C0"/>
                <w:szCs w:val="22"/>
                <w:lang w:eastAsia="en-US"/>
              </w:rPr>
              <w:t>Acceptable (yes/no)</w:t>
            </w:r>
          </w:p>
        </w:tc>
      </w:tr>
      <w:tr w:rsidR="001E65DB" w:rsidRPr="00F21E42" w14:paraId="51A43860"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D57429F" w14:textId="77777777" w:rsidR="001E65DB" w:rsidRPr="004C342D" w:rsidRDefault="001E65DB" w:rsidP="001E65DB">
            <w:pPr>
              <w:spacing w:before="0" w:after="0"/>
              <w:jc w:val="both"/>
              <w:rPr>
                <w:rFonts w:eastAsia="Calibri" w:cs="Arial"/>
                <w:color w:val="0070C0"/>
                <w:szCs w:val="22"/>
                <w:lang w:eastAsia="en-US"/>
              </w:rPr>
            </w:pPr>
            <w:r w:rsidRPr="004C342D">
              <w:rPr>
                <w:rFonts w:cs="Arial"/>
                <w:color w:val="0070C0"/>
                <w:spacing w:val="1"/>
                <w:lang w:eastAsia="fr-FR"/>
              </w:rPr>
              <w:t>Adult (2 applications)</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7A3B48F"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E52DA3E"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B8B65F3"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5.57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DD2E48F" w14:textId="77777777" w:rsidR="001E65DB" w:rsidRPr="00C56DE0" w:rsidRDefault="001E65DB" w:rsidP="004C342D">
            <w:pPr>
              <w:spacing w:before="0" w:after="0"/>
              <w:jc w:val="center"/>
              <w:rPr>
                <w:rFonts w:eastAsia="Calibri" w:cs="Arial"/>
                <w:b/>
                <w:color w:val="0070C0"/>
                <w:szCs w:val="22"/>
                <w:lang w:eastAsia="en-US"/>
              </w:rPr>
            </w:pPr>
            <w:r w:rsidRPr="00C56DE0">
              <w:rPr>
                <w:rFonts w:eastAsia="Calibri" w:cs="Arial"/>
                <w:b/>
                <w:color w:val="0070C0"/>
                <w:szCs w:val="22"/>
                <w:lang w:eastAsia="en-US"/>
              </w:rPr>
              <w:t>111%</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E970E27"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2</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4406BD98" w14:textId="77777777" w:rsidR="001E65DB" w:rsidRPr="00C56DE0" w:rsidRDefault="001E65DB" w:rsidP="004C342D">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r w:rsidR="001E65DB" w:rsidRPr="00F21E42" w14:paraId="7102C188" w14:textId="77777777" w:rsidTr="003E3E25">
        <w:trPr>
          <w:trHeight w:val="410"/>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41391A5" w14:textId="77777777" w:rsidR="001E65DB" w:rsidRPr="004C342D" w:rsidRDefault="001E65DB" w:rsidP="001E65DB">
            <w:pPr>
              <w:spacing w:before="0" w:after="0"/>
              <w:jc w:val="both"/>
              <w:rPr>
                <w:rFonts w:eastAsia="Calibri" w:cs="Arial"/>
                <w:color w:val="0070C0"/>
                <w:szCs w:val="22"/>
                <w:lang w:eastAsia="en-US"/>
              </w:rPr>
            </w:pPr>
            <w:r w:rsidRPr="004C342D">
              <w:rPr>
                <w:rFonts w:cs="Arial"/>
                <w:color w:val="0070C0"/>
                <w:spacing w:val="1"/>
                <w:lang w:eastAsia="fr-FR"/>
              </w:rPr>
              <w:t>Adult (1 application)</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1DC72775"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C417609"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65A42DC"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4.03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FC3DB0B"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81%</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7B72F35"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699AC19E"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Yes</w:t>
            </w:r>
          </w:p>
        </w:tc>
      </w:tr>
      <w:tr w:rsidR="001E65DB" w:rsidRPr="00F21E42" w14:paraId="687441E4"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1C77745" w14:textId="77777777" w:rsidR="001E65DB" w:rsidRPr="004C342D" w:rsidRDefault="001E65DB" w:rsidP="001E65DB">
            <w:pPr>
              <w:spacing w:before="0" w:after="0"/>
              <w:jc w:val="both"/>
              <w:rPr>
                <w:rFonts w:eastAsia="Calibri" w:cs="Arial"/>
                <w:color w:val="0070C0"/>
                <w:szCs w:val="22"/>
                <w:lang w:eastAsia="en-US"/>
              </w:rPr>
            </w:pPr>
            <w:r w:rsidRPr="004C342D">
              <w:rPr>
                <w:rFonts w:cs="Arial"/>
                <w:color w:val="0070C0"/>
                <w:spacing w:val="1"/>
                <w:lang w:eastAsia="fr-FR"/>
              </w:rPr>
              <w:t>Child (6 to &lt;12 years old) (2 applications)</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C374518"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F6277F1"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FA04AAA"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6.96</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5D4E1A" w14:textId="77777777" w:rsidR="001E65DB" w:rsidRPr="00C56DE0" w:rsidRDefault="001E65DB" w:rsidP="004C342D">
            <w:pPr>
              <w:spacing w:before="0" w:after="0"/>
              <w:jc w:val="center"/>
              <w:rPr>
                <w:rFonts w:eastAsia="Calibri" w:cs="Arial"/>
                <w:b/>
                <w:color w:val="0070C0"/>
                <w:szCs w:val="22"/>
                <w:lang w:eastAsia="en-US"/>
              </w:rPr>
            </w:pPr>
            <w:r w:rsidRPr="00C56DE0">
              <w:rPr>
                <w:rFonts w:eastAsia="Calibri" w:cs="Arial"/>
                <w:b/>
                <w:color w:val="0070C0"/>
                <w:szCs w:val="22"/>
                <w:lang w:eastAsia="en-US"/>
              </w:rPr>
              <w:t>139%</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D89F5F7"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2</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40ADD940" w14:textId="77777777" w:rsidR="001E65DB" w:rsidRPr="00C56DE0" w:rsidRDefault="001E65DB" w:rsidP="004C342D">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r w:rsidR="001E65DB" w:rsidRPr="00F21E42" w14:paraId="0CFAFC37"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F10B945" w14:textId="77777777" w:rsidR="001E65DB" w:rsidRPr="004C342D" w:rsidRDefault="001E65DB" w:rsidP="001E65DB">
            <w:pPr>
              <w:spacing w:before="0" w:after="0"/>
              <w:jc w:val="both"/>
              <w:rPr>
                <w:rFonts w:eastAsia="Calibri" w:cs="Arial"/>
                <w:color w:val="0070C0"/>
                <w:szCs w:val="22"/>
                <w:lang w:eastAsia="en-US"/>
              </w:rPr>
            </w:pPr>
            <w:r w:rsidRPr="004C342D">
              <w:rPr>
                <w:rFonts w:cs="Arial"/>
                <w:color w:val="0070C0"/>
                <w:spacing w:val="1"/>
                <w:lang w:eastAsia="fr-FR"/>
              </w:rPr>
              <w:t>Child (6 to &lt;12 years old) (1 application)</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FA0660E"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77806B1"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2A5ABD0" w14:textId="77777777" w:rsidR="001E65DB" w:rsidRPr="004C342D" w:rsidRDefault="001E65DB" w:rsidP="004C342D">
            <w:pPr>
              <w:spacing w:before="0" w:after="0"/>
              <w:jc w:val="center"/>
              <w:rPr>
                <w:rFonts w:eastAsia="Calibri" w:cs="Arial"/>
                <w:color w:val="0070C0"/>
                <w:szCs w:val="22"/>
                <w:lang w:eastAsia="en-US"/>
              </w:rPr>
            </w:pPr>
            <w:r w:rsidRPr="004C342D">
              <w:rPr>
                <w:rFonts w:cs="Arial"/>
                <w:color w:val="0070C0"/>
                <w:spacing w:val="1"/>
                <w:lang w:eastAsia="fr-FR"/>
              </w:rPr>
              <w:t>4.95</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8BD198A"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99%</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98987D8"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1C2D329A"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Yes</w:t>
            </w:r>
          </w:p>
        </w:tc>
      </w:tr>
      <w:tr w:rsidR="001E65DB" w:rsidRPr="00F21E42" w14:paraId="66E9D003"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3AA7B49" w14:textId="77777777" w:rsidR="001E65DB" w:rsidRPr="004C342D" w:rsidRDefault="001E65DB" w:rsidP="001E65DB">
            <w:pPr>
              <w:spacing w:before="0" w:after="0"/>
              <w:jc w:val="both"/>
              <w:rPr>
                <w:rFonts w:eastAsia="Calibri" w:cs="Arial"/>
                <w:color w:val="0070C0"/>
                <w:szCs w:val="22"/>
                <w:lang w:eastAsia="en-US"/>
              </w:rPr>
            </w:pPr>
            <w:r w:rsidRPr="004C342D">
              <w:rPr>
                <w:rFonts w:cs="Arial"/>
                <w:color w:val="0070C0"/>
                <w:spacing w:val="1"/>
                <w:lang w:eastAsia="fr-FR"/>
              </w:rPr>
              <w:t>Child (2 to &lt;6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E4866EE"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AA16FE9"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E4F0101" w14:textId="77777777" w:rsidR="001E65DB" w:rsidRPr="004C342D" w:rsidRDefault="001E65DB" w:rsidP="004C342D">
            <w:pPr>
              <w:spacing w:before="0" w:after="0"/>
              <w:jc w:val="center"/>
              <w:rPr>
                <w:rFonts w:eastAsia="Calibri" w:cs="Arial"/>
                <w:color w:val="0070C0"/>
                <w:szCs w:val="22"/>
                <w:lang w:eastAsia="en-US"/>
              </w:rPr>
            </w:pPr>
            <w:r w:rsidRPr="004C342D">
              <w:rPr>
                <w:rFonts w:cs="Arial"/>
                <w:color w:val="0070C0"/>
                <w:spacing w:val="1"/>
                <w:lang w:eastAsia="fr-FR"/>
              </w:rPr>
              <w:t>5.60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7E66884" w14:textId="77777777" w:rsidR="001E65DB" w:rsidRPr="00C56DE0" w:rsidRDefault="001E65DB" w:rsidP="004C342D">
            <w:pPr>
              <w:spacing w:before="0" w:after="0"/>
              <w:jc w:val="center"/>
              <w:rPr>
                <w:rFonts w:eastAsia="Calibri" w:cs="Arial"/>
                <w:b/>
                <w:color w:val="0070C0"/>
                <w:szCs w:val="22"/>
                <w:lang w:eastAsia="en-US"/>
              </w:rPr>
            </w:pPr>
            <w:r w:rsidRPr="00C56DE0">
              <w:rPr>
                <w:rFonts w:eastAsia="Calibri" w:cs="Arial"/>
                <w:b/>
                <w:color w:val="0070C0"/>
                <w:szCs w:val="22"/>
                <w:lang w:eastAsia="en-US"/>
              </w:rPr>
              <w:t>112%</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D447230"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15DD53F0" w14:textId="77777777" w:rsidR="001E65DB" w:rsidRPr="00C56DE0" w:rsidRDefault="001E65DB" w:rsidP="004C342D">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r w:rsidR="001E65DB" w:rsidRPr="00F21E42" w14:paraId="108E4D39"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32DDFB47" w14:textId="77777777" w:rsidR="001E65DB" w:rsidRPr="004C342D" w:rsidRDefault="001E65DB" w:rsidP="001E65DB">
            <w:pPr>
              <w:spacing w:before="0" w:after="0"/>
              <w:jc w:val="both"/>
              <w:rPr>
                <w:rFonts w:cs="Arial"/>
                <w:color w:val="0070C0"/>
                <w:szCs w:val="18"/>
                <w:lang w:eastAsia="fr-FR"/>
              </w:rPr>
            </w:pPr>
            <w:r w:rsidRPr="004C342D">
              <w:rPr>
                <w:rFonts w:cs="Arial"/>
                <w:color w:val="0070C0"/>
                <w:spacing w:val="1"/>
                <w:lang w:eastAsia="fr-FR"/>
              </w:rPr>
              <w:t>Toddler (1 to &lt;2 years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8FD93C2"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31A3F77"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1015E5F" w14:textId="77777777" w:rsidR="001E65DB" w:rsidRPr="004C342D" w:rsidRDefault="001E65DB" w:rsidP="004C342D">
            <w:pPr>
              <w:spacing w:before="0" w:after="0"/>
              <w:jc w:val="center"/>
              <w:rPr>
                <w:rFonts w:ascii="Calibri" w:hAnsi="Calibri" w:cs="Calibri"/>
                <w:color w:val="0070C0"/>
                <w:sz w:val="22"/>
                <w:szCs w:val="22"/>
              </w:rPr>
            </w:pPr>
            <w:r w:rsidRPr="004C342D">
              <w:rPr>
                <w:rFonts w:cs="Arial"/>
                <w:color w:val="0070C0"/>
                <w:spacing w:val="1"/>
                <w:lang w:eastAsia="fr-FR"/>
              </w:rPr>
              <w:t>6.18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C8E2773" w14:textId="77777777" w:rsidR="001E65DB" w:rsidRPr="00C56DE0" w:rsidRDefault="001E65DB" w:rsidP="004C342D">
            <w:pPr>
              <w:spacing w:before="0" w:after="0"/>
              <w:jc w:val="center"/>
              <w:rPr>
                <w:rFonts w:ascii="Calibri" w:hAnsi="Calibri" w:cs="Calibri"/>
                <w:b/>
                <w:color w:val="0070C0"/>
                <w:sz w:val="22"/>
                <w:szCs w:val="22"/>
              </w:rPr>
            </w:pPr>
            <w:r w:rsidRPr="00C56DE0">
              <w:rPr>
                <w:rFonts w:ascii="Calibri" w:hAnsi="Calibri" w:cs="Calibri"/>
                <w:b/>
                <w:color w:val="0070C0"/>
                <w:sz w:val="22"/>
                <w:szCs w:val="22"/>
              </w:rPr>
              <w:t>124%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48C3575" w14:textId="77777777" w:rsidR="001E65DB" w:rsidRPr="004C342D" w:rsidRDefault="001E65DB" w:rsidP="004C342D">
            <w:pPr>
              <w:spacing w:before="0" w:after="0"/>
              <w:jc w:val="center"/>
              <w:rPr>
                <w:rFonts w:ascii="Calibri" w:hAnsi="Calibri" w:cs="Calibri"/>
                <w:color w:val="0070C0"/>
                <w:sz w:val="22"/>
                <w:szCs w:val="22"/>
              </w:rPr>
            </w:pPr>
            <w:r w:rsidRPr="004C342D">
              <w:rPr>
                <w:rFonts w:ascii="Calibri" w:hAnsi="Calibri" w:cs="Calibri"/>
                <w:color w:val="0070C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11EB7258" w14:textId="77777777" w:rsidR="001E65DB" w:rsidRPr="00C56DE0" w:rsidRDefault="001E65DB" w:rsidP="004C342D">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r w:rsidR="001E65DB" w:rsidRPr="00F21E42" w14:paraId="5A72B777" w14:textId="77777777" w:rsidTr="003E3E25">
        <w:trPr>
          <w:trHeight w:val="59"/>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3E354079" w14:textId="77777777" w:rsidR="001E65DB" w:rsidRPr="004C342D" w:rsidRDefault="001E65DB" w:rsidP="001E65DB">
            <w:pPr>
              <w:spacing w:before="0" w:after="0"/>
              <w:jc w:val="both"/>
              <w:rPr>
                <w:rFonts w:cs="Arial"/>
                <w:color w:val="0070C0"/>
                <w:szCs w:val="18"/>
                <w:lang w:eastAsia="fr-FR"/>
              </w:rPr>
            </w:pPr>
            <w:r w:rsidRPr="004C342D">
              <w:rPr>
                <w:rFonts w:cs="Arial"/>
                <w:color w:val="0070C0"/>
                <w:spacing w:val="1"/>
                <w:lang w:eastAsia="fr-FR"/>
              </w:rPr>
              <w:t>Infant (&lt;1 year old)</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1BF747B6"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886DE37" w14:textId="77777777" w:rsidR="001E65DB" w:rsidRPr="004C342D" w:rsidRDefault="001E65DB" w:rsidP="004C342D">
            <w:pPr>
              <w:spacing w:before="0" w:after="0"/>
              <w:jc w:val="center"/>
              <w:rPr>
                <w:rFonts w:eastAsia="Calibri" w:cs="Arial"/>
                <w:color w:val="0070C0"/>
                <w:szCs w:val="22"/>
                <w:lang w:eastAsia="en-US"/>
              </w:rPr>
            </w:pPr>
            <w:r w:rsidRPr="004C342D">
              <w:rPr>
                <w:rFonts w:eastAsia="Calibri" w:cs="Arial"/>
                <w:color w:val="0070C0"/>
                <w:szCs w:val="22"/>
                <w:lang w:eastAsia="en-US"/>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907E0A9" w14:textId="77777777" w:rsidR="001E65DB" w:rsidRPr="004C342D" w:rsidRDefault="001E65DB" w:rsidP="004C342D">
            <w:pPr>
              <w:spacing w:before="0" w:after="0"/>
              <w:jc w:val="center"/>
              <w:rPr>
                <w:rFonts w:ascii="Calibri" w:hAnsi="Calibri" w:cs="Calibri"/>
                <w:color w:val="0070C0"/>
                <w:sz w:val="22"/>
                <w:szCs w:val="22"/>
              </w:rPr>
            </w:pPr>
            <w:r w:rsidRPr="004C342D">
              <w:rPr>
                <w:rFonts w:cs="Arial"/>
                <w:color w:val="0070C0"/>
                <w:spacing w:val="1"/>
                <w:lang w:eastAsia="fr-FR"/>
              </w:rPr>
              <w:t>6.60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E4296D2" w14:textId="77777777" w:rsidR="001E65DB" w:rsidRPr="00C56DE0" w:rsidRDefault="001E65DB" w:rsidP="004C342D">
            <w:pPr>
              <w:spacing w:before="0" w:after="0"/>
              <w:jc w:val="center"/>
              <w:rPr>
                <w:rFonts w:ascii="Calibri" w:hAnsi="Calibri" w:cs="Calibri"/>
                <w:b/>
                <w:color w:val="0070C0"/>
                <w:sz w:val="22"/>
                <w:szCs w:val="22"/>
              </w:rPr>
            </w:pPr>
            <w:r w:rsidRPr="00C56DE0">
              <w:rPr>
                <w:rFonts w:ascii="Calibri" w:hAnsi="Calibri" w:cs="Calibri"/>
                <w:b/>
                <w:color w:val="0070C0"/>
                <w:sz w:val="22"/>
                <w:szCs w:val="22"/>
              </w:rPr>
              <w:t>132%</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BA0F7EB" w14:textId="77777777" w:rsidR="001E65DB" w:rsidRPr="004C342D" w:rsidRDefault="001E65DB" w:rsidP="004C342D">
            <w:pPr>
              <w:spacing w:before="0" w:after="0"/>
              <w:jc w:val="center"/>
              <w:rPr>
                <w:rFonts w:ascii="Calibri" w:hAnsi="Calibri" w:cs="Calibri"/>
                <w:color w:val="0070C0"/>
                <w:sz w:val="22"/>
                <w:szCs w:val="22"/>
              </w:rPr>
            </w:pPr>
            <w:r w:rsidRPr="004C342D">
              <w:rPr>
                <w:rFonts w:ascii="Calibri" w:hAnsi="Calibri" w:cs="Calibri"/>
                <w:color w:val="0070C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3953AF24" w14:textId="77777777" w:rsidR="001E65DB" w:rsidRPr="00C56DE0" w:rsidRDefault="001E65DB" w:rsidP="004C342D">
            <w:pPr>
              <w:spacing w:before="0" w:after="0"/>
              <w:jc w:val="center"/>
              <w:rPr>
                <w:rFonts w:eastAsia="Calibri" w:cs="Arial"/>
                <w:b/>
                <w:color w:val="0070C0"/>
                <w:szCs w:val="22"/>
                <w:lang w:eastAsia="en-US"/>
              </w:rPr>
            </w:pPr>
            <w:r w:rsidRPr="00C56DE0">
              <w:rPr>
                <w:rFonts w:eastAsia="Calibri" w:cs="Arial"/>
                <w:b/>
                <w:color w:val="0070C0"/>
                <w:szCs w:val="22"/>
                <w:lang w:eastAsia="en-US"/>
              </w:rPr>
              <w:t>No</w:t>
            </w:r>
          </w:p>
        </w:tc>
      </w:tr>
    </w:tbl>
    <w:p w14:paraId="7DF543B1" w14:textId="77777777" w:rsidR="001E65DB" w:rsidRDefault="001E65DB" w:rsidP="008A3DDA">
      <w:pPr>
        <w:widowControl w:val="0"/>
        <w:kinsoku w:val="0"/>
        <w:overflowPunct w:val="0"/>
        <w:autoSpaceDE w:val="0"/>
        <w:autoSpaceDN w:val="0"/>
        <w:adjustRightInd w:val="0"/>
        <w:spacing w:before="0" w:after="0"/>
        <w:ind w:right="216"/>
        <w:jc w:val="both"/>
        <w:textAlignment w:val="baseline"/>
        <w:rPr>
          <w:rFonts w:cs="Arial"/>
          <w:spacing w:val="1"/>
          <w:lang w:eastAsia="fr-FR"/>
        </w:rPr>
      </w:pPr>
    </w:p>
    <w:p w14:paraId="4532D9FB" w14:textId="77777777" w:rsidR="001E65DB" w:rsidRPr="008A3DDA" w:rsidRDefault="001E65DB" w:rsidP="003E3E25">
      <w:pPr>
        <w:widowControl w:val="0"/>
        <w:kinsoku w:val="0"/>
        <w:overflowPunct w:val="0"/>
        <w:autoSpaceDE w:val="0"/>
        <w:autoSpaceDN w:val="0"/>
        <w:adjustRightInd w:val="0"/>
        <w:spacing w:before="0" w:after="0"/>
        <w:ind w:right="216"/>
        <w:jc w:val="both"/>
        <w:textAlignment w:val="baseline"/>
        <w:rPr>
          <w:rFonts w:cs="Arial"/>
          <w:b/>
          <w:color w:val="2E74B5" w:themeColor="accent1" w:themeShade="BF"/>
          <w:spacing w:val="1"/>
          <w:lang w:eastAsia="fr-FR"/>
        </w:rPr>
      </w:pPr>
      <w:r w:rsidRPr="008A3DDA">
        <w:rPr>
          <w:rFonts w:cs="Arial"/>
          <w:b/>
          <w:i/>
          <w:color w:val="2E74B5" w:themeColor="accent1" w:themeShade="BF"/>
          <w:spacing w:val="1"/>
          <w:sz w:val="22"/>
          <w:u w:val="single"/>
          <w:lang w:eastAsia="fr-FR"/>
        </w:rPr>
        <w:t>Conclusion</w:t>
      </w:r>
    </w:p>
    <w:p w14:paraId="1E17EBCA" w14:textId="77777777" w:rsidR="00546133" w:rsidRDefault="00546133" w:rsidP="003E3E25">
      <w:pPr>
        <w:widowControl w:val="0"/>
        <w:kinsoku w:val="0"/>
        <w:overflowPunct w:val="0"/>
        <w:autoSpaceDE w:val="0"/>
        <w:autoSpaceDN w:val="0"/>
        <w:adjustRightInd w:val="0"/>
        <w:spacing w:before="0" w:after="0"/>
        <w:ind w:right="216"/>
        <w:jc w:val="both"/>
        <w:textAlignment w:val="baseline"/>
        <w:rPr>
          <w:b/>
        </w:rPr>
      </w:pPr>
    </w:p>
    <w:p w14:paraId="6F889D96" w14:textId="56DAAC7C" w:rsidR="001E65DB" w:rsidRDefault="001E65DB" w:rsidP="003E3E25">
      <w:pPr>
        <w:widowControl w:val="0"/>
        <w:kinsoku w:val="0"/>
        <w:overflowPunct w:val="0"/>
        <w:autoSpaceDE w:val="0"/>
        <w:autoSpaceDN w:val="0"/>
        <w:adjustRightInd w:val="0"/>
        <w:spacing w:before="0" w:after="0"/>
        <w:ind w:right="216"/>
        <w:jc w:val="both"/>
        <w:textAlignment w:val="baseline"/>
        <w:rPr>
          <w:b/>
        </w:rPr>
      </w:pPr>
      <w:r w:rsidRPr="007E29F8">
        <w:rPr>
          <w:b/>
        </w:rPr>
        <w:t>Intended use #4 (Spray for skin application to repel mosquitoes)</w:t>
      </w:r>
    </w:p>
    <w:p w14:paraId="671281AB" w14:textId="77777777" w:rsidR="001E65DB" w:rsidRPr="00BA4496" w:rsidRDefault="001E65DB" w:rsidP="003E3E25">
      <w:pPr>
        <w:pStyle w:val="Paragraphedeliste"/>
        <w:widowControl w:val="0"/>
        <w:numPr>
          <w:ilvl w:val="0"/>
          <w:numId w:val="16"/>
        </w:numPr>
        <w:kinsoku w:val="0"/>
        <w:overflowPunct w:val="0"/>
        <w:autoSpaceDE w:val="0"/>
        <w:autoSpaceDN w:val="0"/>
        <w:adjustRightInd w:val="0"/>
        <w:spacing w:before="0" w:after="0"/>
        <w:ind w:right="216"/>
        <w:jc w:val="both"/>
        <w:textAlignment w:val="baseline"/>
        <w:rPr>
          <w:rFonts w:cs="Arial"/>
          <w:color w:val="0070C0"/>
          <w:spacing w:val="1"/>
          <w:lang w:eastAsia="fr-FR"/>
        </w:rPr>
      </w:pPr>
      <w:r w:rsidRPr="00BA4496">
        <w:rPr>
          <w:rFonts w:cs="Arial"/>
          <w:color w:val="0070C0"/>
          <w:spacing w:val="1"/>
          <w:lang w:eastAsia="fr-FR"/>
        </w:rPr>
        <w:t>Temperate condition:</w:t>
      </w:r>
    </w:p>
    <w:p w14:paraId="08F93296" w14:textId="6D692F14" w:rsidR="001E65DB" w:rsidRPr="00BA4496" w:rsidRDefault="001E65DB" w:rsidP="003E3E25">
      <w:pPr>
        <w:widowControl w:val="0"/>
        <w:kinsoku w:val="0"/>
        <w:overflowPunct w:val="0"/>
        <w:autoSpaceDE w:val="0"/>
        <w:autoSpaceDN w:val="0"/>
        <w:adjustRightInd w:val="0"/>
        <w:spacing w:before="0" w:after="0"/>
        <w:ind w:right="216"/>
        <w:jc w:val="both"/>
        <w:textAlignment w:val="baseline"/>
        <w:rPr>
          <w:rFonts w:cs="Arial"/>
          <w:color w:val="0070C0"/>
          <w:spacing w:val="1"/>
          <w:lang w:eastAsia="fr-FR"/>
        </w:rPr>
      </w:pPr>
      <w:r w:rsidRPr="00BA4496">
        <w:rPr>
          <w:rFonts w:cs="Arial"/>
          <w:color w:val="0070C0"/>
          <w:spacing w:val="1"/>
          <w:lang w:eastAsia="fr-FR"/>
        </w:rPr>
        <w:t xml:space="preserve">The risk is acceptable considering two applications per day for adult and children </w:t>
      </w:r>
      <w:r w:rsidR="008E003D" w:rsidRPr="00BA4496">
        <w:rPr>
          <w:rFonts w:cs="Arial"/>
          <w:color w:val="0070C0"/>
          <w:spacing w:val="1"/>
          <w:lang w:eastAsia="fr-FR"/>
        </w:rPr>
        <w:t>of 6 years and more</w:t>
      </w:r>
      <w:r w:rsidRPr="00BA4496">
        <w:rPr>
          <w:rFonts w:cs="Arial"/>
          <w:color w:val="0070C0"/>
          <w:spacing w:val="1"/>
          <w:lang w:eastAsia="fr-FR"/>
        </w:rPr>
        <w:t xml:space="preserve"> and one application per day for children younger than 6 years</w:t>
      </w:r>
      <w:r w:rsidR="00546133" w:rsidRPr="00BA4496">
        <w:rPr>
          <w:rFonts w:cs="Arial"/>
          <w:color w:val="0070C0"/>
          <w:spacing w:val="1"/>
          <w:lang w:eastAsia="fr-FR"/>
        </w:rPr>
        <w:t>.</w:t>
      </w:r>
    </w:p>
    <w:p w14:paraId="5B16689A" w14:textId="0AD636E7" w:rsidR="001E65DB" w:rsidRPr="00BA4496" w:rsidRDefault="001E65DB" w:rsidP="003E3E25">
      <w:pPr>
        <w:pStyle w:val="Paragraphedeliste"/>
        <w:widowControl w:val="0"/>
        <w:numPr>
          <w:ilvl w:val="0"/>
          <w:numId w:val="16"/>
        </w:numPr>
        <w:kinsoku w:val="0"/>
        <w:overflowPunct w:val="0"/>
        <w:autoSpaceDE w:val="0"/>
        <w:autoSpaceDN w:val="0"/>
        <w:adjustRightInd w:val="0"/>
        <w:spacing w:before="0" w:after="0"/>
        <w:ind w:right="216"/>
        <w:jc w:val="both"/>
        <w:textAlignment w:val="baseline"/>
        <w:rPr>
          <w:rFonts w:cs="Arial"/>
          <w:color w:val="0070C0"/>
          <w:spacing w:val="1"/>
          <w:lang w:eastAsia="fr-FR"/>
        </w:rPr>
      </w:pPr>
      <w:r w:rsidRPr="00BA4496">
        <w:rPr>
          <w:rFonts w:cs="Arial"/>
          <w:color w:val="0070C0"/>
          <w:spacing w:val="1"/>
          <w:lang w:eastAsia="fr-FR"/>
        </w:rPr>
        <w:t>Tropical condition</w:t>
      </w:r>
      <w:r w:rsidR="00546133" w:rsidRPr="00BA4496">
        <w:rPr>
          <w:rFonts w:cs="Arial"/>
          <w:color w:val="0070C0"/>
          <w:spacing w:val="1"/>
          <w:lang w:eastAsia="fr-FR"/>
        </w:rPr>
        <w:t>:</w:t>
      </w:r>
    </w:p>
    <w:p w14:paraId="05B7BA0F" w14:textId="1995ECBE" w:rsidR="001E65DB" w:rsidRPr="00BA4496" w:rsidRDefault="001E65DB" w:rsidP="003E3E25">
      <w:pPr>
        <w:widowControl w:val="0"/>
        <w:kinsoku w:val="0"/>
        <w:overflowPunct w:val="0"/>
        <w:autoSpaceDE w:val="0"/>
        <w:autoSpaceDN w:val="0"/>
        <w:adjustRightInd w:val="0"/>
        <w:spacing w:before="0" w:after="0"/>
        <w:ind w:right="216"/>
        <w:jc w:val="both"/>
        <w:textAlignment w:val="baseline"/>
        <w:rPr>
          <w:rFonts w:cs="Arial"/>
          <w:color w:val="0070C0"/>
          <w:spacing w:val="1"/>
          <w:lang w:eastAsia="fr-FR"/>
        </w:rPr>
      </w:pPr>
      <w:r w:rsidRPr="00BA4496">
        <w:rPr>
          <w:rFonts w:cs="Arial"/>
          <w:color w:val="0070C0"/>
          <w:spacing w:val="1"/>
          <w:lang w:eastAsia="fr-FR"/>
        </w:rPr>
        <w:t xml:space="preserve">The risk is acceptable for adult </w:t>
      </w:r>
      <w:r w:rsidR="008E003D" w:rsidRPr="00BA4496">
        <w:rPr>
          <w:rFonts w:cs="Arial"/>
          <w:color w:val="0070C0"/>
          <w:spacing w:val="1"/>
          <w:lang w:eastAsia="fr-FR"/>
        </w:rPr>
        <w:t xml:space="preserve">and children of 12 years and more </w:t>
      </w:r>
      <w:r w:rsidRPr="00BA4496">
        <w:rPr>
          <w:rFonts w:cs="Arial"/>
          <w:color w:val="0070C0"/>
          <w:spacing w:val="1"/>
          <w:lang w:eastAsia="fr-FR"/>
        </w:rPr>
        <w:t>considering two applications per day and for children</w:t>
      </w:r>
      <w:r w:rsidR="00546133" w:rsidRPr="00BA4496">
        <w:rPr>
          <w:rFonts w:cs="Arial"/>
          <w:color w:val="0070C0"/>
          <w:spacing w:val="1"/>
          <w:lang w:eastAsia="fr-FR"/>
        </w:rPr>
        <w:t xml:space="preserve"> under 12 years</w:t>
      </w:r>
      <w:r w:rsidRPr="00BA4496">
        <w:rPr>
          <w:rFonts w:cs="Arial"/>
          <w:color w:val="0070C0"/>
          <w:spacing w:val="1"/>
          <w:lang w:eastAsia="fr-FR"/>
        </w:rPr>
        <w:t xml:space="preserve"> considering one application per day. </w:t>
      </w:r>
    </w:p>
    <w:p w14:paraId="74698A51" w14:textId="77777777" w:rsidR="001E65DB" w:rsidRDefault="001E65DB" w:rsidP="003E3E25">
      <w:pPr>
        <w:widowControl w:val="0"/>
        <w:kinsoku w:val="0"/>
        <w:overflowPunct w:val="0"/>
        <w:autoSpaceDE w:val="0"/>
        <w:autoSpaceDN w:val="0"/>
        <w:adjustRightInd w:val="0"/>
        <w:spacing w:before="292" w:after="0" w:line="290" w:lineRule="exact"/>
        <w:ind w:right="216"/>
        <w:jc w:val="both"/>
        <w:textAlignment w:val="baseline"/>
        <w:rPr>
          <w:b/>
        </w:rPr>
      </w:pPr>
      <w:r w:rsidRPr="00673CDC">
        <w:rPr>
          <w:b/>
        </w:rPr>
        <w:t>Intended use #6 (Spray for skin application to repel ticks)</w:t>
      </w:r>
    </w:p>
    <w:p w14:paraId="0FEC4076" w14:textId="3C88B6B2" w:rsidR="001E65DB" w:rsidRPr="00BA4496" w:rsidRDefault="001E65DB" w:rsidP="003E3E25">
      <w:pPr>
        <w:widowControl w:val="0"/>
        <w:kinsoku w:val="0"/>
        <w:overflowPunct w:val="0"/>
        <w:autoSpaceDE w:val="0"/>
        <w:autoSpaceDN w:val="0"/>
        <w:adjustRightInd w:val="0"/>
        <w:spacing w:before="0" w:after="0"/>
        <w:ind w:right="216"/>
        <w:jc w:val="both"/>
        <w:textAlignment w:val="baseline"/>
        <w:rPr>
          <w:rFonts w:cs="Arial"/>
          <w:color w:val="0070C0"/>
          <w:spacing w:val="1"/>
          <w:lang w:eastAsia="fr-FR"/>
        </w:rPr>
      </w:pPr>
      <w:r w:rsidRPr="00BA4496">
        <w:rPr>
          <w:rFonts w:cs="Arial"/>
          <w:color w:val="0070C0"/>
          <w:spacing w:val="1"/>
          <w:lang w:eastAsia="fr-FR"/>
        </w:rPr>
        <w:t xml:space="preserve">The risk is acceptable considering two applications per day for adult and children </w:t>
      </w:r>
      <w:r w:rsidR="008E003D" w:rsidRPr="00BA4496">
        <w:rPr>
          <w:rFonts w:cs="Arial"/>
          <w:color w:val="0070C0"/>
          <w:spacing w:val="1"/>
          <w:lang w:eastAsia="fr-FR"/>
        </w:rPr>
        <w:t>of 6 years and more</w:t>
      </w:r>
      <w:r w:rsidRPr="00BA4496">
        <w:rPr>
          <w:rFonts w:cs="Arial"/>
          <w:color w:val="0070C0"/>
          <w:spacing w:val="1"/>
          <w:lang w:eastAsia="fr-FR"/>
        </w:rPr>
        <w:t xml:space="preserve"> and one application per day for children younger than 6 years.</w:t>
      </w:r>
    </w:p>
    <w:p w14:paraId="6FEE8E58" w14:textId="77777777" w:rsidR="00BA4496" w:rsidRDefault="00BA4496" w:rsidP="003E3E25">
      <w:pPr>
        <w:widowControl w:val="0"/>
        <w:kinsoku w:val="0"/>
        <w:overflowPunct w:val="0"/>
        <w:autoSpaceDE w:val="0"/>
        <w:autoSpaceDN w:val="0"/>
        <w:adjustRightInd w:val="0"/>
        <w:spacing w:before="0" w:after="0"/>
        <w:ind w:right="216"/>
        <w:jc w:val="both"/>
        <w:textAlignment w:val="baseline"/>
        <w:rPr>
          <w:rFonts w:cs="Arial"/>
          <w:color w:val="0070C0"/>
          <w:spacing w:val="1"/>
          <w:lang w:eastAsia="fr-FR"/>
        </w:rPr>
      </w:pPr>
    </w:p>
    <w:p w14:paraId="24E94A92" w14:textId="6F60CEE8" w:rsidR="001E65DB" w:rsidRPr="00BA4496" w:rsidRDefault="001E65DB" w:rsidP="003E3E25">
      <w:pPr>
        <w:widowControl w:val="0"/>
        <w:kinsoku w:val="0"/>
        <w:overflowPunct w:val="0"/>
        <w:autoSpaceDE w:val="0"/>
        <w:autoSpaceDN w:val="0"/>
        <w:adjustRightInd w:val="0"/>
        <w:spacing w:before="0" w:after="0"/>
        <w:ind w:right="216"/>
        <w:jc w:val="both"/>
        <w:textAlignment w:val="baseline"/>
        <w:rPr>
          <w:rFonts w:cs="Arial"/>
          <w:color w:val="0070C0"/>
          <w:spacing w:val="1"/>
          <w:lang w:eastAsia="fr-FR"/>
        </w:rPr>
      </w:pPr>
      <w:r w:rsidRPr="00BA4496">
        <w:rPr>
          <w:rFonts w:cs="Arial"/>
          <w:color w:val="0070C0"/>
          <w:spacing w:val="1"/>
          <w:lang w:eastAsia="fr-FR"/>
        </w:rPr>
        <w:t xml:space="preserve">Risk linked to combined uses are also assessed: </w:t>
      </w:r>
    </w:p>
    <w:p w14:paraId="38E72108" w14:textId="77777777" w:rsidR="001E65DB" w:rsidRPr="00673CDC" w:rsidRDefault="001E65DB" w:rsidP="003E3E25">
      <w:pPr>
        <w:widowControl w:val="0"/>
        <w:kinsoku w:val="0"/>
        <w:overflowPunct w:val="0"/>
        <w:autoSpaceDE w:val="0"/>
        <w:autoSpaceDN w:val="0"/>
        <w:adjustRightInd w:val="0"/>
        <w:spacing w:before="292" w:after="0" w:line="290" w:lineRule="exact"/>
        <w:ind w:right="216"/>
        <w:jc w:val="both"/>
        <w:textAlignment w:val="baseline"/>
        <w:rPr>
          <w:rFonts w:cs="Arial"/>
          <w:spacing w:val="1"/>
          <w:lang w:eastAsia="fr-FR"/>
        </w:rPr>
      </w:pPr>
      <w:r w:rsidRPr="007E29F8">
        <w:rPr>
          <w:b/>
        </w:rPr>
        <w:t>Intended use #4 (Spray for skin application to repel mosquitoes)</w:t>
      </w:r>
      <w:r>
        <w:rPr>
          <w:b/>
        </w:rPr>
        <w:t xml:space="preserve"> tropical</w:t>
      </w:r>
      <w:r w:rsidRPr="007E29F8">
        <w:rPr>
          <w:b/>
        </w:rPr>
        <w:t xml:space="preserve"> </w:t>
      </w:r>
      <w:r>
        <w:rPr>
          <w:b/>
        </w:rPr>
        <w:t xml:space="preserve">conditions </w:t>
      </w:r>
      <w:r w:rsidRPr="007E29F8">
        <w:rPr>
          <w:b/>
        </w:rPr>
        <w:t>and</w:t>
      </w:r>
      <w:r w:rsidRPr="00DC5086">
        <w:rPr>
          <w:b/>
        </w:rPr>
        <w:t xml:space="preserve"> </w:t>
      </w:r>
      <w:r w:rsidRPr="007E29F8">
        <w:rPr>
          <w:b/>
        </w:rPr>
        <w:t>Intended use #3 (Spray to treat clothes against mosquitoes)</w:t>
      </w:r>
    </w:p>
    <w:p w14:paraId="738025F6" w14:textId="4A265573" w:rsidR="001E65DB" w:rsidRPr="00BA4496" w:rsidRDefault="001E65DB" w:rsidP="003E3E25">
      <w:pPr>
        <w:ind w:right="216"/>
        <w:jc w:val="both"/>
        <w:rPr>
          <w:rFonts w:cs="Arial"/>
          <w:color w:val="0070C0"/>
          <w:spacing w:val="1"/>
          <w:lang w:eastAsia="fr-FR"/>
        </w:rPr>
      </w:pPr>
      <w:r w:rsidRPr="00BA4496">
        <w:rPr>
          <w:rFonts w:cs="Arial"/>
          <w:color w:val="0070C0"/>
          <w:spacing w:val="1"/>
          <w:lang w:eastAsia="fr-FR"/>
        </w:rPr>
        <w:t xml:space="preserve">For combined treatment, the risk is acceptable for adults and children </w:t>
      </w:r>
      <w:r w:rsidR="008E003D" w:rsidRPr="00BA4496">
        <w:rPr>
          <w:rFonts w:cs="Arial"/>
          <w:color w:val="0070C0"/>
          <w:spacing w:val="1"/>
          <w:lang w:eastAsia="fr-FR"/>
        </w:rPr>
        <w:t>of 6 years and more</w:t>
      </w:r>
      <w:r w:rsidRPr="00BA4496">
        <w:rPr>
          <w:rFonts w:cs="Arial"/>
          <w:color w:val="0070C0"/>
          <w:spacing w:val="1"/>
          <w:lang w:eastAsia="fr-FR"/>
        </w:rPr>
        <w:t xml:space="preserve"> considering only one application per day on skin.</w:t>
      </w:r>
    </w:p>
    <w:p w14:paraId="163D564A" w14:textId="77777777" w:rsidR="001E65DB" w:rsidRPr="00BA4496" w:rsidRDefault="001E65DB" w:rsidP="003E3E25">
      <w:pPr>
        <w:ind w:right="216"/>
        <w:jc w:val="both"/>
        <w:rPr>
          <w:rFonts w:cs="Arial"/>
          <w:color w:val="0070C0"/>
          <w:spacing w:val="1"/>
          <w:lang w:eastAsia="fr-FR"/>
        </w:rPr>
      </w:pPr>
      <w:r w:rsidRPr="00BA4496">
        <w:rPr>
          <w:rFonts w:cs="Arial"/>
          <w:color w:val="0070C0"/>
          <w:spacing w:val="1"/>
          <w:lang w:eastAsia="fr-FR"/>
        </w:rPr>
        <w:t>The risk is unacceptable for children younger than 6 years.</w:t>
      </w:r>
    </w:p>
    <w:p w14:paraId="4A241B8A" w14:textId="77777777" w:rsidR="001E65DB" w:rsidRPr="00BA4496" w:rsidRDefault="001E65DB" w:rsidP="003E3E25">
      <w:pPr>
        <w:ind w:right="216"/>
        <w:jc w:val="both"/>
        <w:rPr>
          <w:rFonts w:cs="Arial"/>
          <w:color w:val="0070C0"/>
          <w:spacing w:val="1"/>
          <w:lang w:eastAsia="fr-FR"/>
        </w:rPr>
      </w:pPr>
      <w:r w:rsidRPr="00BA4496">
        <w:rPr>
          <w:rFonts w:cs="Arial"/>
          <w:color w:val="0070C0"/>
          <w:spacing w:val="1"/>
          <w:lang w:eastAsia="fr-FR"/>
        </w:rPr>
        <w:t>Therefore, the following RMM is proposed: for treatment against mosquitos in tropical conditions, do not apply the product simultaneously on the skin and on clothes for children younger than 6 years. For adult and children of 6 years and more, do not apply the product on skin under clothes.</w:t>
      </w:r>
    </w:p>
    <w:p w14:paraId="7558ED1D" w14:textId="77777777" w:rsidR="001E65DB" w:rsidRPr="004654A5" w:rsidRDefault="001E65DB" w:rsidP="003E3E25">
      <w:pPr>
        <w:widowControl w:val="0"/>
        <w:kinsoku w:val="0"/>
        <w:overflowPunct w:val="0"/>
        <w:autoSpaceDE w:val="0"/>
        <w:autoSpaceDN w:val="0"/>
        <w:adjustRightInd w:val="0"/>
        <w:spacing w:before="292" w:after="0" w:line="290" w:lineRule="exact"/>
        <w:ind w:right="216"/>
        <w:jc w:val="both"/>
        <w:textAlignment w:val="baseline"/>
        <w:rPr>
          <w:rFonts w:cs="Arial"/>
          <w:spacing w:val="1"/>
          <w:lang w:eastAsia="fr-FR"/>
        </w:rPr>
      </w:pPr>
      <w:r w:rsidRPr="007E29F8">
        <w:rPr>
          <w:b/>
        </w:rPr>
        <w:t>Intended use #4 (Spray for skin application to repel mosquitoes)</w:t>
      </w:r>
      <w:r>
        <w:rPr>
          <w:b/>
        </w:rPr>
        <w:t xml:space="preserve"> temperate</w:t>
      </w:r>
      <w:r w:rsidRPr="007E29F8">
        <w:rPr>
          <w:b/>
        </w:rPr>
        <w:t xml:space="preserve"> </w:t>
      </w:r>
      <w:r>
        <w:rPr>
          <w:b/>
        </w:rPr>
        <w:t xml:space="preserve">conditions </w:t>
      </w:r>
      <w:r w:rsidRPr="007E29F8">
        <w:rPr>
          <w:b/>
        </w:rPr>
        <w:t>and</w:t>
      </w:r>
      <w:r w:rsidRPr="00DC5086">
        <w:rPr>
          <w:b/>
        </w:rPr>
        <w:t xml:space="preserve"> </w:t>
      </w:r>
      <w:r w:rsidRPr="007E29F8">
        <w:rPr>
          <w:b/>
        </w:rPr>
        <w:t>Intended use #3 (Spray to treat clothes against mosquitoes)</w:t>
      </w:r>
    </w:p>
    <w:p w14:paraId="21738446" w14:textId="29D41CF7" w:rsidR="001E65DB" w:rsidRPr="00BA4496" w:rsidRDefault="001E65DB" w:rsidP="003E3E25">
      <w:pPr>
        <w:ind w:right="216"/>
        <w:jc w:val="both"/>
        <w:rPr>
          <w:rFonts w:cs="Arial"/>
          <w:color w:val="0070C0"/>
          <w:spacing w:val="1"/>
          <w:lang w:eastAsia="fr-FR"/>
        </w:rPr>
      </w:pPr>
      <w:r w:rsidRPr="00BA4496">
        <w:rPr>
          <w:rFonts w:cs="Arial"/>
          <w:color w:val="0070C0"/>
          <w:spacing w:val="1"/>
          <w:lang w:eastAsia="fr-FR"/>
        </w:rPr>
        <w:t xml:space="preserve">For combined treatment, the risk is acceptable for adults </w:t>
      </w:r>
      <w:r w:rsidR="003D031C" w:rsidRPr="00BA4496">
        <w:rPr>
          <w:rFonts w:cs="Arial"/>
          <w:color w:val="0070C0"/>
          <w:spacing w:val="1"/>
          <w:lang w:eastAsia="fr-FR"/>
        </w:rPr>
        <w:t xml:space="preserve">and children more than 6 years </w:t>
      </w:r>
      <w:r w:rsidRPr="00BA4496">
        <w:rPr>
          <w:rFonts w:cs="Arial"/>
          <w:color w:val="0070C0"/>
          <w:spacing w:val="1"/>
          <w:lang w:eastAsia="fr-FR"/>
        </w:rPr>
        <w:t>considering 2 applications per day on skin.</w:t>
      </w:r>
    </w:p>
    <w:p w14:paraId="67A62A4C" w14:textId="77777777" w:rsidR="001E65DB" w:rsidRPr="00BA4496" w:rsidRDefault="001E65DB" w:rsidP="003E3E25">
      <w:pPr>
        <w:ind w:right="216"/>
        <w:jc w:val="both"/>
        <w:rPr>
          <w:rFonts w:cs="Arial"/>
          <w:color w:val="0070C0"/>
          <w:spacing w:val="1"/>
          <w:lang w:eastAsia="fr-FR"/>
        </w:rPr>
      </w:pPr>
      <w:r w:rsidRPr="00BA4496">
        <w:rPr>
          <w:rFonts w:cs="Arial"/>
          <w:color w:val="0070C0"/>
          <w:spacing w:val="1"/>
          <w:lang w:eastAsia="fr-FR"/>
        </w:rPr>
        <w:t xml:space="preserve">The risk for children between 6 and 12 years is acceptable considering only 1 application per day on skin. </w:t>
      </w:r>
    </w:p>
    <w:p w14:paraId="6CB1A0A4" w14:textId="77777777" w:rsidR="001E65DB" w:rsidRPr="00BA4496" w:rsidRDefault="001E65DB" w:rsidP="003E3E25">
      <w:pPr>
        <w:ind w:right="216"/>
        <w:jc w:val="both"/>
        <w:rPr>
          <w:rFonts w:cs="Arial"/>
          <w:color w:val="0070C0"/>
          <w:spacing w:val="1"/>
          <w:lang w:eastAsia="fr-FR"/>
        </w:rPr>
      </w:pPr>
      <w:r w:rsidRPr="00BA4496">
        <w:rPr>
          <w:rFonts w:cs="Arial"/>
          <w:color w:val="0070C0"/>
          <w:spacing w:val="1"/>
          <w:lang w:eastAsia="fr-FR"/>
        </w:rPr>
        <w:t>The risk for children between 2 and 6 years is acceptable.</w:t>
      </w:r>
    </w:p>
    <w:p w14:paraId="756C9728" w14:textId="6C09EE5A" w:rsidR="001E65DB" w:rsidRPr="00BA4496" w:rsidRDefault="001E65DB" w:rsidP="003E3E25">
      <w:pPr>
        <w:ind w:right="216"/>
        <w:jc w:val="both"/>
        <w:rPr>
          <w:rFonts w:cs="Arial"/>
          <w:color w:val="0070C0"/>
          <w:spacing w:val="1"/>
          <w:lang w:eastAsia="fr-FR"/>
        </w:rPr>
      </w:pPr>
      <w:r w:rsidRPr="00BA4496">
        <w:rPr>
          <w:rFonts w:cs="Arial"/>
          <w:color w:val="0070C0"/>
          <w:spacing w:val="1"/>
          <w:lang w:eastAsia="fr-FR"/>
        </w:rPr>
        <w:t>The risk for children younger than 2 years is unacceptable</w:t>
      </w:r>
      <w:r w:rsidR="003D031C" w:rsidRPr="00BA4496">
        <w:rPr>
          <w:rFonts w:cs="Arial"/>
          <w:color w:val="0070C0"/>
          <w:spacing w:val="1"/>
          <w:lang w:eastAsia="fr-FR"/>
        </w:rPr>
        <w:t>.</w:t>
      </w:r>
    </w:p>
    <w:p w14:paraId="61EFC2CE" w14:textId="77777777" w:rsidR="001E65DB" w:rsidRPr="00BA4496" w:rsidRDefault="001E65DB" w:rsidP="003E3E25">
      <w:pPr>
        <w:ind w:right="216"/>
        <w:jc w:val="both"/>
        <w:rPr>
          <w:rFonts w:cs="Arial"/>
          <w:color w:val="0070C0"/>
          <w:spacing w:val="1"/>
          <w:lang w:eastAsia="fr-FR"/>
        </w:rPr>
      </w:pPr>
      <w:r w:rsidRPr="00BA4496">
        <w:rPr>
          <w:rFonts w:cs="Arial"/>
          <w:color w:val="0070C0"/>
          <w:spacing w:val="1"/>
          <w:lang w:eastAsia="fr-FR"/>
        </w:rPr>
        <w:t>Therefore, the following RMM is proposed: for treatment against mosquitos in temperate conditions, do not apply the product simultaneously on the skin of children younger than 2 years and on their clothes. Moreover, the following RMM is proposed: For adult and children of 2 years and more, do not apply the product on skin under clothes.</w:t>
      </w:r>
    </w:p>
    <w:p w14:paraId="46113A9E" w14:textId="77777777" w:rsidR="001E65DB" w:rsidRPr="004654A5" w:rsidRDefault="001E65DB" w:rsidP="003E3E25">
      <w:pPr>
        <w:widowControl w:val="0"/>
        <w:kinsoku w:val="0"/>
        <w:overflowPunct w:val="0"/>
        <w:autoSpaceDE w:val="0"/>
        <w:autoSpaceDN w:val="0"/>
        <w:adjustRightInd w:val="0"/>
        <w:spacing w:before="292" w:after="0" w:line="290" w:lineRule="exact"/>
        <w:ind w:right="216"/>
        <w:jc w:val="both"/>
        <w:textAlignment w:val="baseline"/>
        <w:rPr>
          <w:rFonts w:cs="Arial"/>
          <w:spacing w:val="1"/>
          <w:lang w:eastAsia="fr-FR"/>
        </w:rPr>
      </w:pPr>
      <w:r w:rsidRPr="007E29F8">
        <w:rPr>
          <w:b/>
        </w:rPr>
        <w:t>Intended use #</w:t>
      </w:r>
      <w:r>
        <w:rPr>
          <w:b/>
        </w:rPr>
        <w:t>6</w:t>
      </w:r>
      <w:r w:rsidRPr="007E29F8">
        <w:rPr>
          <w:b/>
        </w:rPr>
        <w:t xml:space="preserve"> (Spray for skin application to repel </w:t>
      </w:r>
      <w:r>
        <w:rPr>
          <w:b/>
        </w:rPr>
        <w:t>ticks</w:t>
      </w:r>
      <w:r w:rsidRPr="007E29F8">
        <w:rPr>
          <w:b/>
        </w:rPr>
        <w:t>)</w:t>
      </w:r>
      <w:r>
        <w:rPr>
          <w:b/>
        </w:rPr>
        <w:t xml:space="preserve"> </w:t>
      </w:r>
      <w:r w:rsidRPr="007E29F8">
        <w:rPr>
          <w:b/>
        </w:rPr>
        <w:t>and</w:t>
      </w:r>
      <w:r w:rsidRPr="00DC5086">
        <w:rPr>
          <w:b/>
        </w:rPr>
        <w:t xml:space="preserve"> </w:t>
      </w:r>
      <w:r w:rsidRPr="007E29F8">
        <w:rPr>
          <w:b/>
        </w:rPr>
        <w:t>Intended use #</w:t>
      </w:r>
      <w:r>
        <w:rPr>
          <w:b/>
        </w:rPr>
        <w:t>5</w:t>
      </w:r>
      <w:r w:rsidRPr="007E29F8">
        <w:rPr>
          <w:b/>
        </w:rPr>
        <w:t xml:space="preserve"> (Spray to treat clothes against </w:t>
      </w:r>
      <w:r>
        <w:rPr>
          <w:b/>
        </w:rPr>
        <w:t>ticks</w:t>
      </w:r>
      <w:r w:rsidRPr="007E29F8">
        <w:rPr>
          <w:b/>
        </w:rPr>
        <w:t>)</w:t>
      </w:r>
    </w:p>
    <w:p w14:paraId="5067A7D0" w14:textId="77777777" w:rsidR="003D031C" w:rsidRPr="00BA4496" w:rsidRDefault="003D031C" w:rsidP="003E3E25">
      <w:pPr>
        <w:ind w:right="216"/>
        <w:jc w:val="both"/>
        <w:rPr>
          <w:rFonts w:cs="Arial"/>
          <w:color w:val="0070C0"/>
          <w:spacing w:val="1"/>
          <w:lang w:eastAsia="fr-FR"/>
        </w:rPr>
      </w:pPr>
      <w:r w:rsidRPr="00BA4496">
        <w:rPr>
          <w:rFonts w:cs="Arial"/>
          <w:color w:val="0070C0"/>
          <w:spacing w:val="1"/>
          <w:lang w:eastAsia="fr-FR"/>
        </w:rPr>
        <w:t>The risk is not acceptable for children younger than one year.</w:t>
      </w:r>
    </w:p>
    <w:p w14:paraId="624A9678" w14:textId="5DC420F8" w:rsidR="001E65DB" w:rsidRPr="00BA4496" w:rsidRDefault="001E65DB" w:rsidP="003E3E25">
      <w:pPr>
        <w:ind w:right="216"/>
        <w:jc w:val="both"/>
        <w:rPr>
          <w:rFonts w:cs="Arial"/>
          <w:color w:val="0070C0"/>
          <w:spacing w:val="1"/>
          <w:lang w:eastAsia="fr-FR"/>
        </w:rPr>
      </w:pPr>
      <w:r w:rsidRPr="00BA4496">
        <w:rPr>
          <w:rFonts w:cs="Arial"/>
          <w:color w:val="0070C0"/>
          <w:spacing w:val="1"/>
          <w:lang w:eastAsia="fr-FR"/>
        </w:rPr>
        <w:t>For combined treatment, the risk for adult and children between 6 and 12 years is acceptable considering only 1 application per day on skin. The risk for children younger than 6 years is unacceptable</w:t>
      </w:r>
      <w:r w:rsidR="00546133" w:rsidRPr="00BA4496">
        <w:rPr>
          <w:rFonts w:cs="Arial"/>
          <w:color w:val="0070C0"/>
          <w:spacing w:val="1"/>
          <w:lang w:eastAsia="fr-FR"/>
        </w:rPr>
        <w:t>.</w:t>
      </w:r>
    </w:p>
    <w:p w14:paraId="627B760C" w14:textId="77777777" w:rsidR="001E65DB" w:rsidRPr="00BA4496" w:rsidRDefault="001E65DB" w:rsidP="003E3E25">
      <w:pPr>
        <w:ind w:right="216"/>
        <w:jc w:val="both"/>
        <w:rPr>
          <w:rFonts w:cs="Arial"/>
          <w:color w:val="0070C0"/>
          <w:spacing w:val="1"/>
          <w:lang w:eastAsia="fr-FR"/>
        </w:rPr>
      </w:pPr>
      <w:r w:rsidRPr="00BA4496">
        <w:rPr>
          <w:rFonts w:cs="Arial"/>
          <w:color w:val="0070C0"/>
          <w:spacing w:val="1"/>
          <w:lang w:eastAsia="fr-FR"/>
        </w:rPr>
        <w:t>Therefore, the following RMM is proposed: for treatment against ticks, do not apply the product simultaneously on the skin of children younger than 6 years and on their clothes. Moreover, the following RMM is proposed: For adult and children of 6 years and more, do not apply the product on skin under clothes.</w:t>
      </w:r>
    </w:p>
    <w:p w14:paraId="3FA11C72" w14:textId="1CDBEED3" w:rsidR="00B522C6" w:rsidRPr="001E65DB" w:rsidRDefault="00B522C6" w:rsidP="008A3DDA">
      <w:pPr>
        <w:widowControl w:val="0"/>
        <w:kinsoku w:val="0"/>
        <w:overflowPunct w:val="0"/>
        <w:autoSpaceDE w:val="0"/>
        <w:autoSpaceDN w:val="0"/>
        <w:adjustRightInd w:val="0"/>
        <w:spacing w:before="0" w:after="160" w:line="259" w:lineRule="auto"/>
        <w:ind w:right="216"/>
        <w:jc w:val="both"/>
        <w:textAlignment w:val="baseline"/>
        <w:rPr>
          <w:rFonts w:cs="Arial"/>
          <w:b/>
          <w:iCs/>
          <w:color w:val="2E74B5" w:themeColor="accent1" w:themeShade="BF"/>
          <w:spacing w:val="1"/>
          <w:lang w:eastAsia="fr-FR"/>
        </w:rPr>
      </w:pPr>
    </w:p>
    <w:p w14:paraId="6EFFDD83" w14:textId="07C7E22C" w:rsidR="00C82D5E" w:rsidRDefault="00C82D5E" w:rsidP="00015252">
      <w:pPr>
        <w:pStyle w:val="Titre5"/>
      </w:pPr>
      <w:r>
        <w:br w:type="page"/>
      </w:r>
      <w:bookmarkStart w:id="250" w:name="_Toc93326576"/>
      <w:r w:rsidRPr="00FD2055">
        <w:t>Risk for the general public</w:t>
      </w:r>
      <w:bookmarkEnd w:id="248"/>
      <w:bookmarkEnd w:id="249"/>
      <w:bookmarkEnd w:id="250"/>
      <w:r w:rsidRPr="00FD2055">
        <w:t xml:space="preserve"> </w:t>
      </w:r>
    </w:p>
    <w:p w14:paraId="4BCCCAA4" w14:textId="77777777" w:rsidR="008A3DDA" w:rsidRPr="009461FB" w:rsidRDefault="008A3DDA" w:rsidP="008A3DDA">
      <w:pPr>
        <w:pStyle w:val="Paragraphedeliste"/>
        <w:numPr>
          <w:ilvl w:val="0"/>
          <w:numId w:val="68"/>
        </w:numPr>
        <w:rPr>
          <w:b/>
        </w:rPr>
      </w:pPr>
      <w:r w:rsidRPr="009461FB">
        <w:rPr>
          <w:b/>
        </w:rPr>
        <w:t>FIRST AUTHORISATION – 2017 (BE CA)</w:t>
      </w:r>
    </w:p>
    <w:p w14:paraId="1A3C5C52" w14:textId="77777777" w:rsidR="008A3DDA" w:rsidRPr="008A3DDA" w:rsidRDefault="008A3DDA" w:rsidP="008A3DDA">
      <w:pPr>
        <w:rPr>
          <w:lang w:val="en-US" w:eastAsia="en-US"/>
        </w:rPr>
      </w:pPr>
    </w:p>
    <w:p w14:paraId="68E1D43D" w14:textId="77777777" w:rsidR="00FD3FF9" w:rsidRPr="00FD2055" w:rsidRDefault="00FD3FF9" w:rsidP="00FD3FF9">
      <w:pPr>
        <w:pStyle w:val="Titre6"/>
      </w:pPr>
      <w:r w:rsidRPr="00FD2055">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FD3FF9" w:rsidRPr="00015252" w14:paraId="2D20948F" w14:textId="77777777" w:rsidTr="00F96662">
        <w:tc>
          <w:tcPr>
            <w:tcW w:w="1560" w:type="dxa"/>
            <w:shd w:val="clear" w:color="auto" w:fill="BFBFBF" w:themeFill="background1" w:themeFillShade="BF"/>
          </w:tcPr>
          <w:p w14:paraId="3A98067F" w14:textId="77777777" w:rsidR="00FD3FF9" w:rsidRPr="00015252" w:rsidRDefault="00FD3FF9" w:rsidP="00F96662">
            <w:pPr>
              <w:pStyle w:val="Standaard-Tabellen"/>
              <w:rPr>
                <w:rFonts w:eastAsia="Calibri"/>
                <w:b/>
              </w:rPr>
            </w:pPr>
            <w:r w:rsidRPr="00015252">
              <w:rPr>
                <w:rFonts w:eastAsia="Calibri"/>
                <w:b/>
              </w:rPr>
              <w:t>Task/</w:t>
            </w:r>
          </w:p>
          <w:p w14:paraId="753E03E9" w14:textId="77777777" w:rsidR="00FD3FF9" w:rsidRPr="00015252" w:rsidRDefault="00FD3FF9" w:rsidP="00F96662">
            <w:pPr>
              <w:pStyle w:val="Standaard-Tabellen"/>
              <w:rPr>
                <w:rFonts w:eastAsia="Calibri"/>
                <w:b/>
              </w:rPr>
            </w:pPr>
            <w:r w:rsidRPr="00015252">
              <w:rPr>
                <w:rFonts w:eastAsia="Calibri"/>
                <w:b/>
              </w:rPr>
              <w:t>Scenario</w:t>
            </w:r>
          </w:p>
        </w:tc>
        <w:tc>
          <w:tcPr>
            <w:tcW w:w="850" w:type="dxa"/>
            <w:shd w:val="clear" w:color="auto" w:fill="BFBFBF" w:themeFill="background1" w:themeFillShade="BF"/>
          </w:tcPr>
          <w:p w14:paraId="6728F050" w14:textId="77777777" w:rsidR="00FD3FF9" w:rsidRPr="00015252" w:rsidRDefault="00FD3FF9" w:rsidP="00F96662">
            <w:pPr>
              <w:pStyle w:val="Standaard-Tabellen"/>
              <w:rPr>
                <w:rFonts w:eastAsia="Calibri"/>
                <w:b/>
              </w:rPr>
            </w:pPr>
            <w:r w:rsidRPr="00015252">
              <w:rPr>
                <w:rFonts w:eastAsia="Calibri"/>
                <w:b/>
              </w:rPr>
              <w:t>Tier</w:t>
            </w:r>
          </w:p>
        </w:tc>
        <w:tc>
          <w:tcPr>
            <w:tcW w:w="1560" w:type="dxa"/>
            <w:shd w:val="clear" w:color="auto" w:fill="BFBFBF" w:themeFill="background1" w:themeFillShade="BF"/>
          </w:tcPr>
          <w:p w14:paraId="289811D8" w14:textId="77777777" w:rsidR="00FD3FF9" w:rsidRPr="00015252" w:rsidRDefault="00FD3FF9" w:rsidP="00F96662">
            <w:pPr>
              <w:pStyle w:val="Standaard-Tabellen"/>
              <w:rPr>
                <w:rFonts w:eastAsia="Calibri"/>
                <w:b/>
              </w:rPr>
            </w:pPr>
            <w:r w:rsidRPr="00015252">
              <w:rPr>
                <w:rFonts w:eastAsia="Calibri"/>
                <w:b/>
              </w:rPr>
              <w:t>Systemic NOAEL</w:t>
            </w:r>
          </w:p>
          <w:p w14:paraId="6CF14AB5" w14:textId="77777777" w:rsidR="00FD3FF9" w:rsidRPr="00015252" w:rsidRDefault="00FD3FF9" w:rsidP="00F96662">
            <w:pPr>
              <w:pStyle w:val="Standaard-Tabellen"/>
              <w:rPr>
                <w:rFonts w:eastAsia="Calibri"/>
                <w:b/>
              </w:rPr>
            </w:pPr>
            <w:r w:rsidRPr="00015252">
              <w:rPr>
                <w:rFonts w:eastAsia="Calibri"/>
                <w:b/>
              </w:rPr>
              <w:t>mg/kg bw/d</w:t>
            </w:r>
          </w:p>
        </w:tc>
        <w:tc>
          <w:tcPr>
            <w:tcW w:w="1134" w:type="dxa"/>
            <w:shd w:val="clear" w:color="auto" w:fill="BFBFBF" w:themeFill="background1" w:themeFillShade="BF"/>
          </w:tcPr>
          <w:p w14:paraId="7FCBE747" w14:textId="77777777" w:rsidR="00FD3FF9" w:rsidRPr="00015252" w:rsidRDefault="00FD3FF9" w:rsidP="00F96662">
            <w:pPr>
              <w:pStyle w:val="Standaard-Tabellen"/>
              <w:rPr>
                <w:rFonts w:eastAsia="Calibri"/>
                <w:b/>
                <w:lang w:val="es-ES"/>
              </w:rPr>
            </w:pPr>
            <w:r w:rsidRPr="00015252">
              <w:rPr>
                <w:rFonts w:eastAsia="Calibri"/>
                <w:b/>
                <w:lang w:val="es-ES"/>
              </w:rPr>
              <w:t>AEL</w:t>
            </w:r>
          </w:p>
          <w:p w14:paraId="4C7493CA" w14:textId="77777777" w:rsidR="00FD3FF9" w:rsidRPr="00015252" w:rsidRDefault="00FD3FF9" w:rsidP="00F96662">
            <w:pPr>
              <w:pStyle w:val="Standaard-Tabellen"/>
              <w:rPr>
                <w:rFonts w:eastAsia="Calibri"/>
                <w:b/>
                <w:lang w:val="es-ES"/>
              </w:rPr>
            </w:pPr>
            <w:r w:rsidRPr="00015252">
              <w:rPr>
                <w:rFonts w:eastAsia="Calibri"/>
                <w:b/>
                <w:lang w:val="es-ES"/>
              </w:rPr>
              <w:t>mg/kg bw/d</w:t>
            </w:r>
          </w:p>
        </w:tc>
        <w:tc>
          <w:tcPr>
            <w:tcW w:w="1417" w:type="dxa"/>
            <w:shd w:val="clear" w:color="auto" w:fill="BFBFBF" w:themeFill="background1" w:themeFillShade="BF"/>
          </w:tcPr>
          <w:p w14:paraId="2F56961C" w14:textId="77777777" w:rsidR="00FD3FF9" w:rsidRPr="00015252" w:rsidRDefault="00FD3FF9" w:rsidP="00F96662">
            <w:pPr>
              <w:pStyle w:val="Standaard-Tabellen"/>
              <w:rPr>
                <w:rFonts w:eastAsia="Calibri"/>
                <w:b/>
              </w:rPr>
            </w:pPr>
            <w:r w:rsidRPr="00015252">
              <w:rPr>
                <w:rFonts w:eastAsia="Calibri"/>
                <w:b/>
              </w:rPr>
              <w:t>Estimated uptake</w:t>
            </w:r>
          </w:p>
          <w:p w14:paraId="27C96EF7" w14:textId="77777777" w:rsidR="00FD3FF9" w:rsidRPr="00015252" w:rsidRDefault="00FD3FF9" w:rsidP="00F96662">
            <w:pPr>
              <w:pStyle w:val="Standaard-Tabellen"/>
              <w:rPr>
                <w:rFonts w:eastAsia="Calibri"/>
                <w:b/>
              </w:rPr>
            </w:pPr>
            <w:r w:rsidRPr="00015252">
              <w:rPr>
                <w:rFonts w:eastAsia="Calibri"/>
                <w:b/>
              </w:rPr>
              <w:t>mg/kg bw/d</w:t>
            </w:r>
          </w:p>
        </w:tc>
        <w:tc>
          <w:tcPr>
            <w:tcW w:w="1418" w:type="dxa"/>
            <w:shd w:val="clear" w:color="auto" w:fill="BFBFBF" w:themeFill="background1" w:themeFillShade="BF"/>
          </w:tcPr>
          <w:p w14:paraId="75B2B572" w14:textId="77777777" w:rsidR="00FD3FF9" w:rsidRPr="00015252" w:rsidRDefault="00FD3FF9" w:rsidP="00F96662">
            <w:pPr>
              <w:pStyle w:val="Standaard-Tabellen"/>
              <w:rPr>
                <w:rFonts w:eastAsia="Calibri"/>
                <w:b/>
              </w:rPr>
            </w:pPr>
            <w:r w:rsidRPr="00015252">
              <w:rPr>
                <w:rFonts w:eastAsia="Calibri"/>
                <w:b/>
              </w:rPr>
              <w:t xml:space="preserve">Estimated uptake/ AEL </w:t>
            </w:r>
          </w:p>
          <w:p w14:paraId="63E7CDB3" w14:textId="77777777" w:rsidR="00FD3FF9" w:rsidRPr="00015252" w:rsidRDefault="00FD3FF9" w:rsidP="00F96662">
            <w:pPr>
              <w:pStyle w:val="Standaard-Tabellen"/>
              <w:rPr>
                <w:rFonts w:eastAsia="Calibri"/>
                <w:b/>
              </w:rPr>
            </w:pPr>
            <w:r w:rsidRPr="00015252">
              <w:rPr>
                <w:rFonts w:eastAsia="Calibri"/>
                <w:b/>
              </w:rPr>
              <w:t>(%)</w:t>
            </w:r>
          </w:p>
        </w:tc>
        <w:tc>
          <w:tcPr>
            <w:tcW w:w="1525" w:type="dxa"/>
            <w:shd w:val="clear" w:color="auto" w:fill="BFBFBF" w:themeFill="background1" w:themeFillShade="BF"/>
          </w:tcPr>
          <w:p w14:paraId="4ECB2C76" w14:textId="77777777" w:rsidR="00FD3FF9" w:rsidRPr="00015252" w:rsidRDefault="00FD3FF9" w:rsidP="00F96662">
            <w:pPr>
              <w:pStyle w:val="Standaard-Tabellen"/>
              <w:rPr>
                <w:rFonts w:eastAsia="Calibri"/>
                <w:b/>
              </w:rPr>
            </w:pPr>
            <w:r w:rsidRPr="00015252">
              <w:rPr>
                <w:rFonts w:eastAsia="Calibri"/>
                <w:b/>
              </w:rPr>
              <w:t>Acceptable</w:t>
            </w:r>
          </w:p>
          <w:p w14:paraId="63757BF0" w14:textId="77777777" w:rsidR="00FD3FF9" w:rsidRPr="00015252" w:rsidRDefault="00FD3FF9" w:rsidP="00F96662">
            <w:pPr>
              <w:pStyle w:val="Standaard-Tabellen"/>
              <w:rPr>
                <w:rFonts w:eastAsia="Calibri"/>
                <w:b/>
              </w:rPr>
            </w:pPr>
            <w:r w:rsidRPr="00015252">
              <w:rPr>
                <w:rFonts w:eastAsia="Calibri"/>
                <w:b/>
              </w:rPr>
              <w:t>(yes/no)</w:t>
            </w:r>
          </w:p>
        </w:tc>
      </w:tr>
      <w:tr w:rsidR="00FD3FF9" w:rsidRPr="00FD2055" w14:paraId="3AEC2460" w14:textId="77777777" w:rsidTr="00F96662">
        <w:tc>
          <w:tcPr>
            <w:tcW w:w="1560" w:type="dxa"/>
            <w:shd w:val="clear" w:color="auto" w:fill="auto"/>
          </w:tcPr>
          <w:p w14:paraId="55EFFAC7" w14:textId="77777777" w:rsidR="00FD3FF9" w:rsidRPr="00FD2055" w:rsidRDefault="00FD3FF9" w:rsidP="00F96662">
            <w:pPr>
              <w:pStyle w:val="Standaard-Tabellen"/>
              <w:rPr>
                <w:rFonts w:eastAsia="Calibri"/>
              </w:rPr>
            </w:pPr>
            <w:r>
              <w:rPr>
                <w:rFonts w:eastAsia="Calibri"/>
              </w:rPr>
              <w:t>n.a.</w:t>
            </w:r>
          </w:p>
        </w:tc>
        <w:tc>
          <w:tcPr>
            <w:tcW w:w="850" w:type="dxa"/>
            <w:shd w:val="clear" w:color="auto" w:fill="auto"/>
          </w:tcPr>
          <w:p w14:paraId="72749369" w14:textId="77777777" w:rsidR="00FD3FF9" w:rsidRPr="00FD2055" w:rsidRDefault="00FD3FF9" w:rsidP="00F96662">
            <w:pPr>
              <w:pStyle w:val="Standaard-Tabellen"/>
              <w:rPr>
                <w:rFonts w:eastAsia="Calibri"/>
              </w:rPr>
            </w:pPr>
          </w:p>
        </w:tc>
        <w:tc>
          <w:tcPr>
            <w:tcW w:w="1560" w:type="dxa"/>
            <w:shd w:val="clear" w:color="auto" w:fill="auto"/>
          </w:tcPr>
          <w:p w14:paraId="7D480B4B" w14:textId="77777777" w:rsidR="00FD3FF9" w:rsidRPr="00FD2055" w:rsidRDefault="00FD3FF9" w:rsidP="00F96662">
            <w:pPr>
              <w:pStyle w:val="Standaard-Tabellen"/>
              <w:rPr>
                <w:rFonts w:eastAsia="Calibri"/>
              </w:rPr>
            </w:pPr>
          </w:p>
        </w:tc>
        <w:tc>
          <w:tcPr>
            <w:tcW w:w="1134" w:type="dxa"/>
            <w:shd w:val="clear" w:color="auto" w:fill="auto"/>
          </w:tcPr>
          <w:p w14:paraId="4FE628AB" w14:textId="77777777" w:rsidR="00FD3FF9" w:rsidRPr="00FD2055" w:rsidRDefault="00FD3FF9" w:rsidP="00F96662">
            <w:pPr>
              <w:pStyle w:val="Standaard-Tabellen"/>
              <w:rPr>
                <w:rFonts w:eastAsia="Calibri"/>
              </w:rPr>
            </w:pPr>
          </w:p>
        </w:tc>
        <w:tc>
          <w:tcPr>
            <w:tcW w:w="1417" w:type="dxa"/>
            <w:shd w:val="clear" w:color="auto" w:fill="auto"/>
          </w:tcPr>
          <w:p w14:paraId="4BB2FBAA" w14:textId="77777777" w:rsidR="00FD3FF9" w:rsidRPr="00FD2055" w:rsidRDefault="00FD3FF9" w:rsidP="00F96662">
            <w:pPr>
              <w:pStyle w:val="Standaard-Tabellen"/>
              <w:rPr>
                <w:rFonts w:eastAsia="Calibri"/>
              </w:rPr>
            </w:pPr>
          </w:p>
        </w:tc>
        <w:tc>
          <w:tcPr>
            <w:tcW w:w="1418" w:type="dxa"/>
            <w:shd w:val="clear" w:color="auto" w:fill="auto"/>
          </w:tcPr>
          <w:p w14:paraId="2C6D96E7" w14:textId="77777777" w:rsidR="00FD3FF9" w:rsidRPr="00FD2055" w:rsidRDefault="00FD3FF9" w:rsidP="00F96662">
            <w:pPr>
              <w:pStyle w:val="Standaard-Tabellen"/>
              <w:rPr>
                <w:rFonts w:eastAsia="Calibri"/>
              </w:rPr>
            </w:pPr>
          </w:p>
        </w:tc>
        <w:tc>
          <w:tcPr>
            <w:tcW w:w="1525" w:type="dxa"/>
            <w:shd w:val="clear" w:color="auto" w:fill="auto"/>
          </w:tcPr>
          <w:p w14:paraId="0342F636" w14:textId="77777777" w:rsidR="00FD3FF9" w:rsidRPr="00FD2055" w:rsidRDefault="00FD3FF9" w:rsidP="00F96662">
            <w:pPr>
              <w:pStyle w:val="Standaard-Tabellen"/>
              <w:rPr>
                <w:rFonts w:eastAsia="Calibri"/>
              </w:rPr>
            </w:pPr>
          </w:p>
        </w:tc>
      </w:tr>
    </w:tbl>
    <w:p w14:paraId="103C378B" w14:textId="77777777" w:rsidR="00FD3FF9" w:rsidRPr="00FD2055" w:rsidRDefault="00FD3FF9" w:rsidP="00FD3FF9">
      <w:pPr>
        <w:rPr>
          <w:rFonts w:eastAsia="Calibri"/>
          <w:lang w:eastAsia="en-US"/>
        </w:rPr>
      </w:pPr>
    </w:p>
    <w:p w14:paraId="712B909B" w14:textId="77777777" w:rsidR="00FD3FF9" w:rsidRPr="00FD2055" w:rsidRDefault="00FD3FF9" w:rsidP="00FD3FF9">
      <w:pPr>
        <w:pStyle w:val="Titre6"/>
      </w:pPr>
      <w:r w:rsidRPr="00FD2055">
        <w:t>Combined scenarios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8"/>
        <w:gridCol w:w="1701"/>
        <w:gridCol w:w="993"/>
        <w:gridCol w:w="1417"/>
        <w:gridCol w:w="1418"/>
        <w:gridCol w:w="1525"/>
      </w:tblGrid>
      <w:tr w:rsidR="00FD3FF9" w:rsidRPr="00015252" w14:paraId="71B41C75" w14:textId="77777777" w:rsidTr="00F96662">
        <w:tc>
          <w:tcPr>
            <w:tcW w:w="1702" w:type="dxa"/>
            <w:shd w:val="clear" w:color="auto" w:fill="BFBFBF" w:themeFill="background1" w:themeFillShade="BF"/>
          </w:tcPr>
          <w:p w14:paraId="2F578498" w14:textId="77777777" w:rsidR="00FD3FF9" w:rsidRPr="00015252" w:rsidRDefault="00FD3FF9" w:rsidP="00F96662">
            <w:pPr>
              <w:pStyle w:val="Standaard-Tabellen"/>
              <w:rPr>
                <w:rFonts w:eastAsia="Calibri"/>
                <w:b/>
              </w:rPr>
            </w:pPr>
            <w:r w:rsidRPr="00015252">
              <w:rPr>
                <w:rFonts w:eastAsia="Calibri"/>
                <w:b/>
              </w:rPr>
              <w:t>Scenarios combined</w:t>
            </w:r>
          </w:p>
        </w:tc>
        <w:tc>
          <w:tcPr>
            <w:tcW w:w="708" w:type="dxa"/>
            <w:shd w:val="clear" w:color="auto" w:fill="BFBFBF" w:themeFill="background1" w:themeFillShade="BF"/>
          </w:tcPr>
          <w:p w14:paraId="4B867F7A" w14:textId="77777777" w:rsidR="00FD3FF9" w:rsidRPr="00015252" w:rsidRDefault="00FD3FF9" w:rsidP="00F96662">
            <w:pPr>
              <w:pStyle w:val="Standaard-Tabellen"/>
              <w:rPr>
                <w:rFonts w:eastAsia="Calibri"/>
                <w:b/>
              </w:rPr>
            </w:pPr>
            <w:r w:rsidRPr="00015252">
              <w:rPr>
                <w:rFonts w:eastAsia="Calibri"/>
                <w:b/>
              </w:rPr>
              <w:t>Tier</w:t>
            </w:r>
          </w:p>
        </w:tc>
        <w:tc>
          <w:tcPr>
            <w:tcW w:w="1701" w:type="dxa"/>
            <w:shd w:val="clear" w:color="auto" w:fill="BFBFBF" w:themeFill="background1" w:themeFillShade="BF"/>
          </w:tcPr>
          <w:p w14:paraId="01D5575F" w14:textId="77777777" w:rsidR="00FD3FF9" w:rsidRPr="00015252" w:rsidRDefault="00FD3FF9" w:rsidP="00F96662">
            <w:pPr>
              <w:pStyle w:val="Standaard-Tabellen"/>
              <w:rPr>
                <w:rFonts w:eastAsia="Calibri"/>
                <w:b/>
              </w:rPr>
            </w:pPr>
            <w:r w:rsidRPr="00015252">
              <w:rPr>
                <w:rFonts w:eastAsia="Calibri"/>
                <w:b/>
              </w:rPr>
              <w:t>Systemic NOAEL</w:t>
            </w:r>
          </w:p>
          <w:p w14:paraId="70858823" w14:textId="77777777" w:rsidR="00FD3FF9" w:rsidRPr="00015252" w:rsidRDefault="00FD3FF9" w:rsidP="00F96662">
            <w:pPr>
              <w:pStyle w:val="Standaard-Tabellen"/>
              <w:rPr>
                <w:rFonts w:eastAsia="Calibri"/>
                <w:b/>
              </w:rPr>
            </w:pPr>
            <w:r w:rsidRPr="00015252">
              <w:rPr>
                <w:rFonts w:eastAsia="Calibri"/>
                <w:b/>
              </w:rPr>
              <w:t>mg/kg bw/d</w:t>
            </w:r>
          </w:p>
        </w:tc>
        <w:tc>
          <w:tcPr>
            <w:tcW w:w="993" w:type="dxa"/>
            <w:shd w:val="clear" w:color="auto" w:fill="BFBFBF" w:themeFill="background1" w:themeFillShade="BF"/>
          </w:tcPr>
          <w:p w14:paraId="4DC4A280" w14:textId="77777777" w:rsidR="00FD3FF9" w:rsidRPr="00015252" w:rsidRDefault="00FD3FF9" w:rsidP="00F96662">
            <w:pPr>
              <w:pStyle w:val="Standaard-Tabellen"/>
              <w:rPr>
                <w:rFonts w:eastAsia="Calibri"/>
                <w:b/>
                <w:lang w:val="es-ES"/>
              </w:rPr>
            </w:pPr>
            <w:r w:rsidRPr="00015252">
              <w:rPr>
                <w:rFonts w:eastAsia="Calibri"/>
                <w:b/>
                <w:lang w:val="es-ES"/>
              </w:rPr>
              <w:t>AEL</w:t>
            </w:r>
          </w:p>
          <w:p w14:paraId="0B9AD5C1" w14:textId="77777777" w:rsidR="00FD3FF9" w:rsidRPr="00015252" w:rsidRDefault="00FD3FF9" w:rsidP="00F96662">
            <w:pPr>
              <w:pStyle w:val="Standaard-Tabellen"/>
              <w:rPr>
                <w:rFonts w:eastAsia="Calibri"/>
                <w:b/>
                <w:lang w:val="es-ES"/>
              </w:rPr>
            </w:pPr>
            <w:r w:rsidRPr="00015252">
              <w:rPr>
                <w:rFonts w:eastAsia="Calibri"/>
                <w:b/>
                <w:lang w:val="es-ES"/>
              </w:rPr>
              <w:t>mg/kg bw/d</w:t>
            </w:r>
          </w:p>
        </w:tc>
        <w:tc>
          <w:tcPr>
            <w:tcW w:w="1417" w:type="dxa"/>
            <w:shd w:val="clear" w:color="auto" w:fill="BFBFBF" w:themeFill="background1" w:themeFillShade="BF"/>
          </w:tcPr>
          <w:p w14:paraId="4E070B01" w14:textId="77777777" w:rsidR="00FD3FF9" w:rsidRPr="00015252" w:rsidRDefault="00FD3FF9" w:rsidP="00F96662">
            <w:pPr>
              <w:pStyle w:val="Standaard-Tabellen"/>
              <w:rPr>
                <w:rFonts w:eastAsia="Calibri"/>
                <w:b/>
              </w:rPr>
            </w:pPr>
            <w:r w:rsidRPr="00015252">
              <w:rPr>
                <w:rFonts w:eastAsia="Calibri"/>
                <w:b/>
              </w:rPr>
              <w:t>Estimated uptake</w:t>
            </w:r>
          </w:p>
          <w:p w14:paraId="7F3E008C" w14:textId="77777777" w:rsidR="00FD3FF9" w:rsidRPr="00015252" w:rsidRDefault="00FD3FF9" w:rsidP="00F96662">
            <w:pPr>
              <w:pStyle w:val="Standaard-Tabellen"/>
              <w:rPr>
                <w:rFonts w:eastAsia="Calibri"/>
                <w:b/>
              </w:rPr>
            </w:pPr>
            <w:r w:rsidRPr="00015252">
              <w:rPr>
                <w:rFonts w:eastAsia="Calibri"/>
                <w:b/>
              </w:rPr>
              <w:t>mg/kg bw/d</w:t>
            </w:r>
          </w:p>
        </w:tc>
        <w:tc>
          <w:tcPr>
            <w:tcW w:w="1418" w:type="dxa"/>
            <w:shd w:val="clear" w:color="auto" w:fill="BFBFBF" w:themeFill="background1" w:themeFillShade="BF"/>
          </w:tcPr>
          <w:p w14:paraId="08A7FD3D" w14:textId="77777777" w:rsidR="00FD3FF9" w:rsidRPr="00015252" w:rsidRDefault="00FD3FF9" w:rsidP="00F96662">
            <w:pPr>
              <w:pStyle w:val="Standaard-Tabellen"/>
              <w:rPr>
                <w:rFonts w:eastAsia="Calibri"/>
                <w:b/>
              </w:rPr>
            </w:pPr>
            <w:r w:rsidRPr="00015252">
              <w:rPr>
                <w:rFonts w:eastAsia="Calibri"/>
                <w:b/>
              </w:rPr>
              <w:t xml:space="preserve">Estimated uptake/ AEL </w:t>
            </w:r>
          </w:p>
          <w:p w14:paraId="2FAAC2BC" w14:textId="77777777" w:rsidR="00FD3FF9" w:rsidRPr="00015252" w:rsidRDefault="00FD3FF9" w:rsidP="00F96662">
            <w:pPr>
              <w:pStyle w:val="Standaard-Tabellen"/>
              <w:rPr>
                <w:rFonts w:eastAsia="Calibri"/>
                <w:b/>
              </w:rPr>
            </w:pPr>
            <w:r w:rsidRPr="00015252">
              <w:rPr>
                <w:rFonts w:eastAsia="Calibri"/>
                <w:b/>
              </w:rPr>
              <w:t>(%)</w:t>
            </w:r>
          </w:p>
        </w:tc>
        <w:tc>
          <w:tcPr>
            <w:tcW w:w="1525" w:type="dxa"/>
            <w:shd w:val="clear" w:color="auto" w:fill="BFBFBF" w:themeFill="background1" w:themeFillShade="BF"/>
          </w:tcPr>
          <w:p w14:paraId="44FD7B44" w14:textId="77777777" w:rsidR="00FD3FF9" w:rsidRPr="00015252" w:rsidRDefault="00FD3FF9" w:rsidP="00F96662">
            <w:pPr>
              <w:pStyle w:val="Standaard-Tabellen"/>
              <w:rPr>
                <w:rFonts w:eastAsia="Calibri"/>
                <w:b/>
              </w:rPr>
            </w:pPr>
            <w:r w:rsidRPr="00015252">
              <w:rPr>
                <w:rFonts w:eastAsia="Calibri"/>
                <w:b/>
              </w:rPr>
              <w:t>Acceptable</w:t>
            </w:r>
          </w:p>
          <w:p w14:paraId="4B6EB8CB" w14:textId="77777777" w:rsidR="00FD3FF9" w:rsidRPr="00015252" w:rsidRDefault="00FD3FF9" w:rsidP="00F96662">
            <w:pPr>
              <w:pStyle w:val="Standaard-Tabellen"/>
              <w:rPr>
                <w:rFonts w:eastAsia="Calibri"/>
                <w:b/>
              </w:rPr>
            </w:pPr>
            <w:r w:rsidRPr="00015252">
              <w:rPr>
                <w:rFonts w:eastAsia="Calibri"/>
                <w:b/>
              </w:rPr>
              <w:t>(yes/no)</w:t>
            </w:r>
          </w:p>
        </w:tc>
      </w:tr>
      <w:tr w:rsidR="00FD3FF9" w:rsidRPr="00FD2055" w14:paraId="6D5D8926" w14:textId="77777777" w:rsidTr="00F96662">
        <w:tc>
          <w:tcPr>
            <w:tcW w:w="1702" w:type="dxa"/>
            <w:shd w:val="clear" w:color="auto" w:fill="auto"/>
          </w:tcPr>
          <w:p w14:paraId="25B4B71B" w14:textId="77777777" w:rsidR="00FD3FF9" w:rsidRPr="00FD2055" w:rsidRDefault="00FD3FF9" w:rsidP="00F96662">
            <w:pPr>
              <w:pStyle w:val="Standaard-Tabellen"/>
              <w:rPr>
                <w:rFonts w:eastAsia="Calibri"/>
              </w:rPr>
            </w:pPr>
            <w:r>
              <w:rPr>
                <w:rFonts w:eastAsia="Calibri"/>
              </w:rPr>
              <w:t>n.a.</w:t>
            </w:r>
          </w:p>
        </w:tc>
        <w:tc>
          <w:tcPr>
            <w:tcW w:w="708" w:type="dxa"/>
            <w:shd w:val="clear" w:color="auto" w:fill="auto"/>
          </w:tcPr>
          <w:p w14:paraId="20E1515D" w14:textId="77777777" w:rsidR="00FD3FF9" w:rsidRPr="00FD2055" w:rsidRDefault="00FD3FF9" w:rsidP="00F96662">
            <w:pPr>
              <w:pStyle w:val="Standaard-Tabellen"/>
              <w:rPr>
                <w:rFonts w:eastAsia="Calibri"/>
              </w:rPr>
            </w:pPr>
          </w:p>
        </w:tc>
        <w:tc>
          <w:tcPr>
            <w:tcW w:w="1701" w:type="dxa"/>
            <w:shd w:val="clear" w:color="auto" w:fill="auto"/>
          </w:tcPr>
          <w:p w14:paraId="7EFB2C5B" w14:textId="77777777" w:rsidR="00FD3FF9" w:rsidRPr="00FD2055" w:rsidRDefault="00FD3FF9" w:rsidP="00F96662">
            <w:pPr>
              <w:pStyle w:val="Standaard-Tabellen"/>
              <w:rPr>
                <w:rFonts w:eastAsia="Calibri"/>
              </w:rPr>
            </w:pPr>
          </w:p>
        </w:tc>
        <w:tc>
          <w:tcPr>
            <w:tcW w:w="993" w:type="dxa"/>
            <w:shd w:val="clear" w:color="auto" w:fill="auto"/>
          </w:tcPr>
          <w:p w14:paraId="04E19B85" w14:textId="77777777" w:rsidR="00FD3FF9" w:rsidRPr="00FD2055" w:rsidRDefault="00FD3FF9" w:rsidP="00F96662">
            <w:pPr>
              <w:pStyle w:val="Standaard-Tabellen"/>
              <w:rPr>
                <w:rFonts w:eastAsia="Calibri"/>
              </w:rPr>
            </w:pPr>
          </w:p>
        </w:tc>
        <w:tc>
          <w:tcPr>
            <w:tcW w:w="1417" w:type="dxa"/>
            <w:shd w:val="clear" w:color="auto" w:fill="auto"/>
          </w:tcPr>
          <w:p w14:paraId="5E17E58D" w14:textId="77777777" w:rsidR="00FD3FF9" w:rsidRPr="00FD2055" w:rsidRDefault="00FD3FF9" w:rsidP="00F96662">
            <w:pPr>
              <w:pStyle w:val="Standaard-Tabellen"/>
              <w:rPr>
                <w:rFonts w:eastAsia="Calibri"/>
              </w:rPr>
            </w:pPr>
          </w:p>
        </w:tc>
        <w:tc>
          <w:tcPr>
            <w:tcW w:w="1418" w:type="dxa"/>
            <w:shd w:val="clear" w:color="auto" w:fill="auto"/>
          </w:tcPr>
          <w:p w14:paraId="55CE40D1" w14:textId="77777777" w:rsidR="00FD3FF9" w:rsidRPr="00FD2055" w:rsidRDefault="00FD3FF9" w:rsidP="00F96662">
            <w:pPr>
              <w:pStyle w:val="Standaard-Tabellen"/>
              <w:rPr>
                <w:rFonts w:eastAsia="Calibri"/>
              </w:rPr>
            </w:pPr>
          </w:p>
        </w:tc>
        <w:tc>
          <w:tcPr>
            <w:tcW w:w="1525" w:type="dxa"/>
            <w:shd w:val="clear" w:color="auto" w:fill="auto"/>
          </w:tcPr>
          <w:p w14:paraId="64996FA9" w14:textId="77777777" w:rsidR="00FD3FF9" w:rsidRPr="00FD2055" w:rsidRDefault="00FD3FF9" w:rsidP="00F96662">
            <w:pPr>
              <w:pStyle w:val="Standaard-Tabellen"/>
              <w:rPr>
                <w:rFonts w:eastAsia="Calibri"/>
              </w:rPr>
            </w:pPr>
          </w:p>
        </w:tc>
      </w:tr>
    </w:tbl>
    <w:p w14:paraId="38636014" w14:textId="77777777" w:rsidR="00FD3FF9" w:rsidRPr="00FD2055" w:rsidRDefault="00FD3FF9" w:rsidP="00FD3FF9">
      <w:pPr>
        <w:rPr>
          <w:rFonts w:eastAsia="Calibri"/>
          <w:lang w:eastAsia="en-US"/>
        </w:rPr>
      </w:pPr>
    </w:p>
    <w:p w14:paraId="5769C10C" w14:textId="77777777" w:rsidR="00FD3FF9" w:rsidRPr="008A3D8E" w:rsidRDefault="00FD3FF9" w:rsidP="00FD3FF9">
      <w:pPr>
        <w:pStyle w:val="Titre6"/>
        <w:rPr>
          <w:lang w:val="en-US"/>
        </w:rPr>
      </w:pPr>
      <w:r w:rsidRPr="008A3D8E">
        <w:rPr>
          <w:lang w:val="en-US"/>
        </w:rPr>
        <w:t xml:space="preserve">Local effects </w:t>
      </w:r>
    </w:p>
    <w:p w14:paraId="0F1FC4C6" w14:textId="77777777" w:rsidR="00FD3FF9" w:rsidRPr="00553FE6" w:rsidRDefault="00FD3FF9" w:rsidP="00FD3FF9">
      <w:pPr>
        <w:rPr>
          <w:rFonts w:eastAsia="Calibri"/>
          <w:sz w:val="18"/>
          <w:lang w:eastAsia="en-US"/>
        </w:rPr>
      </w:pPr>
      <w:r w:rsidRPr="00553FE6">
        <w:rPr>
          <w:rFonts w:eastAsia="Calibri"/>
          <w:lang w:eastAsia="en-US"/>
        </w:rPr>
        <w:t>n.a.</w:t>
      </w:r>
    </w:p>
    <w:p w14:paraId="50CCAA7C" w14:textId="77777777" w:rsidR="00FD3FF9" w:rsidRPr="00FD2055" w:rsidRDefault="00FD3FF9" w:rsidP="00FD3FF9">
      <w:pPr>
        <w:rPr>
          <w:rFonts w:eastAsia="Calibri"/>
          <w:lang w:eastAsia="en-US"/>
        </w:rPr>
      </w:pPr>
    </w:p>
    <w:p w14:paraId="56B5269F" w14:textId="77777777" w:rsidR="00FD3FF9" w:rsidRPr="008A3D8E" w:rsidRDefault="00FD3FF9" w:rsidP="00FD3FF9">
      <w:pPr>
        <w:pStyle w:val="Titre6"/>
        <w:rPr>
          <w:lang w:val="en-US"/>
        </w:rPr>
      </w:pPr>
      <w:r w:rsidRPr="008A3D8E">
        <w:rPr>
          <w:lang w:val="en-US"/>
        </w:rPr>
        <w:t>Conclusion</w:t>
      </w:r>
    </w:p>
    <w:p w14:paraId="7E9777DA" w14:textId="77777777" w:rsidR="00FD3FF9" w:rsidRDefault="00FD3FF9" w:rsidP="00FD3FF9">
      <w:pPr>
        <w:rPr>
          <w:rFonts w:eastAsia="Calibri"/>
          <w:lang w:eastAsia="en-US"/>
        </w:rPr>
      </w:pPr>
      <w:r w:rsidRPr="00553FE6">
        <w:rPr>
          <w:rFonts w:eastAsia="Calibri"/>
          <w:lang w:eastAsia="en-US"/>
        </w:rPr>
        <w:t>n.a.</w:t>
      </w:r>
    </w:p>
    <w:p w14:paraId="6884C4F2" w14:textId="6931A1BD" w:rsidR="00DC4E03" w:rsidRDefault="00DC4E03" w:rsidP="00FD3FF9">
      <w:pPr>
        <w:rPr>
          <w:rFonts w:eastAsia="Calibri"/>
          <w:sz w:val="18"/>
          <w:lang w:eastAsia="en-US"/>
        </w:rPr>
      </w:pPr>
    </w:p>
    <w:p w14:paraId="52335932" w14:textId="77777777" w:rsidR="008A3DDA" w:rsidRPr="003E3E25" w:rsidRDefault="008A3DDA"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p w14:paraId="69F109D9" w14:textId="066F43D6" w:rsidR="00DC4E03" w:rsidRPr="00C353B0" w:rsidRDefault="00DC4E03" w:rsidP="003E3E25">
      <w:pPr>
        <w:widowControl w:val="0"/>
        <w:kinsoku w:val="0"/>
        <w:overflowPunct w:val="0"/>
        <w:autoSpaceDE w:val="0"/>
        <w:autoSpaceDN w:val="0"/>
        <w:adjustRightInd w:val="0"/>
        <w:spacing w:before="0" w:after="0"/>
        <w:ind w:right="216"/>
        <w:jc w:val="both"/>
        <w:textAlignment w:val="baseline"/>
        <w:rPr>
          <w:rFonts w:cs="Arial"/>
          <w:spacing w:val="1"/>
          <w:lang w:val="en-US" w:eastAsia="fr-FR"/>
        </w:rPr>
      </w:pPr>
      <w:r w:rsidRPr="003E3E25">
        <w:rPr>
          <w:rFonts w:cs="Arial"/>
          <w:spacing w:val="1"/>
          <w:lang w:val="en-US" w:eastAsia="fr-FR"/>
        </w:rPr>
        <w:t>For better clarity for the major change, exposure of infants, toddlers and children have been added in the section (V) Non-professional exposure.</w:t>
      </w:r>
    </w:p>
    <w:p w14:paraId="3016ABF9" w14:textId="60476180" w:rsidR="00DC4E03" w:rsidRPr="00F07537" w:rsidRDefault="00DC4E03" w:rsidP="00FD3FF9">
      <w:pPr>
        <w:rPr>
          <w:rFonts w:eastAsia="Calibri"/>
          <w:sz w:val="18"/>
          <w:lang w:val="en-US" w:eastAsia="en-US"/>
        </w:rPr>
      </w:pPr>
    </w:p>
    <w:p w14:paraId="13DDDB16" w14:textId="77777777" w:rsidR="00C82D5E" w:rsidRPr="00FD2055" w:rsidRDefault="00C82D5E" w:rsidP="00015252">
      <w:pPr>
        <w:pStyle w:val="Titre5"/>
      </w:pPr>
      <w:bookmarkStart w:id="251" w:name="_Toc389729093"/>
      <w:bookmarkStart w:id="252" w:name="_Toc403472779"/>
      <w:bookmarkStart w:id="253" w:name="_Toc93326577"/>
      <w:r w:rsidRPr="00FD2055">
        <w:t>Risk for consumers via residues in food</w:t>
      </w:r>
      <w:bookmarkEnd w:id="251"/>
      <w:bookmarkEnd w:id="252"/>
      <w:bookmarkEnd w:id="253"/>
    </w:p>
    <w:p w14:paraId="412A9C41" w14:textId="7E9F32E2" w:rsidR="00C82D5E" w:rsidRDefault="00FF36DF" w:rsidP="00FF36DF">
      <w:pPr>
        <w:rPr>
          <w:rFonts w:eastAsia="Calibri"/>
          <w:lang w:eastAsia="en-US"/>
        </w:rPr>
      </w:pPr>
      <w:r>
        <w:rPr>
          <w:rFonts w:eastAsia="Calibri"/>
          <w:lang w:eastAsia="en-US"/>
        </w:rPr>
        <w:t>Not applicable</w:t>
      </w:r>
    </w:p>
    <w:p w14:paraId="4B0FD408" w14:textId="77777777" w:rsidR="008A3DDA" w:rsidRPr="003E3E25" w:rsidRDefault="008A3DDA"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p w14:paraId="3C701558" w14:textId="77777777" w:rsidR="003C3D08" w:rsidRDefault="003C3D08" w:rsidP="003E3E25">
      <w:pPr>
        <w:rPr>
          <w:rFonts w:eastAsia="Calibri"/>
          <w:lang w:eastAsia="en-US"/>
        </w:rPr>
      </w:pPr>
    </w:p>
    <w:p w14:paraId="6DE0E2BC" w14:textId="662982FF" w:rsidR="003C3D08" w:rsidRPr="003C3D08" w:rsidRDefault="008A3DDA" w:rsidP="003E3E25">
      <w:pPr>
        <w:rPr>
          <w:u w:val="single"/>
        </w:rPr>
      </w:pPr>
      <w:r>
        <w:rPr>
          <w:u w:val="single"/>
        </w:rPr>
        <w:t>A</w:t>
      </w:r>
      <w:r w:rsidR="003C3D08">
        <w:t xml:space="preserve"> dietary risk assessment proposed by FR is presented below.</w:t>
      </w:r>
    </w:p>
    <w:p w14:paraId="366B64AA" w14:textId="16A738F1" w:rsidR="003C3D08" w:rsidRDefault="003C3D08" w:rsidP="003E3E25">
      <w:pPr>
        <w:rPr>
          <w:rFonts w:eastAsia="Calibri"/>
          <w:lang w:eastAsia="en-US"/>
        </w:rPr>
      </w:pPr>
    </w:p>
    <w:p w14:paraId="2BD87012" w14:textId="77777777" w:rsidR="003C3D08" w:rsidRPr="009C533F" w:rsidRDefault="003C3D08" w:rsidP="003E3E25">
      <w:pPr>
        <w:autoSpaceDE w:val="0"/>
        <w:autoSpaceDN w:val="0"/>
        <w:adjustRightInd w:val="0"/>
        <w:spacing w:after="0"/>
        <w:jc w:val="both"/>
        <w:rPr>
          <w:rFonts w:cs="Arial"/>
          <w:lang w:val="en-US"/>
        </w:rPr>
      </w:pPr>
      <w:r w:rsidRPr="009C533F">
        <w:rPr>
          <w:rFonts w:cs="Arial"/>
          <w:lang w:val="en-US"/>
        </w:rPr>
        <w:t xml:space="preserve">As regards the intended use of the product </w:t>
      </w:r>
      <w:r w:rsidRPr="00C033C5">
        <w:rPr>
          <w:rFonts w:cs="Arial"/>
          <w:lang w:val="en-US" w:eastAsia="fr-FR"/>
        </w:rPr>
        <w:t xml:space="preserve">SPRAY REPULSIF IR200 </w:t>
      </w:r>
      <w:r w:rsidRPr="009C533F">
        <w:rPr>
          <w:rFonts w:cs="Arial"/>
          <w:lang w:val="en-US"/>
        </w:rPr>
        <w:t>on skin and the ARfD (based on AEL) proposed for IR3535, the following dietary risk assessments were performed:</w:t>
      </w:r>
    </w:p>
    <w:p w14:paraId="29503B55" w14:textId="77777777" w:rsidR="003C3D08" w:rsidRPr="009C533F" w:rsidRDefault="003C3D08" w:rsidP="003E3E25">
      <w:pPr>
        <w:spacing w:after="0"/>
        <w:jc w:val="both"/>
        <w:rPr>
          <w:rFonts w:cs="Arial"/>
          <w:i/>
          <w:iCs/>
          <w:lang w:val="en-US"/>
        </w:rPr>
      </w:pPr>
    </w:p>
    <w:p w14:paraId="0600E8B9" w14:textId="77777777" w:rsidR="003C3D08" w:rsidRPr="004A6277" w:rsidRDefault="003C3D08" w:rsidP="003E3E25">
      <w:pPr>
        <w:spacing w:after="0"/>
        <w:rPr>
          <w:b/>
          <w:bCs/>
          <w:lang w:val="en-US"/>
        </w:rPr>
      </w:pPr>
      <w:r w:rsidRPr="004A6277">
        <w:rPr>
          <w:b/>
          <w:bCs/>
          <w:lang w:val="en-US"/>
        </w:rPr>
        <w:t>Scenario DRA 1 :</w:t>
      </w:r>
    </w:p>
    <w:p w14:paraId="6BECC790" w14:textId="77777777" w:rsidR="003C3D08" w:rsidRPr="004A6277" w:rsidRDefault="003C3D08" w:rsidP="003E3E25">
      <w:pPr>
        <w:spacing w:after="0"/>
        <w:rPr>
          <w:b/>
          <w:bCs/>
          <w:lang w:val="en-US"/>
        </w:rPr>
      </w:pPr>
      <w:r w:rsidRPr="004A6277">
        <w:rPr>
          <w:b/>
          <w:bCs/>
          <w:lang w:val="en-US"/>
        </w:rPr>
        <w:t xml:space="preserve">Use # 4 – Spray for skin application to repel mosquitoes </w:t>
      </w:r>
    </w:p>
    <w:p w14:paraId="75B0CEA7" w14:textId="77777777" w:rsidR="003C3D08" w:rsidRPr="004A6277" w:rsidRDefault="003C3D08" w:rsidP="003E3E25">
      <w:pPr>
        <w:spacing w:after="0"/>
        <w:rPr>
          <w:b/>
          <w:bCs/>
          <w:lang w:val="en-US"/>
        </w:rPr>
      </w:pPr>
      <w:r w:rsidRPr="004A6277">
        <w:rPr>
          <w:b/>
          <w:bCs/>
          <w:lang w:val="en-US"/>
        </w:rPr>
        <w:t>Use # 6 – Spray for skin application to repel ticks</w:t>
      </w:r>
    </w:p>
    <w:tbl>
      <w:tblPr>
        <w:tblW w:w="9361" w:type="dxa"/>
        <w:tblLayout w:type="fixed"/>
        <w:tblCellMar>
          <w:left w:w="0" w:type="dxa"/>
          <w:right w:w="0" w:type="dxa"/>
        </w:tblCellMar>
        <w:tblLook w:val="04A0" w:firstRow="1" w:lastRow="0" w:firstColumn="1" w:lastColumn="0" w:noHBand="0" w:noVBand="1"/>
      </w:tblPr>
      <w:tblGrid>
        <w:gridCol w:w="4116"/>
        <w:gridCol w:w="1311"/>
        <w:gridCol w:w="1311"/>
        <w:gridCol w:w="1311"/>
        <w:gridCol w:w="1312"/>
      </w:tblGrid>
      <w:tr w:rsidR="003C3D08" w:rsidRPr="005D1119" w14:paraId="19789691" w14:textId="77777777" w:rsidTr="003E3E25">
        <w:trPr>
          <w:trHeight w:val="6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D9E0" w14:textId="77777777" w:rsidR="003C3D08" w:rsidRPr="005D1119" w:rsidRDefault="003C3D08" w:rsidP="003E3E25">
            <w:pPr>
              <w:spacing w:after="0"/>
              <w:jc w:val="both"/>
              <w:rPr>
                <w:rFonts w:cs="Arial"/>
                <w:color w:val="000000"/>
                <w:sz w:val="18"/>
                <w:szCs w:val="18"/>
              </w:rPr>
            </w:pPr>
            <w:r w:rsidRPr="005D1119">
              <w:rPr>
                <w:rFonts w:cs="Arial"/>
                <w:color w:val="000000"/>
                <w:sz w:val="18"/>
                <w:szCs w:val="18"/>
              </w:rPr>
              <w:t>age</w:t>
            </w:r>
          </w:p>
        </w:tc>
        <w:tc>
          <w:tcPr>
            <w:tcW w:w="1311" w:type="dxa"/>
            <w:tcBorders>
              <w:top w:val="single" w:sz="4" w:space="0" w:color="auto"/>
              <w:left w:val="nil"/>
              <w:bottom w:val="single" w:sz="4" w:space="0" w:color="auto"/>
              <w:right w:val="single" w:sz="4" w:space="0" w:color="auto"/>
            </w:tcBorders>
            <w:shd w:val="clear" w:color="auto" w:fill="auto"/>
            <w:vAlign w:val="center"/>
          </w:tcPr>
          <w:p w14:paraId="3E572DEF" w14:textId="77777777" w:rsidR="003C3D08" w:rsidRPr="005D1119" w:rsidRDefault="003C3D08" w:rsidP="003E3E25">
            <w:pPr>
              <w:spacing w:after="0"/>
              <w:jc w:val="center"/>
              <w:rPr>
                <w:sz w:val="18"/>
                <w:szCs w:val="18"/>
              </w:rPr>
            </w:pPr>
            <w:r w:rsidRPr="005D1119">
              <w:rPr>
                <w:sz w:val="18"/>
                <w:szCs w:val="18"/>
              </w:rPr>
              <w:t>toddler (1-2 years)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189EF36" w14:textId="77777777" w:rsidR="003C3D08" w:rsidRPr="005D1119" w:rsidRDefault="003C3D08" w:rsidP="003E3E25">
            <w:pPr>
              <w:spacing w:after="0"/>
              <w:jc w:val="center"/>
              <w:rPr>
                <w:sz w:val="18"/>
                <w:szCs w:val="18"/>
              </w:rPr>
            </w:pPr>
            <w:r w:rsidRPr="005D1119">
              <w:rPr>
                <w:sz w:val="18"/>
                <w:szCs w:val="18"/>
              </w:rPr>
              <w:t>child (2-6 years)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3AAA5BD" w14:textId="77777777" w:rsidR="003C3D08" w:rsidRPr="005D1119" w:rsidRDefault="003C3D08" w:rsidP="003E3E25">
            <w:pPr>
              <w:spacing w:after="0"/>
              <w:jc w:val="center"/>
              <w:rPr>
                <w:color w:val="000000"/>
                <w:sz w:val="18"/>
                <w:szCs w:val="18"/>
              </w:rPr>
            </w:pPr>
            <w:r w:rsidRPr="005D1119">
              <w:rPr>
                <w:color w:val="000000"/>
                <w:sz w:val="18"/>
                <w:szCs w:val="18"/>
              </w:rPr>
              <w:t>child (6-12 years)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4A50334" w14:textId="77777777" w:rsidR="003C3D08" w:rsidRPr="005D1119" w:rsidRDefault="003C3D08" w:rsidP="003E3E25">
            <w:pPr>
              <w:spacing w:after="0"/>
              <w:jc w:val="center"/>
              <w:rPr>
                <w:color w:val="000000"/>
                <w:sz w:val="18"/>
                <w:szCs w:val="18"/>
              </w:rPr>
            </w:pPr>
            <w:r w:rsidRPr="005D1119">
              <w:rPr>
                <w:color w:val="000000"/>
                <w:sz w:val="18"/>
                <w:szCs w:val="18"/>
              </w:rPr>
              <w:t>adult</w:t>
            </w:r>
          </w:p>
        </w:tc>
      </w:tr>
      <w:tr w:rsidR="003C3D08" w:rsidRPr="00D84F51" w14:paraId="551800E5" w14:textId="77777777" w:rsidTr="003E3E25">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14:paraId="423506C0" w14:textId="77777777" w:rsidR="003C3D08" w:rsidRPr="005D1119" w:rsidRDefault="003C3D08" w:rsidP="003E3E25">
            <w:pPr>
              <w:spacing w:after="0"/>
              <w:jc w:val="both"/>
              <w:rPr>
                <w:rFonts w:cs="Arial"/>
                <w:color w:val="000000"/>
                <w:sz w:val="18"/>
                <w:szCs w:val="18"/>
                <w:lang w:val="en-US"/>
              </w:rPr>
            </w:pPr>
            <w:r w:rsidRPr="005D1119">
              <w:rPr>
                <w:rFonts w:cs="Arial"/>
                <w:color w:val="000000"/>
                <w:sz w:val="18"/>
                <w:szCs w:val="18"/>
                <w:lang w:val="en-US"/>
              </w:rPr>
              <w:t>Exposure per application in mg a.s/kg b.w./day</w:t>
            </w:r>
          </w:p>
        </w:tc>
        <w:tc>
          <w:tcPr>
            <w:tcW w:w="1311" w:type="dxa"/>
            <w:tcBorders>
              <w:top w:val="nil"/>
              <w:left w:val="nil"/>
              <w:bottom w:val="single" w:sz="4" w:space="0" w:color="auto"/>
              <w:right w:val="single" w:sz="4" w:space="0" w:color="auto"/>
            </w:tcBorders>
            <w:shd w:val="clear" w:color="auto" w:fill="auto"/>
            <w:vAlign w:val="center"/>
          </w:tcPr>
          <w:p w14:paraId="0750D7EF" w14:textId="77777777" w:rsidR="003C3D08" w:rsidRPr="009C453D" w:rsidRDefault="003C3D08" w:rsidP="003E3E25">
            <w:pPr>
              <w:spacing w:after="0"/>
              <w:jc w:val="center"/>
              <w:rPr>
                <w:color w:val="000000"/>
                <w:sz w:val="18"/>
                <w:szCs w:val="18"/>
              </w:rPr>
            </w:pPr>
            <w:r w:rsidRPr="00D84F51">
              <w:rPr>
                <w:color w:val="000000"/>
                <w:sz w:val="18"/>
                <w:szCs w:val="18"/>
              </w:rPr>
              <w:t>n.r.</w:t>
            </w:r>
            <w:r w:rsidRPr="009C453D">
              <w:rPr>
                <w:color w:val="000000"/>
                <w:sz w:val="18"/>
                <w:szCs w:val="18"/>
              </w:rPr>
              <w:t xml:space="preserve"> (1,8)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37899AE" w14:textId="77777777" w:rsidR="003C3D08" w:rsidRPr="009C453D" w:rsidRDefault="003C3D08" w:rsidP="003E3E25">
            <w:pPr>
              <w:spacing w:after="0"/>
              <w:jc w:val="center"/>
              <w:rPr>
                <w:color w:val="000000"/>
                <w:sz w:val="18"/>
                <w:szCs w:val="18"/>
              </w:rPr>
            </w:pPr>
            <w:r w:rsidRPr="009C453D">
              <w:rPr>
                <w:color w:val="000000"/>
                <w:sz w:val="18"/>
                <w:szCs w:val="18"/>
              </w:rPr>
              <w:t>n.r. (1,7)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4AC8859" w14:textId="77777777" w:rsidR="003C3D08" w:rsidRPr="00D84F51" w:rsidRDefault="003C3D08" w:rsidP="003E3E25">
            <w:pPr>
              <w:spacing w:after="0"/>
              <w:jc w:val="center"/>
              <w:rPr>
                <w:color w:val="000000"/>
                <w:sz w:val="18"/>
                <w:szCs w:val="18"/>
                <w:lang w:val="en-US"/>
              </w:rPr>
            </w:pPr>
            <w:r w:rsidRPr="00D84F51">
              <w:rPr>
                <w:color w:val="000000"/>
                <w:sz w:val="18"/>
                <w:szCs w:val="18"/>
                <w:lang w:val="en-US"/>
              </w:rPr>
              <w:t>0.</w:t>
            </w:r>
            <w:r>
              <w:rPr>
                <w:color w:val="000000"/>
                <w:sz w:val="18"/>
                <w:szCs w:val="18"/>
                <w:lang w:val="en-US"/>
              </w:rPr>
              <w:t xml:space="preserve">48 </w:t>
            </w:r>
            <w:r w:rsidRPr="00D84F51">
              <w:rPr>
                <w:color w:val="000000"/>
                <w:sz w:val="18"/>
                <w:szCs w:val="18"/>
                <w:lang w:val="en-US"/>
              </w:rPr>
              <w:t>(1,4)</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9F77387" w14:textId="77777777" w:rsidR="003C3D08" w:rsidRPr="00D84F51" w:rsidRDefault="003C3D08" w:rsidP="003E3E25">
            <w:pPr>
              <w:spacing w:after="0"/>
              <w:jc w:val="center"/>
              <w:rPr>
                <w:color w:val="000000"/>
                <w:sz w:val="18"/>
                <w:szCs w:val="18"/>
                <w:lang w:val="en-US"/>
              </w:rPr>
            </w:pPr>
            <w:r w:rsidRPr="00D84F51">
              <w:rPr>
                <w:color w:val="000000"/>
                <w:sz w:val="18"/>
                <w:szCs w:val="18"/>
                <w:lang w:val="en-US"/>
              </w:rPr>
              <w:t>0.36</w:t>
            </w:r>
            <w:r>
              <w:rPr>
                <w:color w:val="000000"/>
                <w:sz w:val="18"/>
                <w:szCs w:val="18"/>
                <w:lang w:val="en-US"/>
              </w:rPr>
              <w:t xml:space="preserve"> </w:t>
            </w:r>
            <w:r w:rsidRPr="00D84F51">
              <w:rPr>
                <w:color w:val="000000"/>
                <w:sz w:val="18"/>
                <w:szCs w:val="18"/>
                <w:lang w:val="en-US"/>
              </w:rPr>
              <w:t>(1,1)</w:t>
            </w:r>
          </w:p>
        </w:tc>
      </w:tr>
      <w:tr w:rsidR="003C3D08" w:rsidRPr="00D84F51" w14:paraId="3443ED9E" w14:textId="77777777" w:rsidTr="003E3E25">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14E73EE4" w14:textId="77777777" w:rsidR="003C3D08" w:rsidRPr="005D1119" w:rsidRDefault="003C3D08" w:rsidP="003E3E25">
            <w:pPr>
              <w:spacing w:after="0"/>
              <w:jc w:val="both"/>
              <w:rPr>
                <w:rFonts w:cs="Arial"/>
                <w:b/>
                <w:color w:val="000000"/>
                <w:sz w:val="18"/>
                <w:szCs w:val="18"/>
                <w:lang w:val="en-US"/>
              </w:rPr>
            </w:pPr>
            <w:r w:rsidRPr="005D1119">
              <w:rPr>
                <w:rFonts w:cs="Arial"/>
                <w:b/>
                <w:color w:val="000000"/>
                <w:sz w:val="18"/>
                <w:szCs w:val="18"/>
                <w:lang w:val="en-US"/>
              </w:rPr>
              <w:t>Total exposure in mg a.s/kg b.w./day</w:t>
            </w:r>
          </w:p>
        </w:tc>
        <w:tc>
          <w:tcPr>
            <w:tcW w:w="1311" w:type="dxa"/>
            <w:tcBorders>
              <w:top w:val="nil"/>
              <w:left w:val="nil"/>
              <w:bottom w:val="single" w:sz="4" w:space="0" w:color="auto"/>
              <w:right w:val="single" w:sz="4" w:space="0" w:color="auto"/>
            </w:tcBorders>
            <w:shd w:val="clear" w:color="auto" w:fill="auto"/>
            <w:vAlign w:val="center"/>
          </w:tcPr>
          <w:p w14:paraId="06646150" w14:textId="77777777" w:rsidR="003C3D08" w:rsidRPr="00D84F51" w:rsidRDefault="003C3D08" w:rsidP="003E3E25">
            <w:pPr>
              <w:spacing w:after="0"/>
              <w:jc w:val="center"/>
              <w:rPr>
                <w:color w:val="000000"/>
                <w:sz w:val="18"/>
                <w:szCs w:val="18"/>
                <w:lang w:val="en-US"/>
              </w:rPr>
            </w:pPr>
            <w:r w:rsidRPr="00D84F51">
              <w:rPr>
                <w:b/>
                <w:color w:val="000000"/>
                <w:sz w:val="18"/>
                <w:szCs w:val="18"/>
                <w:lang w:val="en-US"/>
              </w:rPr>
              <w:t>n.r.</w:t>
            </w:r>
            <w:r w:rsidRPr="00D84F51">
              <w:rPr>
                <w:color w:val="000000"/>
                <w:sz w:val="18"/>
                <w:szCs w:val="18"/>
                <w:lang w:val="en-US"/>
              </w:rPr>
              <w:t xml:space="preserve"> (1,8)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3F5DB2E" w14:textId="77777777" w:rsidR="003C3D08" w:rsidRPr="00D84F51" w:rsidRDefault="003C3D08" w:rsidP="003E3E25">
            <w:pPr>
              <w:spacing w:after="0"/>
              <w:jc w:val="center"/>
              <w:rPr>
                <w:color w:val="000000"/>
                <w:sz w:val="18"/>
                <w:szCs w:val="18"/>
                <w:lang w:val="en-US"/>
              </w:rPr>
            </w:pPr>
            <w:r w:rsidRPr="00D84F51">
              <w:rPr>
                <w:b/>
                <w:color w:val="000000"/>
                <w:sz w:val="18"/>
                <w:szCs w:val="18"/>
                <w:lang w:val="en-US"/>
              </w:rPr>
              <w:t>n.r.</w:t>
            </w:r>
            <w:r w:rsidRPr="00D84F51">
              <w:rPr>
                <w:color w:val="000000"/>
                <w:sz w:val="18"/>
                <w:szCs w:val="18"/>
                <w:lang w:val="en-US"/>
              </w:rPr>
              <w:t xml:space="preserve"> (1,7)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9E6587E" w14:textId="77777777" w:rsidR="003C3D08" w:rsidRPr="00D84F51" w:rsidRDefault="003C3D08" w:rsidP="003E3E25">
            <w:pPr>
              <w:spacing w:after="0"/>
              <w:jc w:val="center"/>
              <w:rPr>
                <w:color w:val="000000"/>
                <w:sz w:val="18"/>
                <w:szCs w:val="18"/>
                <w:lang w:val="en-US"/>
              </w:rPr>
            </w:pPr>
            <w:r w:rsidRPr="00D84F51">
              <w:rPr>
                <w:b/>
                <w:color w:val="000000"/>
                <w:sz w:val="18"/>
                <w:szCs w:val="18"/>
                <w:lang w:val="en-US"/>
              </w:rPr>
              <w:t>1</w:t>
            </w:r>
            <w:r w:rsidRPr="00D84F51">
              <w:rPr>
                <w:color w:val="000000"/>
                <w:sz w:val="18"/>
                <w:szCs w:val="18"/>
                <w:lang w:val="en-US"/>
              </w:rPr>
              <w:t xml:space="preserve"> (2,9)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4DD9904" w14:textId="77777777" w:rsidR="003C3D08" w:rsidRPr="00D84F51" w:rsidRDefault="003C3D08" w:rsidP="003E3E25">
            <w:pPr>
              <w:spacing w:after="0"/>
              <w:jc w:val="center"/>
              <w:rPr>
                <w:color w:val="000000"/>
                <w:sz w:val="18"/>
                <w:szCs w:val="18"/>
                <w:lang w:val="en-US"/>
              </w:rPr>
            </w:pPr>
            <w:r w:rsidRPr="00D84F51">
              <w:rPr>
                <w:b/>
                <w:color w:val="000000"/>
                <w:sz w:val="18"/>
                <w:szCs w:val="18"/>
                <w:lang w:val="en-US"/>
              </w:rPr>
              <w:t>0.73</w:t>
            </w:r>
            <w:r>
              <w:rPr>
                <w:color w:val="000000"/>
                <w:sz w:val="18"/>
                <w:szCs w:val="18"/>
                <w:lang w:val="en-US"/>
              </w:rPr>
              <w:t xml:space="preserve"> </w:t>
            </w:r>
            <w:r w:rsidRPr="00D84F51">
              <w:rPr>
                <w:color w:val="000000"/>
                <w:sz w:val="18"/>
                <w:szCs w:val="18"/>
                <w:lang w:val="en-US"/>
              </w:rPr>
              <w:t>(2,2)</w:t>
            </w:r>
          </w:p>
        </w:tc>
      </w:tr>
      <w:tr w:rsidR="003C3D08" w:rsidRPr="00D84F51" w14:paraId="77509094" w14:textId="77777777" w:rsidTr="003E3E25">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2CFFA4F6" w14:textId="77777777" w:rsidR="003C3D08" w:rsidRPr="005D1119" w:rsidRDefault="003C3D08" w:rsidP="003E3E25">
            <w:pPr>
              <w:spacing w:after="0"/>
              <w:jc w:val="both"/>
              <w:rPr>
                <w:rFonts w:cs="Arial"/>
                <w:color w:val="000000"/>
                <w:sz w:val="18"/>
                <w:szCs w:val="18"/>
                <w:lang w:val="en-US"/>
              </w:rPr>
            </w:pPr>
            <w:r w:rsidRPr="005D1119">
              <w:rPr>
                <w:rFonts w:cs="Arial"/>
                <w:color w:val="000000"/>
                <w:sz w:val="18"/>
                <w:szCs w:val="18"/>
                <w:lang w:val="en-US"/>
              </w:rPr>
              <w:t>ARfD (mg a.s/kg b.w./day )</w:t>
            </w:r>
          </w:p>
        </w:tc>
        <w:tc>
          <w:tcPr>
            <w:tcW w:w="1311" w:type="dxa"/>
            <w:tcBorders>
              <w:top w:val="nil"/>
              <w:left w:val="nil"/>
              <w:bottom w:val="single" w:sz="4" w:space="0" w:color="auto"/>
              <w:right w:val="single" w:sz="4" w:space="0" w:color="auto"/>
            </w:tcBorders>
            <w:shd w:val="clear" w:color="auto" w:fill="auto"/>
            <w:vAlign w:val="center"/>
          </w:tcPr>
          <w:p w14:paraId="66682DAF" w14:textId="77777777" w:rsidR="003C3D08" w:rsidRPr="00D84F51" w:rsidRDefault="003C3D08" w:rsidP="003E3E25">
            <w:pPr>
              <w:spacing w:after="0"/>
              <w:jc w:val="center"/>
              <w:rPr>
                <w:rFonts w:cs="Arial"/>
                <w:sz w:val="18"/>
                <w:szCs w:val="18"/>
                <w:lang w:val="en-US"/>
              </w:rPr>
            </w:pPr>
            <w:r w:rsidRPr="00D84F51">
              <w:rPr>
                <w:rFonts w:cs="Arial"/>
                <w:sz w:val="18"/>
                <w:szCs w:val="18"/>
                <w:lang w:val="en-US"/>
              </w:rPr>
              <w:t>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5AD74E1" w14:textId="77777777" w:rsidR="003C3D08" w:rsidRPr="00D84F51" w:rsidRDefault="003C3D08" w:rsidP="003E3E25">
            <w:pPr>
              <w:spacing w:after="0"/>
              <w:jc w:val="center"/>
              <w:rPr>
                <w:rFonts w:cs="Arial"/>
                <w:sz w:val="18"/>
                <w:szCs w:val="18"/>
                <w:lang w:val="en-US"/>
              </w:rPr>
            </w:pPr>
            <w:r w:rsidRPr="00D84F51">
              <w:rPr>
                <w:rFonts w:cs="Arial"/>
                <w:sz w:val="18"/>
                <w:szCs w:val="18"/>
                <w:lang w:val="en-US"/>
              </w:rPr>
              <w:t>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A69C191" w14:textId="77777777" w:rsidR="003C3D08" w:rsidRPr="00D84F51" w:rsidRDefault="003C3D08" w:rsidP="003E3E25">
            <w:pPr>
              <w:spacing w:after="0"/>
              <w:jc w:val="center"/>
              <w:rPr>
                <w:rFonts w:cs="Arial"/>
                <w:sz w:val="18"/>
                <w:szCs w:val="18"/>
                <w:lang w:val="en-US"/>
              </w:rPr>
            </w:pPr>
            <w:r w:rsidRPr="00D84F51">
              <w:rPr>
                <w:rFonts w:cs="Arial"/>
                <w:sz w:val="18"/>
                <w:szCs w:val="18"/>
                <w:lang w:val="en-US"/>
              </w:rPr>
              <w:t>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633ABBF" w14:textId="77777777" w:rsidR="003C3D08" w:rsidRPr="00D84F51" w:rsidRDefault="003C3D08" w:rsidP="003E3E25">
            <w:pPr>
              <w:spacing w:after="0"/>
              <w:jc w:val="center"/>
              <w:rPr>
                <w:rFonts w:cs="Arial"/>
                <w:sz w:val="18"/>
                <w:szCs w:val="18"/>
                <w:lang w:val="en-US"/>
              </w:rPr>
            </w:pPr>
            <w:r w:rsidRPr="00D84F51">
              <w:rPr>
                <w:rFonts w:cs="Arial"/>
                <w:sz w:val="18"/>
                <w:szCs w:val="18"/>
                <w:lang w:val="en-US"/>
              </w:rPr>
              <w:t>5</w:t>
            </w:r>
          </w:p>
        </w:tc>
      </w:tr>
      <w:tr w:rsidR="003C3D08" w:rsidRPr="00D84F51" w14:paraId="123E819F" w14:textId="77777777" w:rsidTr="003E3E25">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68C787EE" w14:textId="77777777" w:rsidR="003C3D08" w:rsidRPr="00D84F51" w:rsidRDefault="003C3D08" w:rsidP="003E3E25">
            <w:pPr>
              <w:spacing w:after="0"/>
              <w:jc w:val="both"/>
              <w:rPr>
                <w:rFonts w:cs="Arial"/>
                <w:color w:val="000000"/>
                <w:sz w:val="18"/>
                <w:szCs w:val="18"/>
                <w:lang w:val="en-US"/>
              </w:rPr>
            </w:pPr>
            <w:r w:rsidRPr="00D84F51">
              <w:rPr>
                <w:rFonts w:cs="Arial"/>
                <w:color w:val="000000"/>
                <w:sz w:val="18"/>
                <w:szCs w:val="18"/>
                <w:lang w:val="en-US"/>
              </w:rPr>
              <w:t>% of ARfD (per application)</w:t>
            </w:r>
          </w:p>
        </w:tc>
        <w:tc>
          <w:tcPr>
            <w:tcW w:w="1311" w:type="dxa"/>
            <w:tcBorders>
              <w:top w:val="nil"/>
              <w:left w:val="nil"/>
              <w:bottom w:val="single" w:sz="4" w:space="0" w:color="auto"/>
              <w:right w:val="single" w:sz="4" w:space="0" w:color="auto"/>
            </w:tcBorders>
            <w:shd w:val="clear" w:color="auto" w:fill="auto"/>
            <w:vAlign w:val="center"/>
          </w:tcPr>
          <w:p w14:paraId="49B6B391" w14:textId="77777777" w:rsidR="003C3D08" w:rsidRPr="009C453D" w:rsidRDefault="003C3D08" w:rsidP="003E3E25">
            <w:pPr>
              <w:spacing w:after="0"/>
              <w:jc w:val="center"/>
              <w:rPr>
                <w:color w:val="000000"/>
                <w:sz w:val="18"/>
                <w:szCs w:val="18"/>
              </w:rPr>
            </w:pPr>
            <w:r w:rsidRPr="00D84F51">
              <w:rPr>
                <w:color w:val="000000"/>
                <w:sz w:val="18"/>
                <w:szCs w:val="18"/>
              </w:rPr>
              <w:t>n.r.</w:t>
            </w:r>
            <w:r w:rsidRPr="009C453D">
              <w:rPr>
                <w:color w:val="000000"/>
                <w:sz w:val="18"/>
                <w:szCs w:val="18"/>
              </w:rPr>
              <w:t xml:space="preserve"> (</w:t>
            </w:r>
            <w:r>
              <w:rPr>
                <w:color w:val="000000"/>
                <w:sz w:val="18"/>
                <w:szCs w:val="18"/>
              </w:rPr>
              <w:t>37%</w:t>
            </w:r>
            <w:r w:rsidRPr="009C453D">
              <w:rPr>
                <w:color w:val="000000"/>
                <w:sz w:val="18"/>
                <w:szCs w:val="18"/>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113900E" w14:textId="77777777" w:rsidR="003C3D08" w:rsidRPr="009C453D" w:rsidRDefault="003C3D08" w:rsidP="003E3E25">
            <w:pPr>
              <w:spacing w:after="0"/>
              <w:jc w:val="center"/>
              <w:rPr>
                <w:color w:val="000000"/>
                <w:sz w:val="18"/>
                <w:szCs w:val="18"/>
              </w:rPr>
            </w:pPr>
            <w:r w:rsidRPr="009C453D">
              <w:rPr>
                <w:color w:val="000000"/>
                <w:sz w:val="18"/>
                <w:szCs w:val="18"/>
              </w:rPr>
              <w:t>n.r. (</w:t>
            </w:r>
            <w:r>
              <w:rPr>
                <w:color w:val="000000"/>
                <w:sz w:val="18"/>
                <w:szCs w:val="18"/>
              </w:rPr>
              <w:t>34%</w:t>
            </w:r>
            <w:r w:rsidRPr="009C453D">
              <w:rPr>
                <w:color w:val="000000"/>
                <w:sz w:val="18"/>
                <w:szCs w:val="18"/>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68A1C69" w14:textId="77777777" w:rsidR="003C3D08" w:rsidRPr="00D84F51" w:rsidRDefault="003C3D08" w:rsidP="003E3E25">
            <w:pPr>
              <w:spacing w:after="0"/>
              <w:jc w:val="center"/>
              <w:rPr>
                <w:color w:val="000000"/>
                <w:sz w:val="18"/>
                <w:szCs w:val="18"/>
                <w:lang w:val="en-US"/>
              </w:rPr>
            </w:pPr>
            <w:r>
              <w:rPr>
                <w:color w:val="000000"/>
                <w:sz w:val="18"/>
                <w:szCs w:val="18"/>
                <w:lang w:val="en-US"/>
              </w:rPr>
              <w:t xml:space="preserve">10% </w:t>
            </w:r>
            <w:r w:rsidRPr="00D84F51">
              <w:rPr>
                <w:color w:val="000000"/>
                <w:sz w:val="18"/>
                <w:szCs w:val="18"/>
                <w:lang w:val="en-US"/>
              </w:rPr>
              <w:t>(</w:t>
            </w:r>
            <w:r>
              <w:rPr>
                <w:color w:val="000000"/>
                <w:sz w:val="18"/>
                <w:szCs w:val="18"/>
                <w:lang w:val="en-US"/>
              </w:rPr>
              <w:t>29%</w:t>
            </w:r>
            <w:r w:rsidRPr="00D84F51">
              <w:rPr>
                <w:color w:val="000000"/>
                <w:sz w:val="18"/>
                <w:szCs w:val="18"/>
                <w:lang w:val="en-US"/>
              </w:rPr>
              <w:t>)</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B70D23E" w14:textId="77777777" w:rsidR="003C3D08" w:rsidRPr="00D84F51" w:rsidRDefault="003C3D08" w:rsidP="003E3E25">
            <w:pPr>
              <w:spacing w:after="0"/>
              <w:jc w:val="center"/>
              <w:rPr>
                <w:color w:val="000000"/>
                <w:sz w:val="18"/>
                <w:szCs w:val="18"/>
                <w:lang w:val="en-US"/>
              </w:rPr>
            </w:pPr>
            <w:r>
              <w:rPr>
                <w:color w:val="000000"/>
                <w:sz w:val="18"/>
                <w:szCs w:val="18"/>
                <w:lang w:val="en-US"/>
              </w:rPr>
              <w:t xml:space="preserve">7% </w:t>
            </w:r>
            <w:r w:rsidRPr="00D84F51">
              <w:rPr>
                <w:color w:val="000000"/>
                <w:sz w:val="18"/>
                <w:szCs w:val="18"/>
                <w:lang w:val="en-US"/>
              </w:rPr>
              <w:t>(</w:t>
            </w:r>
            <w:r>
              <w:rPr>
                <w:color w:val="000000"/>
                <w:sz w:val="18"/>
                <w:szCs w:val="18"/>
                <w:lang w:val="en-US"/>
              </w:rPr>
              <w:t>22%</w:t>
            </w:r>
            <w:r w:rsidRPr="00D84F51">
              <w:rPr>
                <w:color w:val="000000"/>
                <w:sz w:val="18"/>
                <w:szCs w:val="18"/>
                <w:lang w:val="en-US"/>
              </w:rPr>
              <w:t>)</w:t>
            </w:r>
          </w:p>
        </w:tc>
      </w:tr>
      <w:tr w:rsidR="003C3D08" w:rsidRPr="00D84F51" w14:paraId="6E2E439B" w14:textId="77777777" w:rsidTr="003E3E25">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02FF7639" w14:textId="77777777" w:rsidR="003C3D08" w:rsidRPr="00D84F51" w:rsidRDefault="003C3D08" w:rsidP="003E3E25">
            <w:pPr>
              <w:spacing w:after="0"/>
              <w:jc w:val="both"/>
              <w:rPr>
                <w:rFonts w:cs="Arial"/>
                <w:color w:val="000000"/>
                <w:sz w:val="18"/>
                <w:szCs w:val="18"/>
                <w:lang w:val="en-US"/>
              </w:rPr>
            </w:pPr>
            <w:r w:rsidRPr="00D84F51">
              <w:rPr>
                <w:rFonts w:cs="Arial"/>
                <w:color w:val="000000"/>
                <w:sz w:val="18"/>
                <w:szCs w:val="18"/>
                <w:lang w:val="en-US"/>
              </w:rPr>
              <w:t>% of ARfD (in total)</w:t>
            </w:r>
          </w:p>
        </w:tc>
        <w:tc>
          <w:tcPr>
            <w:tcW w:w="1311" w:type="dxa"/>
            <w:tcBorders>
              <w:top w:val="nil"/>
              <w:left w:val="nil"/>
              <w:bottom w:val="single" w:sz="4" w:space="0" w:color="auto"/>
              <w:right w:val="single" w:sz="4" w:space="0" w:color="auto"/>
            </w:tcBorders>
            <w:shd w:val="clear" w:color="auto" w:fill="auto"/>
            <w:vAlign w:val="center"/>
          </w:tcPr>
          <w:p w14:paraId="1D672ACC" w14:textId="77777777" w:rsidR="003C3D08" w:rsidRPr="00D84F51" w:rsidRDefault="003C3D08" w:rsidP="003E3E25">
            <w:pPr>
              <w:spacing w:after="0"/>
              <w:jc w:val="center"/>
              <w:rPr>
                <w:color w:val="000000"/>
                <w:sz w:val="18"/>
                <w:szCs w:val="18"/>
                <w:lang w:val="en-US"/>
              </w:rPr>
            </w:pPr>
            <w:r w:rsidRPr="00D84F51">
              <w:rPr>
                <w:b/>
                <w:color w:val="000000"/>
                <w:sz w:val="18"/>
                <w:szCs w:val="18"/>
                <w:lang w:val="en-US"/>
              </w:rPr>
              <w:t>n.r.</w:t>
            </w:r>
            <w:r w:rsidRPr="00D84F51">
              <w:rPr>
                <w:color w:val="000000"/>
                <w:sz w:val="18"/>
                <w:szCs w:val="18"/>
                <w:lang w:val="en-US"/>
              </w:rPr>
              <w:t xml:space="preserve"> (</w:t>
            </w:r>
            <w:r>
              <w:rPr>
                <w:color w:val="000000"/>
                <w:sz w:val="18"/>
                <w:szCs w:val="18"/>
                <w:lang w:val="en-US"/>
              </w:rPr>
              <w:t>37%</w:t>
            </w:r>
            <w:r w:rsidRPr="00D84F51">
              <w:rPr>
                <w:color w:val="000000"/>
                <w:sz w:val="18"/>
                <w:szCs w:val="18"/>
                <w:lang w:val="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9E18F88" w14:textId="77777777" w:rsidR="003C3D08" w:rsidRPr="00D84F51" w:rsidRDefault="003C3D08" w:rsidP="003E3E25">
            <w:pPr>
              <w:spacing w:after="0"/>
              <w:jc w:val="center"/>
              <w:rPr>
                <w:color w:val="000000"/>
                <w:sz w:val="18"/>
                <w:szCs w:val="18"/>
                <w:lang w:val="en-US"/>
              </w:rPr>
            </w:pPr>
            <w:r w:rsidRPr="00D84F51">
              <w:rPr>
                <w:b/>
                <w:color w:val="000000"/>
                <w:sz w:val="18"/>
                <w:szCs w:val="18"/>
                <w:lang w:val="en-US"/>
              </w:rPr>
              <w:t>n.r.</w:t>
            </w:r>
            <w:r w:rsidRPr="00D84F51">
              <w:rPr>
                <w:color w:val="000000"/>
                <w:sz w:val="18"/>
                <w:szCs w:val="18"/>
                <w:lang w:val="en-US"/>
              </w:rPr>
              <w:t xml:space="preserve"> (</w:t>
            </w:r>
            <w:r>
              <w:rPr>
                <w:color w:val="000000"/>
                <w:sz w:val="18"/>
                <w:szCs w:val="18"/>
                <w:lang w:val="en-US"/>
              </w:rPr>
              <w:t>34%</w:t>
            </w:r>
            <w:r w:rsidRPr="00D84F51">
              <w:rPr>
                <w:color w:val="000000"/>
                <w:sz w:val="18"/>
                <w:szCs w:val="18"/>
                <w:lang w:val="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D4C2074" w14:textId="77777777" w:rsidR="003C3D08" w:rsidRPr="00D84F51" w:rsidRDefault="003C3D08" w:rsidP="003E3E25">
            <w:pPr>
              <w:spacing w:after="0"/>
              <w:jc w:val="center"/>
              <w:rPr>
                <w:color w:val="000000"/>
                <w:sz w:val="18"/>
                <w:szCs w:val="18"/>
                <w:lang w:val="en-US"/>
              </w:rPr>
            </w:pPr>
            <w:r>
              <w:rPr>
                <w:b/>
                <w:color w:val="000000"/>
                <w:sz w:val="18"/>
                <w:szCs w:val="18"/>
                <w:lang w:val="en-US"/>
              </w:rPr>
              <w:t>19%</w:t>
            </w:r>
            <w:r w:rsidRPr="00D84F51">
              <w:rPr>
                <w:color w:val="000000"/>
                <w:sz w:val="18"/>
                <w:szCs w:val="18"/>
                <w:lang w:val="en-US"/>
              </w:rPr>
              <w:t xml:space="preserve"> (</w:t>
            </w:r>
            <w:r>
              <w:rPr>
                <w:color w:val="000000"/>
                <w:sz w:val="18"/>
                <w:szCs w:val="18"/>
                <w:lang w:val="en-US"/>
              </w:rPr>
              <w:t>57%</w:t>
            </w:r>
            <w:r w:rsidRPr="00D84F51">
              <w:rPr>
                <w:color w:val="000000"/>
                <w:sz w:val="18"/>
                <w:szCs w:val="18"/>
                <w:lang w:val="en-US"/>
              </w:rPr>
              <w:t>)</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C86105A" w14:textId="77777777" w:rsidR="003C3D08" w:rsidRPr="00D84F51" w:rsidRDefault="003C3D08" w:rsidP="003E3E25">
            <w:pPr>
              <w:spacing w:after="0"/>
              <w:jc w:val="center"/>
              <w:rPr>
                <w:color w:val="000000"/>
                <w:sz w:val="18"/>
                <w:szCs w:val="18"/>
                <w:lang w:val="en-US"/>
              </w:rPr>
            </w:pPr>
            <w:r>
              <w:rPr>
                <w:b/>
                <w:color w:val="000000"/>
                <w:sz w:val="18"/>
                <w:szCs w:val="18"/>
                <w:lang w:val="en-US"/>
              </w:rPr>
              <w:t>15%</w:t>
            </w:r>
            <w:r>
              <w:rPr>
                <w:color w:val="000000"/>
                <w:sz w:val="18"/>
                <w:szCs w:val="18"/>
                <w:lang w:val="en-US"/>
              </w:rPr>
              <w:t xml:space="preserve"> </w:t>
            </w:r>
            <w:r w:rsidRPr="00D84F51">
              <w:rPr>
                <w:color w:val="000000"/>
                <w:sz w:val="18"/>
                <w:szCs w:val="18"/>
                <w:lang w:val="en-US"/>
              </w:rPr>
              <w:t>(</w:t>
            </w:r>
            <w:r>
              <w:rPr>
                <w:color w:val="000000"/>
                <w:sz w:val="18"/>
                <w:szCs w:val="18"/>
                <w:lang w:val="en-US"/>
              </w:rPr>
              <w:t>44%</w:t>
            </w:r>
            <w:r w:rsidRPr="00D84F51">
              <w:rPr>
                <w:color w:val="000000"/>
                <w:sz w:val="18"/>
                <w:szCs w:val="18"/>
                <w:lang w:val="en-US"/>
              </w:rPr>
              <w:t>)</w:t>
            </w:r>
          </w:p>
        </w:tc>
      </w:tr>
    </w:tbl>
    <w:p w14:paraId="7FE47556" w14:textId="77777777" w:rsidR="003C3D08" w:rsidRPr="009C533F" w:rsidRDefault="003C3D08" w:rsidP="003E3E25">
      <w:pPr>
        <w:spacing w:after="0"/>
        <w:jc w:val="both"/>
        <w:rPr>
          <w:rFonts w:cs="Arial"/>
          <w:lang w:val="en-US"/>
        </w:rPr>
      </w:pPr>
      <w:r w:rsidRPr="009C533F">
        <w:rPr>
          <w:rFonts w:cs="Arial"/>
          <w:lang w:val="en-US"/>
        </w:rPr>
        <w:t>in bold : results related to intended uses</w:t>
      </w:r>
      <w:r w:rsidRPr="009C453D">
        <w:rPr>
          <w:rFonts w:cs="Arial"/>
          <w:lang w:val="en-US"/>
        </w:rPr>
        <w:t xml:space="preserve"> </w:t>
      </w:r>
      <w:r>
        <w:rPr>
          <w:rFonts w:cs="Arial"/>
          <w:lang w:val="en-US"/>
        </w:rPr>
        <w:t>and considering measures proposed</w:t>
      </w:r>
      <w:r w:rsidRPr="004A6277">
        <w:rPr>
          <w:rFonts w:cs="Arial"/>
          <w:lang w:val="en-US"/>
        </w:rPr>
        <w:t xml:space="preserve"> </w:t>
      </w:r>
      <w:r>
        <w:rPr>
          <w:rFonts w:cs="Arial"/>
          <w:lang w:val="en-US"/>
        </w:rPr>
        <w:t>by the applicant</w:t>
      </w:r>
    </w:p>
    <w:p w14:paraId="7A7650F6" w14:textId="77777777" w:rsidR="003C3D08" w:rsidRDefault="003C3D08" w:rsidP="003E3E25">
      <w:pPr>
        <w:spacing w:after="0"/>
        <w:jc w:val="both"/>
        <w:rPr>
          <w:rFonts w:cs="Arial"/>
          <w:lang w:val="en-US"/>
        </w:rPr>
      </w:pPr>
      <w:r w:rsidRPr="009C533F">
        <w:rPr>
          <w:rFonts w:cs="Arial"/>
          <w:lang w:val="en-US"/>
        </w:rPr>
        <w:t>in parenthesis: estimations realised in framework of the assessment</w:t>
      </w:r>
      <w:r>
        <w:rPr>
          <w:rFonts w:cs="Arial"/>
          <w:lang w:val="en-US"/>
        </w:rPr>
        <w:t xml:space="preserve"> and without considering measures proposed</w:t>
      </w:r>
      <w:r w:rsidRPr="004A6277">
        <w:rPr>
          <w:rFonts w:cs="Arial"/>
          <w:lang w:val="en-US"/>
        </w:rPr>
        <w:t xml:space="preserve"> </w:t>
      </w:r>
      <w:r>
        <w:rPr>
          <w:rFonts w:cs="Arial"/>
          <w:lang w:val="en-US"/>
        </w:rPr>
        <w:t>by the applicant</w:t>
      </w:r>
    </w:p>
    <w:p w14:paraId="280CDCCA" w14:textId="77777777" w:rsidR="003C3D08" w:rsidRPr="009C533F" w:rsidRDefault="003C3D08" w:rsidP="003E3E25">
      <w:pPr>
        <w:spacing w:after="0"/>
        <w:jc w:val="both"/>
        <w:rPr>
          <w:rFonts w:cs="Arial"/>
          <w:lang w:val="en-US"/>
        </w:rPr>
      </w:pPr>
    </w:p>
    <w:p w14:paraId="107EE8C2" w14:textId="77777777" w:rsidR="003C3D08" w:rsidRPr="009C533F" w:rsidRDefault="003C3D08" w:rsidP="008A3DDA">
      <w:pPr>
        <w:spacing w:after="0"/>
        <w:jc w:val="both"/>
        <w:rPr>
          <w:rFonts w:cs="Arial"/>
          <w:lang w:val="en-US"/>
        </w:rPr>
      </w:pPr>
    </w:p>
    <w:p w14:paraId="6FB416DE" w14:textId="77777777" w:rsidR="003C3D08" w:rsidRPr="009C533F" w:rsidRDefault="003C3D08" w:rsidP="008A3DDA">
      <w:pPr>
        <w:spacing w:after="0"/>
        <w:jc w:val="both"/>
        <w:rPr>
          <w:rFonts w:cs="Arial"/>
          <w:b/>
          <w:bCs/>
          <w:lang w:val="en-US"/>
        </w:rPr>
      </w:pPr>
    </w:p>
    <w:p w14:paraId="6ADE2BEC" w14:textId="77777777" w:rsidR="003C3D08" w:rsidRPr="009C533F" w:rsidRDefault="003C3D08" w:rsidP="003E3E25">
      <w:pPr>
        <w:spacing w:after="0"/>
        <w:jc w:val="both"/>
        <w:rPr>
          <w:rFonts w:cs="Arial"/>
          <w:b/>
          <w:bCs/>
          <w:lang w:val="en-US"/>
        </w:rPr>
      </w:pPr>
      <w:r w:rsidRPr="009C533F">
        <w:rPr>
          <w:rFonts w:cs="Arial"/>
          <w:b/>
          <w:bCs/>
          <w:lang w:val="en-US"/>
        </w:rPr>
        <w:t>Conclusion</w:t>
      </w:r>
    </w:p>
    <w:p w14:paraId="6847DE83" w14:textId="77777777" w:rsidR="003C3D08" w:rsidRPr="009C533F" w:rsidRDefault="003C3D08" w:rsidP="003E3E25">
      <w:pPr>
        <w:spacing w:after="0"/>
        <w:jc w:val="both"/>
        <w:rPr>
          <w:rFonts w:cs="Arial"/>
          <w:b/>
          <w:bCs/>
          <w:lang w:val="en-US"/>
        </w:rPr>
      </w:pPr>
    </w:p>
    <w:p w14:paraId="4BE41890" w14:textId="747F53DA" w:rsidR="00ED5865" w:rsidRPr="009C533F" w:rsidRDefault="003C3D08" w:rsidP="003E3E25">
      <w:pPr>
        <w:spacing w:after="0"/>
        <w:jc w:val="both"/>
        <w:rPr>
          <w:rFonts w:cs="Arial"/>
          <w:lang w:val="en-US"/>
        </w:rPr>
      </w:pPr>
      <w:r w:rsidRPr="009C533F">
        <w:rPr>
          <w:rFonts w:cs="Arial"/>
          <w:lang w:val="en-US"/>
        </w:rPr>
        <w:t xml:space="preserve">As regards the intended uses of the product </w:t>
      </w:r>
      <w:r w:rsidRPr="00C033C5">
        <w:rPr>
          <w:rFonts w:cs="Arial"/>
          <w:lang w:val="en-US" w:eastAsia="fr-FR"/>
        </w:rPr>
        <w:t xml:space="preserve">SPRAY REPULSIF IR200 </w:t>
      </w:r>
      <w:r w:rsidRPr="009C533F">
        <w:rPr>
          <w:rFonts w:cs="Arial"/>
          <w:lang w:val="en-US"/>
        </w:rPr>
        <w:t>on human skin no dietary risk for adults and child is expected.</w:t>
      </w:r>
      <w:r w:rsidR="00ED5865">
        <w:rPr>
          <w:rFonts w:cs="Arial"/>
          <w:lang w:val="en-US"/>
        </w:rPr>
        <w:t>.</w:t>
      </w:r>
      <w:r w:rsidR="00ED5865" w:rsidRPr="009C533F">
        <w:rPr>
          <w:rFonts w:cs="Arial"/>
          <w:lang w:val="en-US"/>
        </w:rPr>
        <w:t xml:space="preserve"> </w:t>
      </w:r>
    </w:p>
    <w:p w14:paraId="28304971" w14:textId="77777777" w:rsidR="003C3D08" w:rsidRPr="009C533F" w:rsidRDefault="003C3D08" w:rsidP="003E3E25">
      <w:pPr>
        <w:autoSpaceDE w:val="0"/>
        <w:autoSpaceDN w:val="0"/>
        <w:adjustRightInd w:val="0"/>
        <w:spacing w:after="0"/>
        <w:jc w:val="both"/>
        <w:rPr>
          <w:rFonts w:cs="Arial"/>
          <w:lang w:val="en-US"/>
        </w:rPr>
      </w:pPr>
    </w:p>
    <w:p w14:paraId="5F7E4592" w14:textId="3A68DA05" w:rsidR="003C3D08" w:rsidRPr="009C533F" w:rsidRDefault="003C3D08" w:rsidP="003E3E25">
      <w:pPr>
        <w:spacing w:after="0"/>
        <w:jc w:val="both"/>
        <w:rPr>
          <w:rFonts w:cs="Arial"/>
          <w:lang w:val="en-US"/>
        </w:rPr>
      </w:pPr>
      <w:r w:rsidRPr="009C533F">
        <w:rPr>
          <w:rFonts w:cs="Arial"/>
          <w:lang w:val="en-US"/>
        </w:rPr>
        <w:t>The following label recommendations</w:t>
      </w:r>
      <w:r w:rsidR="00ED5865">
        <w:rPr>
          <w:rFonts w:cs="Arial"/>
          <w:lang w:val="en-US"/>
        </w:rPr>
        <w:t xml:space="preserve"> are proposed</w:t>
      </w:r>
      <w:r w:rsidRPr="009C533F">
        <w:rPr>
          <w:rFonts w:cs="Arial"/>
          <w:lang w:val="en-US"/>
        </w:rPr>
        <w:t xml:space="preserve">: </w:t>
      </w:r>
    </w:p>
    <w:p w14:paraId="11D80C5C" w14:textId="77777777" w:rsidR="00ED5865" w:rsidRPr="00ED5865" w:rsidRDefault="00ED5865" w:rsidP="003E3E25">
      <w:pPr>
        <w:numPr>
          <w:ilvl w:val="0"/>
          <w:numId w:val="34"/>
        </w:numPr>
        <w:spacing w:before="0" w:after="0"/>
        <w:ind w:left="644" w:hanging="218"/>
        <w:contextualSpacing/>
        <w:jc w:val="both"/>
        <w:rPr>
          <w:rFonts w:cs="Arial"/>
          <w:bCs/>
          <w:i/>
          <w:color w:val="000000"/>
          <w:lang w:val="en-US" w:eastAsia="fr-FR"/>
        </w:rPr>
      </w:pPr>
      <w:r w:rsidRPr="00ED5865">
        <w:rPr>
          <w:i/>
          <w:lang w:eastAsia="en-US"/>
        </w:rPr>
        <w:t>Wash hands thoroughly after handling</w:t>
      </w:r>
      <w:r w:rsidRPr="00ED5865">
        <w:rPr>
          <w:rFonts w:cs="Arial"/>
          <w:bCs/>
          <w:i/>
          <w:color w:val="000000"/>
          <w:lang w:val="en-US" w:eastAsia="fr-FR"/>
        </w:rPr>
        <w:t xml:space="preserve"> </w:t>
      </w:r>
    </w:p>
    <w:p w14:paraId="50151F06" w14:textId="46FFB28F" w:rsidR="003C3D08" w:rsidRPr="004A6277" w:rsidRDefault="003C3D08" w:rsidP="003E3E25">
      <w:pPr>
        <w:numPr>
          <w:ilvl w:val="0"/>
          <w:numId w:val="34"/>
        </w:numPr>
        <w:spacing w:before="0" w:after="0"/>
        <w:ind w:left="644" w:hanging="218"/>
        <w:contextualSpacing/>
        <w:jc w:val="both"/>
        <w:rPr>
          <w:rFonts w:cs="Arial"/>
          <w:bCs/>
          <w:i/>
          <w:color w:val="000000"/>
          <w:lang w:val="en-US" w:eastAsia="fr-FR"/>
        </w:rPr>
      </w:pPr>
      <w:r w:rsidRPr="004A6277">
        <w:rPr>
          <w:rFonts w:cs="Arial"/>
          <w:bCs/>
          <w:i/>
          <w:color w:val="000000"/>
          <w:lang w:val="en-US" w:eastAsia="fr-FR"/>
        </w:rPr>
        <w:t>Do not apply th</w:t>
      </w:r>
      <w:r w:rsidR="00ED5865">
        <w:rPr>
          <w:rFonts w:cs="Arial"/>
          <w:bCs/>
          <w:i/>
          <w:color w:val="000000"/>
          <w:lang w:val="en-US" w:eastAsia="fr-FR"/>
        </w:rPr>
        <w:t>e product on the hands of child</w:t>
      </w:r>
      <w:r w:rsidR="007064F1">
        <w:rPr>
          <w:rFonts w:cs="Arial"/>
          <w:bCs/>
          <w:i/>
          <w:color w:val="000000"/>
          <w:lang w:val="en-US" w:eastAsia="fr-FR"/>
        </w:rPr>
        <w:t>ren</w:t>
      </w:r>
    </w:p>
    <w:p w14:paraId="2514E804" w14:textId="77777777" w:rsidR="003C3D08" w:rsidRPr="009C533F" w:rsidRDefault="003C3D08" w:rsidP="003C3D08">
      <w:pPr>
        <w:spacing w:after="0"/>
        <w:jc w:val="both"/>
        <w:rPr>
          <w:rFonts w:cs="Arial"/>
          <w:lang w:val="en-US"/>
        </w:rPr>
      </w:pPr>
    </w:p>
    <w:p w14:paraId="284044D4" w14:textId="77777777" w:rsidR="003C3D08" w:rsidRPr="00FD2055" w:rsidRDefault="003C3D08" w:rsidP="00FF36DF">
      <w:pPr>
        <w:rPr>
          <w:rFonts w:eastAsia="Calibri"/>
          <w:lang w:eastAsia="en-US"/>
        </w:rPr>
      </w:pPr>
    </w:p>
    <w:p w14:paraId="1AB94B79" w14:textId="77777777" w:rsidR="00C82D5E" w:rsidRPr="00FD2055" w:rsidRDefault="00C82D5E" w:rsidP="00015252">
      <w:pPr>
        <w:pStyle w:val="Titre5"/>
      </w:pPr>
      <w:bookmarkStart w:id="254" w:name="_Toc389729094"/>
      <w:bookmarkStart w:id="255" w:name="_Toc403472780"/>
      <w:bookmarkStart w:id="256" w:name="_Toc93326578"/>
      <w:r w:rsidRPr="00FD2055">
        <w:t>Risk characterisation from combined exposure to several active substances or substances of concern within a biocidal product</w:t>
      </w:r>
      <w:bookmarkEnd w:id="254"/>
      <w:bookmarkEnd w:id="255"/>
      <w:bookmarkEnd w:id="256"/>
      <w:r w:rsidRPr="00FD2055">
        <w:t xml:space="preserve"> </w:t>
      </w:r>
    </w:p>
    <w:p w14:paraId="51911CF9" w14:textId="77777777" w:rsidR="00FF36DF" w:rsidRPr="00FD2055" w:rsidRDefault="00FF36DF" w:rsidP="00FF36DF">
      <w:pPr>
        <w:rPr>
          <w:rFonts w:eastAsia="Calibri"/>
          <w:lang w:eastAsia="en-US"/>
        </w:rPr>
      </w:pPr>
      <w:r>
        <w:rPr>
          <w:rFonts w:eastAsia="Calibri"/>
          <w:lang w:eastAsia="en-US"/>
        </w:rPr>
        <w:t>Not applicable</w:t>
      </w:r>
    </w:p>
    <w:p w14:paraId="741D9364" w14:textId="77777777" w:rsidR="00DC4E03" w:rsidRPr="00FD2055" w:rsidRDefault="00DC4E03" w:rsidP="00FF36DF">
      <w:pPr>
        <w:rPr>
          <w:rFonts w:eastAsia="Calibri"/>
          <w:lang w:eastAsia="en-US"/>
        </w:rPr>
      </w:pPr>
    </w:p>
    <w:p w14:paraId="47116941" w14:textId="77777777" w:rsidR="00015252" w:rsidRDefault="00015252" w:rsidP="00015252">
      <w:pPr>
        <w:rPr>
          <w:rFonts w:eastAsia="Calibri"/>
          <w:lang w:eastAsia="en-US"/>
        </w:rPr>
      </w:pPr>
    </w:p>
    <w:p w14:paraId="01FFB291" w14:textId="77777777" w:rsidR="00015252" w:rsidRDefault="00F345FA" w:rsidP="00F345FA">
      <w:pPr>
        <w:pStyle w:val="Titre3"/>
        <w:rPr>
          <w:rFonts w:eastAsia="Calibri"/>
          <w:lang w:eastAsia="en-US"/>
        </w:rPr>
      </w:pPr>
      <w:bookmarkStart w:id="257" w:name="_Toc93326579"/>
      <w:r>
        <w:rPr>
          <w:rFonts w:eastAsia="Calibri"/>
          <w:lang w:eastAsia="en-US"/>
        </w:rPr>
        <w:t>Risk assessment for animal health</w:t>
      </w:r>
      <w:bookmarkEnd w:id="257"/>
    </w:p>
    <w:p w14:paraId="497210E2" w14:textId="77777777" w:rsidR="00674BFF" w:rsidRDefault="00674BFF" w:rsidP="00674BFF">
      <w:pPr>
        <w:rPr>
          <w:rFonts w:eastAsia="Calibri"/>
          <w:lang w:eastAsia="en-US"/>
        </w:rPr>
      </w:pPr>
      <w:r>
        <w:rPr>
          <w:rFonts w:eastAsia="Calibri"/>
          <w:lang w:eastAsia="en-US"/>
        </w:rPr>
        <w:t>The product should not be used on animals. So when the product is used correctly, no risk is expected for animal health.</w:t>
      </w:r>
    </w:p>
    <w:p w14:paraId="37FE8E63" w14:textId="77777777" w:rsidR="00674BFF" w:rsidRDefault="00674BFF" w:rsidP="00674BFF">
      <w:pPr>
        <w:rPr>
          <w:rFonts w:eastAsia="Calibri"/>
          <w:lang w:eastAsia="en-US"/>
        </w:rPr>
      </w:pPr>
    </w:p>
    <w:p w14:paraId="3BA9461B" w14:textId="77777777" w:rsidR="00F345FA" w:rsidRDefault="00F345FA">
      <w:pPr>
        <w:spacing w:before="0" w:after="160" w:line="259" w:lineRule="auto"/>
        <w:rPr>
          <w:rFonts w:eastAsia="Calibri"/>
          <w:lang w:eastAsia="en-US"/>
        </w:rPr>
      </w:pPr>
      <w:r>
        <w:rPr>
          <w:rFonts w:eastAsia="Calibri"/>
          <w:lang w:eastAsia="en-US"/>
        </w:rPr>
        <w:br w:type="page"/>
      </w:r>
    </w:p>
    <w:p w14:paraId="67F340FD" w14:textId="17565995" w:rsidR="00F345FA" w:rsidRDefault="00F345FA" w:rsidP="00F345FA">
      <w:pPr>
        <w:pStyle w:val="Titre3"/>
        <w:rPr>
          <w:rFonts w:eastAsia="Calibri"/>
          <w:lang w:eastAsia="en-US"/>
        </w:rPr>
      </w:pPr>
      <w:bookmarkStart w:id="258" w:name="_Toc93326580"/>
      <w:r>
        <w:rPr>
          <w:rFonts w:eastAsia="Calibri"/>
          <w:lang w:eastAsia="en-US"/>
        </w:rPr>
        <w:t>Risk assessment for the environment</w:t>
      </w:r>
      <w:bookmarkEnd w:id="258"/>
    </w:p>
    <w:p w14:paraId="3EF7F146" w14:textId="77777777" w:rsidR="001024E3" w:rsidRPr="009461FB" w:rsidRDefault="001024E3" w:rsidP="001024E3">
      <w:pPr>
        <w:pStyle w:val="Paragraphedeliste"/>
        <w:numPr>
          <w:ilvl w:val="0"/>
          <w:numId w:val="68"/>
        </w:numPr>
        <w:rPr>
          <w:b/>
        </w:rPr>
      </w:pPr>
      <w:r w:rsidRPr="009461FB">
        <w:rPr>
          <w:b/>
        </w:rPr>
        <w:t>FIRST AUTHORISATION – 2017 (BE CA)</w:t>
      </w:r>
    </w:p>
    <w:p w14:paraId="66B7557C" w14:textId="77777777" w:rsidR="001024E3" w:rsidRPr="001024E3" w:rsidRDefault="001024E3" w:rsidP="001024E3">
      <w:pPr>
        <w:rPr>
          <w:rFonts w:eastAsia="Calibri"/>
          <w:lang w:eastAsia="en-US"/>
        </w:rPr>
      </w:pPr>
    </w:p>
    <w:p w14:paraId="7A11192D" w14:textId="77777777" w:rsidR="00FC26ED" w:rsidRDefault="00FC26ED" w:rsidP="00FC26ED">
      <w:pPr>
        <w:rPr>
          <w:rFonts w:eastAsia="Calibri"/>
          <w:lang w:eastAsia="en-US"/>
        </w:rPr>
      </w:pPr>
      <w:r>
        <w:rPr>
          <w:rFonts w:eastAsia="Calibri"/>
          <w:lang w:eastAsia="en-US"/>
        </w:rPr>
        <w:t>For the product Insect Repellent Pump Spray Lice IR3535</w:t>
      </w:r>
      <w:r>
        <w:rPr>
          <w:rFonts w:eastAsia="Calibri"/>
          <w:vertAlign w:val="superscript"/>
          <w:lang w:eastAsia="en-US"/>
        </w:rPr>
        <w:t>®</w:t>
      </w:r>
      <w:r>
        <w:rPr>
          <w:rFonts w:eastAsia="Calibri"/>
          <w:lang w:eastAsia="en-US"/>
        </w:rPr>
        <w:t xml:space="preserve"> 20 % no new studies or additional information for the environment have been provided. The active substance contained in this product is the same as evaluated in the CAR for IR3535 and therefore no new data/information on the active substance is required.</w:t>
      </w:r>
    </w:p>
    <w:p w14:paraId="7CFFC96E" w14:textId="2B2B186C" w:rsidR="00F345FA" w:rsidRDefault="008B55EC" w:rsidP="008B55EC">
      <w:pPr>
        <w:pStyle w:val="Titre4"/>
      </w:pPr>
      <w:bookmarkStart w:id="259" w:name="_Toc93326581"/>
      <w:r>
        <w:t>Effects assessment on the environment</w:t>
      </w:r>
      <w:bookmarkEnd w:id="259"/>
    </w:p>
    <w:p w14:paraId="055C4291" w14:textId="77777777" w:rsidR="001024E3" w:rsidRPr="009461FB" w:rsidRDefault="001024E3" w:rsidP="001024E3">
      <w:pPr>
        <w:pStyle w:val="Paragraphedeliste"/>
        <w:numPr>
          <w:ilvl w:val="0"/>
          <w:numId w:val="68"/>
        </w:numPr>
        <w:rPr>
          <w:b/>
        </w:rPr>
      </w:pPr>
      <w:r w:rsidRPr="009461FB">
        <w:rPr>
          <w:b/>
        </w:rPr>
        <w:t>FIRST AUTHORISATION – 2017 (BE CA)</w:t>
      </w:r>
    </w:p>
    <w:p w14:paraId="2F54C3FF" w14:textId="77777777" w:rsidR="001024E3" w:rsidRPr="001024E3" w:rsidRDefault="001024E3" w:rsidP="001024E3">
      <w:pPr>
        <w:rPr>
          <w:lang w:eastAsia="en-US"/>
        </w:rPr>
      </w:pPr>
    </w:p>
    <w:p w14:paraId="7BDF8B5A" w14:textId="77777777" w:rsidR="00FC26ED" w:rsidRDefault="00FC26ED" w:rsidP="00FC26ED">
      <w:pPr>
        <w:rPr>
          <w:rFonts w:eastAsia="Calibri"/>
          <w:lang w:eastAsia="en-US"/>
        </w:rPr>
      </w:pPr>
      <w:r>
        <w:rPr>
          <w:rFonts w:eastAsia="Calibri"/>
          <w:lang w:eastAsia="en-US"/>
        </w:rPr>
        <w:t>All data used for the effect assessment of Insect Repellent Pump Spray Lice IR3535</w:t>
      </w:r>
      <w:r>
        <w:rPr>
          <w:rFonts w:eastAsia="Calibri"/>
          <w:vertAlign w:val="superscript"/>
          <w:lang w:eastAsia="en-US"/>
        </w:rPr>
        <w:t>®</w:t>
      </w:r>
      <w:r>
        <w:rPr>
          <w:rFonts w:eastAsia="Calibri"/>
          <w:lang w:eastAsia="en-US"/>
        </w:rPr>
        <w:t xml:space="preserve"> 20% is based on the available information on the active substance IR3535, such as it is presented in its respective CAR. </w:t>
      </w:r>
    </w:p>
    <w:p w14:paraId="49F1E86A" w14:textId="77777777" w:rsidR="00FC26ED" w:rsidRDefault="00FC26ED" w:rsidP="00FC26ED">
      <w:pPr>
        <w:rPr>
          <w:rFonts w:eastAsia="Calibri"/>
          <w:lang w:eastAsia="en-US"/>
        </w:rPr>
      </w:pPr>
      <w:r>
        <w:rPr>
          <w:rFonts w:eastAsia="Calibri"/>
          <w:lang w:eastAsia="en-US"/>
        </w:rPr>
        <w:t xml:space="preserve">No new data relevant for the environmental evaluation, nor on the product, nor on the active substance, have been submitted. Apart from the active substance, the product does not contain any formulants that are of ecotoxicological concern. </w:t>
      </w:r>
      <w:r>
        <w:rPr>
          <w:rFonts w:eastAsia="Calibri"/>
          <w:lang w:eastAsia="en-US"/>
        </w:rPr>
        <w:br/>
        <w:t>An overview of the environmental fate and behaviour for the active substance, taken from the EU CAR, is presented in the first two titles below.</w:t>
      </w:r>
    </w:p>
    <w:p w14:paraId="606E19ED" w14:textId="52629915" w:rsidR="008B55EC" w:rsidRDefault="008B55EC" w:rsidP="008B55EC">
      <w:pPr>
        <w:pStyle w:val="Titre5"/>
        <w:numPr>
          <w:ilvl w:val="0"/>
          <w:numId w:val="0"/>
        </w:numPr>
        <w:rPr>
          <w:color w:val="538135" w:themeColor="accent6" w:themeShade="BF"/>
        </w:rPr>
      </w:pPr>
      <w:bookmarkStart w:id="260" w:name="_Toc93326582"/>
      <w:r w:rsidRPr="008A3D8E">
        <w:rPr>
          <w:color w:val="538135" w:themeColor="accent6" w:themeShade="BF"/>
        </w:rPr>
        <w:t>Environmental fate and behavior of the active substance</w:t>
      </w:r>
      <w:bookmarkEnd w:id="260"/>
    </w:p>
    <w:p w14:paraId="45EB5274" w14:textId="77777777" w:rsidR="001024E3" w:rsidRPr="009461FB" w:rsidRDefault="001024E3" w:rsidP="001024E3">
      <w:pPr>
        <w:pStyle w:val="Paragraphedeliste"/>
        <w:numPr>
          <w:ilvl w:val="0"/>
          <w:numId w:val="68"/>
        </w:numPr>
        <w:rPr>
          <w:b/>
        </w:rPr>
      </w:pPr>
      <w:r w:rsidRPr="009461FB">
        <w:rPr>
          <w:b/>
        </w:rPr>
        <w:t>FIRST AUTHORISATION – 2017 (BE CA)</w:t>
      </w:r>
    </w:p>
    <w:p w14:paraId="2B9798F7" w14:textId="77777777" w:rsidR="001024E3" w:rsidRPr="001024E3" w:rsidRDefault="001024E3" w:rsidP="001024E3">
      <w:pPr>
        <w:rPr>
          <w:lang w:val="en-US" w:eastAsia="en-US"/>
        </w:rPr>
      </w:pPr>
    </w:p>
    <w:p w14:paraId="7AE576C1" w14:textId="77777777" w:rsidR="00FC26ED" w:rsidRDefault="00FC26ED" w:rsidP="00FC26ED">
      <w:bookmarkStart w:id="261" w:name="_Toc389729099"/>
      <w:bookmarkStart w:id="262" w:name="_Toc403472784"/>
      <w:r>
        <w:t>IR3535</w:t>
      </w:r>
      <w:r>
        <w:rPr>
          <w:vertAlign w:val="superscript"/>
        </w:rPr>
        <w:t>®</w:t>
      </w:r>
      <w:r>
        <w:t xml:space="preserve"> is used in insect repellents (PT19) that are applied on uncovered human skin.  Products containing IR3535</w:t>
      </w:r>
      <w:r>
        <w:rPr>
          <w:vertAlign w:val="superscript"/>
        </w:rPr>
        <w:t>®</w:t>
      </w:r>
      <w:r>
        <w:t xml:space="preserve"> will be used indoors and outdoors.  However the main emission pathway to the environment is assumed to be indirect due to bathing and showering of treated people.  Based on the physico-chemical properties it is expected that the emissions primarily will affect the aquatic compartment.  </w:t>
      </w:r>
    </w:p>
    <w:p w14:paraId="5009CC43" w14:textId="77777777" w:rsidR="00FC26ED" w:rsidRDefault="00FC26ED" w:rsidP="00FC26ED"/>
    <w:p w14:paraId="22EE13D0" w14:textId="77777777" w:rsidR="00FC26ED" w:rsidRDefault="00FC26ED" w:rsidP="00FC26ED">
      <w:r>
        <w:t>IR3535</w:t>
      </w:r>
      <w:r>
        <w:rPr>
          <w:vertAlign w:val="superscript"/>
        </w:rPr>
        <w:t>®</w:t>
      </w:r>
      <w:r>
        <w:t xml:space="preserve"> is not ready biodegradable according to two screening tests, but in a Sewage Treatment Plant (STP) simulation test 99 % elimination was measured. In an aerobic water/sediment degradation study, IR3535</w:t>
      </w:r>
      <w:r>
        <w:rPr>
          <w:vertAlign w:val="superscript"/>
        </w:rPr>
        <w:sym w:font="Symbol" w:char="F0D2"/>
      </w:r>
      <w:r>
        <w:t xml:space="preserve"> was shown to remain mainly in the water phase. There it was first rapidly degraded to its free acid, after which this metabolite ultimately degraded after a lag phase. </w:t>
      </w:r>
    </w:p>
    <w:p w14:paraId="227AD480" w14:textId="77777777" w:rsidR="00FC26ED" w:rsidRDefault="00FC26ED" w:rsidP="00FC26ED"/>
    <w:p w14:paraId="5D370658" w14:textId="77777777" w:rsidR="00FC26ED" w:rsidRDefault="00FC26ED" w:rsidP="00FC26ED">
      <w:r>
        <w:t>No photolysis was observed in water and hydrolysis only occurred slowly under alkaline conditions (DT</w:t>
      </w:r>
      <w:r>
        <w:rPr>
          <w:vertAlign w:val="subscript"/>
        </w:rPr>
        <w:t>50</w:t>
      </w:r>
      <w:r>
        <w:t xml:space="preserve"> = 176.5 h at 25 °C and pH 9 or 866.13 h at 12 °C).  Under acidic and neutral conditions IR3535</w:t>
      </w:r>
      <w:r>
        <w:rPr>
          <w:vertAlign w:val="superscript"/>
        </w:rPr>
        <w:t>®</w:t>
      </w:r>
      <w:r>
        <w:t xml:space="preserve"> is hydrolytically stable.</w:t>
      </w:r>
    </w:p>
    <w:p w14:paraId="22FB41A0" w14:textId="77777777" w:rsidR="00FC26ED" w:rsidRDefault="00FC26ED" w:rsidP="00FC26ED"/>
    <w:p w14:paraId="1C1160EF" w14:textId="77777777" w:rsidR="00FC26ED" w:rsidRDefault="00FC26ED" w:rsidP="00FC26ED">
      <w:r>
        <w:t>The vapour pressure of IR3535</w:t>
      </w:r>
      <w:r>
        <w:rPr>
          <w:vertAlign w:val="superscript"/>
        </w:rPr>
        <w:t>®</w:t>
      </w:r>
      <w:r>
        <w:t xml:space="preserve"> is low (0.15 Pa at 20 °C) which results in low exposure to the atmosphere. The half-life of IR3535</w:t>
      </w:r>
      <w:r>
        <w:rPr>
          <w:vertAlign w:val="superscript"/>
        </w:rPr>
        <w:t>®</w:t>
      </w:r>
      <w:r>
        <w:t xml:space="preserve"> in air was calculated to be about 0.5482 days or 13.16 hours due to reaction with OH-radicals (24-hr day).  Thus, accumulation of IR3535</w:t>
      </w:r>
      <w:r>
        <w:rPr>
          <w:vertAlign w:val="superscript"/>
        </w:rPr>
        <w:t>®</w:t>
      </w:r>
      <w:r>
        <w:t xml:space="preserve"> in air and long range transport is unlikely. </w:t>
      </w:r>
    </w:p>
    <w:p w14:paraId="61C06114" w14:textId="77777777" w:rsidR="00FC26ED" w:rsidRDefault="00FC26ED" w:rsidP="00FC26ED">
      <w:r>
        <w:t xml:space="preserve"> </w:t>
      </w:r>
    </w:p>
    <w:p w14:paraId="2C591535" w14:textId="77777777" w:rsidR="00FC26ED" w:rsidRDefault="00FC26ED" w:rsidP="00FC26ED">
      <w:r>
        <w:t>IR3535</w:t>
      </w:r>
      <w:r>
        <w:rPr>
          <w:vertAlign w:val="superscript"/>
        </w:rPr>
        <w:t>®</w:t>
      </w:r>
      <w:r>
        <w:t xml:space="preserve"> is a liquid at room temperature and the solubility in water is 70 g/L (at 20 °C).  The log P</w:t>
      </w:r>
      <w:r>
        <w:rPr>
          <w:vertAlign w:val="subscript"/>
        </w:rPr>
        <w:t>ow</w:t>
      </w:r>
      <w:r>
        <w:t xml:space="preserve"> is 1.7 (at 23-24 °C) indicating that IR3535</w:t>
      </w:r>
      <w:r>
        <w:rPr>
          <w:vertAlign w:val="superscript"/>
        </w:rPr>
        <w:t>®</w:t>
      </w:r>
      <w:r>
        <w:t xml:space="preserve"> has a low potential for bioaccumulation. </w:t>
      </w:r>
    </w:p>
    <w:p w14:paraId="708F5D08" w14:textId="77777777" w:rsidR="00FC26ED" w:rsidRDefault="00FC26ED" w:rsidP="00FC26ED"/>
    <w:p w14:paraId="46F0E063" w14:textId="77777777" w:rsidR="00FC26ED" w:rsidRDefault="00FC26ED" w:rsidP="00FC26ED">
      <w:r>
        <w:t>Based on the adsorption/desorption test a mean (arithmetic) K</w:t>
      </w:r>
      <w:r>
        <w:rPr>
          <w:vertAlign w:val="subscript"/>
        </w:rPr>
        <w:t>oc</w:t>
      </w:r>
      <w:r>
        <w:t xml:space="preserve"> form 475.25 L/kg was registered.</w:t>
      </w:r>
    </w:p>
    <w:p w14:paraId="21DCFFC5" w14:textId="144517D1" w:rsidR="00FC26ED" w:rsidRDefault="00FC26ED" w:rsidP="00FC26ED">
      <w:pPr>
        <w:pStyle w:val="Titre5"/>
        <w:numPr>
          <w:ilvl w:val="0"/>
          <w:numId w:val="0"/>
        </w:numPr>
        <w:rPr>
          <w:color w:val="538135" w:themeColor="accent6" w:themeShade="BF"/>
        </w:rPr>
      </w:pPr>
      <w:bookmarkStart w:id="263" w:name="_Toc93326583"/>
      <w:r w:rsidRPr="008A3D8E">
        <w:rPr>
          <w:color w:val="538135" w:themeColor="accent6" w:themeShade="BF"/>
        </w:rPr>
        <w:t>Effect assessment of the active substance</w:t>
      </w:r>
      <w:bookmarkEnd w:id="263"/>
    </w:p>
    <w:p w14:paraId="1A349029" w14:textId="77777777" w:rsidR="001024E3" w:rsidRPr="009461FB" w:rsidRDefault="001024E3" w:rsidP="001024E3">
      <w:pPr>
        <w:pStyle w:val="Paragraphedeliste"/>
        <w:numPr>
          <w:ilvl w:val="0"/>
          <w:numId w:val="68"/>
        </w:numPr>
        <w:rPr>
          <w:b/>
        </w:rPr>
      </w:pPr>
      <w:r w:rsidRPr="009461FB">
        <w:rPr>
          <w:b/>
        </w:rPr>
        <w:t>FIRST AUTHORISATION – 2017 (BE CA)</w:t>
      </w:r>
    </w:p>
    <w:p w14:paraId="39AF6AF8" w14:textId="77777777" w:rsidR="001024E3" w:rsidRPr="001024E3" w:rsidRDefault="001024E3" w:rsidP="001024E3">
      <w:pPr>
        <w:rPr>
          <w:lang w:val="en-US" w:eastAsia="en-US"/>
        </w:rPr>
      </w:pPr>
    </w:p>
    <w:p w14:paraId="364CFF2F" w14:textId="77777777" w:rsidR="00FC26ED" w:rsidRDefault="00FC26ED" w:rsidP="00FC26ED">
      <w:r>
        <w:t>No toxic effects where observed during the acute toxicity studies on fish (</w:t>
      </w:r>
      <w:r>
        <w:rPr>
          <w:i/>
        </w:rPr>
        <w:t>Brachydanio rerio</w:t>
      </w:r>
      <w:r>
        <w:t xml:space="preserve">), </w:t>
      </w:r>
      <w:r>
        <w:rPr>
          <w:i/>
        </w:rPr>
        <w:t>Daphnia magna</w:t>
      </w:r>
      <w:r>
        <w:t xml:space="preserve"> and algae (</w:t>
      </w:r>
      <w:r>
        <w:rPr>
          <w:i/>
        </w:rPr>
        <w:t>Desmodesmus subspicatus</w:t>
      </w:r>
      <w:r>
        <w:t>) (LC</w:t>
      </w:r>
      <w:r>
        <w:rPr>
          <w:vertAlign w:val="subscript"/>
        </w:rPr>
        <w:t>50</w:t>
      </w:r>
      <w:r>
        <w:t xml:space="preserve"> &gt;100 mg/L).  Therefore IR3535</w:t>
      </w:r>
      <w:r>
        <w:rPr>
          <w:vertAlign w:val="superscript"/>
        </w:rPr>
        <w:t>®</w:t>
      </w:r>
      <w:r>
        <w:t xml:space="preserve"> is considered as not toxic for the aquatic environment. </w:t>
      </w:r>
    </w:p>
    <w:p w14:paraId="42E68704" w14:textId="77777777" w:rsidR="00FC26ED" w:rsidRDefault="00FC26ED" w:rsidP="00FC26ED"/>
    <w:p w14:paraId="20D66F3C" w14:textId="77777777" w:rsidR="00FC26ED" w:rsidRDefault="00FC26ED" w:rsidP="00FC26ED">
      <w:r>
        <w:t>The effect on aerobic biological sewage treatment processes was assessed by determining inhibition of respiration of the micro-organisms present in activated sludge following 3 hours contact.  No inhibitory effect on aquatic microbial activity was registered for IR3535</w:t>
      </w:r>
      <w:r>
        <w:rPr>
          <w:vertAlign w:val="superscript"/>
        </w:rPr>
        <w:t>®</w:t>
      </w:r>
      <w:r>
        <w:t xml:space="preserve"> (EC</w:t>
      </w:r>
      <w:r>
        <w:rPr>
          <w:vertAlign w:val="subscript"/>
        </w:rPr>
        <w:t>50</w:t>
      </w:r>
      <w:r>
        <w:t xml:space="preserve"> &gt; 1000 mg/L).</w:t>
      </w:r>
    </w:p>
    <w:p w14:paraId="5D760EE9" w14:textId="77777777" w:rsidR="00FC26ED" w:rsidRDefault="00FC26ED" w:rsidP="00FC26ED"/>
    <w:p w14:paraId="1526F0BD" w14:textId="77777777" w:rsidR="00FC26ED" w:rsidRDefault="00FC26ED" w:rsidP="00FC26ED">
      <w:r>
        <w:t xml:space="preserve">Long term aquatic tests were not required because no acute toxicity was observed for the aquatic environment and the substance is primarily emitted to the STP before reaching the aquatic environment.  Besides the Sewage Treatment Plant (STP) simulation test showed an elimination of 99 % in the STP.  </w:t>
      </w:r>
    </w:p>
    <w:p w14:paraId="11EE5250" w14:textId="77777777" w:rsidR="00FC26ED" w:rsidRDefault="00FC26ED" w:rsidP="00FC26ED"/>
    <w:p w14:paraId="7ED87DC2" w14:textId="77777777" w:rsidR="00FC26ED" w:rsidRDefault="00FC26ED" w:rsidP="00FC26ED">
      <w:r>
        <w:t xml:space="preserve">No marine species were tested based on the presence of studies performed on freshwater species, all suggesting low toxicity and because no major emissions to the marine environment are expected.  </w:t>
      </w:r>
    </w:p>
    <w:p w14:paraId="525D6C3E" w14:textId="77777777" w:rsidR="00FC26ED" w:rsidRDefault="00FC26ED" w:rsidP="00FC26ED"/>
    <w:p w14:paraId="650E6E99" w14:textId="77777777" w:rsidR="00FC26ED" w:rsidRDefault="00FC26ED" w:rsidP="00FC26ED">
      <w:r>
        <w:t xml:space="preserve">In the absence of any long-term toxicity endpoints and marine data, the TGD on Risk Assessment prescribes an assessment factor of 1000 for the freshwater environment and 10000 for the marine environment.  </w:t>
      </w:r>
    </w:p>
    <w:p w14:paraId="75B5C8E2" w14:textId="77777777" w:rsidR="00FC26ED" w:rsidRDefault="00FC26ED" w:rsidP="00FC26ED"/>
    <w:p w14:paraId="59E8761E" w14:textId="77777777" w:rsidR="00FC26ED" w:rsidRDefault="00FC26ED" w:rsidP="00FC26ED">
      <w:r>
        <w:t>For the sediment compartment, there are also no toxicity data available.  The PNEC</w:t>
      </w:r>
      <w:r>
        <w:rPr>
          <w:vertAlign w:val="subscript"/>
        </w:rPr>
        <w:t>sediment</w:t>
      </w:r>
      <w:r>
        <w:t xml:space="preserve"> was calculated based on equilibrium partitioning method and PNEC</w:t>
      </w:r>
      <w:r>
        <w:rPr>
          <w:vertAlign w:val="subscript"/>
        </w:rPr>
        <w:t>water</w:t>
      </w:r>
      <w:r>
        <w:t xml:space="preserve">.  </w:t>
      </w:r>
    </w:p>
    <w:p w14:paraId="46084C04" w14:textId="77777777" w:rsidR="00FC26ED" w:rsidRDefault="00FC26ED" w:rsidP="00FC26ED"/>
    <w:p w14:paraId="47591D9A" w14:textId="77777777" w:rsidR="00FC26ED" w:rsidRDefault="00FC26ED" w:rsidP="00FC26ED">
      <w:r>
        <w:t>No terrestrial toxicity tests were performed for IR3535</w:t>
      </w:r>
      <w:r>
        <w:rPr>
          <w:vertAlign w:val="superscript"/>
        </w:rPr>
        <w:t>®</w:t>
      </w:r>
      <w:r>
        <w:t>.  Due to the method of application directly on the skin only limited and very local emissions to the soil are expected.  IR3535</w:t>
      </w:r>
      <w:r>
        <w:rPr>
          <w:vertAlign w:val="superscript"/>
        </w:rPr>
        <w:t>®</w:t>
      </w:r>
      <w:r>
        <w:t xml:space="preserve"> is not likely to become accumulated in the soil in large amounts.  PNEC</w:t>
      </w:r>
      <w:r>
        <w:rPr>
          <w:vertAlign w:val="subscript"/>
        </w:rPr>
        <w:t>soil</w:t>
      </w:r>
      <w:r>
        <w:t xml:space="preserve"> has been calculated based on the equilibrium partitioning method.  </w:t>
      </w:r>
    </w:p>
    <w:p w14:paraId="40D18938" w14:textId="77777777" w:rsidR="00FC26ED" w:rsidRDefault="00FC26ED" w:rsidP="00FC26ED"/>
    <w:p w14:paraId="4189EEE1" w14:textId="77777777" w:rsidR="00FC26ED" w:rsidRDefault="00FC26ED" w:rsidP="00FC26ED">
      <w:r>
        <w:t>The physicochemical properties of IR3535</w:t>
      </w:r>
      <w:r>
        <w:rPr>
          <w:vertAlign w:val="superscript"/>
        </w:rPr>
        <w:t>®</w:t>
      </w:r>
      <w:r>
        <w:t xml:space="preserve"> do not suggest that this substance will pose a risk to the atmospheric environment.  Therefore no PNECs where calculated for this compartment. </w:t>
      </w:r>
    </w:p>
    <w:p w14:paraId="639DF6CB" w14:textId="77777777" w:rsidR="00FC26ED" w:rsidRDefault="00FC26ED" w:rsidP="00FC26ED"/>
    <w:p w14:paraId="3E11A768" w14:textId="77777777" w:rsidR="00FC26ED" w:rsidRDefault="00FC26ED" w:rsidP="00FC26ED">
      <w:r>
        <w:t>The low BCF values suggest that IR3535</w:t>
      </w:r>
      <w:r>
        <w:rPr>
          <w:vertAlign w:val="superscript"/>
        </w:rPr>
        <w:t>®</w:t>
      </w:r>
      <w:r>
        <w:t xml:space="preserve"> has a low bioaccumulation potential. Therefore the risk of secondary poisoning via ingestion of contaminated food (eg. earthworms or fish) by birds or mammals is also low and no avian dietary tests were required.</w:t>
      </w:r>
    </w:p>
    <w:p w14:paraId="46501C91" w14:textId="77777777" w:rsidR="00FC26ED" w:rsidRDefault="00FC26ED" w:rsidP="00FC26ED"/>
    <w:tbl>
      <w:tblPr>
        <w:tblW w:w="0" w:type="auto"/>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790"/>
        <w:gridCol w:w="4540"/>
      </w:tblGrid>
      <w:tr w:rsidR="00FC26ED" w:rsidRPr="004947C2" w14:paraId="592897DF" w14:textId="77777777" w:rsidTr="00A0626E">
        <w:tc>
          <w:tcPr>
            <w:tcW w:w="9330" w:type="dxa"/>
            <w:gridSpan w:val="2"/>
            <w:tcBorders>
              <w:top w:val="single" w:sz="4" w:space="0" w:color="auto"/>
              <w:left w:val="single" w:sz="4" w:space="0" w:color="auto"/>
              <w:bottom w:val="single" w:sz="4" w:space="0" w:color="auto"/>
              <w:right w:val="single" w:sz="6" w:space="0" w:color="auto"/>
            </w:tcBorders>
            <w:shd w:val="clear" w:color="auto" w:fill="FFFFCC"/>
            <w:hideMark/>
          </w:tcPr>
          <w:p w14:paraId="0A64D413" w14:textId="77777777" w:rsidR="00FC26ED" w:rsidRPr="004947C2" w:rsidRDefault="00FC26ED" w:rsidP="00A0626E">
            <w:pPr>
              <w:pStyle w:val="Standaard-Tabellen"/>
              <w:rPr>
                <w:rFonts w:eastAsia="Calibri"/>
                <w:b/>
                <w:lang w:val="en-US"/>
              </w:rPr>
            </w:pPr>
            <w:r w:rsidRPr="004947C2">
              <w:rPr>
                <w:rFonts w:eastAsia="Calibri"/>
                <w:b/>
                <w:lang w:val="en-US"/>
              </w:rPr>
              <w:t>Summary of PNEC values for the active substance</w:t>
            </w:r>
          </w:p>
        </w:tc>
      </w:tr>
      <w:tr w:rsidR="00FC26ED" w:rsidRPr="004947C2" w14:paraId="1A8629C6" w14:textId="77777777" w:rsidTr="00A0626E">
        <w:tc>
          <w:tcPr>
            <w:tcW w:w="4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571DFB" w14:textId="77777777" w:rsidR="00FC26ED" w:rsidRPr="004947C2" w:rsidRDefault="00FC26ED" w:rsidP="00A0626E">
            <w:pPr>
              <w:pStyle w:val="Standaard-Tabellen"/>
              <w:rPr>
                <w:rFonts w:eastAsia="Calibri"/>
                <w:b/>
                <w:lang w:val="en-US" w:eastAsia="en-US"/>
              </w:rPr>
            </w:pPr>
            <w:r w:rsidRPr="004947C2">
              <w:rPr>
                <w:rFonts w:eastAsia="Calibri"/>
                <w:b/>
                <w:lang w:val="en-US" w:eastAsia="en-US"/>
              </w:rPr>
              <w:t>Compartment</w:t>
            </w:r>
          </w:p>
        </w:tc>
        <w:tc>
          <w:tcPr>
            <w:tcW w:w="4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25E319" w14:textId="77777777" w:rsidR="00FC26ED" w:rsidRPr="004947C2" w:rsidRDefault="00FC26ED" w:rsidP="00A0626E">
            <w:pPr>
              <w:pStyle w:val="Standaard-Tabellen"/>
              <w:rPr>
                <w:rFonts w:eastAsia="Calibri"/>
                <w:b/>
                <w:lang w:eastAsia="en-US"/>
              </w:rPr>
            </w:pPr>
            <w:r w:rsidRPr="004947C2">
              <w:rPr>
                <w:rFonts w:eastAsia="Calibri"/>
                <w:b/>
                <w:lang w:eastAsia="en-US"/>
              </w:rPr>
              <w:t>PNEC value</w:t>
            </w:r>
          </w:p>
        </w:tc>
      </w:tr>
      <w:tr w:rsidR="00FC26ED" w14:paraId="3898012A" w14:textId="77777777" w:rsidTr="00A0626E">
        <w:tc>
          <w:tcPr>
            <w:tcW w:w="4790" w:type="dxa"/>
            <w:tcBorders>
              <w:top w:val="single" w:sz="4" w:space="0" w:color="auto"/>
              <w:left w:val="single" w:sz="4" w:space="0" w:color="auto"/>
              <w:bottom w:val="single" w:sz="4" w:space="0" w:color="auto"/>
              <w:right w:val="single" w:sz="4" w:space="0" w:color="auto"/>
            </w:tcBorders>
            <w:vAlign w:val="center"/>
            <w:hideMark/>
          </w:tcPr>
          <w:p w14:paraId="27FD55CA" w14:textId="77777777" w:rsidR="00FC26ED" w:rsidRDefault="00FC26ED" w:rsidP="00A0626E">
            <w:pPr>
              <w:pStyle w:val="Standaard-Tabellen"/>
              <w:rPr>
                <w:rFonts w:eastAsia="Calibri"/>
                <w:lang w:val="en-US" w:eastAsia="en-US"/>
              </w:rPr>
            </w:pPr>
            <w:r>
              <w:t>PNEC</w:t>
            </w:r>
            <w:r>
              <w:rPr>
                <w:vertAlign w:val="subscript"/>
              </w:rPr>
              <w:t>aquatic</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CD0FD73" w14:textId="77777777" w:rsidR="00FC26ED" w:rsidRDefault="00FC26ED" w:rsidP="00A0626E">
            <w:pPr>
              <w:pStyle w:val="Standaard-Tabellen"/>
              <w:rPr>
                <w:rFonts w:eastAsia="Calibri"/>
                <w:lang w:eastAsia="en-US"/>
              </w:rPr>
            </w:pPr>
            <w:r>
              <w:t>&gt; 0.1 mg/l</w:t>
            </w:r>
          </w:p>
        </w:tc>
      </w:tr>
      <w:tr w:rsidR="00FC26ED" w14:paraId="646D4B94" w14:textId="77777777" w:rsidTr="00A0626E">
        <w:tc>
          <w:tcPr>
            <w:tcW w:w="4790" w:type="dxa"/>
            <w:tcBorders>
              <w:top w:val="single" w:sz="4" w:space="0" w:color="auto"/>
              <w:left w:val="single" w:sz="4" w:space="0" w:color="auto"/>
              <w:bottom w:val="single" w:sz="4" w:space="0" w:color="auto"/>
              <w:right w:val="single" w:sz="4" w:space="0" w:color="auto"/>
            </w:tcBorders>
            <w:vAlign w:val="center"/>
            <w:hideMark/>
          </w:tcPr>
          <w:p w14:paraId="3A7180AD" w14:textId="77777777" w:rsidR="00FC26ED" w:rsidRDefault="00FC26ED" w:rsidP="00A0626E">
            <w:pPr>
              <w:pStyle w:val="Standaard-Tabellen"/>
              <w:rPr>
                <w:rFonts w:eastAsia="Calibri"/>
                <w:lang w:val="en-US" w:eastAsia="en-US"/>
              </w:rPr>
            </w:pPr>
            <w:r>
              <w:t>PNEC</w:t>
            </w:r>
            <w:r>
              <w:rPr>
                <w:vertAlign w:val="subscript"/>
              </w:rPr>
              <w:t>sediment</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F622D36" w14:textId="77777777" w:rsidR="00FC26ED" w:rsidRDefault="00FC26ED" w:rsidP="00A0626E">
            <w:pPr>
              <w:pStyle w:val="Standaard-Tabellen"/>
              <w:rPr>
                <w:rFonts w:eastAsia="Calibri"/>
                <w:lang w:eastAsia="en-US"/>
              </w:rPr>
            </w:pPr>
            <w:r>
              <w:t>&gt; 1.11 mg/kg wwt</w:t>
            </w:r>
          </w:p>
        </w:tc>
      </w:tr>
      <w:tr w:rsidR="00FC26ED" w14:paraId="3A62CAED" w14:textId="77777777" w:rsidTr="00A0626E">
        <w:tc>
          <w:tcPr>
            <w:tcW w:w="4790" w:type="dxa"/>
            <w:tcBorders>
              <w:top w:val="single" w:sz="4" w:space="0" w:color="auto"/>
              <w:left w:val="single" w:sz="4" w:space="0" w:color="auto"/>
              <w:bottom w:val="single" w:sz="4" w:space="0" w:color="auto"/>
              <w:right w:val="single" w:sz="4" w:space="0" w:color="auto"/>
            </w:tcBorders>
            <w:vAlign w:val="center"/>
            <w:hideMark/>
          </w:tcPr>
          <w:p w14:paraId="4FF95A3C" w14:textId="77777777" w:rsidR="00FC26ED" w:rsidRDefault="00FC26ED" w:rsidP="00A0626E">
            <w:pPr>
              <w:pStyle w:val="Standaard-Tabellen"/>
              <w:rPr>
                <w:rFonts w:eastAsia="Calibri"/>
                <w:lang w:val="en-US" w:eastAsia="en-US"/>
              </w:rPr>
            </w:pPr>
            <w:r>
              <w:t>PNEC</w:t>
            </w:r>
            <w:r>
              <w:rPr>
                <w:vertAlign w:val="subscript"/>
              </w:rPr>
              <w:t>micro-organisms (STP)</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C079819" w14:textId="77777777" w:rsidR="00FC26ED" w:rsidRDefault="00FC26ED" w:rsidP="00A0626E">
            <w:pPr>
              <w:pStyle w:val="Standaard-Tabellen"/>
              <w:rPr>
                <w:rFonts w:eastAsia="Calibri"/>
                <w:lang w:eastAsia="en-US"/>
              </w:rPr>
            </w:pPr>
            <w:r>
              <w:t>100 mg/l</w:t>
            </w:r>
          </w:p>
        </w:tc>
      </w:tr>
      <w:tr w:rsidR="00FC26ED" w14:paraId="67FEA010" w14:textId="77777777" w:rsidTr="00A0626E">
        <w:tc>
          <w:tcPr>
            <w:tcW w:w="4790" w:type="dxa"/>
            <w:tcBorders>
              <w:top w:val="single" w:sz="4" w:space="0" w:color="auto"/>
              <w:left w:val="single" w:sz="4" w:space="0" w:color="auto"/>
              <w:bottom w:val="single" w:sz="4" w:space="0" w:color="auto"/>
              <w:right w:val="single" w:sz="4" w:space="0" w:color="auto"/>
            </w:tcBorders>
            <w:vAlign w:val="center"/>
            <w:hideMark/>
          </w:tcPr>
          <w:p w14:paraId="7B0FC9C0" w14:textId="77777777" w:rsidR="00FC26ED" w:rsidRDefault="00FC26ED" w:rsidP="00A0626E">
            <w:pPr>
              <w:pStyle w:val="Standaard-Tabellen"/>
              <w:rPr>
                <w:rFonts w:eastAsia="Calibri"/>
                <w:lang w:val="en-US" w:eastAsia="en-US"/>
              </w:rPr>
            </w:pPr>
            <w:r>
              <w:t>PNEC</w:t>
            </w:r>
            <w:r>
              <w:rPr>
                <w:vertAlign w:val="subscript"/>
              </w:rPr>
              <w:t>soil</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7BBBAEB" w14:textId="77777777" w:rsidR="00FC26ED" w:rsidRDefault="00FC26ED" w:rsidP="00A0626E">
            <w:pPr>
              <w:pStyle w:val="Standaard-Tabellen"/>
              <w:rPr>
                <w:rFonts w:eastAsia="Calibri"/>
                <w:lang w:eastAsia="en-US"/>
              </w:rPr>
            </w:pPr>
            <w:r>
              <w:t>&gt; 0.85 mg/kg wwt</w:t>
            </w:r>
          </w:p>
        </w:tc>
      </w:tr>
      <w:tr w:rsidR="00FC26ED" w14:paraId="50A57323" w14:textId="77777777" w:rsidTr="00A0626E">
        <w:tc>
          <w:tcPr>
            <w:tcW w:w="4790" w:type="dxa"/>
            <w:tcBorders>
              <w:top w:val="single" w:sz="4" w:space="0" w:color="auto"/>
              <w:left w:val="single" w:sz="4" w:space="0" w:color="auto"/>
              <w:bottom w:val="single" w:sz="4" w:space="0" w:color="auto"/>
              <w:right w:val="single" w:sz="4" w:space="0" w:color="auto"/>
            </w:tcBorders>
            <w:vAlign w:val="center"/>
            <w:hideMark/>
          </w:tcPr>
          <w:p w14:paraId="2E4F65B9" w14:textId="77777777" w:rsidR="00FC26ED" w:rsidRDefault="00FC26ED" w:rsidP="00A0626E">
            <w:pPr>
              <w:pStyle w:val="Standaard-Tabellen"/>
              <w:rPr>
                <w:rFonts w:eastAsia="Calibri"/>
                <w:vertAlign w:val="subscript"/>
                <w:lang w:val="en-US" w:eastAsia="en-US"/>
              </w:rPr>
            </w:pPr>
            <w:r>
              <w:t>PNEC</w:t>
            </w:r>
            <w:r>
              <w:rPr>
                <w:vertAlign w:val="subscript"/>
              </w:rPr>
              <w:t>saltwater</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6FE30DE" w14:textId="77777777" w:rsidR="00FC26ED" w:rsidRDefault="00FC26ED" w:rsidP="00A0626E">
            <w:pPr>
              <w:pStyle w:val="Standaard-Tabellen"/>
              <w:rPr>
                <w:rFonts w:eastAsia="Calibri"/>
                <w:lang w:eastAsia="en-US"/>
              </w:rPr>
            </w:pPr>
            <w:r>
              <w:t>&gt; 0.01 mg/l</w:t>
            </w:r>
          </w:p>
        </w:tc>
      </w:tr>
      <w:tr w:rsidR="00FC26ED" w14:paraId="59F35208" w14:textId="77777777" w:rsidTr="00A0626E">
        <w:tc>
          <w:tcPr>
            <w:tcW w:w="4790" w:type="dxa"/>
            <w:tcBorders>
              <w:top w:val="single" w:sz="4" w:space="0" w:color="auto"/>
              <w:left w:val="single" w:sz="4" w:space="0" w:color="auto"/>
              <w:bottom w:val="single" w:sz="4" w:space="0" w:color="auto"/>
              <w:right w:val="single" w:sz="4" w:space="0" w:color="auto"/>
            </w:tcBorders>
            <w:vAlign w:val="center"/>
            <w:hideMark/>
          </w:tcPr>
          <w:p w14:paraId="763EF248" w14:textId="77777777" w:rsidR="00FC26ED" w:rsidRDefault="00FC26ED" w:rsidP="00A0626E">
            <w:pPr>
              <w:pStyle w:val="Standaard-Tabellen"/>
              <w:rPr>
                <w:rFonts w:eastAsia="Calibri"/>
                <w:lang w:val="en-US" w:eastAsia="en-US"/>
              </w:rPr>
            </w:pPr>
            <w:r>
              <w:t>PNEC</w:t>
            </w:r>
            <w:r>
              <w:rPr>
                <w:vertAlign w:val="subscript"/>
              </w:rPr>
              <w:t>marine-sediment</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7E1BBED" w14:textId="77777777" w:rsidR="00FC26ED" w:rsidRDefault="00FC26ED" w:rsidP="00A0626E">
            <w:pPr>
              <w:pStyle w:val="Standaard-Tabellen"/>
              <w:rPr>
                <w:rFonts w:eastAsia="Calibri"/>
                <w:lang w:eastAsia="en-US"/>
              </w:rPr>
            </w:pPr>
            <w:r>
              <w:t>&gt; 0.111 mg/kg wwt</w:t>
            </w:r>
          </w:p>
        </w:tc>
      </w:tr>
    </w:tbl>
    <w:p w14:paraId="669EDC10" w14:textId="77777777" w:rsidR="00FC26ED" w:rsidRDefault="00FC26ED" w:rsidP="00FC26ED"/>
    <w:p w14:paraId="776D45E0" w14:textId="77777777" w:rsidR="00980D6D" w:rsidRDefault="00980D6D">
      <w:pPr>
        <w:spacing w:before="0" w:after="160" w:line="259" w:lineRule="auto"/>
      </w:pPr>
      <w:r>
        <w:br w:type="page"/>
      </w:r>
    </w:p>
    <w:p w14:paraId="361E8A14" w14:textId="791E34FD" w:rsidR="00FC26ED" w:rsidRDefault="00FC26ED" w:rsidP="00D471B6">
      <w:pPr>
        <w:pStyle w:val="Titre5"/>
        <w:numPr>
          <w:ilvl w:val="0"/>
          <w:numId w:val="9"/>
        </w:numPr>
      </w:pPr>
      <w:bookmarkStart w:id="264" w:name="_Toc93326584"/>
      <w:bookmarkEnd w:id="261"/>
      <w:bookmarkEnd w:id="262"/>
      <w:r w:rsidRPr="00FD2055">
        <w:t>Information relating to the ecotoxicity of the biocidal product which is sufficient to enable a decision to be made concerning the classification of the product is required</w:t>
      </w:r>
      <w:bookmarkEnd w:id="264"/>
    </w:p>
    <w:p w14:paraId="33105478" w14:textId="77777777" w:rsidR="001024E3" w:rsidRPr="009461FB" w:rsidRDefault="001024E3" w:rsidP="001024E3">
      <w:pPr>
        <w:pStyle w:val="Paragraphedeliste"/>
        <w:numPr>
          <w:ilvl w:val="0"/>
          <w:numId w:val="68"/>
        </w:numPr>
        <w:rPr>
          <w:b/>
        </w:rPr>
      </w:pPr>
      <w:r w:rsidRPr="009461FB">
        <w:rPr>
          <w:b/>
        </w:rPr>
        <w:t>FIRST AUTHORISATION – 2017 (BE CA)</w:t>
      </w:r>
    </w:p>
    <w:p w14:paraId="16E3D1A3" w14:textId="77777777" w:rsidR="001024E3" w:rsidRPr="001024E3" w:rsidRDefault="001024E3" w:rsidP="001024E3">
      <w:pPr>
        <w:rPr>
          <w:lang w:val="en-US" w:eastAsia="en-US"/>
        </w:rPr>
      </w:pPr>
    </w:p>
    <w:p w14:paraId="4CA3E3BA" w14:textId="77777777" w:rsidR="00C66B9D" w:rsidRDefault="00C66B9D" w:rsidP="00C66B9D">
      <w:pPr>
        <w:rPr>
          <w:rFonts w:eastAsia="Calibri"/>
          <w:lang w:eastAsia="en-US"/>
        </w:rPr>
      </w:pPr>
      <w:bookmarkStart w:id="265" w:name="_Toc389729100"/>
      <w:bookmarkStart w:id="266" w:name="_Toc403472785"/>
      <w:r>
        <w:rPr>
          <w:rFonts w:eastAsia="Calibri"/>
          <w:lang w:eastAsia="en-US"/>
        </w:rPr>
        <w:t>The product does not contain any substance at such a concentration that it has an effect on the environmental classification of the product. No additional information on the biocidal product is required.</w:t>
      </w:r>
    </w:p>
    <w:p w14:paraId="466434D4" w14:textId="77777777" w:rsidR="00301C3F" w:rsidRDefault="00301C3F" w:rsidP="00C66B9D">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99"/>
      </w:tblGrid>
      <w:tr w:rsidR="00C66B9D" w:rsidRPr="00BD2EF1" w14:paraId="27CD7BDE" w14:textId="77777777" w:rsidTr="0084708F">
        <w:tc>
          <w:tcPr>
            <w:tcW w:w="5000" w:type="pct"/>
            <w:tcBorders>
              <w:top w:val="single" w:sz="4" w:space="0" w:color="auto"/>
              <w:left w:val="single" w:sz="4" w:space="0" w:color="auto"/>
              <w:bottom w:val="single" w:sz="6" w:space="0" w:color="auto"/>
              <w:right w:val="single" w:sz="6" w:space="0" w:color="auto"/>
            </w:tcBorders>
            <w:shd w:val="clear" w:color="auto" w:fill="CCFFCC"/>
          </w:tcPr>
          <w:p w14:paraId="0D4B9631" w14:textId="77777777" w:rsidR="00C66B9D" w:rsidRPr="00DA0346" w:rsidRDefault="00C66B9D" w:rsidP="0084708F">
            <w:pPr>
              <w:rPr>
                <w:rFonts w:eastAsia="Calibri"/>
                <w:b/>
              </w:rPr>
            </w:pPr>
            <w:r w:rsidRPr="00DA0346">
              <w:rPr>
                <w:rFonts w:eastAsia="Calibri"/>
                <w:b/>
              </w:rPr>
              <w:t xml:space="preserve">Conclusion on the </w:t>
            </w:r>
            <w:r>
              <w:rPr>
                <w:rFonts w:eastAsia="Calibri"/>
                <w:b/>
              </w:rPr>
              <w:t>environmental classification and labelling</w:t>
            </w:r>
            <w:r w:rsidRPr="00DA0346">
              <w:rPr>
                <w:rFonts w:eastAsia="Calibri"/>
                <w:b/>
              </w:rPr>
              <w:t xml:space="preserve"> of the product</w:t>
            </w:r>
          </w:p>
        </w:tc>
      </w:tr>
      <w:tr w:rsidR="00C66B9D" w:rsidRPr="00BD2EF1" w14:paraId="084BB632" w14:textId="77777777" w:rsidTr="0084708F">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115B19E" w14:textId="77777777" w:rsidR="00C66B9D" w:rsidRPr="00BD2EF1" w:rsidRDefault="00C66B9D" w:rsidP="0084708F">
            <w:pPr>
              <w:rPr>
                <w:rFonts w:eastAsia="Calibri"/>
              </w:rPr>
            </w:pPr>
            <w:r>
              <w:rPr>
                <w:rFonts w:eastAsia="Calibri"/>
                <w:lang w:eastAsia="en-US"/>
              </w:rPr>
              <w:t>Insect Repellent Pump Spray Lice IR3535</w:t>
            </w:r>
            <w:r w:rsidRPr="00407AC3">
              <w:rPr>
                <w:rFonts w:eastAsia="Calibri"/>
                <w:vertAlign w:val="superscript"/>
                <w:lang w:eastAsia="en-US"/>
              </w:rPr>
              <w:t>®</w:t>
            </w:r>
            <w:r>
              <w:rPr>
                <w:rFonts w:eastAsia="Calibri"/>
                <w:lang w:eastAsia="en-US"/>
              </w:rPr>
              <w:t xml:space="preserve"> 20% does not require any environmental classification or labelling. </w:t>
            </w:r>
          </w:p>
        </w:tc>
      </w:tr>
    </w:tbl>
    <w:p w14:paraId="5B994DB1" w14:textId="3C734467" w:rsidR="00FC26ED" w:rsidRDefault="00FC26ED" w:rsidP="00FC26ED">
      <w:pPr>
        <w:pStyle w:val="Titre5"/>
      </w:pPr>
      <w:bookmarkStart w:id="267" w:name="_Toc93326585"/>
      <w:r w:rsidRPr="00FD2055">
        <w:t>Further Ecotoxicological studies</w:t>
      </w:r>
      <w:bookmarkEnd w:id="265"/>
      <w:bookmarkEnd w:id="266"/>
      <w:bookmarkEnd w:id="267"/>
    </w:p>
    <w:p w14:paraId="37E31AB3" w14:textId="77777777" w:rsidR="001024E3" w:rsidRPr="009461FB" w:rsidRDefault="001024E3" w:rsidP="001024E3">
      <w:pPr>
        <w:pStyle w:val="Paragraphedeliste"/>
        <w:numPr>
          <w:ilvl w:val="0"/>
          <w:numId w:val="68"/>
        </w:numPr>
        <w:rPr>
          <w:b/>
        </w:rPr>
      </w:pPr>
      <w:r w:rsidRPr="009461FB">
        <w:rPr>
          <w:b/>
        </w:rPr>
        <w:t>FIRST AUTHORISATION – 2017 (BE CA)</w:t>
      </w:r>
    </w:p>
    <w:p w14:paraId="2D13EB93" w14:textId="77777777" w:rsidR="001024E3" w:rsidRPr="001024E3" w:rsidRDefault="001024E3" w:rsidP="001024E3">
      <w:pPr>
        <w:rPr>
          <w:lang w:val="en-US" w:eastAsia="en-US"/>
        </w:rPr>
      </w:pPr>
    </w:p>
    <w:p w14:paraId="23465B9D" w14:textId="77777777" w:rsidR="00FC26ED" w:rsidRDefault="00FC26ED" w:rsidP="00FC26ED">
      <w:pPr>
        <w:rPr>
          <w:rFonts w:eastAsia="Calibri"/>
          <w:lang w:eastAsia="en-US"/>
        </w:rPr>
      </w:pPr>
      <w:r>
        <w:rPr>
          <w:rFonts w:eastAsia="Calibri"/>
          <w:lang w:eastAsia="en-US"/>
        </w:rPr>
        <w:t>The assessment of the active substance in the CAR showed that there is no concern for the aquatic and terrestrial environment and thus no further ecotoxicological studies are required according to the CAR.</w:t>
      </w:r>
    </w:p>
    <w:p w14:paraId="5D35677B" w14:textId="77777777" w:rsidR="00FC26ED" w:rsidRDefault="00FC26ED" w:rsidP="00FC26ED">
      <w:pPr>
        <w:rPr>
          <w:rFonts w:eastAsia="Calibri"/>
          <w:lang w:eastAsia="en-US"/>
        </w:rPr>
      </w:pPr>
    </w:p>
    <w:p w14:paraId="64CFC488" w14:textId="77777777" w:rsidR="00FC26ED" w:rsidRDefault="00FC26ED" w:rsidP="00FC26ED">
      <w:pPr>
        <w:rPr>
          <w:rFonts w:eastAsia="Calibri"/>
          <w:lang w:eastAsia="en-US"/>
        </w:rPr>
      </w:pPr>
      <w:r>
        <w:rPr>
          <w:rFonts w:eastAsia="Calibri"/>
          <w:lang w:eastAsia="en-US"/>
        </w:rPr>
        <w:t>For this particular product, there is no direct exposure to the environment and the product does not contain formulants other than the active substance that could be of ecotoxicological concern, thus the data on the active substance are sufficient for the evaluation of the ecotoxicological effects of the biocidal product.</w:t>
      </w:r>
    </w:p>
    <w:p w14:paraId="11B36FFF" w14:textId="3EAAE985" w:rsidR="00FC26ED" w:rsidRDefault="00FC26ED" w:rsidP="00FC26ED">
      <w:pPr>
        <w:pStyle w:val="Titre5"/>
        <w:rPr>
          <w:color w:val="595959" w:themeColor="text1" w:themeTint="A6"/>
        </w:rPr>
      </w:pPr>
      <w:bookmarkStart w:id="268" w:name="_Toc389729101"/>
      <w:bookmarkStart w:id="269" w:name="_Toc403472786"/>
      <w:bookmarkStart w:id="270" w:name="_Toc93326586"/>
      <w:r w:rsidRPr="001F67A8">
        <w:rPr>
          <w:color w:val="595959" w:themeColor="text1" w:themeTint="A6"/>
        </w:rPr>
        <w:t>Effects on any other specific, non-target organisms (flora and fauna) believed to be at risk (ADS)</w:t>
      </w:r>
      <w:bookmarkEnd w:id="268"/>
      <w:bookmarkEnd w:id="269"/>
      <w:bookmarkEnd w:id="270"/>
    </w:p>
    <w:p w14:paraId="48085159" w14:textId="77777777" w:rsidR="001024E3" w:rsidRPr="009461FB" w:rsidRDefault="001024E3" w:rsidP="001024E3">
      <w:pPr>
        <w:pStyle w:val="Paragraphedeliste"/>
        <w:numPr>
          <w:ilvl w:val="0"/>
          <w:numId w:val="68"/>
        </w:numPr>
        <w:rPr>
          <w:b/>
        </w:rPr>
      </w:pPr>
      <w:r w:rsidRPr="009461FB">
        <w:rPr>
          <w:b/>
        </w:rPr>
        <w:t>FIRST AUTHORISATION – 2017 (BE CA)</w:t>
      </w:r>
    </w:p>
    <w:p w14:paraId="3DCD64EA" w14:textId="77777777" w:rsidR="001024E3" w:rsidRPr="001024E3" w:rsidRDefault="001024E3" w:rsidP="001024E3">
      <w:pPr>
        <w:rPr>
          <w:lang w:val="en-US" w:eastAsia="en-US"/>
        </w:rPr>
      </w:pPr>
    </w:p>
    <w:p w14:paraId="2BDC5444" w14:textId="77777777" w:rsidR="00FC26ED" w:rsidRPr="00FD2055" w:rsidRDefault="00FC26ED" w:rsidP="00FC26ED">
      <w:pPr>
        <w:rPr>
          <w:rFonts w:eastAsia="Calibri"/>
          <w:lang w:eastAsia="en-US"/>
        </w:rPr>
      </w:pPr>
      <w:r>
        <w:rPr>
          <w:rFonts w:eastAsia="Calibri"/>
          <w:lang w:eastAsia="en-US"/>
        </w:rPr>
        <w:t>No further data is available.</w:t>
      </w:r>
    </w:p>
    <w:p w14:paraId="3E998B3F" w14:textId="4C740D1D" w:rsidR="00FC26ED" w:rsidRDefault="00FC26ED" w:rsidP="00FC26ED">
      <w:pPr>
        <w:pStyle w:val="Titre5"/>
      </w:pPr>
      <w:bookmarkStart w:id="271" w:name="_Toc389729102"/>
      <w:bookmarkStart w:id="272" w:name="_Toc403472787"/>
      <w:bookmarkStart w:id="273" w:name="_Toc93326587"/>
      <w:r w:rsidRPr="00FD2055">
        <w:t>Supervised trials to assess risks to non-target organisms under field conditions</w:t>
      </w:r>
      <w:bookmarkEnd w:id="271"/>
      <w:bookmarkEnd w:id="272"/>
      <w:bookmarkEnd w:id="273"/>
    </w:p>
    <w:p w14:paraId="67D3BDCA" w14:textId="77777777" w:rsidR="001024E3" w:rsidRPr="009461FB" w:rsidRDefault="001024E3" w:rsidP="001024E3">
      <w:pPr>
        <w:pStyle w:val="Paragraphedeliste"/>
        <w:numPr>
          <w:ilvl w:val="0"/>
          <w:numId w:val="68"/>
        </w:numPr>
        <w:rPr>
          <w:b/>
        </w:rPr>
      </w:pPr>
      <w:r w:rsidRPr="009461FB">
        <w:rPr>
          <w:b/>
        </w:rPr>
        <w:t>FIRST AUTHORISATION – 2017 (BE CA)</w:t>
      </w:r>
    </w:p>
    <w:p w14:paraId="1B27EB9A" w14:textId="77777777" w:rsidR="001024E3" w:rsidRPr="001024E3" w:rsidRDefault="001024E3" w:rsidP="001024E3">
      <w:pPr>
        <w:rPr>
          <w:lang w:val="en-US" w:eastAsia="en-US"/>
        </w:rPr>
      </w:pPr>
    </w:p>
    <w:p w14:paraId="237FC1DC" w14:textId="77777777" w:rsidR="00FC26ED" w:rsidRDefault="00FC26ED" w:rsidP="00FC26ED">
      <w:pPr>
        <w:rPr>
          <w:rFonts w:eastAsia="Calibri"/>
          <w:lang w:eastAsia="en-US"/>
        </w:rPr>
      </w:pPr>
      <w:bookmarkStart w:id="274" w:name="_Toc389729103"/>
      <w:bookmarkStart w:id="275" w:name="_Toc403472788"/>
      <w:r>
        <w:rPr>
          <w:rFonts w:eastAsia="Calibri"/>
          <w:lang w:eastAsia="en-US"/>
        </w:rPr>
        <w:t>The product is not in the form of bait or granules, so nonesuch data is required.</w:t>
      </w:r>
    </w:p>
    <w:p w14:paraId="773CE3D1" w14:textId="0A0E9600" w:rsidR="00FC26ED" w:rsidRDefault="00FC26ED" w:rsidP="00FC26ED">
      <w:pPr>
        <w:pStyle w:val="Titre5"/>
      </w:pPr>
      <w:bookmarkStart w:id="276" w:name="_Toc93326588"/>
      <w:r w:rsidRPr="00FD2055">
        <w:t>Studies on acceptance by ingestion of the biocidal product by any non-target organisms thought to be at risk</w:t>
      </w:r>
      <w:bookmarkEnd w:id="274"/>
      <w:bookmarkEnd w:id="275"/>
      <w:bookmarkEnd w:id="276"/>
    </w:p>
    <w:p w14:paraId="19228AA7" w14:textId="77777777" w:rsidR="001024E3" w:rsidRPr="009461FB" w:rsidRDefault="001024E3" w:rsidP="001024E3">
      <w:pPr>
        <w:pStyle w:val="Paragraphedeliste"/>
        <w:numPr>
          <w:ilvl w:val="0"/>
          <w:numId w:val="68"/>
        </w:numPr>
        <w:rPr>
          <w:b/>
        </w:rPr>
      </w:pPr>
      <w:r w:rsidRPr="009461FB">
        <w:rPr>
          <w:b/>
        </w:rPr>
        <w:t>FIRST AUTHORISATION – 2017 (BE CA)</w:t>
      </w:r>
    </w:p>
    <w:p w14:paraId="6C9D2C74" w14:textId="77777777" w:rsidR="001024E3" w:rsidRPr="001024E3" w:rsidRDefault="001024E3" w:rsidP="001024E3">
      <w:pPr>
        <w:rPr>
          <w:lang w:val="en-US" w:eastAsia="en-US"/>
        </w:rPr>
      </w:pPr>
    </w:p>
    <w:p w14:paraId="75FCD364" w14:textId="77777777" w:rsidR="00FC26ED" w:rsidRDefault="00FC26ED" w:rsidP="00FC26ED">
      <w:pPr>
        <w:rPr>
          <w:rFonts w:eastAsia="Calibri"/>
          <w:lang w:eastAsia="en-US"/>
        </w:rPr>
      </w:pPr>
      <w:bookmarkStart w:id="277" w:name="_Toc389729104"/>
      <w:bookmarkStart w:id="278" w:name="_Toc403472789"/>
      <w:r>
        <w:rPr>
          <w:rFonts w:eastAsia="Calibri"/>
          <w:lang w:eastAsia="en-US"/>
        </w:rPr>
        <w:t>The product is not in the form of bait or granules, so nonesuch data is required.</w:t>
      </w:r>
    </w:p>
    <w:p w14:paraId="7F4696F0" w14:textId="3E2B2E60" w:rsidR="00FC26ED" w:rsidRDefault="00FC26ED" w:rsidP="00FC26ED">
      <w:pPr>
        <w:pStyle w:val="Titre5"/>
        <w:rPr>
          <w:color w:val="595959" w:themeColor="text1" w:themeTint="A6"/>
        </w:rPr>
      </w:pPr>
      <w:bookmarkStart w:id="279" w:name="_Toc93326589"/>
      <w:r w:rsidRPr="0074364C">
        <w:rPr>
          <w:color w:val="595959" w:themeColor="text1" w:themeTint="A6"/>
        </w:rPr>
        <w:t>Secondary ecological effect e.g. when a large proportion of a specific habitat type is treated (ADS)</w:t>
      </w:r>
      <w:bookmarkEnd w:id="277"/>
      <w:bookmarkEnd w:id="278"/>
      <w:bookmarkEnd w:id="279"/>
    </w:p>
    <w:p w14:paraId="3147FC96" w14:textId="77777777" w:rsidR="001024E3" w:rsidRPr="009461FB" w:rsidRDefault="001024E3" w:rsidP="001024E3">
      <w:pPr>
        <w:pStyle w:val="Paragraphedeliste"/>
        <w:numPr>
          <w:ilvl w:val="0"/>
          <w:numId w:val="68"/>
        </w:numPr>
        <w:rPr>
          <w:b/>
        </w:rPr>
      </w:pPr>
      <w:r w:rsidRPr="009461FB">
        <w:rPr>
          <w:b/>
        </w:rPr>
        <w:t>FIRST AUTHORISATION – 2017 (BE CA)</w:t>
      </w:r>
    </w:p>
    <w:p w14:paraId="199EF1F8" w14:textId="77777777" w:rsidR="001024E3" w:rsidRPr="001024E3" w:rsidRDefault="001024E3" w:rsidP="001024E3">
      <w:pPr>
        <w:rPr>
          <w:lang w:val="en-US" w:eastAsia="en-US"/>
        </w:rPr>
      </w:pPr>
    </w:p>
    <w:p w14:paraId="52197FE1" w14:textId="77777777" w:rsidR="00FC26ED" w:rsidRPr="00FD2055" w:rsidRDefault="00FC26ED" w:rsidP="00FC26ED">
      <w:pPr>
        <w:rPr>
          <w:rFonts w:eastAsia="Calibri"/>
          <w:lang w:eastAsia="en-US"/>
        </w:rPr>
      </w:pPr>
      <w:r>
        <w:rPr>
          <w:rFonts w:eastAsia="Calibri"/>
          <w:lang w:eastAsia="en-US"/>
        </w:rPr>
        <w:t>Not relevant.</w:t>
      </w:r>
    </w:p>
    <w:p w14:paraId="374BBCF8" w14:textId="5129B61A" w:rsidR="00FC26ED" w:rsidRDefault="00FC26ED" w:rsidP="00FC26ED">
      <w:pPr>
        <w:pStyle w:val="Titre5"/>
      </w:pPr>
      <w:bookmarkStart w:id="280" w:name="_Toc389729105"/>
      <w:bookmarkStart w:id="281" w:name="_Toc403472790"/>
      <w:bookmarkStart w:id="282" w:name="_Toc93326590"/>
      <w:r w:rsidRPr="00FD2055">
        <w:t>Foreseeable routes of entry into the environment on the basis of the use envisaged</w:t>
      </w:r>
      <w:bookmarkEnd w:id="280"/>
      <w:bookmarkEnd w:id="281"/>
      <w:bookmarkEnd w:id="282"/>
    </w:p>
    <w:p w14:paraId="6A4CC9E5" w14:textId="77777777" w:rsidR="001024E3" w:rsidRPr="009461FB" w:rsidRDefault="001024E3" w:rsidP="001024E3">
      <w:pPr>
        <w:pStyle w:val="Paragraphedeliste"/>
        <w:numPr>
          <w:ilvl w:val="0"/>
          <w:numId w:val="68"/>
        </w:numPr>
        <w:rPr>
          <w:b/>
        </w:rPr>
      </w:pPr>
      <w:r w:rsidRPr="009461FB">
        <w:rPr>
          <w:b/>
        </w:rPr>
        <w:t>FIRST AUTHORISATION – 2017 (BE CA)</w:t>
      </w:r>
    </w:p>
    <w:p w14:paraId="483BE2AE" w14:textId="77777777" w:rsidR="001024E3" w:rsidRPr="001024E3" w:rsidRDefault="001024E3" w:rsidP="001024E3">
      <w:pPr>
        <w:rPr>
          <w:lang w:val="en-US" w:eastAsia="en-US"/>
        </w:rPr>
      </w:pPr>
    </w:p>
    <w:p w14:paraId="6F9D54F3" w14:textId="77777777" w:rsidR="00FC26ED" w:rsidRDefault="00FC26ED" w:rsidP="00FC26ED">
      <w:pPr>
        <w:rPr>
          <w:rFonts w:eastAsia="Calibri"/>
          <w:lang w:eastAsia="en-US"/>
        </w:rPr>
      </w:pPr>
      <w:bookmarkStart w:id="283" w:name="_Toc389729106"/>
      <w:bookmarkStart w:id="284" w:name="_Toc403472791"/>
      <w:r>
        <w:rPr>
          <w:rFonts w:eastAsia="Calibri"/>
          <w:lang w:eastAsia="en-US"/>
        </w:rPr>
        <w:t>The foreseeable routes of entry into the environment have been described in the CAR for the active substance and are also valid for this product.</w:t>
      </w:r>
    </w:p>
    <w:p w14:paraId="01D0ECD6" w14:textId="77777777" w:rsidR="00FC26ED" w:rsidRDefault="00FC26ED" w:rsidP="00FC26ED">
      <w:pPr>
        <w:rPr>
          <w:rFonts w:eastAsia="Calibri"/>
          <w:lang w:eastAsia="en-US"/>
        </w:rPr>
      </w:pPr>
      <w:r>
        <w:rPr>
          <w:rFonts w:eastAsia="Calibri"/>
          <w:lang w:eastAsia="en-US"/>
        </w:rPr>
        <w:t xml:space="preserve">Direct release to soil is not considered relevant, whereas direct release to surface water (swimming lake scenario) is considered relevant, but was not yet assessed in the CAR due to the lack of an endorsed scenario. </w:t>
      </w:r>
    </w:p>
    <w:p w14:paraId="471A7947" w14:textId="77777777" w:rsidR="00FC26ED" w:rsidRDefault="00FC26ED" w:rsidP="00FC26ED">
      <w:pPr>
        <w:rPr>
          <w:rFonts w:eastAsia="Calibri"/>
          <w:lang w:eastAsia="en-US"/>
        </w:rPr>
      </w:pPr>
      <w:r>
        <w:rPr>
          <w:rFonts w:eastAsia="Calibri"/>
          <w:lang w:eastAsia="en-US"/>
        </w:rPr>
        <w:t>Secondary release via wastewater and STP through showering and bathing is also a relevant route of emission.</w:t>
      </w:r>
    </w:p>
    <w:p w14:paraId="5DAB60BA" w14:textId="437F8F22" w:rsidR="00FC26ED" w:rsidRDefault="00FC26ED" w:rsidP="00FC26ED">
      <w:pPr>
        <w:pStyle w:val="Titre5"/>
        <w:rPr>
          <w:color w:val="595959" w:themeColor="text1" w:themeTint="A6"/>
        </w:rPr>
      </w:pPr>
      <w:bookmarkStart w:id="285" w:name="_Toc93326591"/>
      <w:r w:rsidRPr="0074364C">
        <w:rPr>
          <w:color w:val="595959" w:themeColor="text1" w:themeTint="A6"/>
        </w:rPr>
        <w:t>Further studies on fate and behaviour in the environment (ADS)</w:t>
      </w:r>
      <w:bookmarkEnd w:id="283"/>
      <w:bookmarkEnd w:id="284"/>
      <w:bookmarkEnd w:id="285"/>
    </w:p>
    <w:p w14:paraId="7B144D12" w14:textId="77777777" w:rsidR="001024E3" w:rsidRPr="009461FB" w:rsidRDefault="001024E3" w:rsidP="001024E3">
      <w:pPr>
        <w:pStyle w:val="Paragraphedeliste"/>
        <w:numPr>
          <w:ilvl w:val="0"/>
          <w:numId w:val="68"/>
        </w:numPr>
        <w:rPr>
          <w:b/>
        </w:rPr>
      </w:pPr>
      <w:r w:rsidRPr="009461FB">
        <w:rPr>
          <w:b/>
        </w:rPr>
        <w:t>FIRST AUTHORISATION – 2017 (BE CA)</w:t>
      </w:r>
    </w:p>
    <w:p w14:paraId="0FA2EC76" w14:textId="77777777" w:rsidR="001024E3" w:rsidRPr="001024E3" w:rsidRDefault="001024E3" w:rsidP="001024E3">
      <w:pPr>
        <w:rPr>
          <w:lang w:val="en-US" w:eastAsia="en-US"/>
        </w:rPr>
      </w:pPr>
    </w:p>
    <w:p w14:paraId="12AA9870" w14:textId="77777777" w:rsidR="00FC26ED" w:rsidRDefault="00FC26ED" w:rsidP="00FC26ED">
      <w:pPr>
        <w:rPr>
          <w:rFonts w:eastAsia="Calibri"/>
          <w:lang w:eastAsia="en-US"/>
        </w:rPr>
      </w:pPr>
      <w:bookmarkStart w:id="286" w:name="_Toc388285334"/>
      <w:bookmarkStart w:id="287" w:name="_Toc388374383"/>
      <w:bookmarkStart w:id="288" w:name="_Toc388285335"/>
      <w:bookmarkStart w:id="289" w:name="_Toc388374384"/>
      <w:bookmarkStart w:id="290" w:name="_Toc389729107"/>
      <w:bookmarkStart w:id="291" w:name="_Toc403472792"/>
      <w:bookmarkEnd w:id="286"/>
      <w:bookmarkEnd w:id="287"/>
      <w:bookmarkEnd w:id="288"/>
      <w:bookmarkEnd w:id="289"/>
      <w:r>
        <w:rPr>
          <w:rFonts w:eastAsia="Calibri"/>
          <w:lang w:eastAsia="en-US"/>
        </w:rPr>
        <w:t>No new data was submitted or is required. Information on the active substance suffices for the environmental risk assessment of the product. Moreover, the product does not contain any other substances relevant for the environment apart from the active substance.</w:t>
      </w:r>
    </w:p>
    <w:p w14:paraId="35A6C480" w14:textId="3913F26B" w:rsidR="00FC26ED" w:rsidRDefault="00FC26ED" w:rsidP="00FC26ED">
      <w:pPr>
        <w:pStyle w:val="Titre5"/>
        <w:rPr>
          <w:color w:val="595959" w:themeColor="text1" w:themeTint="A6"/>
        </w:rPr>
      </w:pPr>
      <w:bookmarkStart w:id="292" w:name="_Toc93326592"/>
      <w:r w:rsidRPr="0074364C">
        <w:rPr>
          <w:color w:val="595959" w:themeColor="text1" w:themeTint="A6"/>
        </w:rPr>
        <w:t>Leaching behaviour (ADS)</w:t>
      </w:r>
      <w:bookmarkEnd w:id="290"/>
      <w:bookmarkEnd w:id="291"/>
      <w:bookmarkEnd w:id="292"/>
    </w:p>
    <w:p w14:paraId="094C3BA0" w14:textId="77777777" w:rsidR="001024E3" w:rsidRPr="009461FB" w:rsidRDefault="001024E3" w:rsidP="001024E3">
      <w:pPr>
        <w:pStyle w:val="Paragraphedeliste"/>
        <w:numPr>
          <w:ilvl w:val="0"/>
          <w:numId w:val="68"/>
        </w:numPr>
        <w:rPr>
          <w:b/>
        </w:rPr>
      </w:pPr>
      <w:r w:rsidRPr="009461FB">
        <w:rPr>
          <w:b/>
        </w:rPr>
        <w:t>FIRST AUTHORISATION – 2017 (BE CA)</w:t>
      </w:r>
    </w:p>
    <w:p w14:paraId="4D47CF1B" w14:textId="77777777" w:rsidR="001024E3" w:rsidRPr="001024E3" w:rsidRDefault="001024E3" w:rsidP="001024E3">
      <w:pPr>
        <w:rPr>
          <w:lang w:val="en-US" w:eastAsia="en-US"/>
        </w:rPr>
      </w:pPr>
    </w:p>
    <w:p w14:paraId="59CD24BC" w14:textId="77777777" w:rsidR="00FC26ED" w:rsidRDefault="00FC26ED" w:rsidP="00FC26ED">
      <w:pPr>
        <w:rPr>
          <w:rFonts w:eastAsia="Calibri"/>
          <w:lang w:eastAsia="en-US"/>
        </w:rPr>
      </w:pPr>
      <w:bookmarkStart w:id="293" w:name="_Toc389729108"/>
      <w:bookmarkStart w:id="294" w:name="_Toc403472793"/>
      <w:r>
        <w:rPr>
          <w:rFonts w:eastAsia="Calibri"/>
          <w:lang w:eastAsia="en-US"/>
        </w:rPr>
        <w:t>Not relevant.</w:t>
      </w:r>
    </w:p>
    <w:p w14:paraId="2E073004" w14:textId="1EFAA9DA" w:rsidR="00FC26ED" w:rsidRDefault="00FC26ED" w:rsidP="00FC26ED">
      <w:pPr>
        <w:pStyle w:val="Titre5"/>
        <w:rPr>
          <w:color w:val="595959" w:themeColor="text1" w:themeTint="A6"/>
        </w:rPr>
      </w:pPr>
      <w:bookmarkStart w:id="295" w:name="_Toc93326593"/>
      <w:r w:rsidRPr="0074364C">
        <w:rPr>
          <w:color w:val="595959" w:themeColor="text1" w:themeTint="A6"/>
        </w:rPr>
        <w:t>Testing for distribution and dissipation in soil (ADS)</w:t>
      </w:r>
      <w:bookmarkEnd w:id="293"/>
      <w:bookmarkEnd w:id="294"/>
      <w:bookmarkEnd w:id="295"/>
    </w:p>
    <w:p w14:paraId="4102A40F" w14:textId="77777777" w:rsidR="001024E3" w:rsidRPr="009461FB" w:rsidRDefault="001024E3" w:rsidP="001024E3">
      <w:pPr>
        <w:pStyle w:val="Paragraphedeliste"/>
        <w:numPr>
          <w:ilvl w:val="0"/>
          <w:numId w:val="68"/>
        </w:numPr>
        <w:rPr>
          <w:b/>
        </w:rPr>
      </w:pPr>
      <w:r w:rsidRPr="009461FB">
        <w:rPr>
          <w:b/>
        </w:rPr>
        <w:t>FIRST AUTHORISATION – 2017 (BE CA)</w:t>
      </w:r>
    </w:p>
    <w:p w14:paraId="1152D4AF" w14:textId="77777777" w:rsidR="001024E3" w:rsidRPr="001024E3" w:rsidRDefault="001024E3" w:rsidP="001024E3">
      <w:pPr>
        <w:rPr>
          <w:lang w:val="en-US" w:eastAsia="en-US"/>
        </w:rPr>
      </w:pPr>
    </w:p>
    <w:p w14:paraId="64C9DC9F" w14:textId="77777777" w:rsidR="00FC26ED" w:rsidRDefault="00FC26ED" w:rsidP="00FC26ED">
      <w:bookmarkStart w:id="296" w:name="_Toc389729109"/>
      <w:bookmarkStart w:id="297" w:name="_Toc403472794"/>
      <w:r>
        <w:t>Since there is no direct release to soil and the soil compartment is not envisioned as a compartment of interest in the evaluation of this product, nonesuch additional data is submitted or required.</w:t>
      </w:r>
    </w:p>
    <w:p w14:paraId="2F21B16E" w14:textId="7559ABDC" w:rsidR="00FC26ED" w:rsidRDefault="00FC26ED" w:rsidP="00FC26ED">
      <w:pPr>
        <w:pStyle w:val="Titre5"/>
        <w:rPr>
          <w:color w:val="595959" w:themeColor="text1" w:themeTint="A6"/>
        </w:rPr>
      </w:pPr>
      <w:bookmarkStart w:id="298" w:name="_Toc93326594"/>
      <w:r w:rsidRPr="0074364C">
        <w:rPr>
          <w:color w:val="595959" w:themeColor="text1" w:themeTint="A6"/>
        </w:rPr>
        <w:t>Testing for distribution and dissipation in water and sediment (ADS)</w:t>
      </w:r>
      <w:bookmarkEnd w:id="296"/>
      <w:bookmarkEnd w:id="297"/>
      <w:bookmarkEnd w:id="298"/>
    </w:p>
    <w:p w14:paraId="10FD3E15" w14:textId="77777777" w:rsidR="001024E3" w:rsidRPr="009461FB" w:rsidRDefault="001024E3" w:rsidP="001024E3">
      <w:pPr>
        <w:pStyle w:val="Paragraphedeliste"/>
        <w:numPr>
          <w:ilvl w:val="0"/>
          <w:numId w:val="68"/>
        </w:numPr>
        <w:rPr>
          <w:b/>
        </w:rPr>
      </w:pPr>
      <w:r w:rsidRPr="009461FB">
        <w:rPr>
          <w:b/>
        </w:rPr>
        <w:t>FIRST AUTHORISATION – 2017 (BE CA)</w:t>
      </w:r>
    </w:p>
    <w:p w14:paraId="0C2317E1" w14:textId="77777777" w:rsidR="001024E3" w:rsidRPr="001024E3" w:rsidRDefault="001024E3" w:rsidP="001024E3">
      <w:pPr>
        <w:rPr>
          <w:lang w:val="en-US" w:eastAsia="en-US"/>
        </w:rPr>
      </w:pPr>
    </w:p>
    <w:p w14:paraId="3AA0917E" w14:textId="77777777" w:rsidR="00FC26ED" w:rsidRDefault="00FC26ED" w:rsidP="00FC26ED">
      <w:pPr>
        <w:rPr>
          <w:rFonts w:eastAsia="Calibri"/>
          <w:lang w:eastAsia="en-US"/>
        </w:rPr>
      </w:pPr>
      <w:r>
        <w:rPr>
          <w:rFonts w:eastAsia="Calibri"/>
          <w:lang w:eastAsia="en-US"/>
        </w:rPr>
        <w:t>No new data was submitted or is required.</w:t>
      </w:r>
      <w:bookmarkStart w:id="299" w:name="_Toc389729110"/>
      <w:bookmarkStart w:id="300" w:name="_Toc403472795"/>
    </w:p>
    <w:p w14:paraId="3CFA6205" w14:textId="2AE03BA9" w:rsidR="00FC26ED" w:rsidRDefault="00FC26ED" w:rsidP="00FC26ED">
      <w:pPr>
        <w:pStyle w:val="Titre5"/>
        <w:rPr>
          <w:color w:val="595959" w:themeColor="text1" w:themeTint="A6"/>
        </w:rPr>
      </w:pPr>
      <w:r w:rsidRPr="007747FA">
        <w:rPr>
          <w:color w:val="595959" w:themeColor="text1" w:themeTint="A6"/>
        </w:rPr>
        <w:t xml:space="preserve"> </w:t>
      </w:r>
      <w:bookmarkStart w:id="301" w:name="_Toc93326595"/>
      <w:r w:rsidRPr="007747FA">
        <w:rPr>
          <w:color w:val="595959" w:themeColor="text1" w:themeTint="A6"/>
        </w:rPr>
        <w:t>Testing for distribution and dissipation in air (ADS)</w:t>
      </w:r>
      <w:bookmarkEnd w:id="299"/>
      <w:bookmarkEnd w:id="300"/>
      <w:bookmarkEnd w:id="301"/>
    </w:p>
    <w:p w14:paraId="3CEB34D3" w14:textId="77777777" w:rsidR="001024E3" w:rsidRPr="009461FB" w:rsidRDefault="001024E3" w:rsidP="001024E3">
      <w:pPr>
        <w:pStyle w:val="Paragraphedeliste"/>
        <w:numPr>
          <w:ilvl w:val="0"/>
          <w:numId w:val="68"/>
        </w:numPr>
        <w:rPr>
          <w:b/>
        </w:rPr>
      </w:pPr>
      <w:r w:rsidRPr="009461FB">
        <w:rPr>
          <w:b/>
        </w:rPr>
        <w:t>FIRST AUTHORISATION – 2017 (BE CA)</w:t>
      </w:r>
    </w:p>
    <w:p w14:paraId="775D824E" w14:textId="77777777" w:rsidR="001024E3" w:rsidRPr="001024E3" w:rsidRDefault="001024E3" w:rsidP="001024E3">
      <w:pPr>
        <w:rPr>
          <w:lang w:val="en-US" w:eastAsia="en-US"/>
        </w:rPr>
      </w:pPr>
    </w:p>
    <w:p w14:paraId="6C8F2C16" w14:textId="77777777" w:rsidR="00FC26ED" w:rsidRDefault="00FC26ED" w:rsidP="00FC26ED">
      <w:pPr>
        <w:rPr>
          <w:rFonts w:eastAsia="Calibri"/>
          <w:lang w:eastAsia="en-US"/>
        </w:rPr>
      </w:pPr>
      <w:r>
        <w:rPr>
          <w:rFonts w:eastAsia="Calibri"/>
          <w:lang w:eastAsia="en-US"/>
        </w:rPr>
        <w:t>No new data was submitted or is required.</w:t>
      </w:r>
    </w:p>
    <w:p w14:paraId="4B9B32C4" w14:textId="7FB7EE1B" w:rsidR="00FC26ED" w:rsidRDefault="00FC26ED" w:rsidP="00FC26ED">
      <w:pPr>
        <w:pStyle w:val="Titre5"/>
        <w:rPr>
          <w:color w:val="595959" w:themeColor="text1" w:themeTint="A6"/>
        </w:rPr>
      </w:pPr>
      <w:bookmarkStart w:id="302" w:name="_Toc387250869"/>
      <w:bookmarkStart w:id="303" w:name="_Toc388374389"/>
      <w:bookmarkStart w:id="304" w:name="_Toc388610091"/>
      <w:bookmarkStart w:id="305" w:name="_Toc388625125"/>
      <w:bookmarkStart w:id="306" w:name="_Toc388625379"/>
      <w:bookmarkStart w:id="307" w:name="_Toc388633780"/>
      <w:bookmarkStart w:id="308" w:name="_Toc389725272"/>
      <w:bookmarkStart w:id="309" w:name="_Toc93326596"/>
      <w:bookmarkEnd w:id="302"/>
      <w:bookmarkEnd w:id="303"/>
      <w:bookmarkEnd w:id="304"/>
      <w:bookmarkEnd w:id="305"/>
      <w:bookmarkEnd w:id="306"/>
      <w:bookmarkEnd w:id="307"/>
      <w:bookmarkEnd w:id="308"/>
      <w:r w:rsidRPr="007747FA">
        <w:rPr>
          <w:color w:val="595959" w:themeColor="text1" w:themeTint="A6"/>
        </w:rPr>
        <w:t>If the biocidal product is to be sprayed near to surface waters then an overspray study may be required to assess risks to aquatic organisms or plants under field conditions (ADS)</w:t>
      </w:r>
      <w:bookmarkEnd w:id="309"/>
    </w:p>
    <w:p w14:paraId="3534F367" w14:textId="77777777" w:rsidR="001024E3" w:rsidRPr="009461FB" w:rsidRDefault="001024E3" w:rsidP="001024E3">
      <w:pPr>
        <w:pStyle w:val="Paragraphedeliste"/>
        <w:numPr>
          <w:ilvl w:val="0"/>
          <w:numId w:val="68"/>
        </w:numPr>
        <w:rPr>
          <w:b/>
        </w:rPr>
      </w:pPr>
      <w:r w:rsidRPr="009461FB">
        <w:rPr>
          <w:b/>
        </w:rPr>
        <w:t>FIRST AUTHORISATION – 2017 (BE CA)</w:t>
      </w:r>
    </w:p>
    <w:p w14:paraId="4E367A84" w14:textId="77777777" w:rsidR="001024E3" w:rsidRPr="001024E3" w:rsidRDefault="001024E3" w:rsidP="001024E3">
      <w:pPr>
        <w:rPr>
          <w:lang w:val="en-US" w:eastAsia="en-US"/>
        </w:rPr>
      </w:pPr>
    </w:p>
    <w:p w14:paraId="1BF75CE7" w14:textId="77777777" w:rsidR="00FC26ED" w:rsidRDefault="00FC26ED" w:rsidP="00FC26ED">
      <w:pPr>
        <w:rPr>
          <w:rFonts w:eastAsia="Calibri"/>
          <w:lang w:eastAsia="en-US"/>
        </w:rPr>
      </w:pPr>
      <w:r>
        <w:rPr>
          <w:rFonts w:eastAsia="Calibri"/>
          <w:lang w:eastAsia="en-US"/>
        </w:rPr>
        <w:t>No new data was submitted or is required.</w:t>
      </w:r>
    </w:p>
    <w:p w14:paraId="7BB3B945" w14:textId="1F2DBAAA" w:rsidR="00FC26ED" w:rsidRDefault="00FC26ED" w:rsidP="00FC26ED">
      <w:pPr>
        <w:pStyle w:val="Titre5"/>
        <w:rPr>
          <w:color w:val="595959" w:themeColor="text1" w:themeTint="A6"/>
        </w:rPr>
      </w:pPr>
      <w:bookmarkStart w:id="310" w:name="_Toc388285341"/>
      <w:bookmarkStart w:id="311" w:name="_Toc388374391"/>
      <w:bookmarkStart w:id="312" w:name="_Toc388285342"/>
      <w:bookmarkStart w:id="313" w:name="_Toc388374392"/>
      <w:bookmarkStart w:id="314" w:name="_Toc389729112"/>
      <w:bookmarkStart w:id="315" w:name="_Toc403472797"/>
      <w:bookmarkStart w:id="316" w:name="_Toc93326597"/>
      <w:bookmarkEnd w:id="310"/>
      <w:bookmarkEnd w:id="311"/>
      <w:bookmarkEnd w:id="312"/>
      <w:bookmarkEnd w:id="313"/>
      <w:r w:rsidRPr="005178F2">
        <w:rPr>
          <w:color w:val="595959" w:themeColor="text1" w:themeTint="A6"/>
        </w:rPr>
        <w:t>If the biocidal product is to be sprayed outside or if potential for large scale formation of dust is given then data on overspray behaviour may be required to assess risks to bees and non-target arthropods under field conditions (ADS)</w:t>
      </w:r>
      <w:bookmarkEnd w:id="314"/>
      <w:bookmarkEnd w:id="315"/>
      <w:bookmarkEnd w:id="316"/>
    </w:p>
    <w:p w14:paraId="02F53F5D" w14:textId="77777777" w:rsidR="001024E3" w:rsidRPr="009461FB" w:rsidRDefault="001024E3" w:rsidP="001024E3">
      <w:pPr>
        <w:pStyle w:val="Paragraphedeliste"/>
        <w:numPr>
          <w:ilvl w:val="0"/>
          <w:numId w:val="68"/>
        </w:numPr>
        <w:rPr>
          <w:b/>
        </w:rPr>
      </w:pPr>
      <w:r w:rsidRPr="009461FB">
        <w:rPr>
          <w:b/>
        </w:rPr>
        <w:t>FIRST AUTHORISATION – 2017 (BE CA)</w:t>
      </w:r>
    </w:p>
    <w:p w14:paraId="385EBDA9" w14:textId="77777777" w:rsidR="001024E3" w:rsidRPr="001024E3" w:rsidRDefault="001024E3" w:rsidP="001024E3">
      <w:pPr>
        <w:rPr>
          <w:lang w:val="en-US" w:eastAsia="en-US"/>
        </w:rPr>
      </w:pPr>
    </w:p>
    <w:p w14:paraId="38D7847A" w14:textId="77777777" w:rsidR="00FC26ED" w:rsidRDefault="00FC26ED" w:rsidP="00FC26ED">
      <w:pPr>
        <w:rPr>
          <w:rFonts w:eastAsia="Calibri"/>
          <w:lang w:eastAsia="en-US"/>
        </w:rPr>
      </w:pPr>
      <w:bookmarkStart w:id="317" w:name="_Toc388374394"/>
      <w:bookmarkEnd w:id="317"/>
      <w:r>
        <w:rPr>
          <w:rFonts w:eastAsia="Calibri"/>
          <w:lang w:eastAsia="en-US"/>
        </w:rPr>
        <w:t>No new data was submitted or is required.</w:t>
      </w:r>
    </w:p>
    <w:p w14:paraId="3F021243" w14:textId="77777777" w:rsidR="00FC26ED" w:rsidRDefault="00FC26ED" w:rsidP="00FC26ED">
      <w:pPr>
        <w:rPr>
          <w:rFonts w:eastAsia="Calibri"/>
          <w:lang w:eastAsia="en-US"/>
        </w:rPr>
      </w:pPr>
    </w:p>
    <w:p w14:paraId="4D837B4A" w14:textId="77777777" w:rsidR="00D230A9" w:rsidRDefault="00D230A9">
      <w:pPr>
        <w:spacing w:before="0" w:after="160" w:line="259" w:lineRule="auto"/>
        <w:rPr>
          <w:rFonts w:eastAsia="Calibri"/>
          <w:lang w:eastAsia="en-US"/>
        </w:rPr>
      </w:pPr>
      <w:r>
        <w:rPr>
          <w:rFonts w:eastAsia="Calibri"/>
          <w:lang w:eastAsia="en-US"/>
        </w:rPr>
        <w:br w:type="page"/>
      </w:r>
    </w:p>
    <w:p w14:paraId="481DB5C0" w14:textId="5FFDCFE4" w:rsidR="007A7C32" w:rsidRDefault="007A7C32" w:rsidP="007A7C32">
      <w:pPr>
        <w:pStyle w:val="Titre4"/>
      </w:pPr>
      <w:bookmarkStart w:id="318" w:name="_Toc93326598"/>
      <w:r>
        <w:t>Exposure assessment</w:t>
      </w:r>
      <w:bookmarkEnd w:id="318"/>
    </w:p>
    <w:p w14:paraId="173E6CEF" w14:textId="77777777" w:rsidR="001024E3" w:rsidRPr="009461FB" w:rsidRDefault="001024E3" w:rsidP="001024E3">
      <w:pPr>
        <w:pStyle w:val="Paragraphedeliste"/>
        <w:numPr>
          <w:ilvl w:val="0"/>
          <w:numId w:val="68"/>
        </w:numPr>
        <w:rPr>
          <w:b/>
        </w:rPr>
      </w:pPr>
      <w:r w:rsidRPr="009461FB">
        <w:rPr>
          <w:b/>
        </w:rPr>
        <w:t>FIRST AUTHORISATION – 2017 (BE CA)</w:t>
      </w:r>
    </w:p>
    <w:p w14:paraId="271D5245" w14:textId="77777777" w:rsidR="001024E3" w:rsidRPr="001024E3" w:rsidRDefault="001024E3" w:rsidP="001024E3">
      <w:pPr>
        <w:rPr>
          <w:lang w:eastAsia="en-US"/>
        </w:rPr>
      </w:pPr>
    </w:p>
    <w:p w14:paraId="36D267DC" w14:textId="77777777" w:rsidR="00A0626E" w:rsidRDefault="00A0626E" w:rsidP="00A0626E">
      <w:pPr>
        <w:rPr>
          <w:lang w:eastAsia="en-US"/>
        </w:rPr>
      </w:pPr>
      <w:r>
        <w:rPr>
          <w:lang w:eastAsia="en-US"/>
        </w:rPr>
        <w:t>The intended use of Insect Repellent Pump Spray Lice IR3535</w:t>
      </w:r>
      <w:r w:rsidR="00407AC3" w:rsidRPr="00407AC3">
        <w:rPr>
          <w:vertAlign w:val="superscript"/>
          <w:lang w:eastAsia="en-US"/>
        </w:rPr>
        <w:t>®</w:t>
      </w:r>
      <w:r>
        <w:rPr>
          <w:lang w:eastAsia="en-US"/>
        </w:rPr>
        <w:t xml:space="preserve"> 20% is not exactly described in the ESD for PT19. In this ESD, scenarios are proposed for repellents that are applied to human skin, while the product being assessed in this PAR is mainly to be applied to the hair.</w:t>
      </w:r>
    </w:p>
    <w:p w14:paraId="40E725FC" w14:textId="59607C20" w:rsidR="00A0626E" w:rsidRDefault="00A0626E" w:rsidP="00A0626E">
      <w:pPr>
        <w:rPr>
          <w:lang w:eastAsia="en-US"/>
        </w:rPr>
      </w:pPr>
      <w:r>
        <w:rPr>
          <w:lang w:eastAsia="en-US"/>
        </w:rPr>
        <w:t>However, the use is sufficiently similar that the ESD for PT19 will be applied for the risk assessment, considering an application to the head.</w:t>
      </w:r>
    </w:p>
    <w:p w14:paraId="6577A1C7" w14:textId="77777777" w:rsidR="0098647E" w:rsidRPr="003E3E25" w:rsidRDefault="0098647E"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p w14:paraId="0308B0BA" w14:textId="67BB60FD" w:rsidR="00796089" w:rsidRDefault="00355B45" w:rsidP="000B62C7">
      <w:pPr>
        <w:jc w:val="both"/>
        <w:rPr>
          <w:lang w:eastAsia="en-US"/>
        </w:rPr>
      </w:pPr>
      <w:r w:rsidRPr="003E3E25">
        <w:rPr>
          <w:lang w:eastAsia="en-US"/>
        </w:rPr>
        <w:t>The</w:t>
      </w:r>
      <w:r w:rsidR="00F31DB5" w:rsidRPr="003E3E25">
        <w:rPr>
          <w:lang w:eastAsia="en-US"/>
        </w:rPr>
        <w:t xml:space="preserve"> Major change for SPRAY REPULSIF IR200 has conducted to a new e</w:t>
      </w:r>
      <w:r w:rsidRPr="003E3E25">
        <w:rPr>
          <w:lang w:eastAsia="en-US"/>
        </w:rPr>
        <w:t>xposure assessment covering the new intended uses (clothes treatment against mosquitoes/ticks, skin application to repel mosquitoes/ticks, fabric treatment against dust mites/head lice)</w:t>
      </w:r>
      <w:r w:rsidR="0010127C" w:rsidRPr="003E3E25">
        <w:rPr>
          <w:lang w:eastAsia="en-US"/>
        </w:rPr>
        <w:t xml:space="preserve"> considering the up to date guidances</w:t>
      </w:r>
      <w:r w:rsidRPr="003E3E25">
        <w:rPr>
          <w:lang w:eastAsia="en-US"/>
        </w:rPr>
        <w:t>. All these uses are covered by the</w:t>
      </w:r>
      <w:r w:rsidR="00371723" w:rsidRPr="003E3E25">
        <w:rPr>
          <w:lang w:eastAsia="en-US"/>
        </w:rPr>
        <w:t xml:space="preserve"> scenarios proposed in the table below.</w:t>
      </w:r>
      <w:r>
        <w:rPr>
          <w:lang w:eastAsia="en-US"/>
        </w:rPr>
        <w:t xml:space="preserve"> </w:t>
      </w:r>
    </w:p>
    <w:p w14:paraId="3F9B68B0" w14:textId="77777777" w:rsidR="00796089" w:rsidRPr="00A0626E" w:rsidRDefault="00796089" w:rsidP="00A0626E">
      <w:pPr>
        <w:rPr>
          <w:lang w:eastAsia="en-US"/>
        </w:rPr>
      </w:pPr>
    </w:p>
    <w:p w14:paraId="4704FA6C" w14:textId="2DB8B103" w:rsidR="00EE20E3" w:rsidRDefault="007A7C32" w:rsidP="00EE20E3">
      <w:pPr>
        <w:pStyle w:val="Titre5"/>
        <w:numPr>
          <w:ilvl w:val="0"/>
          <w:numId w:val="6"/>
        </w:numPr>
      </w:pPr>
      <w:bookmarkStart w:id="319" w:name="_Toc93326599"/>
      <w:r w:rsidRPr="00FD2055">
        <w:t>General information</w:t>
      </w:r>
      <w:bookmarkEnd w:id="319"/>
    </w:p>
    <w:p w14:paraId="6C037F4C" w14:textId="77777777" w:rsidR="0098647E" w:rsidRPr="009461FB" w:rsidRDefault="0098647E" w:rsidP="0098647E">
      <w:pPr>
        <w:pStyle w:val="Paragraphedeliste"/>
        <w:numPr>
          <w:ilvl w:val="0"/>
          <w:numId w:val="68"/>
        </w:numPr>
        <w:rPr>
          <w:b/>
        </w:rPr>
      </w:pPr>
      <w:r w:rsidRPr="009461FB">
        <w:rPr>
          <w:b/>
        </w:rPr>
        <w:t>FIRST AUTHORISATION – 2017 (BE CA)</w:t>
      </w:r>
    </w:p>
    <w:p w14:paraId="64C86B0F" w14:textId="440EAB1F" w:rsidR="00EE20E3" w:rsidRPr="000B62C7" w:rsidRDefault="00EE20E3" w:rsidP="0098647E">
      <w:pPr>
        <w:pStyle w:val="Commentaire"/>
        <w:rPr>
          <w:highlight w:val="lightGray"/>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A0626E" w14:paraId="09727E99" w14:textId="77777777" w:rsidTr="00A0626E">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341E7A38" w14:textId="71A053FD" w:rsidR="00A0626E" w:rsidRDefault="00A0626E" w:rsidP="00A0626E">
            <w:pPr>
              <w:rPr>
                <w:rFonts w:eastAsia="Calibri"/>
                <w:lang w:eastAsia="en-US"/>
              </w:rPr>
            </w:pPr>
            <w:r>
              <w:rPr>
                <w:rFonts w:eastAsia="Calibri"/>
                <w:lang w:eastAsia="en-US"/>
              </w:rPr>
              <w:t>Assessed PT</w:t>
            </w:r>
          </w:p>
        </w:tc>
        <w:tc>
          <w:tcPr>
            <w:tcW w:w="6413" w:type="dxa"/>
            <w:tcBorders>
              <w:top w:val="single" w:sz="4" w:space="0" w:color="auto"/>
              <w:left w:val="single" w:sz="4" w:space="0" w:color="auto"/>
              <w:bottom w:val="single" w:sz="4" w:space="0" w:color="auto"/>
              <w:right w:val="single" w:sz="4" w:space="0" w:color="auto"/>
            </w:tcBorders>
            <w:hideMark/>
          </w:tcPr>
          <w:p w14:paraId="104385D9" w14:textId="77777777" w:rsidR="00A0626E" w:rsidRDefault="00A0626E" w:rsidP="00A0626E">
            <w:pPr>
              <w:rPr>
                <w:rFonts w:eastAsia="Calibri"/>
                <w:lang w:eastAsia="en-US"/>
              </w:rPr>
            </w:pPr>
            <w:r>
              <w:rPr>
                <w:rFonts w:eastAsia="Calibri"/>
                <w:lang w:eastAsia="en-US"/>
              </w:rPr>
              <w:t>PT 19</w:t>
            </w:r>
          </w:p>
        </w:tc>
      </w:tr>
      <w:tr w:rsidR="00A0626E" w:rsidRPr="00425EF7" w14:paraId="719CE36D" w14:textId="77777777" w:rsidTr="00A0626E">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086F5FDE" w14:textId="77777777" w:rsidR="00A0626E" w:rsidRDefault="00A0626E" w:rsidP="00A0626E">
            <w:pPr>
              <w:rPr>
                <w:rFonts w:eastAsia="Calibri"/>
                <w:lang w:eastAsia="en-US"/>
              </w:rPr>
            </w:pPr>
            <w:r>
              <w:rPr>
                <w:rFonts w:eastAsia="Calibri"/>
                <w:lang w:eastAsia="en-US"/>
              </w:rPr>
              <w:t>Assessed scenarios</w:t>
            </w:r>
          </w:p>
        </w:tc>
        <w:tc>
          <w:tcPr>
            <w:tcW w:w="6413" w:type="dxa"/>
            <w:tcBorders>
              <w:top w:val="single" w:sz="4" w:space="0" w:color="auto"/>
              <w:left w:val="single" w:sz="4" w:space="0" w:color="auto"/>
              <w:bottom w:val="single" w:sz="4" w:space="0" w:color="auto"/>
              <w:right w:val="single" w:sz="4" w:space="0" w:color="auto"/>
            </w:tcBorders>
            <w:hideMark/>
          </w:tcPr>
          <w:p w14:paraId="33BD888A" w14:textId="77777777" w:rsidR="00A0626E" w:rsidRDefault="00A0626E" w:rsidP="00A0626E">
            <w:pPr>
              <w:rPr>
                <w:rFonts w:eastAsia="Calibri"/>
                <w:lang w:eastAsia="en-US"/>
              </w:rPr>
            </w:pPr>
            <w:r>
              <w:rPr>
                <w:rFonts w:eastAsia="Calibri"/>
                <w:lang w:eastAsia="en-US"/>
              </w:rPr>
              <w:t>Scenario 1:</w:t>
            </w:r>
            <w:r>
              <w:rPr>
                <w:rFonts w:eastAsia="Calibri"/>
                <w:lang w:eastAsia="en-US"/>
              </w:rPr>
              <w:tab/>
              <w:t xml:space="preserve">Removal via showering and bathing of </w:t>
            </w:r>
            <w:r>
              <w:rPr>
                <w:rFonts w:eastAsia="Calibri"/>
                <w:lang w:eastAsia="en-US"/>
              </w:rPr>
              <w:tab/>
            </w:r>
            <w:r>
              <w:rPr>
                <w:rFonts w:eastAsia="Calibri"/>
                <w:lang w:eastAsia="en-US"/>
              </w:rPr>
              <w:tab/>
            </w:r>
            <w:r>
              <w:rPr>
                <w:rFonts w:eastAsia="Calibri"/>
                <w:lang w:eastAsia="en-US"/>
              </w:rPr>
              <w:tab/>
              <w:t xml:space="preserve">humans </w:t>
            </w:r>
            <w:r>
              <w:rPr>
                <w:rFonts w:eastAsia="Calibri"/>
                <w:sz w:val="16"/>
                <w:lang w:eastAsia="en-US"/>
              </w:rPr>
              <w:t>(ESD PT19, May 2015, §3.1.4.1)</w:t>
            </w:r>
          </w:p>
          <w:p w14:paraId="229A4441" w14:textId="77777777" w:rsidR="00A0626E" w:rsidRDefault="00A0626E" w:rsidP="00A0626E">
            <w:pPr>
              <w:rPr>
                <w:rFonts w:eastAsia="Calibri"/>
                <w:sz w:val="16"/>
                <w:lang w:eastAsia="en-US"/>
              </w:rPr>
            </w:pPr>
            <w:r>
              <w:rPr>
                <w:rFonts w:eastAsia="Calibri"/>
                <w:lang w:eastAsia="en-US"/>
              </w:rPr>
              <w:t>Scenario 2:</w:t>
            </w:r>
            <w:r>
              <w:rPr>
                <w:rFonts w:eastAsia="Calibri"/>
                <w:lang w:eastAsia="en-US"/>
              </w:rPr>
              <w:tab/>
              <w:t xml:space="preserve">Release to surface water bodies via </w:t>
            </w:r>
            <w:r>
              <w:rPr>
                <w:rFonts w:eastAsia="Calibri"/>
                <w:lang w:eastAsia="en-US"/>
              </w:rPr>
              <w:tab/>
            </w:r>
            <w:r>
              <w:rPr>
                <w:rFonts w:eastAsia="Calibri"/>
                <w:lang w:eastAsia="en-US"/>
              </w:rPr>
              <w:tab/>
            </w:r>
            <w:r>
              <w:rPr>
                <w:rFonts w:eastAsia="Calibri"/>
                <w:lang w:eastAsia="en-US"/>
              </w:rPr>
              <w:tab/>
              <w:t xml:space="preserve">swimming </w:t>
            </w:r>
            <w:r>
              <w:rPr>
                <w:rFonts w:eastAsia="Calibri"/>
                <w:sz w:val="16"/>
                <w:lang w:eastAsia="en-US"/>
              </w:rPr>
              <w:t>(ESD PT19, May 2015, §3.1.4.2)</w:t>
            </w:r>
          </w:p>
          <w:p w14:paraId="092BD527" w14:textId="62F27B87" w:rsidR="0038730F" w:rsidRDefault="0038730F" w:rsidP="00796089">
            <w:pPr>
              <w:rPr>
                <w:rFonts w:eastAsia="Calibri"/>
                <w:lang w:eastAsia="en-US"/>
              </w:rPr>
            </w:pPr>
          </w:p>
        </w:tc>
      </w:tr>
      <w:tr w:rsidR="00A0626E" w:rsidRPr="00425EF7" w14:paraId="597619C1" w14:textId="77777777" w:rsidTr="00A0626E">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2ACDB786" w14:textId="77777777" w:rsidR="00A0626E" w:rsidRDefault="00A0626E" w:rsidP="00A0626E">
            <w:pPr>
              <w:rPr>
                <w:rFonts w:eastAsia="Calibri"/>
                <w:lang w:eastAsia="en-US"/>
              </w:rPr>
            </w:pPr>
            <w:r>
              <w:rPr>
                <w:rFonts w:eastAsia="Calibri"/>
                <w:lang w:eastAsia="en-US"/>
              </w:rPr>
              <w:t>ESD(s) used</w:t>
            </w:r>
          </w:p>
        </w:tc>
        <w:tc>
          <w:tcPr>
            <w:tcW w:w="6413" w:type="dxa"/>
            <w:tcBorders>
              <w:top w:val="single" w:sz="4" w:space="0" w:color="auto"/>
              <w:left w:val="single" w:sz="4" w:space="0" w:color="auto"/>
              <w:bottom w:val="single" w:sz="4" w:space="0" w:color="auto"/>
              <w:right w:val="single" w:sz="4" w:space="0" w:color="auto"/>
            </w:tcBorders>
            <w:hideMark/>
          </w:tcPr>
          <w:p w14:paraId="31064AF3" w14:textId="26C5F6B0" w:rsidR="00A77A7F" w:rsidRPr="0098647E" w:rsidRDefault="00A0626E" w:rsidP="00A77A7F">
            <w:pPr>
              <w:rPr>
                <w:rFonts w:eastAsia="Calibri"/>
                <w:lang w:eastAsia="en-US"/>
              </w:rPr>
            </w:pPr>
            <w:r w:rsidRPr="000B62C7">
              <w:rPr>
                <w:rFonts w:eastAsia="Calibri"/>
                <w:lang w:eastAsia="en-US"/>
              </w:rPr>
              <w:t>Emission Scenario Document for Product Type 19: Repellents and attracta</w:t>
            </w:r>
            <w:r w:rsidR="0098647E">
              <w:rPr>
                <w:rFonts w:eastAsia="Calibri"/>
                <w:lang w:eastAsia="en-US"/>
              </w:rPr>
              <w:t>nts, May 2015 (ECHA-15-B-10-EN)</w:t>
            </w:r>
          </w:p>
        </w:tc>
      </w:tr>
      <w:tr w:rsidR="00A0626E" w14:paraId="15CDB8BC" w14:textId="77777777" w:rsidTr="00A0626E">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22C6D3E9" w14:textId="77777777" w:rsidR="00A0626E" w:rsidRDefault="00A0626E" w:rsidP="00A0626E">
            <w:pPr>
              <w:rPr>
                <w:rFonts w:eastAsia="Calibri"/>
                <w:lang w:eastAsia="en-US"/>
              </w:rPr>
            </w:pPr>
            <w:r>
              <w:rPr>
                <w:rFonts w:eastAsia="Calibri"/>
                <w:lang w:eastAsia="en-US"/>
              </w:rPr>
              <w:t>Approach</w:t>
            </w:r>
          </w:p>
        </w:tc>
        <w:tc>
          <w:tcPr>
            <w:tcW w:w="6413" w:type="dxa"/>
            <w:tcBorders>
              <w:top w:val="single" w:sz="4" w:space="0" w:color="auto"/>
              <w:left w:val="single" w:sz="4" w:space="0" w:color="auto"/>
              <w:bottom w:val="single" w:sz="4" w:space="0" w:color="auto"/>
              <w:right w:val="single" w:sz="4" w:space="0" w:color="auto"/>
            </w:tcBorders>
            <w:hideMark/>
          </w:tcPr>
          <w:p w14:paraId="5C5F7BC3" w14:textId="59B79A1F" w:rsidR="00A0626E" w:rsidRPr="000B62C7" w:rsidRDefault="00A0626E" w:rsidP="00A0626E">
            <w:pPr>
              <w:rPr>
                <w:rFonts w:eastAsia="Calibri"/>
                <w:lang w:eastAsia="en-US"/>
              </w:rPr>
            </w:pPr>
            <w:r w:rsidRPr="000B62C7">
              <w:rPr>
                <w:rFonts w:eastAsia="Calibri"/>
                <w:lang w:eastAsia="en-US"/>
              </w:rPr>
              <w:t>Scenario 1:</w:t>
            </w:r>
            <w:r w:rsidRPr="000B62C7">
              <w:rPr>
                <w:rFonts w:eastAsia="Calibri"/>
                <w:lang w:eastAsia="en-US"/>
              </w:rPr>
              <w:tab/>
              <w:t>Average consumption</w:t>
            </w:r>
            <w:r w:rsidRPr="000B62C7">
              <w:rPr>
                <w:rFonts w:eastAsia="Calibri"/>
                <w:lang w:eastAsia="en-US"/>
              </w:rPr>
              <w:br/>
              <w:t>Scenario 2:</w:t>
            </w:r>
            <w:r w:rsidRPr="000B62C7">
              <w:rPr>
                <w:rFonts w:eastAsia="Calibri"/>
                <w:lang w:eastAsia="en-US"/>
              </w:rPr>
              <w:tab/>
              <w:t>Average consumption</w:t>
            </w:r>
          </w:p>
          <w:p w14:paraId="40BC6078" w14:textId="57F3670A" w:rsidR="00A77A7F" w:rsidRPr="000B62C7" w:rsidRDefault="00A77A7F" w:rsidP="00DF65A8">
            <w:pPr>
              <w:spacing w:line="276" w:lineRule="auto"/>
              <w:rPr>
                <w:rFonts w:eastAsia="Calibri"/>
                <w:b/>
                <w:lang w:eastAsia="en-US"/>
              </w:rPr>
            </w:pPr>
          </w:p>
        </w:tc>
      </w:tr>
      <w:tr w:rsidR="00A0626E" w14:paraId="488B47B1" w14:textId="77777777" w:rsidTr="00A0626E">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1034AF4F" w14:textId="77777777" w:rsidR="00A0626E" w:rsidRDefault="00A0626E" w:rsidP="00A0626E">
            <w:pPr>
              <w:rPr>
                <w:rFonts w:eastAsia="Calibri"/>
                <w:lang w:eastAsia="en-US"/>
              </w:rPr>
            </w:pPr>
            <w:r>
              <w:rPr>
                <w:rFonts w:eastAsia="Calibri"/>
                <w:lang w:eastAsia="en-US"/>
              </w:rPr>
              <w:t>Distribution in the environment</w:t>
            </w:r>
          </w:p>
        </w:tc>
        <w:tc>
          <w:tcPr>
            <w:tcW w:w="6413" w:type="dxa"/>
            <w:tcBorders>
              <w:top w:val="single" w:sz="4" w:space="0" w:color="auto"/>
              <w:left w:val="single" w:sz="4" w:space="0" w:color="auto"/>
              <w:bottom w:val="single" w:sz="4" w:space="0" w:color="auto"/>
              <w:right w:val="single" w:sz="4" w:space="0" w:color="auto"/>
            </w:tcBorders>
            <w:hideMark/>
          </w:tcPr>
          <w:p w14:paraId="50362737" w14:textId="2109CF9F" w:rsidR="0084446B" w:rsidRDefault="00A0626E" w:rsidP="00A0626E">
            <w:pPr>
              <w:rPr>
                <w:rFonts w:eastAsia="Calibri"/>
                <w:lang w:eastAsia="en-US"/>
              </w:rPr>
            </w:pPr>
            <w:r>
              <w:rPr>
                <w:rFonts w:eastAsia="Calibri"/>
                <w:lang w:eastAsia="en-US"/>
              </w:rPr>
              <w:t xml:space="preserve">Calculated based on TGD 2003 </w:t>
            </w:r>
          </w:p>
        </w:tc>
      </w:tr>
      <w:tr w:rsidR="00A0626E" w14:paraId="4E8FF6E2" w14:textId="77777777" w:rsidTr="00A0626E">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224A1B8F" w14:textId="77777777" w:rsidR="00A0626E" w:rsidRDefault="00A0626E" w:rsidP="00A0626E">
            <w:pPr>
              <w:rPr>
                <w:rFonts w:eastAsia="Calibri"/>
                <w:lang w:eastAsia="en-US"/>
              </w:rPr>
            </w:pPr>
            <w:r>
              <w:rPr>
                <w:rFonts w:eastAsia="Calibri"/>
                <w:lang w:eastAsia="en-US"/>
              </w:rPr>
              <w:t>Groundwater simulation</w:t>
            </w:r>
          </w:p>
        </w:tc>
        <w:tc>
          <w:tcPr>
            <w:tcW w:w="6413" w:type="dxa"/>
            <w:tcBorders>
              <w:top w:val="single" w:sz="4" w:space="0" w:color="auto"/>
              <w:left w:val="single" w:sz="4" w:space="0" w:color="auto"/>
              <w:bottom w:val="single" w:sz="4" w:space="0" w:color="auto"/>
              <w:right w:val="single" w:sz="4" w:space="0" w:color="auto"/>
            </w:tcBorders>
            <w:hideMark/>
          </w:tcPr>
          <w:p w14:paraId="100FF0A7" w14:textId="6ACD95E3" w:rsidR="0084446B" w:rsidRPr="00DF65A8" w:rsidRDefault="00A0626E" w:rsidP="00A0626E">
            <w:pPr>
              <w:rPr>
                <w:rFonts w:eastAsia="Calibri"/>
                <w:lang w:eastAsia="en-US"/>
              </w:rPr>
            </w:pPr>
            <w:r>
              <w:rPr>
                <w:rFonts w:eastAsia="Calibri"/>
                <w:lang w:eastAsia="en-US"/>
              </w:rPr>
              <w:t>Not applicable</w:t>
            </w:r>
          </w:p>
        </w:tc>
      </w:tr>
      <w:tr w:rsidR="00A0626E" w14:paraId="3715F8CB" w14:textId="77777777" w:rsidTr="00A0626E">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03FF0922" w14:textId="77777777" w:rsidR="00A0626E" w:rsidRDefault="00A0626E" w:rsidP="00A0626E">
            <w:pPr>
              <w:rPr>
                <w:rFonts w:eastAsia="Calibri"/>
                <w:lang w:eastAsia="en-US"/>
              </w:rPr>
            </w:pPr>
            <w:r>
              <w:rPr>
                <w:rFonts w:eastAsia="Calibri"/>
                <w:lang w:eastAsia="en-US"/>
              </w:rPr>
              <w:t>Confidential Annexes</w:t>
            </w:r>
          </w:p>
        </w:tc>
        <w:tc>
          <w:tcPr>
            <w:tcW w:w="6413" w:type="dxa"/>
            <w:tcBorders>
              <w:top w:val="single" w:sz="4" w:space="0" w:color="auto"/>
              <w:left w:val="single" w:sz="4" w:space="0" w:color="auto"/>
              <w:bottom w:val="single" w:sz="4" w:space="0" w:color="auto"/>
              <w:right w:val="single" w:sz="4" w:space="0" w:color="auto"/>
            </w:tcBorders>
            <w:hideMark/>
          </w:tcPr>
          <w:p w14:paraId="6A0E0656" w14:textId="77777777" w:rsidR="00A0626E" w:rsidRDefault="00A0626E" w:rsidP="00A0626E">
            <w:pPr>
              <w:rPr>
                <w:rFonts w:eastAsia="Calibri"/>
                <w:b/>
                <w:lang w:eastAsia="en-US"/>
              </w:rPr>
            </w:pPr>
            <w:r>
              <w:rPr>
                <w:rFonts w:eastAsia="Calibri"/>
                <w:lang w:eastAsia="en-US"/>
              </w:rPr>
              <w:t>None</w:t>
            </w:r>
          </w:p>
        </w:tc>
      </w:tr>
      <w:tr w:rsidR="00A0626E" w14:paraId="50990E79" w14:textId="77777777" w:rsidTr="00A0626E">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60F65EA2" w14:textId="77777777" w:rsidR="00A0626E" w:rsidRDefault="00A0626E" w:rsidP="00A0626E">
            <w:pPr>
              <w:rPr>
                <w:rFonts w:eastAsia="Calibri"/>
                <w:lang w:eastAsia="en-US"/>
              </w:rPr>
            </w:pPr>
            <w:r>
              <w:rPr>
                <w:rFonts w:eastAsia="Calibri"/>
                <w:lang w:eastAsia="en-US"/>
              </w:rPr>
              <w:t>Life cycle steps assessed</w:t>
            </w:r>
          </w:p>
        </w:tc>
        <w:tc>
          <w:tcPr>
            <w:tcW w:w="6413" w:type="dxa"/>
            <w:tcBorders>
              <w:top w:val="single" w:sz="4" w:space="0" w:color="auto"/>
              <w:left w:val="single" w:sz="4" w:space="0" w:color="auto"/>
              <w:bottom w:val="single" w:sz="4" w:space="0" w:color="auto"/>
              <w:right w:val="single" w:sz="4" w:space="0" w:color="auto"/>
            </w:tcBorders>
            <w:hideMark/>
          </w:tcPr>
          <w:p w14:paraId="6699535A" w14:textId="77777777" w:rsidR="00A0626E" w:rsidRDefault="00A0626E" w:rsidP="00A0626E">
            <w:pPr>
              <w:rPr>
                <w:rFonts w:eastAsia="Calibri"/>
                <w:lang w:eastAsia="en-US"/>
              </w:rPr>
            </w:pPr>
            <w:r>
              <w:rPr>
                <w:rFonts w:eastAsia="Calibri"/>
                <w:lang w:eastAsia="en-US"/>
              </w:rPr>
              <w:t>Scenario 1: Showering &amp; bathing</w:t>
            </w:r>
          </w:p>
          <w:p w14:paraId="231F901E" w14:textId="77777777" w:rsidR="00A0626E" w:rsidRPr="00425EF7" w:rsidRDefault="00A0626E" w:rsidP="005752E1">
            <w:pPr>
              <w:pStyle w:val="Paragraphedeliste"/>
              <w:numPr>
                <w:ilvl w:val="0"/>
                <w:numId w:val="11"/>
              </w:numPr>
              <w:rPr>
                <w:rFonts w:eastAsia="Calibri"/>
                <w:lang w:eastAsia="en-US"/>
              </w:rPr>
            </w:pPr>
            <w:r w:rsidRPr="00425EF7">
              <w:rPr>
                <w:rFonts w:eastAsia="Calibri"/>
                <w:lang w:eastAsia="en-US"/>
              </w:rPr>
              <w:t>Production: No</w:t>
            </w:r>
          </w:p>
          <w:p w14:paraId="0CE8A25F" w14:textId="77777777" w:rsidR="00A0626E" w:rsidRPr="00425EF7" w:rsidRDefault="00A0626E" w:rsidP="005752E1">
            <w:pPr>
              <w:pStyle w:val="Paragraphedeliste"/>
              <w:numPr>
                <w:ilvl w:val="0"/>
                <w:numId w:val="11"/>
              </w:numPr>
              <w:rPr>
                <w:rFonts w:eastAsia="Calibri"/>
                <w:lang w:eastAsia="en-US"/>
              </w:rPr>
            </w:pPr>
            <w:r w:rsidRPr="00425EF7">
              <w:rPr>
                <w:rFonts w:eastAsia="Calibri"/>
                <w:lang w:eastAsia="en-US"/>
              </w:rPr>
              <w:t>Formulation: No</w:t>
            </w:r>
          </w:p>
          <w:p w14:paraId="53A9D753" w14:textId="77777777" w:rsidR="00A0626E" w:rsidRPr="00425EF7" w:rsidRDefault="00A0626E" w:rsidP="005752E1">
            <w:pPr>
              <w:pStyle w:val="Paragraphedeliste"/>
              <w:numPr>
                <w:ilvl w:val="0"/>
                <w:numId w:val="11"/>
              </w:numPr>
              <w:rPr>
                <w:rFonts w:eastAsia="Calibri"/>
                <w:lang w:eastAsia="en-US"/>
              </w:rPr>
            </w:pPr>
            <w:r w:rsidRPr="00425EF7">
              <w:rPr>
                <w:rFonts w:eastAsia="Calibri"/>
                <w:lang w:eastAsia="en-US"/>
              </w:rPr>
              <w:t>Use: Yes</w:t>
            </w:r>
          </w:p>
          <w:p w14:paraId="35B66990" w14:textId="77777777" w:rsidR="00A0626E" w:rsidRPr="00425EF7" w:rsidRDefault="00A0626E" w:rsidP="005752E1">
            <w:pPr>
              <w:pStyle w:val="Paragraphedeliste"/>
              <w:numPr>
                <w:ilvl w:val="0"/>
                <w:numId w:val="11"/>
              </w:numPr>
              <w:rPr>
                <w:rFonts w:eastAsia="Calibri"/>
                <w:lang w:eastAsia="en-US"/>
              </w:rPr>
            </w:pPr>
            <w:r w:rsidRPr="00425EF7">
              <w:rPr>
                <w:rFonts w:eastAsia="Calibri"/>
                <w:lang w:eastAsia="en-US"/>
              </w:rPr>
              <w:t>Service life: No</w:t>
            </w:r>
          </w:p>
          <w:p w14:paraId="31FC8E0F" w14:textId="77777777" w:rsidR="00A0626E" w:rsidRDefault="00A0626E" w:rsidP="00A0626E">
            <w:pPr>
              <w:rPr>
                <w:rFonts w:eastAsia="Calibri"/>
                <w:lang w:eastAsia="en-US"/>
              </w:rPr>
            </w:pPr>
            <w:r>
              <w:rPr>
                <w:rFonts w:eastAsia="Calibri"/>
                <w:lang w:eastAsia="en-US"/>
              </w:rPr>
              <w:t>Scenario 2: Swimming</w:t>
            </w:r>
          </w:p>
          <w:p w14:paraId="40E299A2" w14:textId="77777777" w:rsidR="00A0626E" w:rsidRPr="00425EF7" w:rsidRDefault="00A0626E" w:rsidP="005752E1">
            <w:pPr>
              <w:pStyle w:val="Paragraphedeliste"/>
              <w:numPr>
                <w:ilvl w:val="0"/>
                <w:numId w:val="11"/>
              </w:numPr>
              <w:rPr>
                <w:rFonts w:eastAsia="Calibri"/>
                <w:lang w:eastAsia="en-US"/>
              </w:rPr>
            </w:pPr>
            <w:r w:rsidRPr="00425EF7">
              <w:rPr>
                <w:rFonts w:eastAsia="Calibri"/>
                <w:lang w:eastAsia="en-US"/>
              </w:rPr>
              <w:t>Production: No</w:t>
            </w:r>
          </w:p>
          <w:p w14:paraId="502CC0EE" w14:textId="77777777" w:rsidR="00A0626E" w:rsidRPr="00425EF7" w:rsidRDefault="00A0626E" w:rsidP="005752E1">
            <w:pPr>
              <w:pStyle w:val="Paragraphedeliste"/>
              <w:numPr>
                <w:ilvl w:val="0"/>
                <w:numId w:val="11"/>
              </w:numPr>
              <w:rPr>
                <w:rFonts w:eastAsia="Calibri"/>
                <w:lang w:eastAsia="en-US"/>
              </w:rPr>
            </w:pPr>
            <w:r w:rsidRPr="00425EF7">
              <w:rPr>
                <w:rFonts w:eastAsia="Calibri"/>
                <w:lang w:eastAsia="en-US"/>
              </w:rPr>
              <w:t>Formulation: No</w:t>
            </w:r>
          </w:p>
          <w:p w14:paraId="5FF24592" w14:textId="77777777" w:rsidR="00A0626E" w:rsidRPr="00425EF7" w:rsidRDefault="00A0626E" w:rsidP="005752E1">
            <w:pPr>
              <w:pStyle w:val="Paragraphedeliste"/>
              <w:numPr>
                <w:ilvl w:val="0"/>
                <w:numId w:val="11"/>
              </w:numPr>
              <w:rPr>
                <w:rFonts w:eastAsia="Calibri"/>
                <w:lang w:eastAsia="en-US"/>
              </w:rPr>
            </w:pPr>
            <w:r w:rsidRPr="00425EF7">
              <w:rPr>
                <w:rFonts w:eastAsia="Calibri"/>
                <w:lang w:eastAsia="en-US"/>
              </w:rPr>
              <w:t>Use: Yes</w:t>
            </w:r>
          </w:p>
          <w:p w14:paraId="712509D0" w14:textId="77777777" w:rsidR="00A0626E" w:rsidRDefault="00A0626E" w:rsidP="005752E1">
            <w:pPr>
              <w:pStyle w:val="Paragraphedeliste"/>
              <w:numPr>
                <w:ilvl w:val="0"/>
                <w:numId w:val="11"/>
              </w:numPr>
              <w:rPr>
                <w:rFonts w:eastAsia="Calibri"/>
                <w:lang w:eastAsia="en-US"/>
              </w:rPr>
            </w:pPr>
            <w:r w:rsidRPr="00425EF7">
              <w:rPr>
                <w:rFonts w:eastAsia="Calibri"/>
                <w:lang w:eastAsia="en-US"/>
              </w:rPr>
              <w:t>Service life: No</w:t>
            </w:r>
          </w:p>
          <w:p w14:paraId="6C63ED72" w14:textId="326A05B7" w:rsidR="00454D16" w:rsidRPr="0098647E" w:rsidRDefault="00454D16" w:rsidP="0098647E">
            <w:pPr>
              <w:spacing w:line="276" w:lineRule="auto"/>
              <w:rPr>
                <w:rFonts w:eastAsia="Calibri"/>
                <w:color w:val="000000"/>
                <w:lang w:eastAsia="en-US"/>
              </w:rPr>
            </w:pPr>
          </w:p>
        </w:tc>
      </w:tr>
      <w:tr w:rsidR="00A0626E" w14:paraId="3F7B017B" w14:textId="77777777" w:rsidTr="00A0626E">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1ACD0CB4" w14:textId="77777777" w:rsidR="00A0626E" w:rsidRDefault="00A0626E" w:rsidP="00A0626E">
            <w:pPr>
              <w:rPr>
                <w:rFonts w:eastAsia="Calibri"/>
                <w:lang w:eastAsia="en-US"/>
              </w:rPr>
            </w:pPr>
            <w:r>
              <w:rPr>
                <w:rFonts w:eastAsia="Calibri"/>
                <w:lang w:eastAsia="en-US"/>
              </w:rPr>
              <w:t>Remarks</w:t>
            </w:r>
          </w:p>
        </w:tc>
        <w:tc>
          <w:tcPr>
            <w:tcW w:w="6413" w:type="dxa"/>
            <w:tcBorders>
              <w:top w:val="single" w:sz="4" w:space="0" w:color="auto"/>
              <w:left w:val="single" w:sz="4" w:space="0" w:color="auto"/>
              <w:bottom w:val="single" w:sz="4" w:space="0" w:color="auto"/>
              <w:right w:val="single" w:sz="4" w:space="0" w:color="auto"/>
            </w:tcBorders>
          </w:tcPr>
          <w:p w14:paraId="476D1993" w14:textId="04F549A7" w:rsidR="00A0626E" w:rsidRDefault="00A0626E" w:rsidP="00F31DB5">
            <w:pPr>
              <w:rPr>
                <w:rFonts w:eastAsia="Calibri"/>
                <w:color w:val="000000"/>
                <w:lang w:eastAsia="en-US"/>
              </w:rPr>
            </w:pPr>
          </w:p>
        </w:tc>
      </w:tr>
    </w:tbl>
    <w:p w14:paraId="00AFB528" w14:textId="69D2322B" w:rsidR="007A7C32" w:rsidRDefault="007A7C32">
      <w:pPr>
        <w:spacing w:before="0" w:after="160" w:line="259" w:lineRule="auto"/>
        <w:rPr>
          <w:rFonts w:eastAsia="Calibri"/>
          <w:lang w:eastAsia="en-US"/>
        </w:rPr>
      </w:pPr>
    </w:p>
    <w:p w14:paraId="3FDB9455" w14:textId="289F429D" w:rsidR="0098647E" w:rsidRDefault="0098647E">
      <w:pPr>
        <w:spacing w:before="0" w:after="160" w:line="259" w:lineRule="auto"/>
        <w:rPr>
          <w:rFonts w:eastAsia="Calibri"/>
          <w:lang w:eastAsia="en-US"/>
        </w:rPr>
      </w:pPr>
    </w:p>
    <w:p w14:paraId="5A3834A1" w14:textId="4D8EFD99" w:rsidR="0098647E" w:rsidRPr="003E3E25" w:rsidRDefault="0098647E"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p w14:paraId="01A3A843" w14:textId="77777777" w:rsidR="0098647E" w:rsidRDefault="0098647E" w:rsidP="0098647E">
      <w:pPr>
        <w:pStyle w:val="Paragraphedeliste"/>
        <w:keepNext/>
        <w:shd w:val="clear" w:color="auto" w:fill="FFFFFF" w:themeFill="background1"/>
        <w:kinsoku w:val="0"/>
        <w:overflowPunct w:val="0"/>
        <w:autoSpaceDE w:val="0"/>
        <w:autoSpaceDN w:val="0"/>
        <w:adjustRightInd w:val="0"/>
        <w:spacing w:before="292" w:after="0" w:line="290" w:lineRule="exact"/>
        <w:ind w:left="644" w:right="215"/>
        <w:jc w:val="both"/>
        <w:textAlignment w:val="baseline"/>
        <w:rPr>
          <w:rFonts w:eastAsia="Calibri"/>
          <w:b/>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98647E" w14:paraId="5890FCAE" w14:textId="77777777" w:rsidTr="003E3E25">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26B8427E" w14:textId="77777777" w:rsidR="0098647E" w:rsidRDefault="0098647E" w:rsidP="003C5407">
            <w:pPr>
              <w:rPr>
                <w:rFonts w:eastAsia="Calibri"/>
                <w:lang w:eastAsia="en-US"/>
              </w:rPr>
            </w:pPr>
            <w:r>
              <w:rPr>
                <w:rFonts w:eastAsia="Calibri"/>
                <w:lang w:eastAsia="en-US"/>
              </w:rPr>
              <w:t>Assessed PT</w:t>
            </w:r>
          </w:p>
        </w:tc>
        <w:tc>
          <w:tcPr>
            <w:tcW w:w="6413" w:type="dxa"/>
            <w:tcBorders>
              <w:top w:val="single" w:sz="4" w:space="0" w:color="auto"/>
              <w:left w:val="single" w:sz="4" w:space="0" w:color="auto"/>
              <w:bottom w:val="single" w:sz="4" w:space="0" w:color="auto"/>
              <w:right w:val="single" w:sz="4" w:space="0" w:color="auto"/>
            </w:tcBorders>
            <w:shd w:val="clear" w:color="auto" w:fill="auto"/>
            <w:hideMark/>
          </w:tcPr>
          <w:p w14:paraId="05DBB3E5" w14:textId="77777777" w:rsidR="0098647E" w:rsidRDefault="0098647E" w:rsidP="003C5407">
            <w:pPr>
              <w:rPr>
                <w:rFonts w:eastAsia="Calibri"/>
                <w:lang w:eastAsia="en-US"/>
              </w:rPr>
            </w:pPr>
            <w:r>
              <w:rPr>
                <w:rFonts w:eastAsia="Calibri"/>
                <w:lang w:eastAsia="en-US"/>
              </w:rPr>
              <w:t>PT 19</w:t>
            </w:r>
          </w:p>
        </w:tc>
      </w:tr>
      <w:tr w:rsidR="0098647E" w:rsidRPr="00425EF7" w14:paraId="5854B772" w14:textId="77777777" w:rsidTr="003E3E25">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4D3A8AA8" w14:textId="77777777" w:rsidR="0098647E" w:rsidRDefault="0098647E" w:rsidP="003C5407">
            <w:pPr>
              <w:rPr>
                <w:rFonts w:eastAsia="Calibri"/>
                <w:lang w:eastAsia="en-US"/>
              </w:rPr>
            </w:pPr>
            <w:r>
              <w:rPr>
                <w:rFonts w:eastAsia="Calibri"/>
                <w:lang w:eastAsia="en-US"/>
              </w:rPr>
              <w:t>Assessed scenarios</w:t>
            </w:r>
          </w:p>
        </w:tc>
        <w:tc>
          <w:tcPr>
            <w:tcW w:w="6413" w:type="dxa"/>
            <w:tcBorders>
              <w:top w:val="single" w:sz="4" w:space="0" w:color="auto"/>
              <w:left w:val="single" w:sz="4" w:space="0" w:color="auto"/>
              <w:bottom w:val="single" w:sz="4" w:space="0" w:color="auto"/>
              <w:right w:val="single" w:sz="4" w:space="0" w:color="auto"/>
            </w:tcBorders>
            <w:shd w:val="clear" w:color="auto" w:fill="auto"/>
            <w:hideMark/>
          </w:tcPr>
          <w:p w14:paraId="6FA86080" w14:textId="77777777" w:rsidR="0098647E" w:rsidRPr="003E3E25" w:rsidRDefault="0098647E" w:rsidP="003C5407">
            <w:pPr>
              <w:rPr>
                <w:rFonts w:eastAsia="Calibri"/>
                <w:sz w:val="16"/>
                <w:lang w:eastAsia="en-US"/>
              </w:rPr>
            </w:pPr>
          </w:p>
          <w:p w14:paraId="571BDCFF" w14:textId="77777777" w:rsidR="0098647E" w:rsidRPr="003E3E25" w:rsidRDefault="0098647E" w:rsidP="003C5407">
            <w:pPr>
              <w:spacing w:line="276" w:lineRule="auto"/>
              <w:rPr>
                <w:rFonts w:eastAsia="Calibri"/>
                <w:color w:val="000000"/>
                <w:lang w:eastAsia="en-US"/>
              </w:rPr>
            </w:pPr>
            <w:r w:rsidRPr="003E3E25">
              <w:rPr>
                <w:rFonts w:eastAsia="Calibri"/>
                <w:color w:val="000000"/>
                <w:u w:val="single"/>
                <w:lang w:eastAsia="en-US"/>
              </w:rPr>
              <w:t>Scenario 1b (covering the previous Scenario 1)</w:t>
            </w:r>
            <w:r w:rsidRPr="003E3E25">
              <w:rPr>
                <w:rFonts w:eastAsia="Calibri"/>
                <w:color w:val="000000"/>
                <w:lang w:eastAsia="en-US"/>
              </w:rPr>
              <w:t xml:space="preserve">: Repellent treatment against mosquitoes or ticks applied on skin – STP release scenario [ESD-PT19 – Section 3.1.4]. </w:t>
            </w:r>
          </w:p>
          <w:p w14:paraId="62FA1892" w14:textId="77777777" w:rsidR="0098647E" w:rsidRPr="003E3E25" w:rsidRDefault="0098647E" w:rsidP="003C5407">
            <w:pPr>
              <w:spacing w:line="276" w:lineRule="auto"/>
              <w:rPr>
                <w:rFonts w:eastAsia="Calibri"/>
                <w:color w:val="000000"/>
                <w:lang w:eastAsia="en-US"/>
              </w:rPr>
            </w:pPr>
            <w:r w:rsidRPr="003E3E25">
              <w:rPr>
                <w:rFonts w:eastAsia="Calibri"/>
                <w:b/>
                <w:color w:val="000000"/>
                <w:lang w:eastAsia="en-US"/>
              </w:rPr>
              <w:sym w:font="Wingdings" w:char="F0E0"/>
            </w:r>
            <w:r w:rsidRPr="003E3E25">
              <w:rPr>
                <w:rFonts w:eastAsia="Calibri"/>
                <w:b/>
                <w:color w:val="000000"/>
                <w:lang w:eastAsia="en-US"/>
              </w:rPr>
              <w:t xml:space="preserve"> Use #1, 4, 6</w:t>
            </w:r>
          </w:p>
          <w:p w14:paraId="2F8D957F" w14:textId="77777777" w:rsidR="0098647E" w:rsidRPr="003E3E25" w:rsidRDefault="0098647E" w:rsidP="003C5407">
            <w:pPr>
              <w:spacing w:line="276" w:lineRule="auto"/>
              <w:rPr>
                <w:rFonts w:eastAsia="Calibri"/>
                <w:color w:val="000000"/>
                <w:lang w:eastAsia="en-US"/>
              </w:rPr>
            </w:pPr>
            <w:r w:rsidRPr="003E3E25">
              <w:rPr>
                <w:rFonts w:eastAsia="Calibri"/>
                <w:color w:val="000000"/>
                <w:u w:val="single"/>
                <w:lang w:eastAsia="en-US"/>
              </w:rPr>
              <w:t>Scenario 2b (covering the previous Scenario 2)</w:t>
            </w:r>
            <w:r w:rsidRPr="003E3E25">
              <w:rPr>
                <w:rFonts w:eastAsia="Calibri"/>
                <w:color w:val="000000"/>
                <w:lang w:eastAsia="en-US"/>
              </w:rPr>
              <w:t xml:space="preserve">: Repellent treatment against mosquitoes or ticks applied on skin – Swimming scenario [ESD-PT19 – Section 3.1.4]. </w:t>
            </w:r>
          </w:p>
          <w:p w14:paraId="65ACF7A9" w14:textId="77777777" w:rsidR="0098647E" w:rsidRPr="003E3E25" w:rsidRDefault="0098647E" w:rsidP="003C5407">
            <w:pPr>
              <w:spacing w:line="276" w:lineRule="auto"/>
              <w:rPr>
                <w:rFonts w:eastAsia="Calibri"/>
                <w:b/>
                <w:color w:val="000000"/>
                <w:lang w:eastAsia="en-US"/>
              </w:rPr>
            </w:pPr>
            <w:r w:rsidRPr="003E3E25">
              <w:rPr>
                <w:rFonts w:eastAsia="Calibri"/>
                <w:b/>
                <w:color w:val="000000"/>
                <w:lang w:eastAsia="en-US"/>
              </w:rPr>
              <w:sym w:font="Wingdings" w:char="F0E0"/>
            </w:r>
            <w:r w:rsidRPr="003E3E25">
              <w:rPr>
                <w:rFonts w:eastAsia="Calibri"/>
                <w:b/>
                <w:color w:val="000000"/>
                <w:lang w:eastAsia="en-US"/>
              </w:rPr>
              <w:t xml:space="preserve"> Use #1, 4, 6</w:t>
            </w:r>
          </w:p>
          <w:p w14:paraId="37A5F605" w14:textId="77777777" w:rsidR="0098647E" w:rsidRPr="003E3E25" w:rsidRDefault="0098647E" w:rsidP="003C5407">
            <w:pPr>
              <w:spacing w:line="276" w:lineRule="auto"/>
              <w:rPr>
                <w:rFonts w:eastAsia="Calibri"/>
                <w:color w:val="000000"/>
                <w:lang w:eastAsia="en-US"/>
              </w:rPr>
            </w:pPr>
            <w:r w:rsidRPr="003E3E25">
              <w:rPr>
                <w:rFonts w:eastAsia="Calibri"/>
                <w:color w:val="000000"/>
                <w:u w:val="single"/>
                <w:lang w:eastAsia="en-US"/>
              </w:rPr>
              <w:t>Scenario 3</w:t>
            </w:r>
            <w:r w:rsidRPr="003E3E25">
              <w:rPr>
                <w:rFonts w:eastAsia="Calibri"/>
                <w:color w:val="000000"/>
                <w:lang w:eastAsia="en-US"/>
              </w:rPr>
              <w:t xml:space="preserve">: Repellent treatment against mosquitoes or ticks applied on clothes – STP release scenario [ESD-PT19 – Section 3.1.4]. </w:t>
            </w:r>
          </w:p>
          <w:p w14:paraId="74DBFFAB" w14:textId="77777777" w:rsidR="0098647E" w:rsidRPr="003E3E25" w:rsidRDefault="0098647E" w:rsidP="003C5407">
            <w:pPr>
              <w:spacing w:line="276" w:lineRule="auto"/>
              <w:rPr>
                <w:rFonts w:eastAsia="Calibri"/>
                <w:color w:val="000000"/>
                <w:lang w:eastAsia="en-US"/>
              </w:rPr>
            </w:pPr>
            <w:r w:rsidRPr="003E3E25">
              <w:rPr>
                <w:rFonts w:eastAsia="Calibri"/>
                <w:b/>
                <w:color w:val="000000"/>
                <w:lang w:eastAsia="en-US"/>
              </w:rPr>
              <w:sym w:font="Wingdings" w:char="F0E0"/>
            </w:r>
            <w:r w:rsidRPr="003E3E25">
              <w:rPr>
                <w:rFonts w:eastAsia="Calibri"/>
                <w:b/>
                <w:color w:val="000000"/>
                <w:lang w:eastAsia="en-US"/>
              </w:rPr>
              <w:t xml:space="preserve"> Use #3, 5</w:t>
            </w:r>
          </w:p>
          <w:p w14:paraId="36EC4BDE" w14:textId="77777777" w:rsidR="0098647E" w:rsidRPr="003E3E25" w:rsidRDefault="0098647E" w:rsidP="003C5407">
            <w:pPr>
              <w:rPr>
                <w:rFonts w:eastAsia="Calibri"/>
                <w:color w:val="000000"/>
                <w:lang w:eastAsia="en-US"/>
              </w:rPr>
            </w:pPr>
            <w:r w:rsidRPr="003E3E25">
              <w:rPr>
                <w:rFonts w:eastAsia="Calibri"/>
                <w:color w:val="000000"/>
                <w:u w:val="single"/>
                <w:lang w:eastAsia="en-US"/>
              </w:rPr>
              <w:t>Scenario 4</w:t>
            </w:r>
            <w:r w:rsidRPr="003E3E25">
              <w:rPr>
                <w:rFonts w:eastAsia="Calibri"/>
                <w:color w:val="000000"/>
                <w:lang w:eastAsia="en-US"/>
              </w:rPr>
              <w:t xml:space="preserve">: Repellent treatment against head lice or dust mits applied on fabric – environment treatment scenario [ESD-PT19 – Section 3.3.4]. </w:t>
            </w:r>
          </w:p>
          <w:p w14:paraId="22274A28" w14:textId="77777777" w:rsidR="0098647E" w:rsidRPr="003E3E25" w:rsidRDefault="0098647E" w:rsidP="003C5407">
            <w:pPr>
              <w:rPr>
                <w:rFonts w:eastAsia="Calibri"/>
                <w:lang w:eastAsia="en-US"/>
              </w:rPr>
            </w:pPr>
            <w:r w:rsidRPr="003E3E25">
              <w:rPr>
                <w:rFonts w:eastAsia="Calibri"/>
                <w:b/>
                <w:color w:val="000000"/>
                <w:lang w:eastAsia="en-US"/>
              </w:rPr>
              <w:sym w:font="Wingdings" w:char="F0E0"/>
            </w:r>
            <w:r w:rsidRPr="003E3E25">
              <w:rPr>
                <w:rFonts w:eastAsia="Calibri"/>
                <w:b/>
                <w:color w:val="000000"/>
                <w:lang w:eastAsia="en-US"/>
              </w:rPr>
              <w:t xml:space="preserve"> Use #2, 7</w:t>
            </w:r>
          </w:p>
        </w:tc>
      </w:tr>
      <w:tr w:rsidR="0098647E" w:rsidRPr="00425EF7" w14:paraId="355BDFDE" w14:textId="77777777" w:rsidTr="003E3E25">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450E853A" w14:textId="77777777" w:rsidR="0098647E" w:rsidRDefault="0098647E" w:rsidP="003C5407">
            <w:pPr>
              <w:rPr>
                <w:rFonts w:eastAsia="Calibri"/>
                <w:lang w:eastAsia="en-US"/>
              </w:rPr>
            </w:pPr>
            <w:r>
              <w:rPr>
                <w:rFonts w:eastAsia="Calibri"/>
                <w:lang w:eastAsia="en-US"/>
              </w:rPr>
              <w:t>ESD(s) used</w:t>
            </w:r>
          </w:p>
        </w:tc>
        <w:tc>
          <w:tcPr>
            <w:tcW w:w="6413" w:type="dxa"/>
            <w:tcBorders>
              <w:top w:val="single" w:sz="4" w:space="0" w:color="auto"/>
              <w:left w:val="single" w:sz="4" w:space="0" w:color="auto"/>
              <w:bottom w:val="single" w:sz="4" w:space="0" w:color="auto"/>
              <w:right w:val="single" w:sz="4" w:space="0" w:color="auto"/>
            </w:tcBorders>
            <w:shd w:val="clear" w:color="auto" w:fill="auto"/>
            <w:hideMark/>
          </w:tcPr>
          <w:p w14:paraId="5919E2BA" w14:textId="77777777" w:rsidR="0098647E" w:rsidRPr="003E3E25" w:rsidRDefault="0098647E" w:rsidP="003C5407">
            <w:pPr>
              <w:rPr>
                <w:rFonts w:eastAsia="Calibri"/>
                <w:lang w:eastAsia="en-US"/>
              </w:rPr>
            </w:pPr>
            <w:r w:rsidRPr="003E3E25">
              <w:rPr>
                <w:rFonts w:eastAsia="Calibri"/>
                <w:lang w:eastAsia="en-US"/>
              </w:rPr>
              <w:t>Emission Scenario Document for Product Type 19: Repellents and attractants, May 2015 (ECHA-15-B-10-EN)</w:t>
            </w:r>
          </w:p>
          <w:p w14:paraId="511BDF8C" w14:textId="77777777" w:rsidR="0098647E" w:rsidRPr="003E3E25" w:rsidRDefault="0098647E" w:rsidP="003C5407">
            <w:pPr>
              <w:rPr>
                <w:rFonts w:eastAsia="Calibri"/>
                <w:color w:val="000000"/>
                <w:lang w:eastAsia="en-US"/>
              </w:rPr>
            </w:pPr>
            <w:r w:rsidRPr="003E3E25">
              <w:rPr>
                <w:rFonts w:eastAsia="Calibri"/>
                <w:color w:val="000000"/>
                <w:lang w:eastAsia="en-US"/>
              </w:rPr>
              <w:t>Technical Agreement for Biocides (TAB), August 2018.</w:t>
            </w:r>
          </w:p>
        </w:tc>
      </w:tr>
      <w:tr w:rsidR="0098647E" w14:paraId="6E8FFEE5" w14:textId="77777777" w:rsidTr="003E3E25">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20A8119B" w14:textId="77777777" w:rsidR="0098647E" w:rsidRDefault="0098647E" w:rsidP="003C5407">
            <w:pPr>
              <w:rPr>
                <w:rFonts w:eastAsia="Calibri"/>
                <w:lang w:eastAsia="en-US"/>
              </w:rPr>
            </w:pPr>
            <w:r>
              <w:rPr>
                <w:rFonts w:eastAsia="Calibri"/>
                <w:lang w:eastAsia="en-US"/>
              </w:rPr>
              <w:t>Approach</w:t>
            </w:r>
          </w:p>
        </w:tc>
        <w:tc>
          <w:tcPr>
            <w:tcW w:w="6413" w:type="dxa"/>
            <w:tcBorders>
              <w:top w:val="single" w:sz="4" w:space="0" w:color="auto"/>
              <w:left w:val="single" w:sz="4" w:space="0" w:color="auto"/>
              <w:bottom w:val="single" w:sz="4" w:space="0" w:color="auto"/>
              <w:right w:val="single" w:sz="4" w:space="0" w:color="auto"/>
            </w:tcBorders>
            <w:shd w:val="clear" w:color="auto" w:fill="auto"/>
            <w:hideMark/>
          </w:tcPr>
          <w:p w14:paraId="17FE9686" w14:textId="77777777" w:rsidR="0098647E" w:rsidRPr="003E3E25" w:rsidRDefault="0098647E" w:rsidP="003C5407">
            <w:pPr>
              <w:spacing w:line="276" w:lineRule="auto"/>
              <w:rPr>
                <w:rFonts w:eastAsia="Calibri"/>
                <w:color w:val="000000"/>
                <w:lang w:eastAsia="en-US"/>
              </w:rPr>
            </w:pPr>
            <w:r w:rsidRPr="003E3E25">
              <w:rPr>
                <w:rFonts w:eastAsia="Calibri"/>
                <w:color w:val="000000"/>
                <w:u w:val="single"/>
                <w:lang w:eastAsia="en-US"/>
              </w:rPr>
              <w:t>Scenario 1b</w:t>
            </w:r>
            <w:r w:rsidRPr="003E3E25">
              <w:rPr>
                <w:rFonts w:eastAsia="Calibri"/>
                <w:color w:val="000000"/>
                <w:lang w:eastAsia="en-US"/>
              </w:rPr>
              <w:t xml:space="preserve">: </w:t>
            </w:r>
            <w:r w:rsidRPr="003E3E25">
              <w:rPr>
                <w:rFonts w:eastAsia="Calibri"/>
                <w:lang w:eastAsia="en-US"/>
              </w:rPr>
              <w:t>Average consumption</w:t>
            </w:r>
          </w:p>
          <w:p w14:paraId="1CE15990" w14:textId="77777777" w:rsidR="0098647E" w:rsidRPr="003E3E25" w:rsidRDefault="0098647E" w:rsidP="003C5407">
            <w:pPr>
              <w:spacing w:line="276" w:lineRule="auto"/>
              <w:rPr>
                <w:rFonts w:eastAsia="Calibri"/>
                <w:color w:val="000000"/>
                <w:lang w:eastAsia="en-US"/>
              </w:rPr>
            </w:pPr>
            <w:r w:rsidRPr="003E3E25">
              <w:rPr>
                <w:rFonts w:eastAsia="Calibri"/>
                <w:color w:val="000000"/>
                <w:u w:val="single"/>
                <w:lang w:eastAsia="en-US"/>
              </w:rPr>
              <w:t>Scenario 2b</w:t>
            </w:r>
            <w:r w:rsidRPr="003E3E25">
              <w:rPr>
                <w:rFonts w:eastAsia="Calibri"/>
                <w:color w:val="000000"/>
                <w:lang w:eastAsia="en-US"/>
              </w:rPr>
              <w:t xml:space="preserve">: </w:t>
            </w:r>
            <w:r w:rsidRPr="003E3E25">
              <w:rPr>
                <w:rFonts w:eastAsia="Calibri"/>
                <w:lang w:eastAsia="en-US"/>
              </w:rPr>
              <w:t>Average consumption</w:t>
            </w:r>
          </w:p>
          <w:p w14:paraId="0C35BCB6" w14:textId="77777777" w:rsidR="0098647E" w:rsidRPr="003E3E25" w:rsidRDefault="0098647E" w:rsidP="003C5407">
            <w:pPr>
              <w:spacing w:line="276" w:lineRule="auto"/>
              <w:rPr>
                <w:rFonts w:eastAsia="Calibri"/>
                <w:color w:val="000000"/>
                <w:lang w:eastAsia="en-US"/>
              </w:rPr>
            </w:pPr>
            <w:r w:rsidRPr="003E3E25">
              <w:rPr>
                <w:rFonts w:eastAsia="Calibri"/>
                <w:color w:val="000000"/>
                <w:u w:val="single"/>
                <w:lang w:eastAsia="en-US"/>
              </w:rPr>
              <w:t>Scenario 3</w:t>
            </w:r>
            <w:r w:rsidRPr="003E3E25">
              <w:rPr>
                <w:rFonts w:eastAsia="Calibri"/>
                <w:color w:val="000000"/>
                <w:lang w:eastAsia="en-US"/>
              </w:rPr>
              <w:t xml:space="preserve">: </w:t>
            </w:r>
            <w:r w:rsidRPr="003E3E25">
              <w:rPr>
                <w:rFonts w:eastAsia="Calibri"/>
                <w:lang w:eastAsia="en-US"/>
              </w:rPr>
              <w:t>Average consumption</w:t>
            </w:r>
          </w:p>
          <w:p w14:paraId="04954BF7" w14:textId="77777777" w:rsidR="0098647E" w:rsidRPr="003E3E25" w:rsidRDefault="0098647E" w:rsidP="003C5407">
            <w:pPr>
              <w:spacing w:line="276" w:lineRule="auto"/>
              <w:rPr>
                <w:rFonts w:eastAsia="Calibri"/>
                <w:b/>
                <w:lang w:eastAsia="en-US"/>
              </w:rPr>
            </w:pPr>
            <w:r w:rsidRPr="003E3E25">
              <w:rPr>
                <w:rFonts w:eastAsia="Calibri"/>
                <w:color w:val="000000"/>
                <w:u w:val="single"/>
                <w:lang w:eastAsia="en-US"/>
              </w:rPr>
              <w:t>Scenario 4</w:t>
            </w:r>
            <w:r w:rsidRPr="003E3E25">
              <w:rPr>
                <w:rFonts w:eastAsia="Calibri"/>
                <w:color w:val="000000"/>
                <w:lang w:eastAsia="en-US"/>
              </w:rPr>
              <w:t>:</w:t>
            </w:r>
            <w:r w:rsidRPr="003E3E25">
              <w:rPr>
                <w:rFonts w:eastAsia="Calibri"/>
                <w:lang w:eastAsia="en-US"/>
              </w:rPr>
              <w:t xml:space="preserve"> Average consumption</w:t>
            </w:r>
          </w:p>
        </w:tc>
      </w:tr>
      <w:tr w:rsidR="0098647E" w14:paraId="5F9F89E5" w14:textId="77777777" w:rsidTr="003E3E25">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253291ED" w14:textId="77777777" w:rsidR="0098647E" w:rsidRDefault="0098647E" w:rsidP="003C5407">
            <w:pPr>
              <w:rPr>
                <w:rFonts w:eastAsia="Calibri"/>
                <w:lang w:eastAsia="en-US"/>
              </w:rPr>
            </w:pPr>
            <w:r>
              <w:rPr>
                <w:rFonts w:eastAsia="Calibri"/>
                <w:lang w:eastAsia="en-US"/>
              </w:rPr>
              <w:t>Distribution in the environment</w:t>
            </w:r>
          </w:p>
        </w:tc>
        <w:tc>
          <w:tcPr>
            <w:tcW w:w="6413" w:type="dxa"/>
            <w:tcBorders>
              <w:top w:val="single" w:sz="4" w:space="0" w:color="auto"/>
              <w:left w:val="single" w:sz="4" w:space="0" w:color="auto"/>
              <w:bottom w:val="single" w:sz="4" w:space="0" w:color="auto"/>
              <w:right w:val="single" w:sz="4" w:space="0" w:color="auto"/>
            </w:tcBorders>
            <w:shd w:val="clear" w:color="auto" w:fill="auto"/>
            <w:hideMark/>
          </w:tcPr>
          <w:p w14:paraId="2014F8F5" w14:textId="77777777" w:rsidR="0098647E" w:rsidRPr="003E3E25" w:rsidRDefault="0098647E" w:rsidP="003C5407">
            <w:pPr>
              <w:rPr>
                <w:rFonts w:eastAsia="Calibri"/>
                <w:lang w:eastAsia="en-US"/>
              </w:rPr>
            </w:pPr>
            <w:r w:rsidRPr="003E3E25">
              <w:rPr>
                <w:rFonts w:eastAsia="Calibri"/>
                <w:lang w:eastAsia="en-US"/>
              </w:rPr>
              <w:t xml:space="preserve">Calculated based on TGD 2003 </w:t>
            </w:r>
          </w:p>
        </w:tc>
      </w:tr>
      <w:tr w:rsidR="0098647E" w14:paraId="681EE413" w14:textId="77777777" w:rsidTr="003E3E25">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067A0D8E" w14:textId="77777777" w:rsidR="0098647E" w:rsidRDefault="0098647E" w:rsidP="003C5407">
            <w:pPr>
              <w:rPr>
                <w:rFonts w:eastAsia="Calibri"/>
                <w:lang w:eastAsia="en-US"/>
              </w:rPr>
            </w:pPr>
            <w:r>
              <w:rPr>
                <w:rFonts w:eastAsia="Calibri"/>
                <w:lang w:eastAsia="en-US"/>
              </w:rPr>
              <w:t>Groundwater simulation</w:t>
            </w:r>
          </w:p>
        </w:tc>
        <w:tc>
          <w:tcPr>
            <w:tcW w:w="6413" w:type="dxa"/>
            <w:tcBorders>
              <w:top w:val="single" w:sz="4" w:space="0" w:color="auto"/>
              <w:left w:val="single" w:sz="4" w:space="0" w:color="auto"/>
              <w:bottom w:val="single" w:sz="4" w:space="0" w:color="auto"/>
              <w:right w:val="single" w:sz="4" w:space="0" w:color="auto"/>
            </w:tcBorders>
            <w:shd w:val="clear" w:color="auto" w:fill="auto"/>
            <w:hideMark/>
          </w:tcPr>
          <w:p w14:paraId="1366C1A0" w14:textId="77777777" w:rsidR="0098647E" w:rsidRPr="003E3E25" w:rsidRDefault="0098647E" w:rsidP="003C5407">
            <w:pPr>
              <w:rPr>
                <w:rFonts w:eastAsia="Calibri"/>
                <w:lang w:eastAsia="en-US"/>
              </w:rPr>
            </w:pPr>
            <w:r w:rsidRPr="003E3E25">
              <w:rPr>
                <w:rFonts w:eastAsia="Calibri"/>
                <w:lang w:eastAsia="en-US"/>
              </w:rPr>
              <w:t>Not applicable</w:t>
            </w:r>
          </w:p>
        </w:tc>
      </w:tr>
      <w:tr w:rsidR="0098647E" w14:paraId="0358058D" w14:textId="77777777" w:rsidTr="003E3E25">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04209BA6" w14:textId="77777777" w:rsidR="0098647E" w:rsidRDefault="0098647E" w:rsidP="003C5407">
            <w:pPr>
              <w:rPr>
                <w:rFonts w:eastAsia="Calibri"/>
                <w:lang w:eastAsia="en-US"/>
              </w:rPr>
            </w:pPr>
            <w:r>
              <w:rPr>
                <w:rFonts w:eastAsia="Calibri"/>
                <w:lang w:eastAsia="en-US"/>
              </w:rPr>
              <w:t>Confidential Annexes</w:t>
            </w:r>
          </w:p>
        </w:tc>
        <w:tc>
          <w:tcPr>
            <w:tcW w:w="6413" w:type="dxa"/>
            <w:tcBorders>
              <w:top w:val="single" w:sz="4" w:space="0" w:color="auto"/>
              <w:left w:val="single" w:sz="4" w:space="0" w:color="auto"/>
              <w:bottom w:val="single" w:sz="4" w:space="0" w:color="auto"/>
              <w:right w:val="single" w:sz="4" w:space="0" w:color="auto"/>
            </w:tcBorders>
            <w:shd w:val="clear" w:color="auto" w:fill="auto"/>
            <w:hideMark/>
          </w:tcPr>
          <w:p w14:paraId="71FFF49C" w14:textId="77777777" w:rsidR="0098647E" w:rsidRPr="003E3E25" w:rsidRDefault="0098647E" w:rsidP="003C5407">
            <w:pPr>
              <w:rPr>
                <w:rFonts w:eastAsia="Calibri"/>
                <w:b/>
                <w:lang w:eastAsia="en-US"/>
              </w:rPr>
            </w:pPr>
            <w:r w:rsidRPr="003E3E25">
              <w:rPr>
                <w:rFonts w:eastAsia="Calibri"/>
                <w:lang w:eastAsia="en-US"/>
              </w:rPr>
              <w:t>None</w:t>
            </w:r>
          </w:p>
        </w:tc>
      </w:tr>
      <w:tr w:rsidR="0098647E" w14:paraId="7F6914D6" w14:textId="77777777" w:rsidTr="003E3E25">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62D9B5E2" w14:textId="77777777" w:rsidR="0098647E" w:rsidRDefault="0098647E" w:rsidP="003C5407">
            <w:pPr>
              <w:rPr>
                <w:rFonts w:eastAsia="Calibri"/>
                <w:lang w:eastAsia="en-US"/>
              </w:rPr>
            </w:pPr>
            <w:r>
              <w:rPr>
                <w:rFonts w:eastAsia="Calibri"/>
                <w:lang w:eastAsia="en-US"/>
              </w:rPr>
              <w:t>Life cycle steps assessed</w:t>
            </w:r>
          </w:p>
        </w:tc>
        <w:tc>
          <w:tcPr>
            <w:tcW w:w="6413" w:type="dxa"/>
            <w:tcBorders>
              <w:top w:val="single" w:sz="4" w:space="0" w:color="auto"/>
              <w:left w:val="single" w:sz="4" w:space="0" w:color="auto"/>
              <w:bottom w:val="single" w:sz="4" w:space="0" w:color="auto"/>
              <w:right w:val="single" w:sz="4" w:space="0" w:color="auto"/>
            </w:tcBorders>
            <w:shd w:val="clear" w:color="auto" w:fill="auto"/>
            <w:hideMark/>
          </w:tcPr>
          <w:p w14:paraId="2F8FE248" w14:textId="77777777" w:rsidR="0098647E" w:rsidRPr="003E3E25" w:rsidRDefault="0098647E" w:rsidP="003C5407">
            <w:pPr>
              <w:spacing w:line="276" w:lineRule="auto"/>
              <w:rPr>
                <w:rFonts w:eastAsia="Calibri"/>
                <w:color w:val="000000"/>
                <w:u w:val="single"/>
                <w:lang w:eastAsia="en-US"/>
              </w:rPr>
            </w:pPr>
            <w:r w:rsidRPr="003E3E25">
              <w:rPr>
                <w:rFonts w:eastAsia="Calibri"/>
                <w:color w:val="000000"/>
                <w:u w:val="single"/>
                <w:lang w:eastAsia="en-US"/>
              </w:rPr>
              <w:t>Scenarios 1b</w:t>
            </w:r>
            <w:r w:rsidRPr="003E3E25">
              <w:rPr>
                <w:rFonts w:eastAsia="Calibri"/>
                <w:color w:val="000000"/>
                <w:lang w:eastAsia="en-US"/>
              </w:rPr>
              <w:t xml:space="preserve"> (</w:t>
            </w:r>
            <w:r w:rsidRPr="003E3E25">
              <w:rPr>
                <w:rFonts w:eastAsia="Calibri"/>
                <w:lang w:eastAsia="en-US"/>
              </w:rPr>
              <w:t>Showering &amp; bathing), 2b (Swimming), 3 (Clothes), 4 (</w:t>
            </w:r>
            <w:r w:rsidRPr="003E3E25">
              <w:rPr>
                <w:rFonts w:eastAsia="Calibri"/>
                <w:color w:val="000000"/>
                <w:lang w:eastAsia="en-US"/>
              </w:rPr>
              <w:t>Fabrics)</w:t>
            </w:r>
            <w:r w:rsidRPr="003E3E25">
              <w:rPr>
                <w:rFonts w:eastAsia="Calibri"/>
                <w:lang w:eastAsia="en-US"/>
              </w:rPr>
              <w:t>:</w:t>
            </w:r>
          </w:p>
          <w:p w14:paraId="3DE8B84D" w14:textId="77777777" w:rsidR="0098647E" w:rsidRPr="003E3E25" w:rsidRDefault="0098647E" w:rsidP="003C5407">
            <w:pPr>
              <w:pStyle w:val="Paragraphedeliste"/>
              <w:numPr>
                <w:ilvl w:val="0"/>
                <w:numId w:val="11"/>
              </w:numPr>
              <w:spacing w:line="276" w:lineRule="auto"/>
              <w:rPr>
                <w:rFonts w:eastAsia="Calibri"/>
                <w:color w:val="000000"/>
                <w:lang w:eastAsia="en-US"/>
              </w:rPr>
            </w:pPr>
            <w:r w:rsidRPr="003E3E25">
              <w:rPr>
                <w:rFonts w:eastAsia="Calibri"/>
                <w:color w:val="000000"/>
                <w:lang w:eastAsia="en-US"/>
              </w:rPr>
              <w:t>Production: No</w:t>
            </w:r>
          </w:p>
          <w:p w14:paraId="23F33B24" w14:textId="77777777" w:rsidR="0098647E" w:rsidRPr="003E3E25" w:rsidRDefault="0098647E" w:rsidP="003C5407">
            <w:pPr>
              <w:pStyle w:val="Paragraphedeliste"/>
              <w:numPr>
                <w:ilvl w:val="0"/>
                <w:numId w:val="11"/>
              </w:numPr>
              <w:spacing w:line="276" w:lineRule="auto"/>
              <w:rPr>
                <w:rFonts w:eastAsia="Calibri"/>
                <w:color w:val="000000"/>
                <w:lang w:eastAsia="en-US"/>
              </w:rPr>
            </w:pPr>
            <w:r w:rsidRPr="003E3E25">
              <w:rPr>
                <w:rFonts w:eastAsia="Calibri"/>
                <w:color w:val="000000"/>
                <w:lang w:eastAsia="en-US"/>
              </w:rPr>
              <w:t>Formulation No</w:t>
            </w:r>
          </w:p>
          <w:p w14:paraId="45308D66" w14:textId="77777777" w:rsidR="0098647E" w:rsidRPr="003E3E25" w:rsidRDefault="0098647E" w:rsidP="003C5407">
            <w:pPr>
              <w:pStyle w:val="Paragraphedeliste"/>
              <w:numPr>
                <w:ilvl w:val="0"/>
                <w:numId w:val="11"/>
              </w:numPr>
              <w:spacing w:line="276" w:lineRule="auto"/>
              <w:rPr>
                <w:rFonts w:eastAsia="Calibri"/>
                <w:color w:val="000000"/>
                <w:lang w:eastAsia="en-US"/>
              </w:rPr>
            </w:pPr>
            <w:r w:rsidRPr="003E3E25">
              <w:rPr>
                <w:rFonts w:eastAsia="Calibri"/>
                <w:color w:val="000000"/>
                <w:lang w:eastAsia="en-US"/>
              </w:rPr>
              <w:t>Use: Yes</w:t>
            </w:r>
          </w:p>
          <w:p w14:paraId="72AD5A2B" w14:textId="77777777" w:rsidR="0098647E" w:rsidRPr="003E3E25" w:rsidRDefault="0098647E" w:rsidP="003C5407">
            <w:pPr>
              <w:pStyle w:val="Paragraphedeliste"/>
              <w:numPr>
                <w:ilvl w:val="0"/>
                <w:numId w:val="11"/>
              </w:numPr>
              <w:spacing w:line="276" w:lineRule="auto"/>
              <w:rPr>
                <w:rFonts w:eastAsia="Calibri"/>
                <w:color w:val="000000"/>
                <w:lang w:eastAsia="en-US"/>
              </w:rPr>
            </w:pPr>
            <w:r w:rsidRPr="003E3E25">
              <w:rPr>
                <w:rFonts w:eastAsia="Calibri"/>
                <w:color w:val="000000"/>
                <w:lang w:eastAsia="en-US"/>
              </w:rPr>
              <w:t>Service life: No</w:t>
            </w:r>
          </w:p>
        </w:tc>
      </w:tr>
      <w:tr w:rsidR="0098647E" w14:paraId="74EF436F" w14:textId="77777777" w:rsidTr="003E3E25">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7D514143" w14:textId="77777777" w:rsidR="0098647E" w:rsidRDefault="0098647E" w:rsidP="003C5407">
            <w:pPr>
              <w:rPr>
                <w:rFonts w:eastAsia="Calibri"/>
                <w:lang w:eastAsia="en-US"/>
              </w:rPr>
            </w:pPr>
            <w:r>
              <w:rPr>
                <w:rFonts w:eastAsia="Calibri"/>
                <w:lang w:eastAsia="en-US"/>
              </w:rPr>
              <w:t>Remarks</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3CCB6801" w14:textId="77777777" w:rsidR="0098647E" w:rsidRPr="003E3E25" w:rsidRDefault="0098647E" w:rsidP="003C5407">
            <w:pPr>
              <w:rPr>
                <w:rFonts w:eastAsia="Calibri"/>
                <w:color w:val="000000"/>
              </w:rPr>
            </w:pPr>
            <w:r w:rsidRPr="003E3E25">
              <w:rPr>
                <w:rFonts w:eastAsia="Calibri"/>
                <w:color w:val="000000"/>
              </w:rPr>
              <w:t>Evaluation done taking into account WGV2018 agreement on treated skin surface:</w:t>
            </w:r>
          </w:p>
          <w:p w14:paraId="6261CB1F" w14:textId="77777777" w:rsidR="0098647E" w:rsidRPr="003E3E25" w:rsidRDefault="0098647E" w:rsidP="003C5407">
            <w:pPr>
              <w:pStyle w:val="Corpsdetexte"/>
              <w:spacing w:after="0"/>
              <w:rPr>
                <w:rFonts w:ascii="Verdana" w:hAnsi="Verdana"/>
                <w:sz w:val="20"/>
                <w:szCs w:val="20"/>
                <w:u w:val="single"/>
              </w:rPr>
            </w:pPr>
            <w:r w:rsidRPr="003E3E25">
              <w:rPr>
                <w:rFonts w:ascii="Verdana" w:hAnsi="Verdana"/>
                <w:sz w:val="20"/>
                <w:szCs w:val="20"/>
                <w:u w:val="single"/>
              </w:rPr>
              <w:t xml:space="preserve">TAB ENV v2.0 entry </w:t>
            </w:r>
            <w:r w:rsidRPr="003E3E25">
              <w:rPr>
                <w:rFonts w:ascii="Verdana" w:hAnsi="Verdana"/>
                <w:b/>
                <w:sz w:val="20"/>
                <w:szCs w:val="20"/>
                <w:u w:val="single"/>
              </w:rPr>
              <w:t>ENV 172</w:t>
            </w:r>
            <w:r w:rsidRPr="003E3E25">
              <w:rPr>
                <w:rFonts w:ascii="Verdana" w:hAnsi="Verdana"/>
                <w:sz w:val="20"/>
                <w:szCs w:val="20"/>
                <w:u w:val="single"/>
              </w:rPr>
              <w:t xml:space="preserve"> - Refinement of risk assessment PT19: reduction of treated skin surface area and taking into account dermal adsorption. </w:t>
            </w:r>
          </w:p>
          <w:p w14:paraId="5CBA5F84" w14:textId="77777777" w:rsidR="0098647E" w:rsidRPr="003E3E25" w:rsidRDefault="0098647E" w:rsidP="003C5407">
            <w:pPr>
              <w:rPr>
                <w:rFonts w:eastAsia="Calibri"/>
                <w:color w:val="000000"/>
                <w:lang w:eastAsia="en-US"/>
              </w:rPr>
            </w:pPr>
            <w:r w:rsidRPr="003E3E25">
              <w:t>The WG agreed to apply the new value of the HEAdoc recommendation of January 2018 for the treated skin area, i.e. 55% of 16600 cm</w:t>
            </w:r>
            <w:r w:rsidRPr="003E3E25">
              <w:rPr>
                <w:vertAlign w:val="superscript"/>
              </w:rPr>
              <w:t xml:space="preserve">2 </w:t>
            </w:r>
            <w:r w:rsidRPr="003E3E25">
              <w:rPr>
                <w:rFonts w:cs="Arial"/>
                <w:color w:val="000000" w:themeColor="text1"/>
              </w:rPr>
              <w:t>(= 9130 cm²)</w:t>
            </w:r>
            <w:r w:rsidRPr="003E3E25">
              <w:t>, since this could be considered as a mean value taking into account the different skin areas for women, men and children.</w:t>
            </w:r>
          </w:p>
        </w:tc>
      </w:tr>
    </w:tbl>
    <w:p w14:paraId="00CB5808" w14:textId="77777777" w:rsidR="0098647E" w:rsidRDefault="0098647E">
      <w:pPr>
        <w:spacing w:before="0" w:after="160" w:line="259" w:lineRule="auto"/>
        <w:rPr>
          <w:rFonts w:eastAsia="Calibri"/>
          <w:lang w:eastAsia="en-US"/>
        </w:rPr>
      </w:pPr>
    </w:p>
    <w:p w14:paraId="6FC5794C" w14:textId="2AFD5297" w:rsidR="00A0626E" w:rsidRDefault="00A0626E" w:rsidP="00A0626E">
      <w:pPr>
        <w:pStyle w:val="Titre5"/>
      </w:pPr>
      <w:bookmarkStart w:id="320" w:name="_Toc93326600"/>
      <w:r>
        <w:t>Emission estimation</w:t>
      </w:r>
      <w:bookmarkEnd w:id="320"/>
    </w:p>
    <w:p w14:paraId="5FC76D4A" w14:textId="77777777" w:rsidR="001024E3" w:rsidRPr="009461FB" w:rsidRDefault="001024E3" w:rsidP="001024E3">
      <w:pPr>
        <w:pStyle w:val="Paragraphedeliste"/>
        <w:numPr>
          <w:ilvl w:val="0"/>
          <w:numId w:val="68"/>
        </w:numPr>
        <w:rPr>
          <w:b/>
        </w:rPr>
      </w:pPr>
      <w:r w:rsidRPr="009461FB">
        <w:rPr>
          <w:b/>
        </w:rPr>
        <w:t>FIRST AUTHORISATION – 2017 (BE CA)</w:t>
      </w:r>
    </w:p>
    <w:p w14:paraId="53564119" w14:textId="77777777" w:rsidR="001024E3" w:rsidRPr="001024E3" w:rsidRDefault="001024E3" w:rsidP="001024E3">
      <w:pPr>
        <w:rPr>
          <w:lang w:val="en-US" w:eastAsia="en-US"/>
        </w:rPr>
      </w:pPr>
    </w:p>
    <w:p w14:paraId="05CB5A8A" w14:textId="77777777" w:rsidR="00A0626E" w:rsidRPr="003720C3" w:rsidRDefault="00A0626E" w:rsidP="00A0626E">
      <w:pPr>
        <w:pStyle w:val="Titre6"/>
        <w:rPr>
          <w:lang w:val="en-US"/>
        </w:rPr>
      </w:pPr>
      <w:r w:rsidRPr="003720C3">
        <w:rPr>
          <w:lang w:val="en-US"/>
        </w:rPr>
        <w:t>Scenario 1: Removal via showering and bathing</w:t>
      </w:r>
    </w:p>
    <w:p w14:paraId="655D1DCC" w14:textId="77777777" w:rsidR="00A0626E" w:rsidRPr="00DA2EA7" w:rsidRDefault="00A0626E" w:rsidP="00A0626E">
      <w:pPr>
        <w:pStyle w:val="Titre7"/>
        <w:rPr>
          <w:lang w:val="en-US"/>
        </w:rPr>
      </w:pPr>
      <w:r w:rsidRPr="00DA2EA7">
        <w:rPr>
          <w:lang w:val="en-US"/>
        </w:rPr>
        <w:t>Consumption based scenario</w:t>
      </w:r>
    </w:p>
    <w:p w14:paraId="404D07C1" w14:textId="77777777" w:rsidR="00A0626E" w:rsidRDefault="00A0626E" w:rsidP="00A0626E">
      <w:pPr>
        <w:rPr>
          <w:rFonts w:eastAsia="Calibri"/>
          <w:lang w:eastAsia="en-US"/>
        </w:rPr>
      </w:pPr>
      <w:r>
        <w:rPr>
          <w:rFonts w:eastAsia="Calibri"/>
          <w:lang w:eastAsia="en-US"/>
        </w:rPr>
        <w:t>For estimating the emission for products applied on human skin following showering or bathing one could either use a tonnage based scenario or a consumption based scenario.</w:t>
      </w:r>
    </w:p>
    <w:p w14:paraId="662F5F7D" w14:textId="77777777" w:rsidR="00A0626E" w:rsidRDefault="00A0626E" w:rsidP="00A0626E">
      <w:pPr>
        <w:rPr>
          <w:rFonts w:eastAsia="Calibri"/>
          <w:lang w:eastAsia="en-US"/>
        </w:rPr>
      </w:pPr>
      <w:r>
        <w:rPr>
          <w:rFonts w:eastAsia="Calibri"/>
          <w:lang w:eastAsia="en-US"/>
        </w:rPr>
        <w:t>Tonnage based approaches are mostly only appropriate for assessing an active substance for approval and not so much for the authorisation of biocidal products. Therefore only the consumption based approach is assessed here.</w:t>
      </w:r>
    </w:p>
    <w:p w14:paraId="426F1939" w14:textId="77777777" w:rsidR="00A0626E" w:rsidRDefault="00A0626E" w:rsidP="00A0626E">
      <w:pPr>
        <w:rPr>
          <w:rFonts w:eastAsia="Calibri"/>
          <w:lang w:eastAsia="en-US"/>
        </w:rPr>
      </w:pPr>
      <w:r>
        <w:rPr>
          <w:rFonts w:eastAsia="Calibri"/>
          <w:lang w:eastAsia="en-US"/>
        </w:rPr>
        <w:t>However, the tonnage based approach was calculated in the IR3535 CAR and can be consulted in the confidential annex of said CAR. Anyway when considering the break-even tonnage, the consumption based scenario is deemed to be the most appropriate scenario.</w:t>
      </w:r>
    </w:p>
    <w:p w14:paraId="3B277F3E" w14:textId="77777777" w:rsidR="00A0626E" w:rsidRPr="00DA2EA7" w:rsidRDefault="00A0626E" w:rsidP="00A0626E">
      <w:pPr>
        <w:pStyle w:val="Titre7"/>
        <w:rPr>
          <w:lang w:val="en-US"/>
        </w:rPr>
      </w:pPr>
      <w:r w:rsidRPr="00DA2EA7">
        <w:rPr>
          <w:lang w:val="en-US"/>
        </w:rPr>
        <w:t>Amount of product per application (Qform</w:t>
      </w:r>
      <w:r w:rsidRPr="00DA2EA7">
        <w:rPr>
          <w:vertAlign w:val="subscript"/>
          <w:lang w:val="en-US"/>
        </w:rPr>
        <w:t>appl</w:t>
      </w:r>
      <w:r w:rsidRPr="00DA2EA7">
        <w:rPr>
          <w:lang w:val="en-US"/>
        </w:rPr>
        <w:t>)</w:t>
      </w:r>
    </w:p>
    <w:p w14:paraId="754937B3" w14:textId="77777777" w:rsidR="00A0626E" w:rsidRDefault="00A0626E" w:rsidP="00A0626E">
      <w:pPr>
        <w:rPr>
          <w:rFonts w:eastAsia="Calibri"/>
          <w:lang w:eastAsia="en-US"/>
        </w:rPr>
      </w:pPr>
      <w:r>
        <w:rPr>
          <w:rFonts w:eastAsia="Calibri"/>
          <w:lang w:eastAsia="en-US"/>
        </w:rPr>
        <w:t>The most important input parameter for the consumption based scenario is the amount of product that will be used per application (Qform</w:t>
      </w:r>
      <w:r>
        <w:rPr>
          <w:rFonts w:eastAsia="Calibri"/>
          <w:vertAlign w:val="subscript"/>
          <w:lang w:eastAsia="en-US"/>
        </w:rPr>
        <w:t>appl</w:t>
      </w:r>
      <w:r>
        <w:rPr>
          <w:rFonts w:eastAsia="Calibri"/>
          <w:lang w:eastAsia="en-US"/>
        </w:rPr>
        <w:t>).</w:t>
      </w:r>
    </w:p>
    <w:p w14:paraId="14EAC77D" w14:textId="77777777" w:rsidR="00A0626E" w:rsidRDefault="00A0626E" w:rsidP="00A0626E">
      <w:pPr>
        <w:rPr>
          <w:rFonts w:eastAsia="Calibri"/>
          <w:lang w:eastAsia="en-US"/>
        </w:rPr>
      </w:pPr>
      <w:r>
        <w:rPr>
          <w:rFonts w:eastAsia="Calibri"/>
          <w:lang w:eastAsia="en-US"/>
        </w:rPr>
        <w:t xml:space="preserve">As a default value in the ESD </w:t>
      </w:r>
      <w:r w:rsidRPr="003720C3">
        <w:rPr>
          <w:rStyle w:val="MarkerenChar"/>
        </w:rPr>
        <w:t>0.6 mg product/cm² skin</w:t>
      </w:r>
      <w:r>
        <w:rPr>
          <w:rFonts w:eastAsia="Calibri"/>
          <w:lang w:eastAsia="en-US"/>
        </w:rPr>
        <w:t xml:space="preserve"> is proposed. </w:t>
      </w:r>
    </w:p>
    <w:p w14:paraId="0DF3CAD3" w14:textId="77777777" w:rsidR="00450658" w:rsidRDefault="00A0626E" w:rsidP="00A0626E">
      <w:r>
        <w:rPr>
          <w:rFonts w:eastAsia="Calibri"/>
          <w:lang w:eastAsia="en-US"/>
        </w:rPr>
        <w:t xml:space="preserve">According to the applicant’s use instructions </w:t>
      </w:r>
      <w:r w:rsidRPr="00A0626E">
        <w:rPr>
          <w:rStyle w:val="MarkerenChar"/>
        </w:rPr>
        <w:t>0.5 g product per application</w:t>
      </w:r>
      <w:r>
        <w:rPr>
          <w:rFonts w:eastAsia="Calibri"/>
          <w:lang w:eastAsia="en-US"/>
        </w:rPr>
        <w:t xml:space="preserve"> </w:t>
      </w:r>
      <w:r>
        <w:t xml:space="preserve">is recommended. </w:t>
      </w:r>
      <w:r w:rsidR="00450658">
        <w:t>This value needs to be converted to the correct unit for Qform</w:t>
      </w:r>
      <w:r w:rsidR="00450658">
        <w:rPr>
          <w:vertAlign w:val="subscript"/>
        </w:rPr>
        <w:t>appl</w:t>
      </w:r>
      <w:r w:rsidR="00450658">
        <w:t>, using a body surface area to which the product is applied. According to the use instructions, the product should be applied to the hair, the nape of the neck and behind the ears. Since no such value for the surface area is available in the ESD, the surface area for the head (1110 cm²)will be used instead. Qform</w:t>
      </w:r>
      <w:r w:rsidR="00450658">
        <w:rPr>
          <w:vertAlign w:val="subscript"/>
        </w:rPr>
        <w:t>appl</w:t>
      </w:r>
      <w:r w:rsidR="00450658">
        <w:t xml:space="preserve"> then becomes:</w:t>
      </w:r>
    </w:p>
    <w:p w14:paraId="5CB8ADE8" w14:textId="77777777" w:rsidR="00A0626E" w:rsidRPr="003720C3" w:rsidRDefault="000D0DA7" w:rsidP="00A0626E">
      <w:pPr>
        <w:rPr>
          <w:rFonts w:eastAsia="Calibri"/>
          <w:lang w:eastAsia="en-US"/>
        </w:rPr>
      </w:pPr>
      <m:oMathPara>
        <m:oMath>
          <m:sSub>
            <m:sSubPr>
              <m:ctrlPr>
                <w:rPr>
                  <w:rFonts w:ascii="Cambria Math" w:eastAsia="Calibri" w:hAnsi="Cambria Math"/>
                  <w:i/>
                  <w:bdr w:val="single" w:sz="4" w:space="0" w:color="auto"/>
                  <w:lang w:eastAsia="en-US"/>
                </w:rPr>
              </m:ctrlPr>
            </m:sSubPr>
            <m:e>
              <m:r>
                <w:rPr>
                  <w:rFonts w:ascii="Cambria Math" w:eastAsia="Calibri" w:hAnsi="Cambria Math"/>
                  <w:bdr w:val="single" w:sz="4" w:space="0" w:color="auto"/>
                  <w:lang w:eastAsia="en-US"/>
                </w:rPr>
                <m:t>Qform</m:t>
              </m:r>
            </m:e>
            <m:sub>
              <m:r>
                <w:rPr>
                  <w:rFonts w:ascii="Cambria Math" w:eastAsia="Calibri" w:hAnsi="Cambria Math"/>
                  <w:bdr w:val="single" w:sz="4" w:space="0" w:color="auto"/>
                  <w:lang w:eastAsia="en-US"/>
                </w:rPr>
                <m:t>appl</m:t>
              </m:r>
            </m:sub>
          </m:sSub>
          <m:d>
            <m:dPr>
              <m:ctrlPr>
                <w:rPr>
                  <w:rFonts w:ascii="Cambria Math" w:eastAsia="Calibri" w:hAnsi="Cambria Math"/>
                  <w:i/>
                  <w:bdr w:val="single" w:sz="4" w:space="0" w:color="auto"/>
                  <w:lang w:eastAsia="en-US"/>
                </w:rPr>
              </m:ctrlPr>
            </m:dPr>
            <m:e>
              <m:r>
                <w:rPr>
                  <w:rFonts w:ascii="Cambria Math" w:eastAsia="Calibri" w:hAnsi="Cambria Math"/>
                  <w:bdr w:val="single" w:sz="4" w:space="0" w:color="auto"/>
                  <w:lang w:eastAsia="en-US"/>
                </w:rPr>
                <m:t>applicant</m:t>
              </m:r>
            </m:e>
          </m:d>
          <m:r>
            <w:rPr>
              <w:rFonts w:ascii="Cambria Math" w:eastAsia="Calibri" w:hAnsi="Cambria Math"/>
              <w:bdr w:val="single" w:sz="4" w:space="0" w:color="auto"/>
              <w:lang w:eastAsia="en-US"/>
            </w:rPr>
            <m:t>=</m:t>
          </m:r>
          <m:f>
            <m:fPr>
              <m:ctrlPr>
                <w:rPr>
                  <w:rFonts w:ascii="Cambria Math" w:eastAsia="Calibri" w:hAnsi="Cambria Math"/>
                  <w:i/>
                  <w:bdr w:val="single" w:sz="4" w:space="0" w:color="auto"/>
                  <w:lang w:eastAsia="en-US"/>
                </w:rPr>
              </m:ctrlPr>
            </m:fPr>
            <m:num>
              <m:r>
                <w:rPr>
                  <w:rFonts w:ascii="Cambria Math" w:eastAsia="Calibri" w:hAnsi="Cambria Math"/>
                  <w:bdr w:val="single" w:sz="4" w:space="0" w:color="auto"/>
                  <w:lang w:eastAsia="en-US"/>
                </w:rPr>
                <m:t>500mg</m:t>
              </m:r>
            </m:num>
            <m:den>
              <m:r>
                <w:rPr>
                  <w:rFonts w:ascii="Cambria Math" w:eastAsia="Calibri" w:hAnsi="Cambria Math"/>
                  <w:bdr w:val="single" w:sz="4" w:space="0" w:color="auto"/>
                  <w:lang w:eastAsia="en-US"/>
                </w:rPr>
                <m:t>1110cm²</m:t>
              </m:r>
            </m:den>
          </m:f>
          <m:r>
            <w:rPr>
              <w:rFonts w:ascii="Cambria Math" w:eastAsia="Calibri" w:hAnsi="Cambria Math"/>
              <w:bdr w:val="single" w:sz="4" w:space="0" w:color="auto"/>
              <w:lang w:eastAsia="en-US"/>
            </w:rPr>
            <m:t>=0.450mg/cm²</m:t>
          </m:r>
        </m:oMath>
      </m:oMathPara>
    </w:p>
    <w:p w14:paraId="33F49265" w14:textId="77777777" w:rsidR="00A0626E" w:rsidRDefault="00A0626E" w:rsidP="00A0626E">
      <w:pPr>
        <w:rPr>
          <w:rFonts w:eastAsia="Calibri"/>
          <w:lang w:eastAsia="en-US"/>
        </w:rPr>
      </w:pPr>
    </w:p>
    <w:p w14:paraId="63F7876A" w14:textId="14D51874" w:rsidR="00A0626E" w:rsidRDefault="00A0626E" w:rsidP="00A0626E">
      <w:pPr>
        <w:rPr>
          <w:rFonts w:eastAsia="Calibri"/>
          <w:lang w:eastAsia="en-US"/>
        </w:rPr>
      </w:pPr>
      <w:r>
        <w:rPr>
          <w:rFonts w:eastAsia="Calibri"/>
          <w:lang w:eastAsia="en-US"/>
        </w:rPr>
        <w:t>Additionally, in the ESD it is noted that the value for Qform</w:t>
      </w:r>
      <w:r>
        <w:rPr>
          <w:rFonts w:eastAsia="Calibri"/>
          <w:vertAlign w:val="subscript"/>
          <w:lang w:eastAsia="en-US"/>
        </w:rPr>
        <w:t>appl</w:t>
      </w:r>
      <w:r>
        <w:rPr>
          <w:rFonts w:eastAsia="Calibri"/>
          <w:lang w:eastAsia="en-US"/>
        </w:rPr>
        <w:t xml:space="preserve"> must coincide with the efficacy of the product and must be adapted accordingly. </w:t>
      </w:r>
      <w:r>
        <w:rPr>
          <w:rFonts w:eastAsia="Calibri"/>
          <w:lang w:eastAsia="en-US"/>
        </w:rPr>
        <w:br/>
      </w:r>
      <w:r w:rsidR="00B534E4">
        <w:rPr>
          <w:rFonts w:eastAsia="Calibri"/>
          <w:lang w:eastAsia="en-US"/>
        </w:rPr>
        <w:t xml:space="preserve">The efficacy expert concluded for this product, that when </w:t>
      </w:r>
      <w:r w:rsidR="00B534E4" w:rsidRPr="008F2D0D">
        <w:rPr>
          <w:rFonts w:eastAsia="Calibri"/>
          <w:lang w:eastAsia="en-US"/>
        </w:rPr>
        <w:t xml:space="preserve">used after a </w:t>
      </w:r>
      <w:r w:rsidR="00B534E4" w:rsidRPr="00EA31AA">
        <w:rPr>
          <w:lang w:val="en-US"/>
        </w:rPr>
        <w:t>pediculicidal</w:t>
      </w:r>
      <w:r w:rsidR="00B534E4" w:rsidRPr="008F2D0D">
        <w:rPr>
          <w:rFonts w:eastAsia="Calibri"/>
          <w:lang w:eastAsia="en-US"/>
        </w:rPr>
        <w:t xml:space="preserve"> treatment and applied every 2 days</w:t>
      </w:r>
      <w:r w:rsidR="00B534E4">
        <w:rPr>
          <w:rFonts w:eastAsia="Calibri"/>
          <w:lang w:eastAsia="en-US"/>
        </w:rPr>
        <w:t xml:space="preserve"> at a rate of </w:t>
      </w:r>
      <w:r w:rsidR="00B534E4" w:rsidRPr="00B534E4">
        <w:rPr>
          <w:rStyle w:val="MarkerenChar"/>
        </w:rPr>
        <w:t>0.5 mL</w:t>
      </w:r>
      <w:r w:rsidR="00B534E4" w:rsidRPr="008F2D0D">
        <w:rPr>
          <w:rFonts w:eastAsia="Calibri"/>
          <w:lang w:eastAsia="en-US"/>
        </w:rPr>
        <w:t xml:space="preserve">, </w:t>
      </w:r>
      <w:r w:rsidR="00B534E4">
        <w:rPr>
          <w:rFonts w:eastAsia="Calibri"/>
          <w:lang w:eastAsia="en-US"/>
        </w:rPr>
        <w:t xml:space="preserve">the product </w:t>
      </w:r>
      <w:r w:rsidR="00B534E4" w:rsidRPr="008F2D0D">
        <w:rPr>
          <w:rFonts w:eastAsia="Calibri"/>
          <w:lang w:eastAsia="en-US"/>
        </w:rPr>
        <w:t xml:space="preserve">does limit adult </w:t>
      </w:r>
      <w:r w:rsidR="00B534E4">
        <w:rPr>
          <w:rFonts w:eastAsia="Calibri"/>
          <w:lang w:eastAsia="en-US"/>
        </w:rPr>
        <w:t xml:space="preserve">head </w:t>
      </w:r>
      <w:r w:rsidR="00B534E4" w:rsidRPr="008F2D0D">
        <w:rPr>
          <w:rFonts w:eastAsia="Calibri"/>
          <w:lang w:eastAsia="en-US"/>
        </w:rPr>
        <w:t>lice</w:t>
      </w:r>
      <w:r w:rsidR="00B534E4">
        <w:rPr>
          <w:rFonts w:eastAsia="Calibri"/>
          <w:lang w:eastAsia="en-US"/>
        </w:rPr>
        <w:t xml:space="preserve"> </w:t>
      </w:r>
      <w:r w:rsidR="00B534E4" w:rsidRPr="008F2D0D">
        <w:rPr>
          <w:rFonts w:eastAsia="Calibri"/>
          <w:lang w:eastAsia="en-US"/>
        </w:rPr>
        <w:t>re-infestation</w:t>
      </w:r>
      <w:r w:rsidR="00B534E4">
        <w:rPr>
          <w:rFonts w:eastAsia="Calibri"/>
          <w:lang w:eastAsia="en-US"/>
        </w:rPr>
        <w:t>. This is similar to the applicant’s proposed use-instructions.</w:t>
      </w:r>
    </w:p>
    <w:p w14:paraId="2A12D104" w14:textId="77777777" w:rsidR="00450658" w:rsidRDefault="00450658" w:rsidP="00A0626E">
      <w:pPr>
        <w:rPr>
          <w:rFonts w:eastAsia="Calibri"/>
          <w:lang w:eastAsia="en-US"/>
        </w:rPr>
      </w:pPr>
      <w:r>
        <w:rPr>
          <w:rFonts w:eastAsia="Calibri"/>
          <w:lang w:eastAsia="en-US"/>
        </w:rPr>
        <w:t>For a worst case risk assessment, it is decided that the default value will be applied to calculate possible release to the environment.</w:t>
      </w:r>
    </w:p>
    <w:p w14:paraId="2EE94252" w14:textId="77777777" w:rsidR="00A0626E" w:rsidRDefault="00A0626E" w:rsidP="00A0626E">
      <w:pPr>
        <w:jc w:val="center"/>
        <w:rPr>
          <w:rFonts w:eastAsia="Calibri"/>
          <w:b/>
          <w:lang w:eastAsia="en-US"/>
        </w:rPr>
      </w:pPr>
      <w:r>
        <w:rPr>
          <w:rFonts w:eastAsia="Calibri"/>
          <w:b/>
          <w:lang w:eastAsia="en-US"/>
        </w:rPr>
        <w:t>Qform</w:t>
      </w:r>
      <w:r>
        <w:rPr>
          <w:rFonts w:eastAsia="Calibri"/>
          <w:b/>
          <w:vertAlign w:val="subscript"/>
          <w:lang w:eastAsia="en-US"/>
        </w:rPr>
        <w:t>appl</w:t>
      </w:r>
      <w:r>
        <w:rPr>
          <w:rFonts w:eastAsia="Calibri"/>
          <w:b/>
          <w:lang w:eastAsia="en-US"/>
        </w:rPr>
        <w:t xml:space="preserve"> = 0.6 mg product/cm² skin</w:t>
      </w:r>
    </w:p>
    <w:p w14:paraId="45A222A6" w14:textId="77777777" w:rsidR="00A0626E" w:rsidRPr="0043624C" w:rsidRDefault="00A0626E" w:rsidP="00A0626E">
      <w:pPr>
        <w:pStyle w:val="Titre7"/>
        <w:rPr>
          <w:lang w:val="en-US"/>
        </w:rPr>
      </w:pPr>
      <w:r w:rsidRPr="00DA2EA7">
        <w:rPr>
          <w:lang w:val="en-US"/>
        </w:rPr>
        <w:t>Number of applications per day</w:t>
      </w:r>
      <w:r w:rsidR="0043624C">
        <w:rPr>
          <w:lang w:val="en-US"/>
        </w:rPr>
        <w:t xml:space="preserve"> (N</w:t>
      </w:r>
      <w:r w:rsidR="0043624C">
        <w:rPr>
          <w:vertAlign w:val="subscript"/>
          <w:lang w:val="en-US"/>
        </w:rPr>
        <w:t>appl</w:t>
      </w:r>
      <w:r w:rsidR="0043624C">
        <w:rPr>
          <w:lang w:val="en-US"/>
        </w:rPr>
        <w:t>)</w:t>
      </w:r>
    </w:p>
    <w:p w14:paraId="7818127E" w14:textId="77777777" w:rsidR="00A0626E" w:rsidRDefault="00A0626E" w:rsidP="00A0626E">
      <w:pPr>
        <w:rPr>
          <w:rFonts w:eastAsia="Calibri"/>
          <w:lang w:val="en-US" w:eastAsia="en-US"/>
        </w:rPr>
      </w:pPr>
      <w:r>
        <w:rPr>
          <w:rFonts w:eastAsia="Calibri"/>
          <w:lang w:val="en-US" w:eastAsia="en-US"/>
        </w:rPr>
        <w:t>Another important parameter is the number of applications per day (N</w:t>
      </w:r>
      <w:r>
        <w:rPr>
          <w:rFonts w:eastAsia="Calibri"/>
          <w:vertAlign w:val="subscript"/>
          <w:lang w:val="en-US" w:eastAsia="en-US"/>
        </w:rPr>
        <w:t>appl</w:t>
      </w:r>
      <w:r>
        <w:rPr>
          <w:rFonts w:eastAsia="Calibri"/>
          <w:lang w:val="en-US" w:eastAsia="en-US"/>
        </w:rPr>
        <w:t xml:space="preserve">), which the ESD also links to the efficacy of the product. </w:t>
      </w:r>
    </w:p>
    <w:p w14:paraId="4E8A63F5" w14:textId="77777777" w:rsidR="009F286C" w:rsidRDefault="009F286C" w:rsidP="00A0626E">
      <w:pPr>
        <w:rPr>
          <w:rFonts w:eastAsia="Calibri"/>
          <w:lang w:val="en-US" w:eastAsia="en-US"/>
        </w:rPr>
      </w:pPr>
      <w:r>
        <w:rPr>
          <w:rFonts w:eastAsia="Calibri"/>
          <w:lang w:val="en-US" w:eastAsia="en-US"/>
        </w:rPr>
        <w:t>According to the submitted efficacy tests, it can be concluded that one application every two days does limit adult lice re-infestation.</w:t>
      </w:r>
    </w:p>
    <w:p w14:paraId="2E299555" w14:textId="77777777" w:rsidR="009F286C" w:rsidRDefault="009F286C" w:rsidP="00A0626E">
      <w:pPr>
        <w:rPr>
          <w:rFonts w:eastAsia="Calibri"/>
          <w:lang w:val="en-US" w:eastAsia="en-US"/>
        </w:rPr>
      </w:pPr>
      <w:r>
        <w:rPr>
          <w:rFonts w:eastAsia="Calibri"/>
          <w:lang w:val="en-US" w:eastAsia="en-US"/>
        </w:rPr>
        <w:t>Based on this, and considering the type of use envisaged for this product, it is decided that calculations will be made using 1 application per day.</w:t>
      </w:r>
    </w:p>
    <w:p w14:paraId="0C52A3DE" w14:textId="77777777" w:rsidR="00A0626E" w:rsidRDefault="00A0626E" w:rsidP="00A0626E">
      <w:pPr>
        <w:jc w:val="center"/>
        <w:rPr>
          <w:rFonts w:eastAsia="Calibri"/>
          <w:b/>
          <w:vertAlign w:val="superscript"/>
          <w:lang w:val="en-US" w:eastAsia="en-US"/>
        </w:rPr>
      </w:pPr>
      <w:r>
        <w:rPr>
          <w:rFonts w:eastAsia="Calibri"/>
          <w:b/>
          <w:lang w:val="en-US" w:eastAsia="en-US"/>
        </w:rPr>
        <w:t>N</w:t>
      </w:r>
      <w:r>
        <w:rPr>
          <w:rFonts w:eastAsia="Calibri"/>
          <w:b/>
          <w:vertAlign w:val="subscript"/>
          <w:lang w:val="en-US" w:eastAsia="en-US"/>
        </w:rPr>
        <w:t>appl</w:t>
      </w:r>
      <w:r>
        <w:rPr>
          <w:rFonts w:eastAsia="Calibri"/>
          <w:b/>
          <w:lang w:val="en-US" w:eastAsia="en-US"/>
        </w:rPr>
        <w:t xml:space="preserve"> = </w:t>
      </w:r>
      <w:r w:rsidR="009F286C">
        <w:rPr>
          <w:rFonts w:eastAsia="Calibri"/>
          <w:b/>
          <w:lang w:val="en-US" w:eastAsia="en-US"/>
        </w:rPr>
        <w:t>1</w:t>
      </w:r>
      <w:r>
        <w:rPr>
          <w:rFonts w:eastAsia="Calibri"/>
          <w:b/>
          <w:lang w:val="en-US" w:eastAsia="en-US"/>
        </w:rPr>
        <w:t> d</w:t>
      </w:r>
      <w:r>
        <w:rPr>
          <w:rFonts w:eastAsia="Calibri"/>
          <w:b/>
          <w:vertAlign w:val="superscript"/>
          <w:lang w:val="en-US" w:eastAsia="en-US"/>
        </w:rPr>
        <w:t>-1</w:t>
      </w:r>
    </w:p>
    <w:p w14:paraId="596521C9" w14:textId="77777777" w:rsidR="0043624C" w:rsidRPr="00DA2EA7" w:rsidRDefault="0043624C" w:rsidP="0043624C">
      <w:pPr>
        <w:pStyle w:val="Titre7"/>
        <w:rPr>
          <w:lang w:val="en-US"/>
        </w:rPr>
      </w:pPr>
      <w:r w:rsidRPr="00DA2EA7">
        <w:rPr>
          <w:lang w:val="en-US"/>
        </w:rPr>
        <w:t>Treated area of human skin</w:t>
      </w:r>
      <w:r>
        <w:rPr>
          <w:lang w:val="en-US"/>
        </w:rPr>
        <w:t xml:space="preserve"> (AREA</w:t>
      </w:r>
      <w:r w:rsidRPr="00E744A3">
        <w:rPr>
          <w:vertAlign w:val="subscript"/>
          <w:lang w:val="en-US"/>
        </w:rPr>
        <w:t>skin</w:t>
      </w:r>
      <w:r>
        <w:rPr>
          <w:lang w:val="en-US"/>
        </w:rPr>
        <w:t>)</w:t>
      </w:r>
    </w:p>
    <w:p w14:paraId="17CE0752" w14:textId="77777777" w:rsidR="0043624C" w:rsidRDefault="0043624C" w:rsidP="0043624C">
      <w:pPr>
        <w:rPr>
          <w:rFonts w:eastAsia="Calibri"/>
          <w:lang w:val="en-US" w:eastAsia="en-US"/>
        </w:rPr>
      </w:pPr>
      <w:r>
        <w:rPr>
          <w:rFonts w:eastAsia="Calibri"/>
          <w:lang w:val="en-US" w:eastAsia="en-US"/>
        </w:rPr>
        <w:t>The product should be applied to hair and not so much to skin. However, due to lack of a better value, the skin area for a head will be applied.</w:t>
      </w:r>
    </w:p>
    <w:p w14:paraId="55FB8C76" w14:textId="77777777" w:rsidR="0043624C" w:rsidRDefault="0043624C" w:rsidP="0043624C">
      <w:pPr>
        <w:jc w:val="center"/>
        <w:rPr>
          <w:rFonts w:eastAsia="Calibri"/>
          <w:b/>
          <w:lang w:val="en-US" w:eastAsia="en-US"/>
        </w:rPr>
      </w:pPr>
      <w:r>
        <w:rPr>
          <w:rFonts w:eastAsia="Calibri"/>
          <w:b/>
          <w:lang w:val="en-US" w:eastAsia="en-US"/>
        </w:rPr>
        <w:t>AREA</w:t>
      </w:r>
      <w:r w:rsidRPr="00E744A3">
        <w:rPr>
          <w:rFonts w:eastAsia="Calibri"/>
          <w:b/>
          <w:vertAlign w:val="subscript"/>
          <w:lang w:val="en-US" w:eastAsia="en-US"/>
        </w:rPr>
        <w:t>skin</w:t>
      </w:r>
      <w:r>
        <w:rPr>
          <w:rFonts w:eastAsia="Calibri"/>
          <w:b/>
          <w:lang w:val="en-US" w:eastAsia="en-US"/>
        </w:rPr>
        <w:t xml:space="preserve"> = 1110 cm²</w:t>
      </w:r>
    </w:p>
    <w:p w14:paraId="2E486322" w14:textId="1FC66436" w:rsidR="0043624C" w:rsidRDefault="0043624C" w:rsidP="00626CD0">
      <w:pPr>
        <w:jc w:val="center"/>
        <w:rPr>
          <w:rFonts w:eastAsia="Calibri"/>
          <w:lang w:eastAsia="en-U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1649"/>
        <w:gridCol w:w="2503"/>
        <w:gridCol w:w="952"/>
        <w:gridCol w:w="1337"/>
      </w:tblGrid>
      <w:tr w:rsidR="00246338" w:rsidRPr="007A7C32" w14:paraId="3F499049" w14:textId="77777777" w:rsidTr="00C71927">
        <w:trPr>
          <w:trHeight w:val="346"/>
        </w:trPr>
        <w:tc>
          <w:tcPr>
            <w:tcW w:w="5000" w:type="pct"/>
            <w:gridSpan w:val="5"/>
            <w:shd w:val="clear" w:color="auto" w:fill="FFFFCC"/>
            <w:vAlign w:val="center"/>
          </w:tcPr>
          <w:p w14:paraId="2A0FE825" w14:textId="77777777" w:rsidR="00246338" w:rsidRPr="007A7C32" w:rsidRDefault="00246338" w:rsidP="00854FF9">
            <w:pPr>
              <w:pStyle w:val="Standaard-Tabellen"/>
              <w:jc w:val="center"/>
              <w:rPr>
                <w:rFonts w:eastAsia="Calibri"/>
                <w:b/>
              </w:rPr>
            </w:pPr>
            <w:r w:rsidRPr="007A7C32">
              <w:rPr>
                <w:rFonts w:eastAsia="Calibri"/>
                <w:b/>
              </w:rPr>
              <w:t>Input parameters for calculating the local emission</w:t>
            </w:r>
          </w:p>
        </w:tc>
      </w:tr>
      <w:tr w:rsidR="00246338" w:rsidRPr="007A7C32" w14:paraId="0CD8F895" w14:textId="77777777" w:rsidTr="00C71927">
        <w:trPr>
          <w:trHeight w:val="75"/>
        </w:trPr>
        <w:tc>
          <w:tcPr>
            <w:tcW w:w="1657" w:type="pct"/>
            <w:shd w:val="clear" w:color="auto" w:fill="BFBFBF" w:themeFill="background1" w:themeFillShade="BF"/>
            <w:vAlign w:val="center"/>
          </w:tcPr>
          <w:p w14:paraId="043106E2" w14:textId="77777777" w:rsidR="00246338" w:rsidRPr="007A7C32" w:rsidRDefault="00246338" w:rsidP="00854FF9">
            <w:pPr>
              <w:pStyle w:val="Standaard-Tabellen"/>
              <w:rPr>
                <w:rFonts w:eastAsia="Calibri" w:cs="Arial"/>
                <w:b/>
                <w:color w:val="000000"/>
              </w:rPr>
            </w:pPr>
            <w:r w:rsidRPr="007A7C32">
              <w:rPr>
                <w:rFonts w:eastAsia="Calibri" w:cs="Arial"/>
                <w:b/>
                <w:color w:val="000000"/>
              </w:rPr>
              <w:t xml:space="preserve">Input </w:t>
            </w:r>
          </w:p>
        </w:tc>
        <w:tc>
          <w:tcPr>
            <w:tcW w:w="856" w:type="pct"/>
            <w:shd w:val="clear" w:color="auto" w:fill="BFBFBF" w:themeFill="background1" w:themeFillShade="BF"/>
            <w:vAlign w:val="center"/>
          </w:tcPr>
          <w:p w14:paraId="67E1AEB7" w14:textId="77777777" w:rsidR="00246338" w:rsidRPr="007A7C32" w:rsidRDefault="00246338" w:rsidP="00854FF9">
            <w:pPr>
              <w:pStyle w:val="Standaard-Tabellen"/>
              <w:rPr>
                <w:rFonts w:eastAsia="Calibri" w:cs="Arial"/>
                <w:b/>
                <w:color w:val="000000"/>
              </w:rPr>
            </w:pPr>
            <w:r>
              <w:rPr>
                <w:rFonts w:eastAsia="Calibri" w:cs="Arial"/>
                <w:b/>
                <w:color w:val="000000"/>
              </w:rPr>
              <w:t>Nomenclature</w:t>
            </w:r>
          </w:p>
        </w:tc>
        <w:tc>
          <w:tcPr>
            <w:tcW w:w="1299" w:type="pct"/>
            <w:shd w:val="clear" w:color="auto" w:fill="BFBFBF" w:themeFill="background1" w:themeFillShade="BF"/>
            <w:vAlign w:val="center"/>
          </w:tcPr>
          <w:p w14:paraId="57F89F89" w14:textId="77777777" w:rsidR="00246338" w:rsidRPr="007A7C32" w:rsidRDefault="00246338" w:rsidP="00854FF9">
            <w:pPr>
              <w:pStyle w:val="Standaard-Tabellen"/>
              <w:rPr>
                <w:rFonts w:eastAsia="Calibri" w:cs="Arial"/>
                <w:b/>
                <w:color w:val="000000"/>
              </w:rPr>
            </w:pPr>
            <w:r>
              <w:rPr>
                <w:rFonts w:eastAsia="Calibri" w:cs="Arial"/>
                <w:b/>
                <w:color w:val="000000"/>
              </w:rPr>
              <w:t>Value</w:t>
            </w:r>
          </w:p>
        </w:tc>
        <w:tc>
          <w:tcPr>
            <w:tcW w:w="494" w:type="pct"/>
            <w:shd w:val="clear" w:color="auto" w:fill="BFBFBF" w:themeFill="background1" w:themeFillShade="BF"/>
            <w:vAlign w:val="center"/>
          </w:tcPr>
          <w:p w14:paraId="780D2AAD" w14:textId="77777777" w:rsidR="00246338" w:rsidRPr="007A7C32" w:rsidRDefault="00246338" w:rsidP="00854FF9">
            <w:pPr>
              <w:pStyle w:val="Standaard-Tabellen"/>
              <w:rPr>
                <w:rFonts w:eastAsia="Calibri" w:cs="Arial"/>
                <w:b/>
                <w:color w:val="000000"/>
              </w:rPr>
            </w:pPr>
            <w:r>
              <w:rPr>
                <w:rFonts w:eastAsia="Calibri" w:cs="Arial"/>
                <w:b/>
                <w:color w:val="000000"/>
              </w:rPr>
              <w:t>Unit</w:t>
            </w:r>
          </w:p>
        </w:tc>
        <w:tc>
          <w:tcPr>
            <w:tcW w:w="694" w:type="pct"/>
            <w:shd w:val="clear" w:color="auto" w:fill="BFBFBF" w:themeFill="background1" w:themeFillShade="BF"/>
          </w:tcPr>
          <w:p w14:paraId="2C2B1BDF" w14:textId="77777777" w:rsidR="00246338" w:rsidRDefault="00246338" w:rsidP="00854FF9">
            <w:pPr>
              <w:pStyle w:val="Standaard-Tabellen"/>
              <w:rPr>
                <w:rFonts w:eastAsia="Calibri" w:cs="Arial"/>
                <w:b/>
                <w:color w:val="000000"/>
              </w:rPr>
            </w:pPr>
            <w:r>
              <w:rPr>
                <w:rFonts w:eastAsia="Calibri" w:cs="Arial"/>
                <w:b/>
                <w:color w:val="000000"/>
              </w:rPr>
              <w:t>Remarks</w:t>
            </w:r>
          </w:p>
        </w:tc>
      </w:tr>
      <w:tr w:rsidR="00246338" w:rsidRPr="007A7C32" w14:paraId="757484D5" w14:textId="77777777" w:rsidTr="00C71927">
        <w:trPr>
          <w:trHeight w:val="75"/>
        </w:trPr>
        <w:tc>
          <w:tcPr>
            <w:tcW w:w="5000" w:type="pct"/>
            <w:gridSpan w:val="5"/>
            <w:shd w:val="clear" w:color="auto" w:fill="E2EFD9" w:themeFill="accent6" w:themeFillTint="33"/>
            <w:vAlign w:val="center"/>
          </w:tcPr>
          <w:p w14:paraId="7AC512F0" w14:textId="77777777" w:rsidR="00246338" w:rsidRDefault="00246338" w:rsidP="00854FF9">
            <w:pPr>
              <w:pStyle w:val="Standaard-Tabellen"/>
              <w:rPr>
                <w:rFonts w:eastAsia="Calibri"/>
                <w:i/>
                <w:color w:val="000000"/>
                <w:szCs w:val="18"/>
              </w:rPr>
            </w:pPr>
            <w:r>
              <w:rPr>
                <w:rFonts w:eastAsia="Calibri"/>
                <w:i/>
                <w:color w:val="000000"/>
                <w:szCs w:val="18"/>
              </w:rPr>
              <w:t>Scenario</w:t>
            </w:r>
            <w:r>
              <w:rPr>
                <w:rFonts w:eastAsia="Calibri"/>
                <w:i/>
              </w:rPr>
              <w:t>: Release of repellents used on human skin based on the average consumption</w:t>
            </w:r>
          </w:p>
        </w:tc>
      </w:tr>
      <w:tr w:rsidR="00246338" w:rsidRPr="00FD2055" w14:paraId="230AA366" w14:textId="77777777" w:rsidTr="00C71927">
        <w:trPr>
          <w:trHeight w:val="75"/>
        </w:trPr>
        <w:tc>
          <w:tcPr>
            <w:tcW w:w="1657" w:type="pct"/>
            <w:shd w:val="clear" w:color="auto" w:fill="auto"/>
            <w:vAlign w:val="center"/>
          </w:tcPr>
          <w:p w14:paraId="1218E521" w14:textId="77777777" w:rsidR="00246338" w:rsidRPr="003D5898" w:rsidRDefault="00246338" w:rsidP="00854FF9">
            <w:pPr>
              <w:pStyle w:val="Standaard-Tabellen"/>
              <w:rPr>
                <w:rFonts w:eastAsia="Calibri"/>
              </w:rPr>
            </w:pPr>
            <w:r w:rsidRPr="003D5898">
              <w:rPr>
                <w:rFonts w:eastAsia="Calibri"/>
              </w:rPr>
              <w:t>Number of inhabitants feeding one STP</w:t>
            </w:r>
          </w:p>
        </w:tc>
        <w:tc>
          <w:tcPr>
            <w:tcW w:w="856" w:type="pct"/>
            <w:shd w:val="clear" w:color="auto" w:fill="auto"/>
            <w:vAlign w:val="center"/>
          </w:tcPr>
          <w:p w14:paraId="601ADF4E" w14:textId="77777777" w:rsidR="00246338" w:rsidRPr="003D5898" w:rsidRDefault="00246338" w:rsidP="00854FF9">
            <w:pPr>
              <w:pStyle w:val="Standaard-Tabellen"/>
              <w:rPr>
                <w:rFonts w:eastAsia="Calibri"/>
              </w:rPr>
            </w:pPr>
            <w:r w:rsidRPr="003D5898">
              <w:rPr>
                <w:rFonts w:eastAsia="Calibri"/>
              </w:rPr>
              <w:t>Nlocal</w:t>
            </w:r>
          </w:p>
        </w:tc>
        <w:tc>
          <w:tcPr>
            <w:tcW w:w="1299" w:type="pct"/>
            <w:shd w:val="clear" w:color="auto" w:fill="auto"/>
            <w:vAlign w:val="center"/>
          </w:tcPr>
          <w:p w14:paraId="01F595A5" w14:textId="77777777" w:rsidR="00246338" w:rsidRPr="003D5898" w:rsidRDefault="00246338" w:rsidP="00854FF9">
            <w:pPr>
              <w:pStyle w:val="Standaard-Tabellen"/>
              <w:rPr>
                <w:rFonts w:eastAsia="Calibri"/>
              </w:rPr>
            </w:pPr>
            <w:r w:rsidRPr="003D5898">
              <w:rPr>
                <w:rFonts w:eastAsia="Calibri"/>
              </w:rPr>
              <w:t>10 000</w:t>
            </w:r>
          </w:p>
        </w:tc>
        <w:tc>
          <w:tcPr>
            <w:tcW w:w="494" w:type="pct"/>
            <w:shd w:val="clear" w:color="auto" w:fill="auto"/>
            <w:vAlign w:val="center"/>
          </w:tcPr>
          <w:p w14:paraId="457A9A68" w14:textId="77777777" w:rsidR="00246338" w:rsidRPr="003D5898" w:rsidRDefault="00246338" w:rsidP="00854FF9">
            <w:pPr>
              <w:pStyle w:val="Standaard-Tabellen"/>
              <w:rPr>
                <w:rFonts w:eastAsia="Calibri"/>
              </w:rPr>
            </w:pPr>
            <w:r w:rsidRPr="003D5898">
              <w:rPr>
                <w:rFonts w:eastAsia="Calibri"/>
              </w:rPr>
              <w:t>cap</w:t>
            </w:r>
          </w:p>
        </w:tc>
        <w:tc>
          <w:tcPr>
            <w:tcW w:w="694" w:type="pct"/>
          </w:tcPr>
          <w:p w14:paraId="0B825BDB" w14:textId="77777777" w:rsidR="00246338" w:rsidRPr="003D5898" w:rsidRDefault="00246338" w:rsidP="00854FF9">
            <w:pPr>
              <w:pStyle w:val="Standaard-Tabellen"/>
              <w:rPr>
                <w:rFonts w:eastAsia="Calibri"/>
              </w:rPr>
            </w:pPr>
            <w:r>
              <w:rPr>
                <w:rFonts w:eastAsia="Calibri"/>
              </w:rPr>
              <w:t>D</w:t>
            </w:r>
          </w:p>
        </w:tc>
      </w:tr>
      <w:tr w:rsidR="00246338" w:rsidRPr="00FD2055" w14:paraId="546DACCA" w14:textId="77777777" w:rsidTr="00C71927">
        <w:trPr>
          <w:trHeight w:val="93"/>
        </w:trPr>
        <w:tc>
          <w:tcPr>
            <w:tcW w:w="1657" w:type="pct"/>
            <w:shd w:val="clear" w:color="auto" w:fill="auto"/>
            <w:vAlign w:val="center"/>
          </w:tcPr>
          <w:p w14:paraId="6A2B346D" w14:textId="77777777" w:rsidR="00246338" w:rsidRPr="003D5898" w:rsidRDefault="00246338" w:rsidP="00854FF9">
            <w:pPr>
              <w:pStyle w:val="Standaard-Tabellen"/>
              <w:rPr>
                <w:rFonts w:eastAsia="Calibri"/>
              </w:rPr>
            </w:pPr>
            <w:r w:rsidRPr="003D5898">
              <w:rPr>
                <w:rFonts w:eastAsia="Calibri"/>
              </w:rPr>
              <w:t>Active substance in product</w:t>
            </w:r>
          </w:p>
        </w:tc>
        <w:tc>
          <w:tcPr>
            <w:tcW w:w="856" w:type="pct"/>
            <w:shd w:val="clear" w:color="auto" w:fill="auto"/>
            <w:vAlign w:val="center"/>
          </w:tcPr>
          <w:p w14:paraId="16873887" w14:textId="77777777" w:rsidR="00246338" w:rsidRPr="003D5898" w:rsidRDefault="00246338" w:rsidP="00854FF9">
            <w:pPr>
              <w:pStyle w:val="Standaard-Tabellen"/>
              <w:rPr>
                <w:rFonts w:eastAsia="Calibri"/>
              </w:rPr>
            </w:pPr>
            <w:r w:rsidRPr="003D5898">
              <w:rPr>
                <w:rFonts w:eastAsia="Calibri"/>
              </w:rPr>
              <w:t>(B) Cformweight</w:t>
            </w:r>
          </w:p>
        </w:tc>
        <w:tc>
          <w:tcPr>
            <w:tcW w:w="1299" w:type="pct"/>
            <w:shd w:val="clear" w:color="auto" w:fill="auto"/>
            <w:vAlign w:val="center"/>
          </w:tcPr>
          <w:p w14:paraId="5C906157" w14:textId="77777777" w:rsidR="00246338" w:rsidRPr="003D5898" w:rsidRDefault="00246338" w:rsidP="00854FF9">
            <w:pPr>
              <w:pStyle w:val="Standaard-Tabellen"/>
              <w:rPr>
                <w:rFonts w:eastAsia="Calibri"/>
              </w:rPr>
            </w:pPr>
            <w:r w:rsidRPr="003D5898">
              <w:rPr>
                <w:rFonts w:eastAsia="Calibri"/>
              </w:rPr>
              <w:t>200</w:t>
            </w:r>
          </w:p>
        </w:tc>
        <w:tc>
          <w:tcPr>
            <w:tcW w:w="494" w:type="pct"/>
            <w:shd w:val="clear" w:color="auto" w:fill="auto"/>
            <w:vAlign w:val="center"/>
          </w:tcPr>
          <w:p w14:paraId="29F33FB1" w14:textId="77777777" w:rsidR="00246338" w:rsidRPr="003D5898" w:rsidRDefault="00246338" w:rsidP="00854FF9">
            <w:pPr>
              <w:pStyle w:val="Standaard-Tabellen"/>
              <w:rPr>
                <w:rFonts w:eastAsia="Calibri"/>
              </w:rPr>
            </w:pPr>
            <w:r w:rsidRPr="003D5898">
              <w:rPr>
                <w:rFonts w:eastAsia="Calibri"/>
              </w:rPr>
              <w:t>g/kg</w:t>
            </w:r>
          </w:p>
        </w:tc>
        <w:tc>
          <w:tcPr>
            <w:tcW w:w="694" w:type="pct"/>
          </w:tcPr>
          <w:p w14:paraId="73DF3127" w14:textId="77777777" w:rsidR="00246338" w:rsidRPr="003D5898" w:rsidRDefault="00246338" w:rsidP="00854FF9">
            <w:pPr>
              <w:pStyle w:val="Standaard-Tabellen"/>
              <w:rPr>
                <w:rFonts w:eastAsia="Calibri"/>
              </w:rPr>
            </w:pPr>
            <w:r>
              <w:rPr>
                <w:rFonts w:eastAsia="Calibri"/>
              </w:rPr>
              <w:t>(20 %)</w:t>
            </w:r>
          </w:p>
        </w:tc>
      </w:tr>
      <w:tr w:rsidR="00246338" w:rsidRPr="00FD2055" w14:paraId="37599D85" w14:textId="77777777" w:rsidTr="00C71927">
        <w:trPr>
          <w:trHeight w:val="93"/>
        </w:trPr>
        <w:tc>
          <w:tcPr>
            <w:tcW w:w="1657" w:type="pct"/>
            <w:shd w:val="clear" w:color="auto" w:fill="auto"/>
          </w:tcPr>
          <w:p w14:paraId="0E8A9289" w14:textId="77777777" w:rsidR="00246338" w:rsidRPr="003D5898" w:rsidRDefault="00246338" w:rsidP="00854FF9">
            <w:pPr>
              <w:pStyle w:val="Standaard-Tabellen"/>
              <w:rPr>
                <w:rFonts w:eastAsia="Calibri"/>
              </w:rPr>
            </w:pPr>
            <w:r w:rsidRPr="003D5898">
              <w:rPr>
                <w:rFonts w:eastAsia="Calibri"/>
              </w:rPr>
              <w:t>Consumption per application</w:t>
            </w:r>
          </w:p>
        </w:tc>
        <w:tc>
          <w:tcPr>
            <w:tcW w:w="856" w:type="pct"/>
            <w:shd w:val="clear" w:color="auto" w:fill="auto"/>
          </w:tcPr>
          <w:p w14:paraId="75243A61" w14:textId="77777777" w:rsidR="00246338" w:rsidRPr="003D5898" w:rsidRDefault="00246338" w:rsidP="00854FF9">
            <w:pPr>
              <w:pStyle w:val="Standaard-Tabellen"/>
              <w:rPr>
                <w:rFonts w:eastAsia="Calibri"/>
              </w:rPr>
            </w:pPr>
            <w:r w:rsidRPr="003D5898">
              <w:rPr>
                <w:rFonts w:eastAsia="Calibri"/>
              </w:rPr>
              <w:t>(D2) Qformappl</w:t>
            </w:r>
          </w:p>
        </w:tc>
        <w:tc>
          <w:tcPr>
            <w:tcW w:w="1299" w:type="pct"/>
            <w:shd w:val="clear" w:color="auto" w:fill="auto"/>
          </w:tcPr>
          <w:p w14:paraId="09E08650" w14:textId="77777777" w:rsidR="00246338" w:rsidRPr="0074492C" w:rsidRDefault="00246338" w:rsidP="00854FF9">
            <w:pPr>
              <w:pStyle w:val="Standaard-Tabellen"/>
              <w:rPr>
                <w:rFonts w:eastAsia="Calibri"/>
              </w:rPr>
            </w:pPr>
            <w:r w:rsidRPr="0074492C">
              <w:rPr>
                <w:rFonts w:eastAsia="Calibri"/>
              </w:rPr>
              <w:t>0</w:t>
            </w:r>
            <w:r w:rsidR="00DD5512" w:rsidRPr="0074492C">
              <w:rPr>
                <w:rFonts w:eastAsia="Calibri"/>
              </w:rPr>
              <w:t>.</w:t>
            </w:r>
            <w:r w:rsidRPr="0074492C">
              <w:rPr>
                <w:rFonts w:eastAsia="Calibri"/>
              </w:rPr>
              <w:t>6</w:t>
            </w:r>
          </w:p>
        </w:tc>
        <w:tc>
          <w:tcPr>
            <w:tcW w:w="494" w:type="pct"/>
            <w:shd w:val="clear" w:color="auto" w:fill="auto"/>
          </w:tcPr>
          <w:p w14:paraId="058D7445" w14:textId="77777777" w:rsidR="00246338" w:rsidRPr="003D5898" w:rsidRDefault="00246338" w:rsidP="00854FF9">
            <w:pPr>
              <w:pStyle w:val="Standaard-Tabellen"/>
              <w:rPr>
                <w:rFonts w:eastAsia="Calibri"/>
              </w:rPr>
            </w:pPr>
            <w:r w:rsidRPr="003D5898">
              <w:rPr>
                <w:rFonts w:eastAsia="Calibri"/>
              </w:rPr>
              <w:t>mg/cm²</w:t>
            </w:r>
          </w:p>
        </w:tc>
        <w:tc>
          <w:tcPr>
            <w:tcW w:w="694" w:type="pct"/>
          </w:tcPr>
          <w:p w14:paraId="1EB2404D" w14:textId="77777777" w:rsidR="00246338" w:rsidRPr="003D5898" w:rsidRDefault="00246338" w:rsidP="00854FF9">
            <w:pPr>
              <w:pStyle w:val="Standaard-Tabellen"/>
              <w:rPr>
                <w:rFonts w:eastAsia="Calibri"/>
              </w:rPr>
            </w:pPr>
            <w:r>
              <w:rPr>
                <w:rFonts w:eastAsia="Calibri"/>
              </w:rPr>
              <w:t>(see above)</w:t>
            </w:r>
          </w:p>
        </w:tc>
      </w:tr>
      <w:tr w:rsidR="00246338" w:rsidRPr="00FD2055" w14:paraId="60EDFA95" w14:textId="77777777" w:rsidTr="00C71927">
        <w:trPr>
          <w:trHeight w:val="93"/>
        </w:trPr>
        <w:tc>
          <w:tcPr>
            <w:tcW w:w="1657" w:type="pct"/>
            <w:shd w:val="clear" w:color="auto" w:fill="auto"/>
            <w:vAlign w:val="center"/>
          </w:tcPr>
          <w:p w14:paraId="03FCBF1A" w14:textId="77777777" w:rsidR="00246338" w:rsidRPr="003D5898" w:rsidRDefault="00246338" w:rsidP="00854FF9">
            <w:pPr>
              <w:pStyle w:val="Standaard-Tabellen"/>
              <w:rPr>
                <w:rFonts w:eastAsia="Calibri"/>
              </w:rPr>
            </w:pPr>
            <w:r w:rsidRPr="003D5898">
              <w:rPr>
                <w:rFonts w:eastAsia="Calibri"/>
              </w:rPr>
              <w:t>Number of applications per day</w:t>
            </w:r>
          </w:p>
        </w:tc>
        <w:tc>
          <w:tcPr>
            <w:tcW w:w="856" w:type="pct"/>
            <w:shd w:val="clear" w:color="auto" w:fill="auto"/>
            <w:vAlign w:val="center"/>
          </w:tcPr>
          <w:p w14:paraId="123BFC60" w14:textId="77777777" w:rsidR="00246338" w:rsidRPr="003D5898" w:rsidRDefault="00246338" w:rsidP="00854FF9">
            <w:pPr>
              <w:pStyle w:val="Standaard-Tabellen"/>
              <w:rPr>
                <w:rFonts w:eastAsia="Calibri"/>
              </w:rPr>
            </w:pPr>
            <w:r w:rsidRPr="003D5898">
              <w:rPr>
                <w:rFonts w:eastAsia="Calibri"/>
              </w:rPr>
              <w:t>Nappl</w:t>
            </w:r>
          </w:p>
        </w:tc>
        <w:tc>
          <w:tcPr>
            <w:tcW w:w="1299" w:type="pct"/>
            <w:shd w:val="clear" w:color="auto" w:fill="auto"/>
            <w:vAlign w:val="center"/>
          </w:tcPr>
          <w:p w14:paraId="224D9DA2" w14:textId="77777777" w:rsidR="00246338" w:rsidRPr="0074492C" w:rsidRDefault="00246338" w:rsidP="00854FF9">
            <w:pPr>
              <w:pStyle w:val="Standaard-Tabellen"/>
              <w:rPr>
                <w:rFonts w:eastAsia="Calibri"/>
              </w:rPr>
            </w:pPr>
            <w:r w:rsidRPr="0074492C">
              <w:rPr>
                <w:rFonts w:eastAsia="Calibri"/>
              </w:rPr>
              <w:t>1</w:t>
            </w:r>
          </w:p>
        </w:tc>
        <w:tc>
          <w:tcPr>
            <w:tcW w:w="494" w:type="pct"/>
            <w:shd w:val="clear" w:color="auto" w:fill="auto"/>
            <w:vAlign w:val="center"/>
          </w:tcPr>
          <w:p w14:paraId="16A51084" w14:textId="77777777" w:rsidR="00246338" w:rsidRPr="003D5898" w:rsidRDefault="00246338" w:rsidP="00854FF9">
            <w:pPr>
              <w:pStyle w:val="Standaard-Tabellen"/>
              <w:rPr>
                <w:rFonts w:eastAsia="Calibri"/>
              </w:rPr>
            </w:pPr>
            <w:r w:rsidRPr="003D5898">
              <w:rPr>
                <w:rFonts w:eastAsia="Calibri"/>
              </w:rPr>
              <w:t>d-1</w:t>
            </w:r>
          </w:p>
        </w:tc>
        <w:tc>
          <w:tcPr>
            <w:tcW w:w="694" w:type="pct"/>
          </w:tcPr>
          <w:p w14:paraId="5577686D" w14:textId="77777777" w:rsidR="00246338" w:rsidRPr="003D5898" w:rsidRDefault="00246338" w:rsidP="00854FF9">
            <w:pPr>
              <w:pStyle w:val="Standaard-Tabellen"/>
              <w:rPr>
                <w:rFonts w:eastAsia="Calibri"/>
              </w:rPr>
            </w:pPr>
            <w:r>
              <w:rPr>
                <w:rFonts w:eastAsia="Calibri"/>
              </w:rPr>
              <w:t>(see above)</w:t>
            </w:r>
          </w:p>
        </w:tc>
      </w:tr>
      <w:tr w:rsidR="00246338" w:rsidRPr="00FD2055" w14:paraId="7AB2B8AB" w14:textId="77777777" w:rsidTr="00C71927">
        <w:trPr>
          <w:trHeight w:val="93"/>
        </w:trPr>
        <w:tc>
          <w:tcPr>
            <w:tcW w:w="1657" w:type="pct"/>
            <w:shd w:val="clear" w:color="auto" w:fill="auto"/>
          </w:tcPr>
          <w:p w14:paraId="24B30FEE" w14:textId="77777777" w:rsidR="00246338" w:rsidRPr="003D5898" w:rsidRDefault="00246338" w:rsidP="00854FF9">
            <w:pPr>
              <w:pStyle w:val="Standaard-Tabellen"/>
              <w:rPr>
                <w:rFonts w:eastAsia="Calibri"/>
              </w:rPr>
            </w:pPr>
            <w:r w:rsidRPr="003D5898">
              <w:rPr>
                <w:rFonts w:eastAsia="Calibri"/>
              </w:rPr>
              <w:t>Treated area of human skin</w:t>
            </w:r>
          </w:p>
        </w:tc>
        <w:tc>
          <w:tcPr>
            <w:tcW w:w="856" w:type="pct"/>
            <w:shd w:val="clear" w:color="auto" w:fill="auto"/>
          </w:tcPr>
          <w:p w14:paraId="0476E339" w14:textId="77777777" w:rsidR="00246338" w:rsidRPr="003D5898" w:rsidRDefault="00246338" w:rsidP="00854FF9">
            <w:pPr>
              <w:pStyle w:val="Standaard-Tabellen"/>
              <w:rPr>
                <w:rFonts w:eastAsia="Calibri"/>
              </w:rPr>
            </w:pPr>
            <w:r w:rsidRPr="003D5898">
              <w:rPr>
                <w:rFonts w:eastAsia="Calibri"/>
              </w:rPr>
              <w:t>AREA</w:t>
            </w:r>
            <w:r w:rsidRPr="00E744A3">
              <w:rPr>
                <w:rFonts w:eastAsia="Calibri"/>
                <w:vertAlign w:val="subscript"/>
              </w:rPr>
              <w:t>skin</w:t>
            </w:r>
          </w:p>
        </w:tc>
        <w:tc>
          <w:tcPr>
            <w:tcW w:w="1299" w:type="pct"/>
            <w:shd w:val="clear" w:color="auto" w:fill="auto"/>
          </w:tcPr>
          <w:p w14:paraId="5FF7B94D" w14:textId="77777777" w:rsidR="00246338" w:rsidRPr="0074492C" w:rsidRDefault="00246338" w:rsidP="00854FF9">
            <w:pPr>
              <w:pStyle w:val="Standaard-Tabellen"/>
              <w:rPr>
                <w:rFonts w:eastAsia="Calibri"/>
              </w:rPr>
            </w:pPr>
            <w:r w:rsidRPr="0074492C">
              <w:rPr>
                <w:rFonts w:eastAsia="Calibri"/>
              </w:rPr>
              <w:t>1110</w:t>
            </w:r>
          </w:p>
        </w:tc>
        <w:tc>
          <w:tcPr>
            <w:tcW w:w="494" w:type="pct"/>
            <w:shd w:val="clear" w:color="auto" w:fill="auto"/>
          </w:tcPr>
          <w:p w14:paraId="3D8CB6A2" w14:textId="77777777" w:rsidR="00246338" w:rsidRPr="003D5898" w:rsidRDefault="00246338" w:rsidP="00854FF9">
            <w:pPr>
              <w:pStyle w:val="Standaard-Tabellen"/>
              <w:rPr>
                <w:rFonts w:eastAsia="Calibri"/>
              </w:rPr>
            </w:pPr>
            <w:r w:rsidRPr="003D5898">
              <w:rPr>
                <w:rFonts w:eastAsia="Calibri"/>
              </w:rPr>
              <w:t>cm²</w:t>
            </w:r>
          </w:p>
        </w:tc>
        <w:tc>
          <w:tcPr>
            <w:tcW w:w="694" w:type="pct"/>
          </w:tcPr>
          <w:p w14:paraId="5A4741C3" w14:textId="77777777" w:rsidR="00246338" w:rsidRPr="003D5898" w:rsidRDefault="00246338" w:rsidP="0043624C">
            <w:pPr>
              <w:pStyle w:val="Standaard-Tabellen"/>
              <w:rPr>
                <w:rFonts w:eastAsia="Calibri"/>
              </w:rPr>
            </w:pPr>
            <w:r>
              <w:rPr>
                <w:rFonts w:eastAsia="Calibri"/>
              </w:rPr>
              <w:t>(</w:t>
            </w:r>
            <w:r w:rsidR="0043624C">
              <w:rPr>
                <w:rFonts w:eastAsia="Calibri"/>
              </w:rPr>
              <w:t>see above</w:t>
            </w:r>
            <w:r>
              <w:rPr>
                <w:rFonts w:eastAsia="Calibri"/>
              </w:rPr>
              <w:t>)</w:t>
            </w:r>
          </w:p>
        </w:tc>
      </w:tr>
      <w:tr w:rsidR="00246338" w:rsidRPr="00FD2055" w14:paraId="02655184" w14:textId="77777777" w:rsidTr="00C71927">
        <w:trPr>
          <w:trHeight w:val="93"/>
        </w:trPr>
        <w:tc>
          <w:tcPr>
            <w:tcW w:w="1657" w:type="pct"/>
            <w:shd w:val="clear" w:color="auto" w:fill="auto"/>
          </w:tcPr>
          <w:p w14:paraId="3563685D" w14:textId="77777777" w:rsidR="00246338" w:rsidRPr="003D5898" w:rsidRDefault="00246338" w:rsidP="00854FF9">
            <w:pPr>
              <w:pStyle w:val="Standaard-Tabellen"/>
              <w:rPr>
                <w:rFonts w:eastAsia="Calibri"/>
              </w:rPr>
            </w:pPr>
            <w:r w:rsidRPr="003D5898">
              <w:rPr>
                <w:rFonts w:eastAsia="Calibri"/>
              </w:rPr>
              <w:t>Fraction realeased to air</w:t>
            </w:r>
          </w:p>
        </w:tc>
        <w:tc>
          <w:tcPr>
            <w:tcW w:w="856" w:type="pct"/>
            <w:shd w:val="clear" w:color="auto" w:fill="auto"/>
          </w:tcPr>
          <w:p w14:paraId="41A79585" w14:textId="77777777" w:rsidR="00246338" w:rsidRPr="003D5898" w:rsidRDefault="00246338" w:rsidP="00854FF9">
            <w:pPr>
              <w:pStyle w:val="Standaard-Tabellen"/>
              <w:rPr>
                <w:rFonts w:eastAsia="Calibri"/>
              </w:rPr>
            </w:pPr>
            <w:r w:rsidRPr="003D5898">
              <w:rPr>
                <w:rFonts w:eastAsia="Calibri"/>
              </w:rPr>
              <w:t>Fair</w:t>
            </w:r>
          </w:p>
        </w:tc>
        <w:tc>
          <w:tcPr>
            <w:tcW w:w="1299" w:type="pct"/>
            <w:shd w:val="clear" w:color="auto" w:fill="auto"/>
          </w:tcPr>
          <w:p w14:paraId="551FF212" w14:textId="77777777" w:rsidR="00246338" w:rsidRPr="003D5898" w:rsidRDefault="00246338" w:rsidP="00854FF9">
            <w:pPr>
              <w:pStyle w:val="Standaard-Tabellen"/>
              <w:rPr>
                <w:rFonts w:eastAsia="Calibri"/>
              </w:rPr>
            </w:pPr>
            <w:r w:rsidRPr="003D5898">
              <w:rPr>
                <w:rFonts w:eastAsia="Calibri"/>
              </w:rPr>
              <w:t>0</w:t>
            </w:r>
          </w:p>
        </w:tc>
        <w:tc>
          <w:tcPr>
            <w:tcW w:w="494" w:type="pct"/>
            <w:shd w:val="clear" w:color="auto" w:fill="auto"/>
          </w:tcPr>
          <w:p w14:paraId="459685D0" w14:textId="77777777" w:rsidR="00246338" w:rsidRPr="003D5898" w:rsidRDefault="00246338" w:rsidP="00854FF9">
            <w:pPr>
              <w:pStyle w:val="Standaard-Tabellen"/>
              <w:rPr>
                <w:rFonts w:eastAsia="Calibri"/>
              </w:rPr>
            </w:pPr>
            <w:r w:rsidRPr="003D5898">
              <w:rPr>
                <w:rFonts w:eastAsia="Calibri"/>
              </w:rPr>
              <w:t>[-]</w:t>
            </w:r>
          </w:p>
        </w:tc>
        <w:tc>
          <w:tcPr>
            <w:tcW w:w="694" w:type="pct"/>
          </w:tcPr>
          <w:p w14:paraId="3A985E45" w14:textId="77777777" w:rsidR="00246338" w:rsidRPr="003D5898" w:rsidRDefault="00246338" w:rsidP="00854FF9">
            <w:pPr>
              <w:pStyle w:val="Standaard-Tabellen"/>
              <w:rPr>
                <w:rFonts w:eastAsia="Calibri"/>
              </w:rPr>
            </w:pPr>
            <w:r>
              <w:rPr>
                <w:rFonts w:eastAsia="Calibri"/>
              </w:rPr>
              <w:t>D</w:t>
            </w:r>
          </w:p>
        </w:tc>
      </w:tr>
      <w:tr w:rsidR="00246338" w:rsidRPr="00FD2055" w14:paraId="21C7364C" w14:textId="77777777" w:rsidTr="00C71927">
        <w:trPr>
          <w:trHeight w:val="93"/>
        </w:trPr>
        <w:tc>
          <w:tcPr>
            <w:tcW w:w="1657" w:type="pct"/>
            <w:shd w:val="clear" w:color="auto" w:fill="auto"/>
          </w:tcPr>
          <w:p w14:paraId="03F4DD45" w14:textId="77777777" w:rsidR="00246338" w:rsidRPr="003D5898" w:rsidRDefault="00246338" w:rsidP="00854FF9">
            <w:pPr>
              <w:pStyle w:val="Standaard-Tabellen"/>
              <w:rPr>
                <w:rFonts w:eastAsia="Calibri"/>
              </w:rPr>
            </w:pPr>
            <w:r w:rsidRPr="003D5898">
              <w:rPr>
                <w:rFonts w:eastAsia="Calibri"/>
              </w:rPr>
              <w:t>Fraction dermally absorbed</w:t>
            </w:r>
          </w:p>
        </w:tc>
        <w:tc>
          <w:tcPr>
            <w:tcW w:w="856" w:type="pct"/>
            <w:shd w:val="clear" w:color="auto" w:fill="auto"/>
          </w:tcPr>
          <w:p w14:paraId="63D948E7" w14:textId="77777777" w:rsidR="00246338" w:rsidRPr="003D5898" w:rsidRDefault="00246338" w:rsidP="00854FF9">
            <w:pPr>
              <w:pStyle w:val="Standaard-Tabellen"/>
              <w:rPr>
                <w:rFonts w:eastAsia="Calibri"/>
              </w:rPr>
            </w:pPr>
            <w:r w:rsidRPr="003D5898">
              <w:rPr>
                <w:rFonts w:eastAsia="Calibri"/>
              </w:rPr>
              <w:t>Fskin</w:t>
            </w:r>
          </w:p>
        </w:tc>
        <w:tc>
          <w:tcPr>
            <w:tcW w:w="1299" w:type="pct"/>
            <w:shd w:val="clear" w:color="auto" w:fill="auto"/>
          </w:tcPr>
          <w:p w14:paraId="21CEB687" w14:textId="77777777" w:rsidR="00246338" w:rsidRPr="003D5898" w:rsidRDefault="00246338" w:rsidP="00854FF9">
            <w:pPr>
              <w:pStyle w:val="Standaard-Tabellen"/>
              <w:rPr>
                <w:rFonts w:eastAsia="Calibri"/>
              </w:rPr>
            </w:pPr>
            <w:r w:rsidRPr="003D5898">
              <w:rPr>
                <w:rFonts w:eastAsia="Calibri"/>
              </w:rPr>
              <w:t>0</w:t>
            </w:r>
          </w:p>
        </w:tc>
        <w:tc>
          <w:tcPr>
            <w:tcW w:w="494" w:type="pct"/>
            <w:shd w:val="clear" w:color="auto" w:fill="auto"/>
          </w:tcPr>
          <w:p w14:paraId="123D23D3" w14:textId="77777777" w:rsidR="00246338" w:rsidRPr="003D5898" w:rsidRDefault="00246338" w:rsidP="00854FF9">
            <w:pPr>
              <w:pStyle w:val="Standaard-Tabellen"/>
              <w:rPr>
                <w:rFonts w:eastAsia="Calibri"/>
              </w:rPr>
            </w:pPr>
            <w:r w:rsidRPr="003D5898">
              <w:rPr>
                <w:rFonts w:eastAsia="Calibri"/>
              </w:rPr>
              <w:t>[-]</w:t>
            </w:r>
          </w:p>
        </w:tc>
        <w:tc>
          <w:tcPr>
            <w:tcW w:w="694" w:type="pct"/>
          </w:tcPr>
          <w:p w14:paraId="4E9413C4" w14:textId="77777777" w:rsidR="00246338" w:rsidRPr="003D5898" w:rsidRDefault="00246338" w:rsidP="00854FF9">
            <w:pPr>
              <w:pStyle w:val="Standaard-Tabellen"/>
              <w:rPr>
                <w:rFonts w:eastAsia="Calibri"/>
              </w:rPr>
            </w:pPr>
            <w:r>
              <w:rPr>
                <w:rFonts w:eastAsia="Calibri"/>
              </w:rPr>
              <w:t>D</w:t>
            </w:r>
          </w:p>
        </w:tc>
      </w:tr>
      <w:tr w:rsidR="00246338" w:rsidRPr="00FD2055" w14:paraId="6BF7117D" w14:textId="77777777" w:rsidTr="00C71927">
        <w:trPr>
          <w:trHeight w:val="93"/>
        </w:trPr>
        <w:tc>
          <w:tcPr>
            <w:tcW w:w="1657" w:type="pct"/>
            <w:shd w:val="clear" w:color="auto" w:fill="auto"/>
          </w:tcPr>
          <w:p w14:paraId="727AD141" w14:textId="77777777" w:rsidR="00246338" w:rsidRPr="003D5898" w:rsidRDefault="00246338" w:rsidP="00854FF9">
            <w:pPr>
              <w:pStyle w:val="Standaard-Tabellen"/>
              <w:rPr>
                <w:rFonts w:eastAsia="Calibri"/>
              </w:rPr>
            </w:pPr>
            <w:r w:rsidRPr="003D5898">
              <w:rPr>
                <w:rFonts w:eastAsia="Calibri"/>
              </w:rPr>
              <w:t>Fraction released to wastewater</w:t>
            </w:r>
          </w:p>
        </w:tc>
        <w:tc>
          <w:tcPr>
            <w:tcW w:w="856" w:type="pct"/>
            <w:shd w:val="clear" w:color="auto" w:fill="auto"/>
          </w:tcPr>
          <w:p w14:paraId="6CBAAE09" w14:textId="77777777" w:rsidR="00246338" w:rsidRPr="003D5898" w:rsidRDefault="00246338" w:rsidP="00854FF9">
            <w:pPr>
              <w:pStyle w:val="Standaard-Tabellen"/>
              <w:rPr>
                <w:rFonts w:eastAsia="Calibri"/>
              </w:rPr>
            </w:pPr>
            <w:r w:rsidRPr="003D5898">
              <w:rPr>
                <w:rFonts w:eastAsia="Calibri"/>
              </w:rPr>
              <w:t>Fwater</w:t>
            </w:r>
          </w:p>
        </w:tc>
        <w:tc>
          <w:tcPr>
            <w:tcW w:w="1299" w:type="pct"/>
            <w:shd w:val="clear" w:color="auto" w:fill="auto"/>
          </w:tcPr>
          <w:p w14:paraId="50B38030" w14:textId="77777777" w:rsidR="00246338" w:rsidRPr="003D5898" w:rsidRDefault="00246338" w:rsidP="00854FF9">
            <w:pPr>
              <w:pStyle w:val="Standaard-Tabellen"/>
              <w:rPr>
                <w:rFonts w:eastAsia="Calibri"/>
              </w:rPr>
            </w:pPr>
            <w:r w:rsidRPr="003D5898">
              <w:rPr>
                <w:rFonts w:eastAsia="Calibri"/>
              </w:rPr>
              <w:t>1</w:t>
            </w:r>
          </w:p>
        </w:tc>
        <w:tc>
          <w:tcPr>
            <w:tcW w:w="494" w:type="pct"/>
            <w:shd w:val="clear" w:color="auto" w:fill="auto"/>
          </w:tcPr>
          <w:p w14:paraId="11498117" w14:textId="77777777" w:rsidR="00246338" w:rsidRPr="003D5898" w:rsidRDefault="00246338" w:rsidP="00854FF9">
            <w:pPr>
              <w:pStyle w:val="Standaard-Tabellen"/>
              <w:rPr>
                <w:rFonts w:eastAsia="Calibri"/>
              </w:rPr>
            </w:pPr>
            <w:r w:rsidRPr="003D5898">
              <w:rPr>
                <w:rFonts w:eastAsia="Calibri"/>
              </w:rPr>
              <w:t>[-]</w:t>
            </w:r>
          </w:p>
        </w:tc>
        <w:tc>
          <w:tcPr>
            <w:tcW w:w="694" w:type="pct"/>
          </w:tcPr>
          <w:p w14:paraId="4BEA060D" w14:textId="77777777" w:rsidR="00246338" w:rsidRPr="003D5898" w:rsidRDefault="00246338" w:rsidP="00854FF9">
            <w:pPr>
              <w:pStyle w:val="Standaard-Tabellen"/>
              <w:rPr>
                <w:rFonts w:eastAsia="Calibri"/>
              </w:rPr>
            </w:pPr>
            <w:r>
              <w:rPr>
                <w:rFonts w:eastAsia="Calibri"/>
              </w:rPr>
              <w:t>D</w:t>
            </w:r>
          </w:p>
        </w:tc>
      </w:tr>
      <w:tr w:rsidR="00246338" w:rsidRPr="00FD2055" w14:paraId="0E4638BC" w14:textId="77777777" w:rsidTr="00C71927">
        <w:trPr>
          <w:trHeight w:val="93"/>
        </w:trPr>
        <w:tc>
          <w:tcPr>
            <w:tcW w:w="1657" w:type="pct"/>
            <w:shd w:val="clear" w:color="auto" w:fill="auto"/>
          </w:tcPr>
          <w:p w14:paraId="0066D06A" w14:textId="77777777" w:rsidR="00246338" w:rsidRPr="003D5898" w:rsidRDefault="00246338" w:rsidP="00854FF9">
            <w:pPr>
              <w:pStyle w:val="Standaard-Tabellen"/>
              <w:rPr>
                <w:rFonts w:eastAsia="Calibri"/>
              </w:rPr>
            </w:pPr>
            <w:r w:rsidRPr="003D5898">
              <w:rPr>
                <w:rFonts w:eastAsia="Calibri"/>
              </w:rPr>
              <w:t>Fraction of inhabitants using a repellent product</w:t>
            </w:r>
          </w:p>
        </w:tc>
        <w:tc>
          <w:tcPr>
            <w:tcW w:w="856" w:type="pct"/>
            <w:shd w:val="clear" w:color="auto" w:fill="auto"/>
          </w:tcPr>
          <w:p w14:paraId="03562A7C" w14:textId="77777777" w:rsidR="00246338" w:rsidRPr="003D5898" w:rsidRDefault="00246338" w:rsidP="00854FF9">
            <w:pPr>
              <w:pStyle w:val="Standaard-Tabellen"/>
              <w:rPr>
                <w:rFonts w:eastAsia="Calibri"/>
              </w:rPr>
            </w:pPr>
            <w:r w:rsidRPr="003D5898">
              <w:rPr>
                <w:rFonts w:eastAsia="Calibri"/>
              </w:rPr>
              <w:t>Finh</w:t>
            </w:r>
          </w:p>
        </w:tc>
        <w:tc>
          <w:tcPr>
            <w:tcW w:w="1299" w:type="pct"/>
            <w:shd w:val="clear" w:color="auto" w:fill="auto"/>
          </w:tcPr>
          <w:p w14:paraId="1BA87E77" w14:textId="77777777" w:rsidR="00246338" w:rsidRPr="003D5898" w:rsidRDefault="00246338" w:rsidP="00854FF9">
            <w:pPr>
              <w:pStyle w:val="Standaard-Tabellen"/>
              <w:rPr>
                <w:rFonts w:eastAsia="Calibri"/>
              </w:rPr>
            </w:pPr>
            <w:r w:rsidRPr="003D5898">
              <w:rPr>
                <w:rFonts w:eastAsia="Calibri"/>
              </w:rPr>
              <w:t>0.2</w:t>
            </w:r>
          </w:p>
        </w:tc>
        <w:tc>
          <w:tcPr>
            <w:tcW w:w="494" w:type="pct"/>
            <w:shd w:val="clear" w:color="auto" w:fill="auto"/>
          </w:tcPr>
          <w:p w14:paraId="2A084B8C" w14:textId="77777777" w:rsidR="00246338" w:rsidRPr="003D5898" w:rsidRDefault="00246338" w:rsidP="00854FF9">
            <w:pPr>
              <w:pStyle w:val="Standaard-Tabellen"/>
              <w:rPr>
                <w:rFonts w:eastAsia="Calibri"/>
              </w:rPr>
            </w:pPr>
            <w:r w:rsidRPr="003D5898">
              <w:rPr>
                <w:rFonts w:eastAsia="Calibri"/>
              </w:rPr>
              <w:t>[-]</w:t>
            </w:r>
          </w:p>
        </w:tc>
        <w:tc>
          <w:tcPr>
            <w:tcW w:w="694" w:type="pct"/>
          </w:tcPr>
          <w:p w14:paraId="1B4702E1" w14:textId="77777777" w:rsidR="00246338" w:rsidRPr="003D5898" w:rsidRDefault="00246338" w:rsidP="00854FF9">
            <w:pPr>
              <w:pStyle w:val="Standaard-Tabellen"/>
              <w:rPr>
                <w:rFonts w:eastAsia="Calibri"/>
              </w:rPr>
            </w:pPr>
            <w:r>
              <w:rPr>
                <w:rFonts w:eastAsia="Calibri"/>
              </w:rPr>
              <w:t>D</w:t>
            </w:r>
          </w:p>
        </w:tc>
      </w:tr>
      <w:tr w:rsidR="00246338" w:rsidRPr="00FD2055" w14:paraId="3573BAC1" w14:textId="77777777" w:rsidTr="00C71927">
        <w:trPr>
          <w:trHeight w:val="93"/>
        </w:trPr>
        <w:tc>
          <w:tcPr>
            <w:tcW w:w="1657" w:type="pct"/>
            <w:shd w:val="clear" w:color="auto" w:fill="auto"/>
          </w:tcPr>
          <w:p w14:paraId="36FB4EF7" w14:textId="77777777" w:rsidR="00246338" w:rsidRPr="003D5898" w:rsidRDefault="00246338" w:rsidP="00854FF9">
            <w:pPr>
              <w:pStyle w:val="Standaard-Tabellen"/>
              <w:rPr>
                <w:rFonts w:eastAsia="Calibri"/>
              </w:rPr>
            </w:pPr>
            <w:r w:rsidRPr="003D5898">
              <w:rPr>
                <w:rFonts w:eastAsia="Calibri"/>
              </w:rPr>
              <w:t>Market share of repellent</w:t>
            </w:r>
          </w:p>
        </w:tc>
        <w:tc>
          <w:tcPr>
            <w:tcW w:w="856" w:type="pct"/>
            <w:shd w:val="clear" w:color="auto" w:fill="auto"/>
          </w:tcPr>
          <w:p w14:paraId="62112093" w14:textId="77777777" w:rsidR="00246338" w:rsidRPr="003D5898" w:rsidRDefault="00246338" w:rsidP="00854FF9">
            <w:pPr>
              <w:pStyle w:val="Standaard-Tabellen"/>
              <w:rPr>
                <w:rFonts w:eastAsia="Calibri"/>
              </w:rPr>
            </w:pPr>
            <w:r w:rsidRPr="003D5898">
              <w:rPr>
                <w:rFonts w:eastAsia="Calibri"/>
              </w:rPr>
              <w:t>Fpenetr</w:t>
            </w:r>
          </w:p>
        </w:tc>
        <w:tc>
          <w:tcPr>
            <w:tcW w:w="1299" w:type="pct"/>
            <w:shd w:val="clear" w:color="auto" w:fill="auto"/>
          </w:tcPr>
          <w:p w14:paraId="461B8A75" w14:textId="77777777" w:rsidR="00246338" w:rsidRPr="003D5898" w:rsidRDefault="00246338" w:rsidP="00854FF9">
            <w:pPr>
              <w:pStyle w:val="Standaard-Tabellen"/>
              <w:rPr>
                <w:rFonts w:eastAsia="Calibri"/>
              </w:rPr>
            </w:pPr>
            <w:r w:rsidRPr="003D5898">
              <w:rPr>
                <w:rFonts w:eastAsia="Calibri"/>
              </w:rPr>
              <w:t>0.5</w:t>
            </w:r>
          </w:p>
        </w:tc>
        <w:tc>
          <w:tcPr>
            <w:tcW w:w="494" w:type="pct"/>
            <w:shd w:val="clear" w:color="auto" w:fill="auto"/>
          </w:tcPr>
          <w:p w14:paraId="299B894A" w14:textId="77777777" w:rsidR="00246338" w:rsidRPr="003D5898" w:rsidRDefault="00246338" w:rsidP="00854FF9">
            <w:pPr>
              <w:pStyle w:val="Standaard-Tabellen"/>
              <w:rPr>
                <w:rFonts w:eastAsia="Calibri"/>
              </w:rPr>
            </w:pPr>
            <w:r w:rsidRPr="003D5898">
              <w:rPr>
                <w:rFonts w:eastAsia="Calibri"/>
              </w:rPr>
              <w:t>[-]</w:t>
            </w:r>
          </w:p>
        </w:tc>
        <w:tc>
          <w:tcPr>
            <w:tcW w:w="694" w:type="pct"/>
          </w:tcPr>
          <w:p w14:paraId="4EEEAD1B" w14:textId="77777777" w:rsidR="00246338" w:rsidRPr="003D5898" w:rsidRDefault="00246338" w:rsidP="00854FF9">
            <w:pPr>
              <w:pStyle w:val="Standaard-Tabellen"/>
              <w:rPr>
                <w:rFonts w:eastAsia="Calibri"/>
              </w:rPr>
            </w:pPr>
            <w:r>
              <w:rPr>
                <w:rFonts w:eastAsia="Calibri"/>
              </w:rPr>
              <w:t>D</w:t>
            </w:r>
          </w:p>
        </w:tc>
      </w:tr>
      <w:tr w:rsidR="00246338" w:rsidRPr="00FD2055" w14:paraId="430E7E6D" w14:textId="77777777" w:rsidTr="00C71927">
        <w:trPr>
          <w:trHeight w:val="93"/>
        </w:trPr>
        <w:tc>
          <w:tcPr>
            <w:tcW w:w="1657" w:type="pct"/>
            <w:shd w:val="clear" w:color="auto" w:fill="auto"/>
          </w:tcPr>
          <w:p w14:paraId="33D03EB4" w14:textId="77777777" w:rsidR="00246338" w:rsidRPr="003D5898" w:rsidRDefault="00246338" w:rsidP="00854FF9">
            <w:pPr>
              <w:pStyle w:val="Standaard-Tabellen"/>
              <w:rPr>
                <w:rFonts w:eastAsia="Calibri"/>
              </w:rPr>
            </w:pPr>
            <w:r w:rsidRPr="003D5898">
              <w:rPr>
                <w:rFonts w:eastAsia="Calibri"/>
              </w:rPr>
              <w:t>Specific density of the product</w:t>
            </w:r>
          </w:p>
        </w:tc>
        <w:tc>
          <w:tcPr>
            <w:tcW w:w="856" w:type="pct"/>
            <w:shd w:val="clear" w:color="auto" w:fill="auto"/>
          </w:tcPr>
          <w:p w14:paraId="570248E5" w14:textId="77777777" w:rsidR="00246338" w:rsidRPr="003D5898" w:rsidRDefault="00246338" w:rsidP="00854FF9">
            <w:pPr>
              <w:pStyle w:val="Standaard-Tabellen"/>
              <w:rPr>
                <w:rFonts w:eastAsia="Calibri"/>
              </w:rPr>
            </w:pPr>
            <w:r w:rsidRPr="003D5898">
              <w:rPr>
                <w:rFonts w:eastAsia="Calibri"/>
              </w:rPr>
              <w:t>RHOform</w:t>
            </w:r>
          </w:p>
        </w:tc>
        <w:tc>
          <w:tcPr>
            <w:tcW w:w="1299" w:type="pct"/>
            <w:shd w:val="clear" w:color="auto" w:fill="auto"/>
          </w:tcPr>
          <w:p w14:paraId="0DB35A4D" w14:textId="77777777" w:rsidR="00246338" w:rsidRPr="003D5898" w:rsidRDefault="00246338" w:rsidP="00854FF9">
            <w:pPr>
              <w:pStyle w:val="Standaard-Tabellen"/>
              <w:rPr>
                <w:rFonts w:eastAsia="Calibri"/>
              </w:rPr>
            </w:pPr>
            <w:r w:rsidRPr="003D5898">
              <w:rPr>
                <w:rFonts w:eastAsia="Calibri"/>
              </w:rPr>
              <w:t>1000</w:t>
            </w:r>
          </w:p>
        </w:tc>
        <w:tc>
          <w:tcPr>
            <w:tcW w:w="494" w:type="pct"/>
            <w:shd w:val="clear" w:color="auto" w:fill="auto"/>
          </w:tcPr>
          <w:p w14:paraId="349BFF09" w14:textId="77777777" w:rsidR="00246338" w:rsidRPr="003D5898" w:rsidRDefault="00246338" w:rsidP="00854FF9">
            <w:pPr>
              <w:pStyle w:val="Standaard-Tabellen"/>
              <w:rPr>
                <w:rFonts w:eastAsia="Calibri"/>
              </w:rPr>
            </w:pPr>
            <w:r w:rsidRPr="003D5898">
              <w:rPr>
                <w:rFonts w:eastAsia="Calibri"/>
              </w:rPr>
              <w:t>kg/m³</w:t>
            </w:r>
          </w:p>
        </w:tc>
        <w:tc>
          <w:tcPr>
            <w:tcW w:w="694" w:type="pct"/>
          </w:tcPr>
          <w:p w14:paraId="5F93C58C" w14:textId="77777777" w:rsidR="00246338" w:rsidRPr="003D5898" w:rsidRDefault="00246338" w:rsidP="00854FF9">
            <w:pPr>
              <w:pStyle w:val="Standaard-Tabellen"/>
              <w:rPr>
                <w:rFonts w:eastAsia="Calibri"/>
              </w:rPr>
            </w:pPr>
            <w:r>
              <w:rPr>
                <w:rFonts w:eastAsia="Calibri"/>
              </w:rPr>
              <w:t>D</w:t>
            </w:r>
          </w:p>
        </w:tc>
      </w:tr>
    </w:tbl>
    <w:p w14:paraId="1E14EB06" w14:textId="77777777" w:rsidR="00A0626E" w:rsidRPr="00FD2055" w:rsidRDefault="00A0626E" w:rsidP="00A0626E">
      <w:pPr>
        <w:rPr>
          <w:rFonts w:eastAsia="Calibri"/>
          <w:lang w:eastAsia="en-US"/>
        </w:rPr>
      </w:pPr>
    </w:p>
    <w:p w14:paraId="23890D56" w14:textId="77777777" w:rsidR="00A0626E" w:rsidRDefault="00A0626E" w:rsidP="00A0626E">
      <w:pPr>
        <w:pStyle w:val="Titre7"/>
        <w:rPr>
          <w:lang w:val="en-US"/>
        </w:rPr>
      </w:pPr>
      <w:r w:rsidRPr="00A14D85">
        <w:rPr>
          <w:lang w:val="en-US"/>
        </w:rPr>
        <w:t xml:space="preserve">Calculations for Scenario </w:t>
      </w:r>
      <w:r>
        <w:rPr>
          <w:lang w:val="en-US"/>
        </w:rPr>
        <w:t>1</w:t>
      </w:r>
    </w:p>
    <w:p w14:paraId="5BD17302" w14:textId="77777777" w:rsidR="00A0626E" w:rsidRDefault="00A0626E" w:rsidP="00A0626E">
      <w:pPr>
        <w:rPr>
          <w:b/>
          <w:lang w:val="en-US" w:eastAsia="en-US"/>
        </w:rPr>
      </w:pPr>
      <w:r w:rsidRPr="003D5898">
        <w:rPr>
          <w:b/>
          <w:lang w:val="en-US" w:eastAsia="en-US"/>
        </w:rPr>
        <w:sym w:font="Wingdings" w:char="F0E0"/>
      </w:r>
      <w:r>
        <w:rPr>
          <w:b/>
          <w:lang w:val="en-US" w:eastAsia="en-US"/>
        </w:rPr>
        <w:t xml:space="preserve"> B and D2</w:t>
      </w:r>
    </w:p>
    <w:p w14:paraId="0D35FA9B" w14:textId="77777777" w:rsidR="00A0626E" w:rsidRPr="003D5898" w:rsidRDefault="000D0DA7" w:rsidP="00A0626E">
      <w:pPr>
        <w:pBdr>
          <w:top w:val="single" w:sz="4" w:space="1" w:color="auto"/>
          <w:left w:val="single" w:sz="4" w:space="4" w:color="auto"/>
          <w:bottom w:val="single" w:sz="4" w:space="1" w:color="auto"/>
          <w:right w:val="single" w:sz="4" w:space="4" w:color="auto"/>
        </w:pBdr>
        <w:rPr>
          <w:lang w:val="en-US" w:eastAsia="en-US"/>
        </w:rPr>
      </w:pPr>
      <m:oMathPara>
        <m:oMath>
          <m:sSub>
            <m:sSubPr>
              <m:ctrlPr>
                <w:rPr>
                  <w:rFonts w:ascii="Cambria Math" w:hAnsi="Cambria Math"/>
                  <w:i/>
                  <w:lang w:val="en-US" w:eastAsia="en-US"/>
                </w:rPr>
              </m:ctrlPr>
            </m:sSubPr>
            <m:e>
              <m:r>
                <w:rPr>
                  <w:rFonts w:ascii="Cambria Math" w:hAnsi="Cambria Math"/>
                  <w:lang w:val="en-US" w:eastAsia="en-US"/>
                </w:rPr>
                <m:t>Elocal</m:t>
              </m:r>
            </m:e>
            <m:sub>
              <m:r>
                <w:rPr>
                  <w:rFonts w:ascii="Cambria Math" w:hAnsi="Cambria Math"/>
                  <w:lang w:val="en-US" w:eastAsia="en-US"/>
                </w:rPr>
                <m:t>wastewater</m:t>
              </m:r>
            </m:sub>
          </m:sSub>
          <m:r>
            <w:rPr>
              <w:rFonts w:ascii="Cambria Math" w:hAnsi="Cambria Math"/>
              <w:lang w:val="en-US" w:eastAsia="en-US"/>
            </w:rPr>
            <m:t>=Nlocal×</m:t>
          </m:r>
          <m:sSub>
            <m:sSubPr>
              <m:ctrlPr>
                <w:rPr>
                  <w:rFonts w:ascii="Cambria Math" w:hAnsi="Cambria Math"/>
                  <w:i/>
                  <w:lang w:val="en-US" w:eastAsia="en-US"/>
                </w:rPr>
              </m:ctrlPr>
            </m:sSubPr>
            <m:e>
              <m:r>
                <w:rPr>
                  <w:rFonts w:ascii="Cambria Math" w:hAnsi="Cambria Math"/>
                  <w:lang w:val="en-US" w:eastAsia="en-US"/>
                </w:rPr>
                <m:t>N</m:t>
              </m:r>
            </m:e>
            <m:sub>
              <m:r>
                <w:rPr>
                  <w:rFonts w:ascii="Cambria Math" w:hAnsi="Cambria Math"/>
                  <w:lang w:val="en-US" w:eastAsia="en-US"/>
                </w:rPr>
                <m:t>appl</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Qform</m:t>
              </m:r>
            </m:e>
            <m:sub>
              <m:r>
                <w:rPr>
                  <w:rFonts w:ascii="Cambria Math" w:hAnsi="Cambria Math"/>
                  <w:lang w:val="en-US" w:eastAsia="en-US"/>
                </w:rPr>
                <m:t>appl</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AREA</m:t>
              </m:r>
            </m:e>
            <m:sub>
              <m:r>
                <w:rPr>
                  <w:rFonts w:ascii="Cambria Math" w:hAnsi="Cambria Math"/>
                  <w:lang w:val="en-US" w:eastAsia="en-US"/>
                </w:rPr>
                <m:t>skin</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Cform</m:t>
              </m:r>
            </m:e>
            <m:sub>
              <m:r>
                <w:rPr>
                  <w:rFonts w:ascii="Cambria Math" w:hAnsi="Cambria Math"/>
                  <w:lang w:val="en-US" w:eastAsia="en-US"/>
                </w:rPr>
                <m:t>weight</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inh</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water</m:t>
              </m:r>
            </m:sub>
          </m:sSub>
          <m:r>
            <w:rPr>
              <w:rFonts w:ascii="Cambria Math" w:hAnsi="Cambria Math"/>
              <w:lang w:val="en-US" w:eastAsia="en-US"/>
            </w:rPr>
            <m:t>×Fpenetr×</m:t>
          </m:r>
          <m:sSup>
            <m:sSupPr>
              <m:ctrlPr>
                <w:rPr>
                  <w:rFonts w:ascii="Cambria Math" w:hAnsi="Cambria Math"/>
                  <w:i/>
                  <w:lang w:val="en-US" w:eastAsia="en-US"/>
                </w:rPr>
              </m:ctrlPr>
            </m:sSupPr>
            <m:e>
              <m:r>
                <w:rPr>
                  <w:rFonts w:ascii="Cambria Math" w:hAnsi="Cambria Math"/>
                  <w:lang w:val="en-US" w:eastAsia="en-US"/>
                </w:rPr>
                <m:t>10</m:t>
              </m:r>
            </m:e>
            <m:sup>
              <m:r>
                <w:rPr>
                  <w:rFonts w:ascii="Cambria Math" w:hAnsi="Cambria Math"/>
                  <w:lang w:val="en-US" w:eastAsia="en-US"/>
                </w:rPr>
                <m:t>-9</m:t>
              </m:r>
            </m:sup>
          </m:sSup>
        </m:oMath>
      </m:oMathPara>
    </w:p>
    <w:p w14:paraId="6ADBCED8" w14:textId="77777777" w:rsidR="00A0626E" w:rsidRPr="00FD2055" w:rsidRDefault="00A0626E" w:rsidP="00A0626E">
      <w:pPr>
        <w:rPr>
          <w:rFonts w:eastAsia="Calibri"/>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A0626E" w:rsidRPr="00092E70" w14:paraId="1235AACB" w14:textId="77777777" w:rsidTr="00A0626E">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0D9B19B3" w14:textId="77777777" w:rsidR="00A0626E" w:rsidRPr="00092E70" w:rsidRDefault="00A0626E" w:rsidP="00A0626E">
            <w:pPr>
              <w:pStyle w:val="Standaard-Tabellen"/>
              <w:rPr>
                <w:rFonts w:eastAsia="Calibri"/>
                <w:b/>
              </w:rPr>
            </w:pPr>
            <w:r w:rsidRPr="00092E70">
              <w:rPr>
                <w:rFonts w:eastAsia="Calibri"/>
                <w:b/>
              </w:rPr>
              <w:t>Resulting local emission to relevant environmental compartments</w:t>
            </w:r>
          </w:p>
        </w:tc>
      </w:tr>
      <w:tr w:rsidR="00A0626E" w:rsidRPr="00092E70" w14:paraId="2074C94B" w14:textId="77777777" w:rsidTr="00A0626E">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2FE5DB27" w14:textId="77777777" w:rsidR="00A0626E" w:rsidRPr="00092E70" w:rsidRDefault="00A0626E" w:rsidP="00A0626E">
            <w:pPr>
              <w:pStyle w:val="Standaard-Tabellen"/>
              <w:rPr>
                <w:rFonts w:eastAsia="Calibri"/>
                <w:b/>
              </w:rPr>
            </w:pPr>
            <w:r w:rsidRPr="00092E70">
              <w:rPr>
                <w:rFonts w:eastAsia="Calibri"/>
                <w:b/>
              </w:rPr>
              <w:t>Compartment</w:t>
            </w:r>
          </w:p>
        </w:tc>
        <w:tc>
          <w:tcPr>
            <w:tcW w:w="3610"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201543DB" w14:textId="77777777" w:rsidR="00A0626E" w:rsidRPr="00092E70" w:rsidRDefault="00A0626E" w:rsidP="00A0626E">
            <w:pPr>
              <w:pStyle w:val="Standaard-Tabellen"/>
              <w:rPr>
                <w:rFonts w:eastAsia="Calibri"/>
                <w:b/>
              </w:rPr>
            </w:pPr>
            <w:r w:rsidRPr="00092E70">
              <w:rPr>
                <w:rFonts w:eastAsia="Calibri"/>
                <w:b/>
              </w:rPr>
              <w:t>Local emission (Elocal</w:t>
            </w:r>
            <w:r w:rsidRPr="00FA1978">
              <w:rPr>
                <w:rFonts w:eastAsia="Calibri"/>
                <w:b/>
                <w:vertAlign w:val="subscript"/>
              </w:rPr>
              <w:t>compartment</w:t>
            </w:r>
            <w:r w:rsidRPr="00092E70">
              <w:rPr>
                <w:rFonts w:eastAsia="Calibri"/>
                <w:b/>
              </w:rPr>
              <w:t>) [kg/d]</w:t>
            </w:r>
          </w:p>
        </w:tc>
        <w:tc>
          <w:tcPr>
            <w:tcW w:w="3159"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6AD8F67B" w14:textId="77777777" w:rsidR="00A0626E" w:rsidRPr="00092E70" w:rsidRDefault="00A0626E" w:rsidP="00A0626E">
            <w:pPr>
              <w:pStyle w:val="Standaard-Tabellen"/>
              <w:rPr>
                <w:rFonts w:eastAsia="Calibri"/>
                <w:b/>
              </w:rPr>
            </w:pPr>
            <w:r w:rsidRPr="00092E70">
              <w:rPr>
                <w:rFonts w:eastAsia="Calibri"/>
                <w:b/>
              </w:rPr>
              <w:t>Remarks</w:t>
            </w:r>
          </w:p>
        </w:tc>
      </w:tr>
      <w:tr w:rsidR="00A0626E" w:rsidRPr="00092E70" w14:paraId="3922D784" w14:textId="77777777" w:rsidTr="00A0626E">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B5AF86B" w14:textId="77777777" w:rsidR="00A0626E" w:rsidRPr="00092E70" w:rsidRDefault="00A0626E" w:rsidP="00A0626E">
            <w:pPr>
              <w:pStyle w:val="Standaard-Tabellen"/>
            </w:pPr>
            <w:r w:rsidRPr="00092E70">
              <w:t>Waste 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F9073A" w14:textId="77777777" w:rsidR="00A0626E" w:rsidRPr="00B97132" w:rsidRDefault="00B97132" w:rsidP="00A0626E">
            <w:pPr>
              <w:pStyle w:val="Standaard-Tabellen"/>
            </w:pPr>
            <w:r w:rsidRPr="00B97132">
              <w:t>0.133</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96F432" w14:textId="77777777" w:rsidR="00A0626E" w:rsidRPr="00092E70" w:rsidRDefault="00A0626E" w:rsidP="00A0626E">
            <w:pPr>
              <w:pStyle w:val="Standaard-Tabellen"/>
            </w:pPr>
            <w:r w:rsidRPr="00092E70">
              <w:t>/</w:t>
            </w:r>
          </w:p>
        </w:tc>
      </w:tr>
    </w:tbl>
    <w:p w14:paraId="08B2A305" w14:textId="5EDF5741" w:rsidR="00A0626E" w:rsidRDefault="00A0626E" w:rsidP="00A0626E">
      <w:pPr>
        <w:rPr>
          <w:rFonts w:eastAsia="Calibri"/>
          <w:lang w:eastAsia="en-US"/>
        </w:rPr>
      </w:pPr>
    </w:p>
    <w:p w14:paraId="392342F0" w14:textId="10C065C3" w:rsidR="0098647E" w:rsidRDefault="0098647E" w:rsidP="00A0626E">
      <w:pPr>
        <w:rPr>
          <w:rFonts w:eastAsia="Calibri"/>
          <w:lang w:eastAsia="en-US"/>
        </w:rPr>
      </w:pPr>
    </w:p>
    <w:p w14:paraId="400C9526" w14:textId="77777777" w:rsidR="0098647E" w:rsidRDefault="0098647E" w:rsidP="00A0626E">
      <w:pPr>
        <w:rPr>
          <w:rFonts w:eastAsia="Calibri"/>
          <w:lang w:eastAsia="en-US"/>
        </w:rPr>
      </w:pPr>
    </w:p>
    <w:p w14:paraId="3B8004C8" w14:textId="77777777" w:rsidR="0098647E" w:rsidRPr="003E3E25" w:rsidRDefault="0098647E"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p w14:paraId="45770365" w14:textId="4C84A4E1" w:rsidR="0084446B" w:rsidRPr="003E3E25" w:rsidRDefault="0084446B" w:rsidP="003E3E25">
      <w:pPr>
        <w:spacing w:line="260" w:lineRule="atLeast"/>
        <w:rPr>
          <w:rFonts w:eastAsia="Calibri"/>
          <w:b/>
          <w:bCs/>
          <w:lang w:eastAsia="en-US"/>
        </w:rPr>
      </w:pPr>
      <w:r w:rsidRPr="003E3E25">
        <w:rPr>
          <w:rFonts w:eastAsia="Calibri"/>
          <w:b/>
          <w:bCs/>
          <w:lang w:eastAsia="en-US"/>
        </w:rPr>
        <w:t>Scenario 1b: Repellent treatment against mosquitoes o</w:t>
      </w:r>
      <w:r w:rsidR="00695A12" w:rsidRPr="003E3E25">
        <w:rPr>
          <w:rFonts w:eastAsia="Calibri"/>
          <w:b/>
          <w:bCs/>
          <w:lang w:eastAsia="en-US"/>
        </w:rPr>
        <w:t>r</w:t>
      </w:r>
      <w:r w:rsidRPr="003E3E25">
        <w:rPr>
          <w:rFonts w:eastAsia="Calibri"/>
          <w:b/>
          <w:bCs/>
          <w:lang w:eastAsia="en-US"/>
        </w:rPr>
        <w:t xml:space="preserve"> ticks applied on skin – STP release scenario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1638"/>
        <w:gridCol w:w="882"/>
        <w:gridCol w:w="1029"/>
        <w:gridCol w:w="2849"/>
      </w:tblGrid>
      <w:tr w:rsidR="00591AD4" w:rsidRPr="00490C8C" w14:paraId="2F93AB80" w14:textId="77777777" w:rsidTr="00591AD4">
        <w:trPr>
          <w:trHeight w:val="346"/>
        </w:trPr>
        <w:tc>
          <w:tcPr>
            <w:tcW w:w="5000" w:type="pct"/>
            <w:gridSpan w:val="5"/>
            <w:shd w:val="clear" w:color="auto" w:fill="FFFFCC"/>
            <w:vAlign w:val="center"/>
          </w:tcPr>
          <w:p w14:paraId="4F3E9980" w14:textId="77777777" w:rsidR="00591AD4" w:rsidRPr="00490C8C" w:rsidRDefault="00591AD4" w:rsidP="00591AD4">
            <w:pPr>
              <w:pStyle w:val="Standaard-Tabellen"/>
              <w:jc w:val="center"/>
              <w:rPr>
                <w:rFonts w:eastAsia="Calibri"/>
                <w:b/>
                <w:highlight w:val="lightGray"/>
              </w:rPr>
            </w:pPr>
            <w:r w:rsidRPr="00490C8C">
              <w:rPr>
                <w:rFonts w:eastAsia="Calibri"/>
                <w:b/>
              </w:rPr>
              <w:t>Input parameters for calculating the local emission</w:t>
            </w:r>
          </w:p>
        </w:tc>
      </w:tr>
      <w:tr w:rsidR="00591AD4" w:rsidRPr="00490C8C" w14:paraId="3198F2EF" w14:textId="77777777" w:rsidTr="00490C8C">
        <w:trPr>
          <w:trHeight w:val="75"/>
        </w:trPr>
        <w:tc>
          <w:tcPr>
            <w:tcW w:w="1598" w:type="pct"/>
            <w:shd w:val="clear" w:color="auto" w:fill="D9D9D9" w:themeFill="background1" w:themeFillShade="D9"/>
            <w:vAlign w:val="center"/>
          </w:tcPr>
          <w:p w14:paraId="4F272BD6" w14:textId="77777777" w:rsidR="00591AD4" w:rsidRPr="00571EBF" w:rsidRDefault="00591AD4" w:rsidP="00591AD4">
            <w:pPr>
              <w:pStyle w:val="Standaard-Tabellen"/>
              <w:rPr>
                <w:rFonts w:eastAsia="Calibri" w:cs="Arial"/>
                <w:b/>
                <w:color w:val="000000"/>
              </w:rPr>
            </w:pPr>
            <w:r w:rsidRPr="00571EBF">
              <w:rPr>
                <w:rFonts w:eastAsia="Calibri" w:cs="Arial"/>
                <w:b/>
                <w:color w:val="000000"/>
              </w:rPr>
              <w:t xml:space="preserve">Input </w:t>
            </w:r>
          </w:p>
        </w:tc>
        <w:tc>
          <w:tcPr>
            <w:tcW w:w="871" w:type="pct"/>
            <w:shd w:val="clear" w:color="auto" w:fill="D9D9D9" w:themeFill="background1" w:themeFillShade="D9"/>
            <w:vAlign w:val="center"/>
          </w:tcPr>
          <w:p w14:paraId="2CC97E85" w14:textId="77777777" w:rsidR="00591AD4" w:rsidRPr="00571EBF" w:rsidRDefault="00591AD4" w:rsidP="00591AD4">
            <w:pPr>
              <w:pStyle w:val="Standaard-Tabellen"/>
              <w:rPr>
                <w:rFonts w:eastAsia="Calibri" w:cs="Arial"/>
                <w:b/>
                <w:color w:val="000000"/>
              </w:rPr>
            </w:pPr>
            <w:r w:rsidRPr="00571EBF">
              <w:rPr>
                <w:rFonts w:eastAsia="Calibri" w:cs="Arial"/>
                <w:b/>
                <w:color w:val="000000"/>
              </w:rPr>
              <w:t>Nomenclature</w:t>
            </w:r>
          </w:p>
        </w:tc>
        <w:tc>
          <w:tcPr>
            <w:tcW w:w="469" w:type="pct"/>
            <w:shd w:val="clear" w:color="auto" w:fill="D9D9D9" w:themeFill="background1" w:themeFillShade="D9"/>
            <w:vAlign w:val="center"/>
          </w:tcPr>
          <w:p w14:paraId="49077C9F" w14:textId="77777777" w:rsidR="00591AD4" w:rsidRPr="00571EBF" w:rsidRDefault="00591AD4" w:rsidP="00591AD4">
            <w:pPr>
              <w:pStyle w:val="Standaard-Tabellen"/>
              <w:rPr>
                <w:rFonts w:eastAsia="Calibri" w:cs="Arial"/>
                <w:b/>
                <w:color w:val="000000"/>
              </w:rPr>
            </w:pPr>
            <w:r w:rsidRPr="00571EBF">
              <w:rPr>
                <w:rFonts w:eastAsia="Calibri" w:cs="Arial"/>
                <w:b/>
                <w:color w:val="000000"/>
              </w:rPr>
              <w:t>Value</w:t>
            </w:r>
          </w:p>
        </w:tc>
        <w:tc>
          <w:tcPr>
            <w:tcW w:w="547" w:type="pct"/>
            <w:shd w:val="clear" w:color="auto" w:fill="D9D9D9" w:themeFill="background1" w:themeFillShade="D9"/>
            <w:vAlign w:val="center"/>
          </w:tcPr>
          <w:p w14:paraId="3F44C477" w14:textId="77777777" w:rsidR="00591AD4" w:rsidRPr="00571EBF" w:rsidRDefault="00591AD4" w:rsidP="00591AD4">
            <w:pPr>
              <w:pStyle w:val="Standaard-Tabellen"/>
              <w:rPr>
                <w:rFonts w:eastAsia="Calibri" w:cs="Arial"/>
                <w:b/>
                <w:color w:val="000000"/>
              </w:rPr>
            </w:pPr>
            <w:r w:rsidRPr="00571EBF">
              <w:rPr>
                <w:rFonts w:eastAsia="Calibri" w:cs="Arial"/>
                <w:b/>
                <w:color w:val="000000"/>
              </w:rPr>
              <w:t>Unit</w:t>
            </w:r>
          </w:p>
        </w:tc>
        <w:tc>
          <w:tcPr>
            <w:tcW w:w="1515" w:type="pct"/>
            <w:shd w:val="clear" w:color="auto" w:fill="D9D9D9" w:themeFill="background1" w:themeFillShade="D9"/>
          </w:tcPr>
          <w:p w14:paraId="4C31E7DD" w14:textId="77777777" w:rsidR="00591AD4" w:rsidRPr="00571EBF" w:rsidRDefault="00591AD4" w:rsidP="00591AD4">
            <w:pPr>
              <w:pStyle w:val="Standaard-Tabellen"/>
              <w:rPr>
                <w:rFonts w:eastAsia="Calibri" w:cs="Arial"/>
                <w:b/>
                <w:color w:val="000000"/>
              </w:rPr>
            </w:pPr>
            <w:r w:rsidRPr="00571EBF">
              <w:rPr>
                <w:rFonts w:eastAsia="Calibri" w:cs="Arial"/>
                <w:b/>
                <w:color w:val="000000"/>
              </w:rPr>
              <w:t>Remarks</w:t>
            </w:r>
          </w:p>
        </w:tc>
      </w:tr>
      <w:tr w:rsidR="00591AD4" w:rsidRPr="00490C8C" w14:paraId="1F76C7EE" w14:textId="77777777" w:rsidTr="003E3E25">
        <w:trPr>
          <w:trHeight w:val="75"/>
        </w:trPr>
        <w:tc>
          <w:tcPr>
            <w:tcW w:w="5000" w:type="pct"/>
            <w:gridSpan w:val="5"/>
            <w:shd w:val="clear" w:color="auto" w:fill="auto"/>
            <w:vAlign w:val="center"/>
          </w:tcPr>
          <w:p w14:paraId="53AC9902" w14:textId="07C0071D" w:rsidR="00591AD4" w:rsidRPr="00571EBF" w:rsidRDefault="00591AD4" w:rsidP="00DF65A8">
            <w:pPr>
              <w:spacing w:line="276" w:lineRule="auto"/>
              <w:rPr>
                <w:rFonts w:eastAsia="Calibri"/>
                <w:color w:val="000000"/>
                <w:lang w:eastAsia="en-US"/>
              </w:rPr>
            </w:pPr>
            <w:r w:rsidRPr="00571EBF">
              <w:rPr>
                <w:rFonts w:eastAsia="Calibri"/>
                <w:color w:val="000000"/>
                <w:szCs w:val="18"/>
              </w:rPr>
              <w:t>Scenario</w:t>
            </w:r>
            <w:r w:rsidR="00E2477C" w:rsidRPr="00571EBF">
              <w:rPr>
                <w:rFonts w:eastAsia="Calibri"/>
                <w:color w:val="000000"/>
                <w:szCs w:val="18"/>
              </w:rPr>
              <w:t xml:space="preserve"> 1b</w:t>
            </w:r>
            <w:r w:rsidRPr="00571EBF">
              <w:rPr>
                <w:rFonts w:eastAsia="Calibri"/>
                <w:color w:val="000000"/>
                <w:szCs w:val="18"/>
              </w:rPr>
              <w:t>: Repellent treatment against mosquitoes or ticks applied on skin – STP release scenario [ESD-PT19 – Section 3.1.4]</w:t>
            </w:r>
            <w:r w:rsidR="00AF6D81" w:rsidRPr="00571EBF">
              <w:rPr>
                <w:rFonts w:eastAsia="Calibri"/>
                <w:b/>
                <w:color w:val="000000"/>
                <w:lang w:eastAsia="en-US"/>
              </w:rPr>
              <w:t xml:space="preserve"> </w:t>
            </w:r>
            <w:r w:rsidR="00AF6D81" w:rsidRPr="00571EBF">
              <w:rPr>
                <w:rFonts w:eastAsia="Calibri"/>
                <w:b/>
                <w:color w:val="000000"/>
                <w:lang w:eastAsia="en-US"/>
              </w:rPr>
              <w:sym w:font="Wingdings" w:char="F0E0"/>
            </w:r>
            <w:r w:rsidR="00AF6D81" w:rsidRPr="00571EBF">
              <w:rPr>
                <w:rFonts w:eastAsia="Calibri"/>
                <w:b/>
                <w:color w:val="000000"/>
                <w:lang w:eastAsia="en-US"/>
              </w:rPr>
              <w:t xml:space="preserve"> Use #1, 4, 6</w:t>
            </w:r>
          </w:p>
        </w:tc>
      </w:tr>
      <w:tr w:rsidR="00591AD4" w:rsidRPr="00490C8C" w14:paraId="098602E5" w14:textId="77777777" w:rsidTr="003E3E25">
        <w:trPr>
          <w:trHeight w:val="75"/>
        </w:trPr>
        <w:tc>
          <w:tcPr>
            <w:tcW w:w="1598" w:type="pct"/>
            <w:shd w:val="clear" w:color="auto" w:fill="auto"/>
            <w:vAlign w:val="center"/>
          </w:tcPr>
          <w:p w14:paraId="2AE0C603" w14:textId="4E5D3F36" w:rsidR="00591AD4" w:rsidRPr="00571EBF" w:rsidRDefault="00591AD4" w:rsidP="00C71927">
            <w:pPr>
              <w:pStyle w:val="Standaard-Tabellen"/>
              <w:rPr>
                <w:rFonts w:eastAsia="Calibri"/>
              </w:rPr>
            </w:pPr>
            <w:r w:rsidRPr="00571EBF">
              <w:rPr>
                <w:rFonts w:eastAsia="Calibri"/>
              </w:rPr>
              <w:t xml:space="preserve">Number of inhabitants </w:t>
            </w:r>
            <w:r w:rsidR="00C71927" w:rsidRPr="00571EBF">
              <w:rPr>
                <w:rFonts w:eastAsia="Calibri"/>
              </w:rPr>
              <w:t>per STP</w:t>
            </w:r>
          </w:p>
        </w:tc>
        <w:tc>
          <w:tcPr>
            <w:tcW w:w="871" w:type="pct"/>
            <w:shd w:val="clear" w:color="auto" w:fill="auto"/>
            <w:vAlign w:val="center"/>
          </w:tcPr>
          <w:p w14:paraId="0C191EAF" w14:textId="77777777" w:rsidR="00591AD4" w:rsidRPr="00571EBF" w:rsidRDefault="00591AD4" w:rsidP="00591AD4">
            <w:pPr>
              <w:pStyle w:val="Standaard-Tabellen"/>
              <w:rPr>
                <w:rFonts w:eastAsia="Calibri"/>
              </w:rPr>
            </w:pPr>
            <w:r w:rsidRPr="00571EBF">
              <w:rPr>
                <w:rFonts w:eastAsia="Calibri"/>
              </w:rPr>
              <w:t>N</w:t>
            </w:r>
            <w:r w:rsidRPr="00571EBF">
              <w:rPr>
                <w:rFonts w:eastAsia="Calibri"/>
                <w:vertAlign w:val="subscript"/>
              </w:rPr>
              <w:t>local</w:t>
            </w:r>
          </w:p>
        </w:tc>
        <w:tc>
          <w:tcPr>
            <w:tcW w:w="469" w:type="pct"/>
            <w:shd w:val="clear" w:color="auto" w:fill="auto"/>
            <w:vAlign w:val="center"/>
          </w:tcPr>
          <w:p w14:paraId="3ABADEE4" w14:textId="77777777" w:rsidR="00591AD4" w:rsidRPr="00571EBF" w:rsidRDefault="00591AD4" w:rsidP="00591AD4">
            <w:pPr>
              <w:pStyle w:val="Standaard-Tabellen"/>
              <w:rPr>
                <w:rFonts w:eastAsia="Calibri"/>
              </w:rPr>
            </w:pPr>
            <w:r w:rsidRPr="00571EBF">
              <w:rPr>
                <w:rFonts w:eastAsia="Calibri"/>
              </w:rPr>
              <w:t>10 000</w:t>
            </w:r>
          </w:p>
        </w:tc>
        <w:tc>
          <w:tcPr>
            <w:tcW w:w="547" w:type="pct"/>
            <w:shd w:val="clear" w:color="auto" w:fill="auto"/>
            <w:vAlign w:val="center"/>
          </w:tcPr>
          <w:p w14:paraId="2E0596F6" w14:textId="75617EC8" w:rsidR="00591AD4" w:rsidRPr="00571EBF" w:rsidRDefault="00591AD4" w:rsidP="00591AD4">
            <w:pPr>
              <w:pStyle w:val="Standaard-Tabellen"/>
              <w:rPr>
                <w:rFonts w:eastAsia="Calibri"/>
              </w:rPr>
            </w:pPr>
            <w:r w:rsidRPr="00571EBF">
              <w:rPr>
                <w:rFonts w:eastAsia="Calibri"/>
              </w:rPr>
              <w:t>[-]</w:t>
            </w:r>
          </w:p>
        </w:tc>
        <w:tc>
          <w:tcPr>
            <w:tcW w:w="1515" w:type="pct"/>
            <w:shd w:val="clear" w:color="auto" w:fill="auto"/>
          </w:tcPr>
          <w:p w14:paraId="277D35CF" w14:textId="7A0BC672" w:rsidR="00591AD4" w:rsidRPr="00571EBF" w:rsidRDefault="00591AD4" w:rsidP="00591AD4">
            <w:pPr>
              <w:pStyle w:val="Standaard-Tabellen"/>
              <w:rPr>
                <w:rFonts w:eastAsia="Calibri"/>
              </w:rPr>
            </w:pPr>
            <w:r w:rsidRPr="00571EBF">
              <w:rPr>
                <w:rFonts w:eastAsia="Calibri"/>
              </w:rPr>
              <w:t>Default</w:t>
            </w:r>
            <w:r w:rsidR="00B001C7" w:rsidRPr="00571EBF">
              <w:rPr>
                <w:rFonts w:eastAsia="Calibri"/>
              </w:rPr>
              <w:t xml:space="preserve"> value</w:t>
            </w:r>
          </w:p>
        </w:tc>
      </w:tr>
      <w:tr w:rsidR="00591AD4" w:rsidRPr="00490C8C" w14:paraId="2A9E4D24" w14:textId="77777777" w:rsidTr="003E3E25">
        <w:trPr>
          <w:trHeight w:val="93"/>
        </w:trPr>
        <w:tc>
          <w:tcPr>
            <w:tcW w:w="1598" w:type="pct"/>
            <w:shd w:val="clear" w:color="auto" w:fill="auto"/>
            <w:vAlign w:val="center"/>
          </w:tcPr>
          <w:p w14:paraId="7529C39C" w14:textId="77777777" w:rsidR="00591AD4" w:rsidRPr="00571EBF" w:rsidRDefault="00591AD4" w:rsidP="00591AD4">
            <w:pPr>
              <w:pStyle w:val="Standaard-Tabellen"/>
              <w:rPr>
                <w:rFonts w:eastAsia="Calibri"/>
              </w:rPr>
            </w:pPr>
            <w:r w:rsidRPr="00571EBF">
              <w:rPr>
                <w:rFonts w:eastAsia="Calibri"/>
              </w:rPr>
              <w:t>Active substance in product</w:t>
            </w:r>
          </w:p>
        </w:tc>
        <w:tc>
          <w:tcPr>
            <w:tcW w:w="871" w:type="pct"/>
            <w:shd w:val="clear" w:color="auto" w:fill="auto"/>
            <w:vAlign w:val="center"/>
          </w:tcPr>
          <w:p w14:paraId="5E422F42" w14:textId="55DFE1C5" w:rsidR="00591AD4" w:rsidRPr="00571EBF" w:rsidRDefault="00591AD4" w:rsidP="00591AD4">
            <w:pPr>
              <w:pStyle w:val="Standaard-Tabellen"/>
              <w:rPr>
                <w:rFonts w:eastAsia="Calibri"/>
              </w:rPr>
            </w:pPr>
            <w:r w:rsidRPr="00571EBF">
              <w:rPr>
                <w:rFonts w:eastAsia="Calibri"/>
              </w:rPr>
              <w:t>(B) Cform</w:t>
            </w:r>
            <w:r w:rsidR="00B001C7" w:rsidRPr="00571EBF">
              <w:rPr>
                <w:rFonts w:eastAsia="Calibri"/>
                <w:vertAlign w:val="subscript"/>
              </w:rPr>
              <w:t>weight</w:t>
            </w:r>
          </w:p>
        </w:tc>
        <w:tc>
          <w:tcPr>
            <w:tcW w:w="469" w:type="pct"/>
            <w:shd w:val="clear" w:color="auto" w:fill="auto"/>
            <w:vAlign w:val="center"/>
          </w:tcPr>
          <w:p w14:paraId="2C1BCCEC" w14:textId="756A7835" w:rsidR="00591AD4" w:rsidRPr="00571EBF" w:rsidRDefault="00E2477C" w:rsidP="00591AD4">
            <w:pPr>
              <w:pStyle w:val="Standaard-Tabellen"/>
              <w:rPr>
                <w:rFonts w:eastAsia="Calibri"/>
              </w:rPr>
            </w:pPr>
            <w:r w:rsidRPr="00571EBF">
              <w:rPr>
                <w:rFonts w:eastAsia="Calibri"/>
              </w:rPr>
              <w:t>20</w:t>
            </w:r>
            <w:r w:rsidR="00281E9A" w:rsidRPr="00571EBF">
              <w:rPr>
                <w:rFonts w:eastAsia="Calibri"/>
              </w:rPr>
              <w:t>0</w:t>
            </w:r>
          </w:p>
        </w:tc>
        <w:tc>
          <w:tcPr>
            <w:tcW w:w="547" w:type="pct"/>
            <w:shd w:val="clear" w:color="auto" w:fill="auto"/>
            <w:vAlign w:val="center"/>
          </w:tcPr>
          <w:p w14:paraId="41913A53" w14:textId="32366E0E" w:rsidR="00591AD4" w:rsidRPr="00571EBF" w:rsidRDefault="00591AD4" w:rsidP="00591AD4">
            <w:pPr>
              <w:pStyle w:val="Standaard-Tabellen"/>
              <w:rPr>
                <w:rFonts w:eastAsia="Calibri"/>
              </w:rPr>
            </w:pPr>
            <w:r w:rsidRPr="00571EBF">
              <w:rPr>
                <w:rFonts w:eastAsia="Calibri"/>
                <w:color w:val="000000"/>
                <w:szCs w:val="18"/>
              </w:rPr>
              <w:t>g.kg</w:t>
            </w:r>
            <w:r w:rsidRPr="00571EBF">
              <w:rPr>
                <w:rFonts w:eastAsia="Calibri"/>
                <w:color w:val="000000"/>
                <w:szCs w:val="18"/>
                <w:vertAlign w:val="superscript"/>
              </w:rPr>
              <w:t>-1</w:t>
            </w:r>
          </w:p>
        </w:tc>
        <w:tc>
          <w:tcPr>
            <w:tcW w:w="1515" w:type="pct"/>
            <w:shd w:val="clear" w:color="auto" w:fill="auto"/>
          </w:tcPr>
          <w:p w14:paraId="7B774BA7" w14:textId="761F6F5C" w:rsidR="00591AD4" w:rsidRPr="00571EBF" w:rsidRDefault="00591AD4" w:rsidP="00591AD4">
            <w:pPr>
              <w:pStyle w:val="Standaard-Tabellen"/>
              <w:rPr>
                <w:rFonts w:eastAsia="Calibri"/>
              </w:rPr>
            </w:pPr>
            <w:r w:rsidRPr="00571EBF">
              <w:rPr>
                <w:rFonts w:eastAsia="Calibri"/>
              </w:rPr>
              <w:t>(20%</w:t>
            </w:r>
            <w:r w:rsidR="00E2477C" w:rsidRPr="00571EBF">
              <w:rPr>
                <w:rFonts w:eastAsia="Calibri"/>
              </w:rPr>
              <w:t xml:space="preserve"> technical</w:t>
            </w:r>
            <w:r w:rsidRPr="00571EBF">
              <w:rPr>
                <w:rFonts w:eastAsia="Calibri"/>
              </w:rPr>
              <w:t>)</w:t>
            </w:r>
          </w:p>
        </w:tc>
      </w:tr>
      <w:tr w:rsidR="00591AD4" w:rsidRPr="00490C8C" w14:paraId="11C4DA02" w14:textId="77777777" w:rsidTr="003E3E25">
        <w:trPr>
          <w:trHeight w:val="93"/>
        </w:trPr>
        <w:tc>
          <w:tcPr>
            <w:tcW w:w="1598" w:type="pct"/>
            <w:shd w:val="clear" w:color="auto" w:fill="auto"/>
          </w:tcPr>
          <w:p w14:paraId="16022124" w14:textId="77777777" w:rsidR="00591AD4" w:rsidRPr="00571EBF" w:rsidRDefault="00591AD4" w:rsidP="00591AD4">
            <w:pPr>
              <w:pStyle w:val="Standaard-Tabellen"/>
              <w:rPr>
                <w:rFonts w:eastAsia="Calibri"/>
              </w:rPr>
            </w:pPr>
            <w:r w:rsidRPr="00571EBF">
              <w:rPr>
                <w:rFonts w:eastAsia="Calibri"/>
              </w:rPr>
              <w:t>Consumption per application</w:t>
            </w:r>
          </w:p>
        </w:tc>
        <w:tc>
          <w:tcPr>
            <w:tcW w:w="871" w:type="pct"/>
            <w:shd w:val="clear" w:color="auto" w:fill="auto"/>
          </w:tcPr>
          <w:p w14:paraId="6ABE2B5B" w14:textId="77777777" w:rsidR="00591AD4" w:rsidRPr="00571EBF" w:rsidRDefault="00591AD4" w:rsidP="00591AD4">
            <w:pPr>
              <w:pStyle w:val="Standaard-Tabellen"/>
              <w:rPr>
                <w:rFonts w:eastAsia="Calibri"/>
              </w:rPr>
            </w:pPr>
            <w:r w:rsidRPr="00571EBF">
              <w:rPr>
                <w:rFonts w:eastAsia="Calibri"/>
              </w:rPr>
              <w:t>(D2) Qform</w:t>
            </w:r>
            <w:r w:rsidRPr="00571EBF">
              <w:rPr>
                <w:rFonts w:eastAsia="Calibri"/>
                <w:vertAlign w:val="subscript"/>
              </w:rPr>
              <w:t>appl</w:t>
            </w:r>
          </w:p>
        </w:tc>
        <w:tc>
          <w:tcPr>
            <w:tcW w:w="469" w:type="pct"/>
            <w:shd w:val="clear" w:color="auto" w:fill="auto"/>
          </w:tcPr>
          <w:p w14:paraId="1C9234A0" w14:textId="3FCD73E8" w:rsidR="00591AD4" w:rsidRPr="00571EBF" w:rsidRDefault="00591AD4" w:rsidP="00591AD4">
            <w:pPr>
              <w:pStyle w:val="Standaard-Tabellen"/>
              <w:rPr>
                <w:rFonts w:eastAsia="Calibri"/>
              </w:rPr>
            </w:pPr>
            <w:r w:rsidRPr="00571EBF">
              <w:rPr>
                <w:rFonts w:eastAsia="Calibri"/>
              </w:rPr>
              <w:t>0.8</w:t>
            </w:r>
          </w:p>
        </w:tc>
        <w:tc>
          <w:tcPr>
            <w:tcW w:w="547" w:type="pct"/>
            <w:shd w:val="clear" w:color="auto" w:fill="auto"/>
          </w:tcPr>
          <w:p w14:paraId="2FF9AD8D" w14:textId="1D1D35E6" w:rsidR="00591AD4" w:rsidRPr="00571EBF" w:rsidRDefault="00591AD4" w:rsidP="00591AD4">
            <w:pPr>
              <w:pStyle w:val="Standaard-Tabellen"/>
              <w:rPr>
                <w:rFonts w:eastAsia="Calibri"/>
              </w:rPr>
            </w:pPr>
            <w:r w:rsidRPr="00571EBF">
              <w:rPr>
                <w:rFonts w:eastAsia="Calibri"/>
              </w:rPr>
              <w:t>mg.cm</w:t>
            </w:r>
            <w:r w:rsidR="003A04EC" w:rsidRPr="00571EBF">
              <w:rPr>
                <w:rFonts w:eastAsia="Calibri"/>
                <w:vertAlign w:val="superscript"/>
              </w:rPr>
              <w:t>-</w:t>
            </w:r>
            <w:r w:rsidRPr="00571EBF">
              <w:rPr>
                <w:rFonts w:eastAsia="Calibri"/>
              </w:rPr>
              <w:t>²</w:t>
            </w:r>
          </w:p>
        </w:tc>
        <w:tc>
          <w:tcPr>
            <w:tcW w:w="1515" w:type="pct"/>
            <w:shd w:val="clear" w:color="auto" w:fill="auto"/>
          </w:tcPr>
          <w:p w14:paraId="1883C262" w14:textId="3B3DD9DA" w:rsidR="00591AD4" w:rsidRPr="00571EBF" w:rsidRDefault="00591AD4" w:rsidP="003A04EC">
            <w:pPr>
              <w:pStyle w:val="Standaard-Tabellen"/>
              <w:rPr>
                <w:rFonts w:eastAsia="Calibri"/>
                <w:lang w:val="fr-FR"/>
              </w:rPr>
            </w:pPr>
            <w:r w:rsidRPr="00571EBF">
              <w:rPr>
                <w:rFonts w:eastAsia="Calibri"/>
                <w:color w:val="000000"/>
                <w:szCs w:val="18"/>
                <w:lang w:val="fr-FR"/>
              </w:rPr>
              <w:t>Maximum efficient dose</w:t>
            </w:r>
          </w:p>
        </w:tc>
      </w:tr>
      <w:tr w:rsidR="00591AD4" w:rsidRPr="00490C8C" w14:paraId="70BE18DD" w14:textId="77777777" w:rsidTr="003E3E25">
        <w:trPr>
          <w:trHeight w:val="93"/>
        </w:trPr>
        <w:tc>
          <w:tcPr>
            <w:tcW w:w="1598" w:type="pct"/>
            <w:shd w:val="clear" w:color="auto" w:fill="auto"/>
            <w:vAlign w:val="center"/>
          </w:tcPr>
          <w:p w14:paraId="47EC3F3D" w14:textId="77777777" w:rsidR="00591AD4" w:rsidRPr="00571EBF" w:rsidRDefault="00591AD4" w:rsidP="00591AD4">
            <w:pPr>
              <w:pStyle w:val="Standaard-Tabellen"/>
              <w:rPr>
                <w:rFonts w:eastAsia="Calibri"/>
              </w:rPr>
            </w:pPr>
            <w:r w:rsidRPr="00571EBF">
              <w:rPr>
                <w:rFonts w:eastAsia="Calibri"/>
              </w:rPr>
              <w:t>Number of applications per day</w:t>
            </w:r>
          </w:p>
        </w:tc>
        <w:tc>
          <w:tcPr>
            <w:tcW w:w="871" w:type="pct"/>
            <w:shd w:val="clear" w:color="auto" w:fill="auto"/>
            <w:vAlign w:val="center"/>
          </w:tcPr>
          <w:p w14:paraId="4D42F00F" w14:textId="77777777" w:rsidR="00591AD4" w:rsidRPr="00571EBF" w:rsidRDefault="00591AD4" w:rsidP="00591AD4">
            <w:pPr>
              <w:pStyle w:val="Standaard-Tabellen"/>
              <w:rPr>
                <w:rFonts w:eastAsia="Calibri"/>
              </w:rPr>
            </w:pPr>
            <w:r w:rsidRPr="00571EBF">
              <w:rPr>
                <w:rFonts w:eastAsia="Calibri"/>
              </w:rPr>
              <w:t>N</w:t>
            </w:r>
            <w:r w:rsidRPr="00571EBF">
              <w:rPr>
                <w:rFonts w:eastAsia="Calibri"/>
                <w:vertAlign w:val="subscript"/>
              </w:rPr>
              <w:t>appl</w:t>
            </w:r>
          </w:p>
        </w:tc>
        <w:tc>
          <w:tcPr>
            <w:tcW w:w="469" w:type="pct"/>
            <w:shd w:val="clear" w:color="auto" w:fill="auto"/>
            <w:vAlign w:val="center"/>
          </w:tcPr>
          <w:p w14:paraId="1C0054AE" w14:textId="02D24FC7" w:rsidR="00591AD4" w:rsidRPr="00571EBF" w:rsidRDefault="00591AD4" w:rsidP="00591AD4">
            <w:pPr>
              <w:pStyle w:val="Standaard-Tabellen"/>
              <w:rPr>
                <w:rFonts w:eastAsia="Calibri"/>
              </w:rPr>
            </w:pPr>
            <w:r w:rsidRPr="00571EBF">
              <w:rPr>
                <w:rFonts w:eastAsia="Calibri"/>
              </w:rPr>
              <w:t>4</w:t>
            </w:r>
          </w:p>
        </w:tc>
        <w:tc>
          <w:tcPr>
            <w:tcW w:w="547" w:type="pct"/>
            <w:shd w:val="clear" w:color="auto" w:fill="auto"/>
            <w:vAlign w:val="center"/>
          </w:tcPr>
          <w:p w14:paraId="53BD59E5" w14:textId="77777777" w:rsidR="00591AD4" w:rsidRPr="00571EBF" w:rsidRDefault="00591AD4" w:rsidP="00591AD4">
            <w:pPr>
              <w:pStyle w:val="Standaard-Tabellen"/>
              <w:rPr>
                <w:rFonts w:eastAsia="Calibri"/>
              </w:rPr>
            </w:pPr>
            <w:r w:rsidRPr="00571EBF">
              <w:rPr>
                <w:rFonts w:eastAsia="Calibri"/>
              </w:rPr>
              <w:t>d</w:t>
            </w:r>
            <w:r w:rsidRPr="00571EBF">
              <w:rPr>
                <w:rFonts w:eastAsia="Calibri"/>
                <w:vertAlign w:val="superscript"/>
              </w:rPr>
              <w:t>-1</w:t>
            </w:r>
          </w:p>
        </w:tc>
        <w:tc>
          <w:tcPr>
            <w:tcW w:w="1515" w:type="pct"/>
            <w:shd w:val="clear" w:color="auto" w:fill="auto"/>
          </w:tcPr>
          <w:p w14:paraId="222E995C" w14:textId="499F5E29" w:rsidR="00591AD4" w:rsidRPr="00571EBF" w:rsidRDefault="00591AD4" w:rsidP="00DF65A8">
            <w:pPr>
              <w:spacing w:line="260" w:lineRule="atLeast"/>
              <w:rPr>
                <w:rFonts w:eastAsia="Calibri"/>
                <w:color w:val="000000"/>
                <w:szCs w:val="18"/>
                <w:lang w:val="en-US"/>
              </w:rPr>
            </w:pPr>
            <w:r w:rsidRPr="00571EBF">
              <w:rPr>
                <w:rFonts w:eastAsia="Calibri"/>
                <w:color w:val="000000"/>
                <w:sz w:val="18"/>
                <w:szCs w:val="18"/>
                <w:lang w:val="en-US" w:eastAsia="en-GB"/>
              </w:rPr>
              <w:t>Default value, considering the efficacy of the product &lt; 4h</w:t>
            </w:r>
            <w:r w:rsidR="00B001C7" w:rsidRPr="00571EBF">
              <w:rPr>
                <w:rFonts w:eastAsia="Calibri"/>
                <w:color w:val="000000"/>
                <w:sz w:val="18"/>
                <w:szCs w:val="18"/>
                <w:lang w:val="en-US" w:eastAsia="en-GB"/>
              </w:rPr>
              <w:t xml:space="preserve"> </w:t>
            </w:r>
            <w:r w:rsidRPr="00571EBF">
              <w:rPr>
                <w:rFonts w:eastAsia="Calibri"/>
                <w:color w:val="000000"/>
                <w:szCs w:val="18"/>
                <w:lang w:val="en-US"/>
              </w:rPr>
              <w:t>(</w:t>
            </w:r>
            <w:r w:rsidR="00C71927" w:rsidRPr="00571EBF">
              <w:rPr>
                <w:rFonts w:eastAsia="Calibri"/>
                <w:color w:val="000000"/>
                <w:szCs w:val="18"/>
                <w:lang w:val="en-US"/>
              </w:rPr>
              <w:t>ESD PT19</w:t>
            </w:r>
            <w:r w:rsidR="00BB1F38" w:rsidRPr="00571EBF">
              <w:rPr>
                <w:rFonts w:eastAsia="Calibri"/>
                <w:color w:val="000000"/>
                <w:szCs w:val="18"/>
                <w:lang w:val="en-US"/>
              </w:rPr>
              <w:t>, Table 3.2</w:t>
            </w:r>
            <w:r w:rsidRPr="00571EBF">
              <w:rPr>
                <w:rFonts w:eastAsia="Calibri"/>
                <w:color w:val="000000"/>
                <w:szCs w:val="18"/>
                <w:lang w:val="en-US"/>
              </w:rPr>
              <w:t>)</w:t>
            </w:r>
          </w:p>
        </w:tc>
      </w:tr>
      <w:tr w:rsidR="00591AD4" w:rsidRPr="00490C8C" w14:paraId="6E964D70" w14:textId="77777777" w:rsidTr="003E3E25">
        <w:trPr>
          <w:trHeight w:val="93"/>
        </w:trPr>
        <w:tc>
          <w:tcPr>
            <w:tcW w:w="1598" w:type="pct"/>
            <w:shd w:val="clear" w:color="auto" w:fill="auto"/>
          </w:tcPr>
          <w:p w14:paraId="47CCCA33" w14:textId="77777777" w:rsidR="00591AD4" w:rsidRPr="00571EBF" w:rsidRDefault="00591AD4" w:rsidP="00591AD4">
            <w:pPr>
              <w:pStyle w:val="Standaard-Tabellen"/>
              <w:rPr>
                <w:rFonts w:eastAsia="Calibri"/>
              </w:rPr>
            </w:pPr>
            <w:r w:rsidRPr="00571EBF">
              <w:rPr>
                <w:rFonts w:eastAsia="Calibri"/>
              </w:rPr>
              <w:t>Treated area of human skin</w:t>
            </w:r>
          </w:p>
        </w:tc>
        <w:tc>
          <w:tcPr>
            <w:tcW w:w="871" w:type="pct"/>
            <w:shd w:val="clear" w:color="auto" w:fill="auto"/>
          </w:tcPr>
          <w:p w14:paraId="1675E05F" w14:textId="77777777" w:rsidR="00591AD4" w:rsidRPr="00571EBF" w:rsidRDefault="00591AD4" w:rsidP="00591AD4">
            <w:pPr>
              <w:pStyle w:val="Standaard-Tabellen"/>
              <w:rPr>
                <w:rFonts w:eastAsia="Calibri"/>
              </w:rPr>
            </w:pPr>
            <w:r w:rsidRPr="00571EBF">
              <w:rPr>
                <w:rFonts w:eastAsia="Calibri"/>
              </w:rPr>
              <w:t>AREA</w:t>
            </w:r>
            <w:r w:rsidRPr="00571EBF">
              <w:rPr>
                <w:rFonts w:eastAsia="Calibri"/>
                <w:vertAlign w:val="subscript"/>
              </w:rPr>
              <w:t>skin</w:t>
            </w:r>
          </w:p>
        </w:tc>
        <w:tc>
          <w:tcPr>
            <w:tcW w:w="469" w:type="pct"/>
            <w:shd w:val="clear" w:color="auto" w:fill="auto"/>
          </w:tcPr>
          <w:p w14:paraId="432D47D2" w14:textId="7B5FAC26" w:rsidR="00591AD4" w:rsidRPr="00571EBF" w:rsidRDefault="00591AD4" w:rsidP="00591AD4">
            <w:pPr>
              <w:pStyle w:val="Standaard-Tabellen"/>
              <w:rPr>
                <w:rFonts w:eastAsia="Calibri"/>
              </w:rPr>
            </w:pPr>
            <w:r w:rsidRPr="00571EBF">
              <w:rPr>
                <w:rFonts w:eastAsia="Calibri"/>
              </w:rPr>
              <w:t>9130</w:t>
            </w:r>
          </w:p>
        </w:tc>
        <w:tc>
          <w:tcPr>
            <w:tcW w:w="547" w:type="pct"/>
            <w:shd w:val="clear" w:color="auto" w:fill="auto"/>
          </w:tcPr>
          <w:p w14:paraId="3B291CAE" w14:textId="77777777" w:rsidR="00591AD4" w:rsidRPr="00571EBF" w:rsidRDefault="00591AD4" w:rsidP="00591AD4">
            <w:pPr>
              <w:pStyle w:val="Standaard-Tabellen"/>
              <w:rPr>
                <w:rFonts w:eastAsia="Calibri"/>
              </w:rPr>
            </w:pPr>
            <w:r w:rsidRPr="00571EBF">
              <w:rPr>
                <w:rFonts w:eastAsia="Calibri"/>
              </w:rPr>
              <w:t>cm²</w:t>
            </w:r>
          </w:p>
        </w:tc>
        <w:tc>
          <w:tcPr>
            <w:tcW w:w="1515" w:type="pct"/>
            <w:shd w:val="clear" w:color="auto" w:fill="auto"/>
          </w:tcPr>
          <w:p w14:paraId="333E0D70" w14:textId="6B8B5CC6" w:rsidR="00591AD4" w:rsidRPr="00571EBF" w:rsidRDefault="00BB1F38" w:rsidP="00591AD4">
            <w:pPr>
              <w:pStyle w:val="Standaard-Tabellen"/>
              <w:rPr>
                <w:rFonts w:eastAsia="Calibri"/>
              </w:rPr>
            </w:pPr>
            <w:r w:rsidRPr="00571EBF">
              <w:t>HEAdoc recommendation (</w:t>
            </w:r>
            <w:r w:rsidR="00EA5A35" w:rsidRPr="00571EBF">
              <w:t>January 2018</w:t>
            </w:r>
            <w:r w:rsidRPr="00571EBF">
              <w:t>)</w:t>
            </w:r>
          </w:p>
        </w:tc>
      </w:tr>
      <w:tr w:rsidR="00591AD4" w:rsidRPr="00490C8C" w14:paraId="77459841" w14:textId="77777777" w:rsidTr="003E3E25">
        <w:trPr>
          <w:trHeight w:val="93"/>
        </w:trPr>
        <w:tc>
          <w:tcPr>
            <w:tcW w:w="1598" w:type="pct"/>
            <w:shd w:val="clear" w:color="auto" w:fill="auto"/>
          </w:tcPr>
          <w:p w14:paraId="37FFB728" w14:textId="77777777" w:rsidR="00591AD4" w:rsidRPr="00571EBF" w:rsidRDefault="00591AD4" w:rsidP="00591AD4">
            <w:pPr>
              <w:pStyle w:val="Standaard-Tabellen"/>
              <w:rPr>
                <w:rFonts w:eastAsia="Calibri"/>
              </w:rPr>
            </w:pPr>
            <w:r w:rsidRPr="00571EBF">
              <w:rPr>
                <w:rFonts w:eastAsia="Calibri"/>
              </w:rPr>
              <w:t>Fraction released to wastewater</w:t>
            </w:r>
          </w:p>
        </w:tc>
        <w:tc>
          <w:tcPr>
            <w:tcW w:w="871" w:type="pct"/>
            <w:shd w:val="clear" w:color="auto" w:fill="auto"/>
          </w:tcPr>
          <w:p w14:paraId="6822535E" w14:textId="77777777" w:rsidR="00591AD4" w:rsidRPr="00571EBF" w:rsidRDefault="00591AD4" w:rsidP="00591AD4">
            <w:pPr>
              <w:pStyle w:val="Standaard-Tabellen"/>
              <w:rPr>
                <w:rFonts w:eastAsia="Calibri"/>
              </w:rPr>
            </w:pPr>
            <w:r w:rsidRPr="00571EBF">
              <w:rPr>
                <w:rFonts w:eastAsia="Calibri"/>
              </w:rPr>
              <w:t>F</w:t>
            </w:r>
            <w:r w:rsidRPr="00571EBF">
              <w:rPr>
                <w:rFonts w:eastAsia="Calibri"/>
                <w:vertAlign w:val="subscript"/>
              </w:rPr>
              <w:t>water</w:t>
            </w:r>
          </w:p>
        </w:tc>
        <w:tc>
          <w:tcPr>
            <w:tcW w:w="469" w:type="pct"/>
            <w:shd w:val="clear" w:color="auto" w:fill="auto"/>
          </w:tcPr>
          <w:p w14:paraId="07E53530" w14:textId="77777777" w:rsidR="00591AD4" w:rsidRPr="00571EBF" w:rsidRDefault="00591AD4" w:rsidP="00591AD4">
            <w:pPr>
              <w:pStyle w:val="Standaard-Tabellen"/>
              <w:rPr>
                <w:rFonts w:eastAsia="Calibri"/>
              </w:rPr>
            </w:pPr>
            <w:r w:rsidRPr="00571EBF">
              <w:rPr>
                <w:rFonts w:eastAsia="Calibri"/>
              </w:rPr>
              <w:t>1</w:t>
            </w:r>
          </w:p>
        </w:tc>
        <w:tc>
          <w:tcPr>
            <w:tcW w:w="547" w:type="pct"/>
            <w:shd w:val="clear" w:color="auto" w:fill="auto"/>
          </w:tcPr>
          <w:p w14:paraId="7F362576" w14:textId="77777777" w:rsidR="00591AD4" w:rsidRPr="00571EBF" w:rsidRDefault="00591AD4" w:rsidP="00591AD4">
            <w:pPr>
              <w:pStyle w:val="Standaard-Tabellen"/>
              <w:rPr>
                <w:rFonts w:eastAsia="Calibri"/>
              </w:rPr>
            </w:pPr>
            <w:r w:rsidRPr="00571EBF">
              <w:rPr>
                <w:rFonts w:eastAsia="Calibri"/>
              </w:rPr>
              <w:t>[-]</w:t>
            </w:r>
          </w:p>
        </w:tc>
        <w:tc>
          <w:tcPr>
            <w:tcW w:w="1515" w:type="pct"/>
            <w:shd w:val="clear" w:color="auto" w:fill="auto"/>
          </w:tcPr>
          <w:p w14:paraId="5B481474" w14:textId="4CEEB570" w:rsidR="00591AD4" w:rsidRPr="00571EBF" w:rsidRDefault="00591AD4" w:rsidP="00591AD4">
            <w:pPr>
              <w:pStyle w:val="Standaard-Tabellen"/>
              <w:rPr>
                <w:rFonts w:eastAsia="Calibri"/>
              </w:rPr>
            </w:pPr>
            <w:r w:rsidRPr="00571EBF">
              <w:rPr>
                <w:rFonts w:eastAsia="Calibri"/>
              </w:rPr>
              <w:t>D</w:t>
            </w:r>
            <w:r w:rsidR="00B001C7" w:rsidRPr="00571EBF">
              <w:rPr>
                <w:rFonts w:eastAsia="Calibri"/>
              </w:rPr>
              <w:t>efault value</w:t>
            </w:r>
          </w:p>
        </w:tc>
      </w:tr>
      <w:tr w:rsidR="00591AD4" w:rsidRPr="00490C8C" w14:paraId="1E84588B" w14:textId="77777777" w:rsidTr="003E3E25">
        <w:trPr>
          <w:trHeight w:val="93"/>
        </w:trPr>
        <w:tc>
          <w:tcPr>
            <w:tcW w:w="1598" w:type="pct"/>
            <w:shd w:val="clear" w:color="auto" w:fill="auto"/>
          </w:tcPr>
          <w:p w14:paraId="43EEE7F4" w14:textId="77777777" w:rsidR="00591AD4" w:rsidRPr="00571EBF" w:rsidRDefault="00591AD4" w:rsidP="00591AD4">
            <w:pPr>
              <w:pStyle w:val="Standaard-Tabellen"/>
              <w:rPr>
                <w:rFonts w:eastAsia="Calibri"/>
              </w:rPr>
            </w:pPr>
            <w:r w:rsidRPr="00571EBF">
              <w:rPr>
                <w:rFonts w:eastAsia="Calibri"/>
              </w:rPr>
              <w:t>Fraction of inhabitants using a repellent product</w:t>
            </w:r>
          </w:p>
        </w:tc>
        <w:tc>
          <w:tcPr>
            <w:tcW w:w="871" w:type="pct"/>
            <w:shd w:val="clear" w:color="auto" w:fill="auto"/>
          </w:tcPr>
          <w:p w14:paraId="3F455CAC" w14:textId="77777777" w:rsidR="00591AD4" w:rsidRPr="00571EBF" w:rsidRDefault="00591AD4" w:rsidP="00591AD4">
            <w:pPr>
              <w:pStyle w:val="Standaard-Tabellen"/>
              <w:rPr>
                <w:rFonts w:eastAsia="Calibri"/>
              </w:rPr>
            </w:pPr>
            <w:r w:rsidRPr="00571EBF">
              <w:rPr>
                <w:rFonts w:eastAsia="Calibri"/>
              </w:rPr>
              <w:t>F</w:t>
            </w:r>
            <w:r w:rsidRPr="00571EBF">
              <w:rPr>
                <w:rFonts w:eastAsia="Calibri"/>
                <w:vertAlign w:val="subscript"/>
              </w:rPr>
              <w:t>inh</w:t>
            </w:r>
          </w:p>
        </w:tc>
        <w:tc>
          <w:tcPr>
            <w:tcW w:w="469" w:type="pct"/>
            <w:shd w:val="clear" w:color="auto" w:fill="auto"/>
          </w:tcPr>
          <w:p w14:paraId="630114F0" w14:textId="77777777" w:rsidR="00591AD4" w:rsidRPr="00571EBF" w:rsidRDefault="00591AD4" w:rsidP="00591AD4">
            <w:pPr>
              <w:pStyle w:val="Standaard-Tabellen"/>
              <w:rPr>
                <w:rFonts w:eastAsia="Calibri"/>
              </w:rPr>
            </w:pPr>
            <w:r w:rsidRPr="00571EBF">
              <w:rPr>
                <w:rFonts w:eastAsia="Calibri"/>
              </w:rPr>
              <w:t>0.2</w:t>
            </w:r>
          </w:p>
        </w:tc>
        <w:tc>
          <w:tcPr>
            <w:tcW w:w="547" w:type="pct"/>
            <w:shd w:val="clear" w:color="auto" w:fill="auto"/>
          </w:tcPr>
          <w:p w14:paraId="3B8D2EF4" w14:textId="77777777" w:rsidR="00591AD4" w:rsidRPr="00571EBF" w:rsidRDefault="00591AD4" w:rsidP="00591AD4">
            <w:pPr>
              <w:pStyle w:val="Standaard-Tabellen"/>
              <w:rPr>
                <w:rFonts w:eastAsia="Calibri"/>
              </w:rPr>
            </w:pPr>
            <w:r w:rsidRPr="00571EBF">
              <w:rPr>
                <w:rFonts w:eastAsia="Calibri"/>
              </w:rPr>
              <w:t>[-]</w:t>
            </w:r>
          </w:p>
        </w:tc>
        <w:tc>
          <w:tcPr>
            <w:tcW w:w="1515" w:type="pct"/>
            <w:shd w:val="clear" w:color="auto" w:fill="auto"/>
          </w:tcPr>
          <w:p w14:paraId="324F1278" w14:textId="10989029" w:rsidR="00591AD4" w:rsidRPr="00571EBF" w:rsidRDefault="00591AD4" w:rsidP="00591AD4">
            <w:pPr>
              <w:pStyle w:val="Standaard-Tabellen"/>
              <w:rPr>
                <w:rFonts w:eastAsia="Calibri"/>
              </w:rPr>
            </w:pPr>
            <w:r w:rsidRPr="00571EBF">
              <w:rPr>
                <w:rFonts w:eastAsia="Calibri"/>
              </w:rPr>
              <w:t>Default value (</w:t>
            </w:r>
            <w:r w:rsidR="00C71927" w:rsidRPr="00571EBF">
              <w:rPr>
                <w:rFonts w:eastAsia="Calibri"/>
                <w:color w:val="000000"/>
                <w:szCs w:val="18"/>
                <w:lang w:val="en-US"/>
              </w:rPr>
              <w:t>ESD PT19</w:t>
            </w:r>
            <w:r w:rsidR="00BB1F38" w:rsidRPr="00571EBF">
              <w:rPr>
                <w:rFonts w:eastAsia="Calibri"/>
                <w:color w:val="000000"/>
                <w:szCs w:val="18"/>
                <w:lang w:val="en-US"/>
              </w:rPr>
              <w:t>,</w:t>
            </w:r>
            <w:r w:rsidR="00C71927" w:rsidRPr="00571EBF">
              <w:rPr>
                <w:rFonts w:eastAsia="Calibri"/>
                <w:color w:val="000000"/>
                <w:szCs w:val="18"/>
                <w:lang w:val="en-US"/>
              </w:rPr>
              <w:t xml:space="preserve"> </w:t>
            </w:r>
            <w:r w:rsidR="00BB1F38" w:rsidRPr="00571EBF">
              <w:rPr>
                <w:rFonts w:eastAsia="Calibri"/>
                <w:color w:val="000000"/>
                <w:szCs w:val="18"/>
                <w:lang w:val="en-US"/>
              </w:rPr>
              <w:t>Table 3.5</w:t>
            </w:r>
            <w:r w:rsidRPr="00571EBF">
              <w:rPr>
                <w:rFonts w:eastAsia="Calibri"/>
                <w:color w:val="000000"/>
                <w:szCs w:val="18"/>
                <w:lang w:val="en-US"/>
              </w:rPr>
              <w:t>)</w:t>
            </w:r>
          </w:p>
        </w:tc>
      </w:tr>
      <w:tr w:rsidR="00591AD4" w:rsidRPr="00490C8C" w14:paraId="01807C08" w14:textId="77777777" w:rsidTr="003E3E25">
        <w:trPr>
          <w:trHeight w:val="70"/>
        </w:trPr>
        <w:tc>
          <w:tcPr>
            <w:tcW w:w="1598" w:type="pct"/>
            <w:shd w:val="clear" w:color="auto" w:fill="auto"/>
          </w:tcPr>
          <w:p w14:paraId="564582E5" w14:textId="77777777" w:rsidR="00591AD4" w:rsidRPr="00571EBF" w:rsidRDefault="00591AD4" w:rsidP="00591AD4">
            <w:pPr>
              <w:pStyle w:val="Standaard-Tabellen"/>
              <w:rPr>
                <w:rFonts w:eastAsia="Calibri"/>
              </w:rPr>
            </w:pPr>
            <w:r w:rsidRPr="00571EBF">
              <w:rPr>
                <w:rFonts w:eastAsia="Calibri"/>
              </w:rPr>
              <w:t>Market share of repellent</w:t>
            </w:r>
          </w:p>
        </w:tc>
        <w:tc>
          <w:tcPr>
            <w:tcW w:w="871" w:type="pct"/>
            <w:shd w:val="clear" w:color="auto" w:fill="auto"/>
          </w:tcPr>
          <w:p w14:paraId="43BB6016" w14:textId="77777777" w:rsidR="00591AD4" w:rsidRPr="00571EBF" w:rsidRDefault="00591AD4" w:rsidP="00591AD4">
            <w:pPr>
              <w:pStyle w:val="Standaard-Tabellen"/>
              <w:rPr>
                <w:rFonts w:eastAsia="Calibri"/>
              </w:rPr>
            </w:pPr>
            <w:r w:rsidRPr="00571EBF">
              <w:rPr>
                <w:rFonts w:eastAsia="Calibri"/>
              </w:rPr>
              <w:t>F</w:t>
            </w:r>
            <w:r w:rsidRPr="00571EBF">
              <w:rPr>
                <w:rFonts w:eastAsia="Calibri"/>
                <w:vertAlign w:val="subscript"/>
              </w:rPr>
              <w:t>penetr</w:t>
            </w:r>
          </w:p>
        </w:tc>
        <w:tc>
          <w:tcPr>
            <w:tcW w:w="469" w:type="pct"/>
            <w:shd w:val="clear" w:color="auto" w:fill="auto"/>
          </w:tcPr>
          <w:p w14:paraId="0661FE1E" w14:textId="77777777" w:rsidR="00591AD4" w:rsidRPr="00571EBF" w:rsidRDefault="00591AD4" w:rsidP="00591AD4">
            <w:pPr>
              <w:pStyle w:val="Standaard-Tabellen"/>
              <w:rPr>
                <w:rFonts w:eastAsia="Calibri"/>
              </w:rPr>
            </w:pPr>
            <w:r w:rsidRPr="00571EBF">
              <w:rPr>
                <w:rFonts w:eastAsia="Calibri"/>
              </w:rPr>
              <w:t>0.5</w:t>
            </w:r>
          </w:p>
        </w:tc>
        <w:tc>
          <w:tcPr>
            <w:tcW w:w="547" w:type="pct"/>
            <w:shd w:val="clear" w:color="auto" w:fill="auto"/>
          </w:tcPr>
          <w:p w14:paraId="785E7B5E" w14:textId="77777777" w:rsidR="00591AD4" w:rsidRPr="00571EBF" w:rsidRDefault="00591AD4" w:rsidP="00591AD4">
            <w:pPr>
              <w:pStyle w:val="Standaard-Tabellen"/>
              <w:rPr>
                <w:rFonts w:eastAsia="Calibri"/>
              </w:rPr>
            </w:pPr>
            <w:r w:rsidRPr="00571EBF">
              <w:rPr>
                <w:rFonts w:eastAsia="Calibri"/>
              </w:rPr>
              <w:t>[-]</w:t>
            </w:r>
          </w:p>
        </w:tc>
        <w:tc>
          <w:tcPr>
            <w:tcW w:w="1515" w:type="pct"/>
            <w:shd w:val="clear" w:color="auto" w:fill="auto"/>
          </w:tcPr>
          <w:p w14:paraId="5BAFC75F" w14:textId="19A54FD2" w:rsidR="00591AD4" w:rsidRPr="00571EBF" w:rsidRDefault="00591AD4" w:rsidP="00591AD4">
            <w:pPr>
              <w:pStyle w:val="Standaard-Tabellen"/>
              <w:rPr>
                <w:rFonts w:eastAsia="Calibri"/>
              </w:rPr>
            </w:pPr>
            <w:r w:rsidRPr="00571EBF">
              <w:rPr>
                <w:rFonts w:eastAsia="Calibri"/>
              </w:rPr>
              <w:t>Default value</w:t>
            </w:r>
          </w:p>
        </w:tc>
      </w:tr>
    </w:tbl>
    <w:p w14:paraId="6801D3BC" w14:textId="385A17F5" w:rsidR="0084446B" w:rsidRPr="00490C8C" w:rsidRDefault="0084446B" w:rsidP="0084446B">
      <w:pPr>
        <w:spacing w:line="276" w:lineRule="auto"/>
        <w:rPr>
          <w:rFonts w:eastAsia="Calibri"/>
          <w:highlight w:val="lightGray"/>
          <w:lang w:eastAsia="en-US"/>
        </w:rPr>
      </w:pPr>
    </w:p>
    <w:p w14:paraId="00D63516" w14:textId="5A9BD11E" w:rsidR="0084446B" w:rsidRPr="003E3E25" w:rsidRDefault="00B001C7" w:rsidP="00DF65A8">
      <w:pPr>
        <w:pStyle w:val="Titre7"/>
        <w:rPr>
          <w:lang w:val="en-US"/>
        </w:rPr>
      </w:pPr>
      <w:r w:rsidRPr="003E3E25">
        <w:rPr>
          <w:lang w:val="en-US"/>
        </w:rPr>
        <w:t xml:space="preserve">Calculations for Scenario 1: </w:t>
      </w:r>
      <w:r w:rsidRPr="003E3E25">
        <w:rPr>
          <w:i w:val="0"/>
          <w:u w:val="single"/>
          <w:lang w:val="en-GB"/>
        </w:rPr>
        <w:t>Repellent treatment against mosquitoes of ticks applied on skin – STP release scenario</w:t>
      </w:r>
    </w:p>
    <w:tbl>
      <w:tblPr>
        <w:tblW w:w="0" w:type="auto"/>
        <w:tblInd w:w="45" w:type="dxa"/>
        <w:tblLayout w:type="fixed"/>
        <w:tblCellMar>
          <w:left w:w="0" w:type="dxa"/>
          <w:right w:w="0" w:type="dxa"/>
        </w:tblCellMar>
        <w:tblLook w:val="0000" w:firstRow="0" w:lastRow="0" w:firstColumn="0" w:lastColumn="0" w:noHBand="0" w:noVBand="0"/>
      </w:tblPr>
      <w:tblGrid>
        <w:gridCol w:w="2256"/>
        <w:gridCol w:w="4498"/>
        <w:gridCol w:w="2552"/>
      </w:tblGrid>
      <w:tr w:rsidR="0084446B" w:rsidRPr="00490C8C" w14:paraId="28CE251F" w14:textId="77777777" w:rsidTr="00DF65A8">
        <w:trPr>
          <w:trHeight w:val="198"/>
          <w:tblHeader/>
        </w:trPr>
        <w:tc>
          <w:tcPr>
            <w:tcW w:w="9306"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34BF4530" w14:textId="77777777" w:rsidR="0084446B" w:rsidRPr="00490C8C" w:rsidRDefault="0084446B" w:rsidP="0084446B">
            <w:pPr>
              <w:spacing w:line="260" w:lineRule="atLeast"/>
              <w:rPr>
                <w:rFonts w:eastAsia="Calibri"/>
                <w:b/>
                <w:color w:val="000000"/>
                <w:sz w:val="18"/>
                <w:szCs w:val="18"/>
                <w:highlight w:val="lightGray"/>
                <w:lang w:eastAsia="en-GB"/>
              </w:rPr>
            </w:pPr>
            <w:r w:rsidRPr="00490C8C">
              <w:rPr>
                <w:rFonts w:eastAsia="Calibri"/>
                <w:b/>
                <w:sz w:val="18"/>
                <w:szCs w:val="18"/>
                <w:lang w:eastAsia="en-US"/>
              </w:rPr>
              <w:t>Resulting local emission to relevant environmental compartments</w:t>
            </w:r>
          </w:p>
        </w:tc>
      </w:tr>
      <w:tr w:rsidR="0084446B" w:rsidRPr="00490C8C" w14:paraId="7ABF524A" w14:textId="77777777" w:rsidTr="00490C8C">
        <w:trPr>
          <w:trHeight w:val="304"/>
          <w:tblHeader/>
        </w:trPr>
        <w:tc>
          <w:tcPr>
            <w:tcW w:w="2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0772DDB6" w14:textId="77777777" w:rsidR="0084446B" w:rsidRPr="00571EBF" w:rsidRDefault="0084446B" w:rsidP="0084446B">
            <w:pPr>
              <w:spacing w:line="260" w:lineRule="atLeast"/>
              <w:rPr>
                <w:rFonts w:eastAsia="Calibri"/>
                <w:b/>
                <w:color w:val="000000"/>
                <w:sz w:val="18"/>
                <w:szCs w:val="18"/>
                <w:lang w:eastAsia="en-GB"/>
              </w:rPr>
            </w:pPr>
            <w:r w:rsidRPr="00571EBF">
              <w:rPr>
                <w:rFonts w:eastAsia="Calibri"/>
                <w:b/>
                <w:color w:val="000000"/>
                <w:sz w:val="18"/>
                <w:szCs w:val="18"/>
                <w:lang w:eastAsia="en-GB"/>
              </w:rPr>
              <w:t>Compartment</w:t>
            </w:r>
          </w:p>
        </w:tc>
        <w:tc>
          <w:tcPr>
            <w:tcW w:w="4498"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5CB036DD" w14:textId="77777777" w:rsidR="0084446B" w:rsidRPr="00571EBF" w:rsidRDefault="0084446B" w:rsidP="0084446B">
            <w:pPr>
              <w:spacing w:line="260" w:lineRule="atLeast"/>
              <w:rPr>
                <w:rFonts w:eastAsia="Calibri"/>
                <w:b/>
                <w:color w:val="000000"/>
                <w:sz w:val="18"/>
                <w:szCs w:val="18"/>
                <w:lang w:eastAsia="en-GB"/>
              </w:rPr>
            </w:pPr>
            <w:r w:rsidRPr="00571EBF">
              <w:rPr>
                <w:rFonts w:eastAsia="Calibri"/>
                <w:b/>
                <w:color w:val="000000"/>
                <w:sz w:val="18"/>
                <w:szCs w:val="18"/>
                <w:lang w:eastAsia="en-GB"/>
              </w:rPr>
              <w:t>Local emission (Elocal</w:t>
            </w:r>
            <w:r w:rsidRPr="00571EBF">
              <w:rPr>
                <w:rFonts w:eastAsia="Calibri"/>
                <w:b/>
                <w:color w:val="000000"/>
                <w:sz w:val="18"/>
                <w:szCs w:val="18"/>
                <w:vertAlign w:val="subscript"/>
                <w:lang w:eastAsia="en-GB"/>
              </w:rPr>
              <w:t>compartment</w:t>
            </w:r>
            <w:r w:rsidRPr="00571EBF">
              <w:rPr>
                <w:rFonts w:eastAsia="Calibri"/>
                <w:b/>
                <w:color w:val="000000"/>
                <w:sz w:val="18"/>
                <w:szCs w:val="18"/>
                <w:lang w:eastAsia="en-GB"/>
              </w:rPr>
              <w:t>) [kg/d]</w:t>
            </w:r>
          </w:p>
        </w:tc>
        <w:tc>
          <w:tcPr>
            <w:tcW w:w="2552"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6F35B721" w14:textId="77777777" w:rsidR="0084446B" w:rsidRPr="00571EBF" w:rsidRDefault="0084446B" w:rsidP="0084446B">
            <w:pPr>
              <w:spacing w:line="260" w:lineRule="atLeast"/>
              <w:rPr>
                <w:rFonts w:eastAsia="Calibri"/>
                <w:b/>
                <w:color w:val="000000"/>
                <w:sz w:val="18"/>
                <w:szCs w:val="18"/>
                <w:lang w:eastAsia="en-GB"/>
              </w:rPr>
            </w:pPr>
            <w:r w:rsidRPr="00571EBF">
              <w:rPr>
                <w:rFonts w:eastAsia="Calibri"/>
                <w:b/>
                <w:color w:val="000000"/>
                <w:sz w:val="18"/>
                <w:szCs w:val="18"/>
                <w:lang w:eastAsia="en-GB"/>
              </w:rPr>
              <w:t>Remarks</w:t>
            </w:r>
          </w:p>
        </w:tc>
      </w:tr>
      <w:tr w:rsidR="0084446B" w:rsidRPr="00FD2055" w14:paraId="54E38F1F" w14:textId="77777777" w:rsidTr="003E3E25">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8C4D0E7" w14:textId="77777777" w:rsidR="0084446B" w:rsidRPr="00571EBF" w:rsidRDefault="0084446B" w:rsidP="0084446B">
            <w:pPr>
              <w:rPr>
                <w:color w:val="000000"/>
                <w:sz w:val="18"/>
                <w:szCs w:val="18"/>
                <w:lang w:eastAsia="en-GB"/>
              </w:rPr>
            </w:pPr>
            <w:r w:rsidRPr="00571EBF">
              <w:rPr>
                <w:color w:val="000000"/>
                <w:sz w:val="18"/>
                <w:szCs w:val="18"/>
                <w:lang w:eastAsia="en-GB"/>
              </w:rPr>
              <w:t>STP</w:t>
            </w:r>
          </w:p>
        </w:tc>
        <w:tc>
          <w:tcPr>
            <w:tcW w:w="449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8EF6AC" w14:textId="6B2651F7" w:rsidR="0084446B" w:rsidRPr="00571EBF" w:rsidRDefault="00B001C7" w:rsidP="0084446B">
            <w:pPr>
              <w:rPr>
                <w:color w:val="000000"/>
                <w:sz w:val="18"/>
                <w:szCs w:val="18"/>
                <w:lang w:eastAsia="en-GB"/>
              </w:rPr>
            </w:pPr>
            <w:r w:rsidRPr="00571EBF">
              <w:rPr>
                <w:color w:val="000000"/>
                <w:sz w:val="18"/>
                <w:szCs w:val="18"/>
                <w:lang w:eastAsia="en-GB"/>
              </w:rPr>
              <w:t>5</w:t>
            </w:r>
            <w:r w:rsidR="00E2477C" w:rsidRPr="00571EBF">
              <w:rPr>
                <w:color w:val="000000"/>
                <w:sz w:val="18"/>
                <w:szCs w:val="18"/>
                <w:lang w:eastAsia="en-GB"/>
              </w:rPr>
              <w:t>.</w:t>
            </w:r>
            <w:r w:rsidR="00281E9A" w:rsidRPr="00571EBF">
              <w:rPr>
                <w:color w:val="000000"/>
                <w:sz w:val="18"/>
                <w:szCs w:val="18"/>
                <w:lang w:eastAsia="en-GB"/>
              </w:rPr>
              <w:t>84</w:t>
            </w:r>
            <w:r w:rsidR="0084446B" w:rsidRPr="00571EBF">
              <w:rPr>
                <w:color w:val="000000"/>
                <w:sz w:val="18"/>
                <w:szCs w:val="18"/>
                <w:lang w:eastAsia="en-GB"/>
              </w:rPr>
              <w:t>E+00</w:t>
            </w:r>
          </w:p>
        </w:tc>
        <w:tc>
          <w:tcPr>
            <w:tcW w:w="255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9A0CA2" w14:textId="0AF8D14E" w:rsidR="0084446B" w:rsidRPr="00D66385" w:rsidRDefault="002A362B" w:rsidP="0084446B">
            <w:pPr>
              <w:rPr>
                <w:color w:val="000000"/>
                <w:sz w:val="18"/>
                <w:szCs w:val="18"/>
                <w:lang w:eastAsia="en-GB"/>
              </w:rPr>
            </w:pPr>
            <w:r w:rsidRPr="00571EBF">
              <w:rPr>
                <w:color w:val="000000"/>
                <w:sz w:val="18"/>
                <w:szCs w:val="18"/>
                <w:lang w:eastAsia="en-GB"/>
              </w:rPr>
              <w:t>/</w:t>
            </w:r>
          </w:p>
        </w:tc>
      </w:tr>
    </w:tbl>
    <w:p w14:paraId="394C9EF0" w14:textId="14E0B8EF" w:rsidR="00626CD0" w:rsidRDefault="00626CD0" w:rsidP="00F05B29">
      <w:pPr>
        <w:spacing w:before="0" w:after="160" w:line="259" w:lineRule="auto"/>
        <w:rPr>
          <w:rFonts w:eastAsia="Calibri"/>
          <w:lang w:eastAsia="en-US"/>
        </w:rPr>
      </w:pPr>
    </w:p>
    <w:p w14:paraId="66DB4953" w14:textId="77777777" w:rsidR="001024E3" w:rsidRPr="009461FB" w:rsidRDefault="001024E3" w:rsidP="001024E3">
      <w:pPr>
        <w:pStyle w:val="Paragraphedeliste"/>
        <w:numPr>
          <w:ilvl w:val="0"/>
          <w:numId w:val="68"/>
        </w:numPr>
        <w:rPr>
          <w:b/>
        </w:rPr>
      </w:pPr>
      <w:r w:rsidRPr="009461FB">
        <w:rPr>
          <w:b/>
        </w:rPr>
        <w:t>FIRST AUTHORISATION – 2017 (BE CA)</w:t>
      </w:r>
    </w:p>
    <w:p w14:paraId="0C235A0E" w14:textId="77777777" w:rsidR="001024E3" w:rsidRDefault="001024E3" w:rsidP="00F05B29">
      <w:pPr>
        <w:spacing w:before="0" w:after="160" w:line="259" w:lineRule="auto"/>
        <w:rPr>
          <w:rFonts w:eastAsia="Calibri"/>
          <w:lang w:eastAsia="en-US"/>
        </w:rPr>
      </w:pPr>
    </w:p>
    <w:p w14:paraId="43635CDF" w14:textId="1116F89F" w:rsidR="00A0626E" w:rsidRDefault="00A0626E" w:rsidP="00F05B29">
      <w:pPr>
        <w:spacing w:before="0" w:after="160" w:line="259" w:lineRule="auto"/>
        <w:rPr>
          <w:lang w:val="en-US"/>
        </w:rPr>
      </w:pPr>
      <w:r w:rsidRPr="003720C3">
        <w:rPr>
          <w:lang w:val="en-US"/>
        </w:rPr>
        <w:t xml:space="preserve">Scenario </w:t>
      </w:r>
      <w:r>
        <w:rPr>
          <w:lang w:val="en-US"/>
        </w:rPr>
        <w:t>2: Release to surface water bodies via swimming</w:t>
      </w:r>
    </w:p>
    <w:p w14:paraId="55EEBDD0" w14:textId="77777777" w:rsidR="00A0626E" w:rsidRDefault="00A0626E" w:rsidP="00A0626E">
      <w:pPr>
        <w:rPr>
          <w:rFonts w:eastAsia="Calibri"/>
          <w:lang w:eastAsia="en-US"/>
        </w:rPr>
      </w:pPr>
      <w:r>
        <w:rPr>
          <w:rFonts w:eastAsia="Calibri"/>
          <w:lang w:eastAsia="en-US"/>
        </w:rPr>
        <w:t>In the assessment report for IR3535, in the paragraph on the elements to be taken into account when authorising products, it is mentioned that direct emissions to surface water by swimmers should be kept in mind and assessed. With this new scenario for the ESD for PT19, this requisite is taken into account.</w:t>
      </w:r>
    </w:p>
    <w:p w14:paraId="42F4B67E" w14:textId="77777777" w:rsidR="00A0626E" w:rsidRDefault="00A0626E" w:rsidP="00A0626E">
      <w:pPr>
        <w:rPr>
          <w:rFonts w:eastAsia="Calibri"/>
          <w:lang w:eastAsia="en-US"/>
        </w:rPr>
      </w:pPr>
    </w:p>
    <w:p w14:paraId="4109E91F" w14:textId="77777777" w:rsidR="00A0626E" w:rsidRPr="00DA2EA7" w:rsidRDefault="00A0626E" w:rsidP="00A0626E">
      <w:pPr>
        <w:pStyle w:val="Titre7"/>
        <w:rPr>
          <w:lang w:val="en-US"/>
        </w:rPr>
      </w:pPr>
      <w:r w:rsidRPr="00DA2EA7">
        <w:rPr>
          <w:lang w:val="en-US"/>
        </w:rPr>
        <w:t>Amount of product per application (Qform</w:t>
      </w:r>
      <w:r w:rsidRPr="00E744A3">
        <w:rPr>
          <w:vertAlign w:val="subscript"/>
          <w:lang w:val="en-US"/>
        </w:rPr>
        <w:t>appl</w:t>
      </w:r>
      <w:r w:rsidRPr="00DA2EA7">
        <w:rPr>
          <w:lang w:val="en-US"/>
        </w:rPr>
        <w:t>)</w:t>
      </w:r>
    </w:p>
    <w:p w14:paraId="344132F0" w14:textId="77777777" w:rsidR="00A0626E" w:rsidRDefault="00A0626E" w:rsidP="00A0626E">
      <w:pPr>
        <w:rPr>
          <w:rFonts w:eastAsia="Calibri"/>
          <w:lang w:eastAsia="en-US"/>
        </w:rPr>
      </w:pPr>
      <w:r>
        <w:rPr>
          <w:rFonts w:eastAsia="Calibri"/>
          <w:lang w:val="en-US" w:eastAsia="en-US"/>
        </w:rPr>
        <w:t xml:space="preserve">Similarly as with scenario 1, </w:t>
      </w:r>
      <w:r>
        <w:rPr>
          <w:rFonts w:eastAsia="Calibri"/>
          <w:lang w:eastAsia="en-US"/>
        </w:rPr>
        <w:t>the most important input parameter for this scenario is the amount of product that will be used per application (Qform</w:t>
      </w:r>
      <w:r>
        <w:rPr>
          <w:rFonts w:eastAsia="Calibri"/>
          <w:vertAlign w:val="subscript"/>
          <w:lang w:eastAsia="en-US"/>
        </w:rPr>
        <w:t>appl</w:t>
      </w:r>
      <w:r>
        <w:rPr>
          <w:rFonts w:eastAsia="Calibri"/>
          <w:lang w:eastAsia="en-US"/>
        </w:rPr>
        <w:t xml:space="preserve">). </w:t>
      </w:r>
    </w:p>
    <w:p w14:paraId="444BF183" w14:textId="77777777" w:rsidR="00A0626E" w:rsidRDefault="00A0626E" w:rsidP="00A0626E">
      <w:pPr>
        <w:rPr>
          <w:rFonts w:eastAsia="Calibri"/>
          <w:lang w:eastAsia="en-US"/>
        </w:rPr>
      </w:pPr>
      <w:r>
        <w:rPr>
          <w:rFonts w:eastAsia="Calibri"/>
          <w:lang w:eastAsia="en-US"/>
        </w:rPr>
        <w:t xml:space="preserve">The same notes and </w:t>
      </w:r>
      <w:r w:rsidR="00E744A3">
        <w:rPr>
          <w:rFonts w:eastAsia="Calibri"/>
          <w:lang w:eastAsia="en-US"/>
        </w:rPr>
        <w:t>thoughts</w:t>
      </w:r>
      <w:r>
        <w:rPr>
          <w:rFonts w:eastAsia="Calibri"/>
          <w:lang w:eastAsia="en-US"/>
        </w:rPr>
        <w:t xml:space="preserve"> can be applied as with scenario 1. Therefore, also here it is decided that the ESD default value will be applied. </w:t>
      </w:r>
    </w:p>
    <w:p w14:paraId="307CFDA4" w14:textId="77777777" w:rsidR="00A0626E" w:rsidRDefault="00A0626E" w:rsidP="00A0626E">
      <w:pPr>
        <w:jc w:val="center"/>
        <w:rPr>
          <w:rFonts w:eastAsia="Calibri"/>
          <w:b/>
          <w:lang w:eastAsia="en-US"/>
        </w:rPr>
      </w:pPr>
      <w:r>
        <w:rPr>
          <w:rFonts w:eastAsia="Calibri"/>
          <w:b/>
          <w:lang w:eastAsia="en-US"/>
        </w:rPr>
        <w:t>Qform</w:t>
      </w:r>
      <w:r>
        <w:rPr>
          <w:rFonts w:eastAsia="Calibri"/>
          <w:b/>
          <w:vertAlign w:val="subscript"/>
          <w:lang w:eastAsia="en-US"/>
        </w:rPr>
        <w:t>appl</w:t>
      </w:r>
      <w:r>
        <w:rPr>
          <w:rFonts w:eastAsia="Calibri"/>
          <w:b/>
          <w:lang w:eastAsia="en-US"/>
        </w:rPr>
        <w:t xml:space="preserve"> = 0.6 mg product/cm² skin</w:t>
      </w:r>
    </w:p>
    <w:p w14:paraId="461B4841" w14:textId="77777777" w:rsidR="00A0626E" w:rsidRPr="00DA2EA7" w:rsidRDefault="00A0626E" w:rsidP="00A0626E">
      <w:pPr>
        <w:pStyle w:val="Titre7"/>
        <w:rPr>
          <w:lang w:val="en-US"/>
        </w:rPr>
      </w:pPr>
      <w:r w:rsidRPr="00DA2EA7">
        <w:rPr>
          <w:lang w:val="en-US"/>
        </w:rPr>
        <w:t>Treated area of human skin</w:t>
      </w:r>
      <w:r w:rsidR="00E744A3">
        <w:rPr>
          <w:lang w:val="en-US"/>
        </w:rPr>
        <w:t xml:space="preserve"> (AREA</w:t>
      </w:r>
      <w:r w:rsidR="00E744A3" w:rsidRPr="00E744A3">
        <w:rPr>
          <w:vertAlign w:val="subscript"/>
          <w:lang w:val="en-US"/>
        </w:rPr>
        <w:t>skin</w:t>
      </w:r>
      <w:r w:rsidR="00E744A3">
        <w:rPr>
          <w:lang w:val="en-US"/>
        </w:rPr>
        <w:t>)</w:t>
      </w:r>
    </w:p>
    <w:p w14:paraId="1FAFD0FD" w14:textId="77777777" w:rsidR="00A0626E" w:rsidRDefault="009F286C" w:rsidP="00A0626E">
      <w:pPr>
        <w:rPr>
          <w:rFonts w:eastAsia="Calibri"/>
          <w:lang w:val="en-US" w:eastAsia="en-US"/>
        </w:rPr>
      </w:pPr>
      <w:r>
        <w:rPr>
          <w:rFonts w:eastAsia="Calibri"/>
          <w:lang w:val="en-US" w:eastAsia="en-US"/>
        </w:rPr>
        <w:t>Again, due to lack of a better value, the skin area for a head will be applied.</w:t>
      </w:r>
    </w:p>
    <w:p w14:paraId="36F1388D" w14:textId="77777777" w:rsidR="00A0626E" w:rsidRDefault="00A0626E" w:rsidP="00A0626E">
      <w:pPr>
        <w:jc w:val="center"/>
        <w:rPr>
          <w:rFonts w:eastAsia="Calibri"/>
          <w:b/>
          <w:lang w:val="en-US" w:eastAsia="en-US"/>
        </w:rPr>
      </w:pPr>
      <w:r>
        <w:rPr>
          <w:rFonts w:eastAsia="Calibri"/>
          <w:b/>
          <w:lang w:val="en-US" w:eastAsia="en-US"/>
        </w:rPr>
        <w:t>AREA</w:t>
      </w:r>
      <w:r>
        <w:rPr>
          <w:rFonts w:eastAsia="Calibri"/>
          <w:b/>
          <w:vertAlign w:val="subscript"/>
          <w:lang w:val="en-US" w:eastAsia="en-US"/>
        </w:rPr>
        <w:t>skin</w:t>
      </w:r>
      <w:r>
        <w:rPr>
          <w:rFonts w:eastAsia="Calibri"/>
          <w:b/>
          <w:lang w:val="en-US" w:eastAsia="en-US"/>
        </w:rPr>
        <w:t xml:space="preserve"> = </w:t>
      </w:r>
      <w:r w:rsidR="009F286C">
        <w:rPr>
          <w:rFonts w:eastAsia="Calibri"/>
          <w:b/>
          <w:lang w:val="en-US" w:eastAsia="en-US"/>
        </w:rPr>
        <w:t>1110</w:t>
      </w:r>
      <w:r>
        <w:rPr>
          <w:rFonts w:eastAsia="Calibri"/>
          <w:b/>
          <w:lang w:val="en-US" w:eastAsia="en-US"/>
        </w:rPr>
        <w:t> cm²</w:t>
      </w:r>
    </w:p>
    <w:p w14:paraId="5F134D5E" w14:textId="77777777" w:rsidR="00A0626E" w:rsidRPr="00806DC5" w:rsidRDefault="00A0626E" w:rsidP="00A0626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38"/>
        <w:gridCol w:w="790"/>
        <w:gridCol w:w="952"/>
        <w:gridCol w:w="3934"/>
      </w:tblGrid>
      <w:tr w:rsidR="00A0626E" w:rsidRPr="00092E70" w14:paraId="4C5C24BF" w14:textId="77777777" w:rsidTr="00A0626E">
        <w:trPr>
          <w:trHeight w:val="346"/>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hideMark/>
          </w:tcPr>
          <w:p w14:paraId="028BE851" w14:textId="77777777" w:rsidR="00A0626E" w:rsidRPr="00092E70" w:rsidRDefault="00A0626E" w:rsidP="00A0626E">
            <w:pPr>
              <w:pStyle w:val="Standaard-Tabellen"/>
              <w:rPr>
                <w:rFonts w:eastAsia="Calibri"/>
                <w:b/>
              </w:rPr>
            </w:pPr>
            <w:r w:rsidRPr="00092E70">
              <w:rPr>
                <w:rFonts w:eastAsia="Calibri"/>
                <w:b/>
              </w:rPr>
              <w:t>Input parameters for calculating the local emission</w:t>
            </w:r>
          </w:p>
        </w:tc>
      </w:tr>
      <w:tr w:rsidR="00A0626E" w:rsidRPr="00092E70" w14:paraId="7D6BF905" w14:textId="77777777" w:rsidTr="00A0626E">
        <w:trPr>
          <w:trHeight w:val="75"/>
        </w:trPr>
        <w:tc>
          <w:tcPr>
            <w:tcW w:w="11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FA8B82" w14:textId="77777777" w:rsidR="00A0626E" w:rsidRPr="00092E70" w:rsidRDefault="00A0626E" w:rsidP="00A0626E">
            <w:pPr>
              <w:pStyle w:val="Standaard-Tabellen"/>
              <w:rPr>
                <w:rFonts w:eastAsia="Calibri" w:cs="Arial"/>
                <w:b/>
                <w:color w:val="000000"/>
              </w:rPr>
            </w:pPr>
            <w:r w:rsidRPr="00092E70">
              <w:rPr>
                <w:rFonts w:eastAsia="Calibri" w:cs="Arial"/>
                <w:b/>
                <w:color w:val="000000"/>
              </w:rPr>
              <w:t xml:space="preserve">Input </w:t>
            </w:r>
          </w:p>
        </w:tc>
        <w:tc>
          <w:tcPr>
            <w:tcW w:w="8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C6B5B7" w14:textId="77777777" w:rsidR="00A0626E" w:rsidRPr="00092E70" w:rsidRDefault="00A0626E" w:rsidP="00A0626E">
            <w:pPr>
              <w:pStyle w:val="Standaard-Tabellen"/>
              <w:rPr>
                <w:rFonts w:eastAsia="Calibri" w:cs="Arial"/>
                <w:b/>
                <w:color w:val="000000"/>
              </w:rPr>
            </w:pPr>
            <w:r w:rsidRPr="00092E70">
              <w:rPr>
                <w:rFonts w:eastAsia="Calibri" w:cs="Arial"/>
                <w:b/>
                <w:color w:val="000000"/>
              </w:rPr>
              <w:t>Nomenclature</w:t>
            </w:r>
          </w:p>
        </w:tc>
        <w:tc>
          <w:tcPr>
            <w:tcW w:w="4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36363A" w14:textId="77777777" w:rsidR="00A0626E" w:rsidRPr="00092E70" w:rsidRDefault="00A0626E" w:rsidP="00A0626E">
            <w:pPr>
              <w:pStyle w:val="Standaard-Tabellen"/>
              <w:rPr>
                <w:rFonts w:eastAsia="Calibri" w:cs="Arial"/>
                <w:b/>
                <w:color w:val="000000"/>
              </w:rPr>
            </w:pPr>
            <w:r w:rsidRPr="00092E70">
              <w:rPr>
                <w:rFonts w:eastAsia="Calibri" w:cs="Arial"/>
                <w:b/>
                <w:color w:val="000000"/>
              </w:rPr>
              <w:t xml:space="preserve">Value </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CB1594" w14:textId="77777777" w:rsidR="00A0626E" w:rsidRPr="00092E70" w:rsidRDefault="00A0626E" w:rsidP="00A0626E">
            <w:pPr>
              <w:pStyle w:val="Standaard-Tabellen"/>
              <w:rPr>
                <w:rFonts w:eastAsia="Calibri" w:cs="Arial"/>
                <w:b/>
                <w:color w:val="000000"/>
              </w:rPr>
            </w:pPr>
            <w:r w:rsidRPr="00092E70">
              <w:rPr>
                <w:rFonts w:eastAsia="Calibri" w:cs="Arial"/>
                <w:b/>
                <w:color w:val="000000"/>
              </w:rPr>
              <w:t>Unit</w:t>
            </w:r>
          </w:p>
        </w:tc>
        <w:tc>
          <w:tcPr>
            <w:tcW w:w="20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07A5AE" w14:textId="77777777" w:rsidR="00A0626E" w:rsidRPr="00092E70" w:rsidRDefault="00A0626E" w:rsidP="00A0626E">
            <w:pPr>
              <w:pStyle w:val="Standaard-Tabellen"/>
              <w:rPr>
                <w:rFonts w:eastAsia="Calibri" w:cs="Arial"/>
                <w:b/>
                <w:color w:val="000000"/>
              </w:rPr>
            </w:pPr>
            <w:r w:rsidRPr="00092E70">
              <w:rPr>
                <w:rFonts w:eastAsia="Calibri" w:cs="Arial"/>
                <w:b/>
                <w:color w:val="000000"/>
              </w:rPr>
              <w:t>Remarks</w:t>
            </w:r>
          </w:p>
        </w:tc>
      </w:tr>
      <w:tr w:rsidR="00A0626E" w:rsidRPr="00092E70" w14:paraId="722D66DE" w14:textId="77777777" w:rsidTr="00A0626E">
        <w:trPr>
          <w:trHeight w:val="75"/>
        </w:trPr>
        <w:tc>
          <w:tcPr>
            <w:tcW w:w="5000"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23D3BD7" w14:textId="77777777" w:rsidR="00A0626E" w:rsidRDefault="00A0626E" w:rsidP="00A0626E">
            <w:pPr>
              <w:pStyle w:val="Standaard-Tabellen"/>
              <w:rPr>
                <w:rFonts w:eastAsia="Calibri"/>
                <w:i/>
                <w:color w:val="000000"/>
              </w:rPr>
            </w:pPr>
            <w:r>
              <w:rPr>
                <w:rFonts w:eastAsia="Calibri"/>
                <w:i/>
                <w:color w:val="000000"/>
              </w:rPr>
              <w:t>Scenario</w:t>
            </w:r>
            <w:r>
              <w:rPr>
                <w:rFonts w:eastAsia="Calibri"/>
                <w:i/>
              </w:rPr>
              <w:t>: Release of repellents used on human skin due to swimming activities in surface water bodies</w:t>
            </w:r>
          </w:p>
        </w:tc>
      </w:tr>
      <w:tr w:rsidR="00A0626E" w14:paraId="5DCFB8DD" w14:textId="77777777" w:rsidTr="00A0626E">
        <w:trPr>
          <w:trHeight w:val="75"/>
        </w:trPr>
        <w:tc>
          <w:tcPr>
            <w:tcW w:w="1111" w:type="pct"/>
            <w:tcBorders>
              <w:top w:val="single" w:sz="4" w:space="0" w:color="auto"/>
              <w:left w:val="single" w:sz="4" w:space="0" w:color="auto"/>
              <w:bottom w:val="single" w:sz="4" w:space="0" w:color="auto"/>
              <w:right w:val="single" w:sz="4" w:space="0" w:color="auto"/>
            </w:tcBorders>
            <w:vAlign w:val="center"/>
            <w:hideMark/>
          </w:tcPr>
          <w:p w14:paraId="52D04297" w14:textId="77777777" w:rsidR="00A0626E" w:rsidRDefault="00A0626E" w:rsidP="00A0626E">
            <w:pPr>
              <w:pStyle w:val="Standaard-Tabellen"/>
              <w:rPr>
                <w:rFonts w:eastAsia="Calibri"/>
                <w:color w:val="000000"/>
              </w:rPr>
            </w:pPr>
            <w:r>
              <w:rPr>
                <w:rFonts w:eastAsia="Calibri"/>
                <w:color w:val="000000"/>
              </w:rPr>
              <w:t>Daily number of swimmers</w:t>
            </w:r>
          </w:p>
        </w:tc>
        <w:tc>
          <w:tcPr>
            <w:tcW w:w="871" w:type="pct"/>
            <w:tcBorders>
              <w:top w:val="single" w:sz="4" w:space="0" w:color="auto"/>
              <w:left w:val="single" w:sz="4" w:space="0" w:color="auto"/>
              <w:bottom w:val="single" w:sz="4" w:space="0" w:color="auto"/>
              <w:right w:val="single" w:sz="4" w:space="0" w:color="auto"/>
            </w:tcBorders>
            <w:vAlign w:val="center"/>
            <w:hideMark/>
          </w:tcPr>
          <w:p w14:paraId="1A978315" w14:textId="77777777" w:rsidR="00A0626E" w:rsidRDefault="00A0626E" w:rsidP="00A0626E">
            <w:pPr>
              <w:pStyle w:val="Standaard-Tabellen"/>
              <w:rPr>
                <w:rFonts w:eastAsia="Calibri"/>
                <w:color w:val="000000"/>
              </w:rPr>
            </w:pPr>
            <w:r>
              <w:rPr>
                <w:rFonts w:eastAsia="Calibri"/>
                <w:color w:val="000000"/>
              </w:rPr>
              <w:t>N</w:t>
            </w:r>
            <w:r>
              <w:rPr>
                <w:rFonts w:eastAsia="Calibri"/>
                <w:color w:val="000000"/>
                <w:vertAlign w:val="subscript"/>
              </w:rPr>
              <w:t>swimmer</w:t>
            </w:r>
          </w:p>
        </w:tc>
        <w:tc>
          <w:tcPr>
            <w:tcW w:w="420" w:type="pct"/>
            <w:tcBorders>
              <w:top w:val="single" w:sz="4" w:space="0" w:color="auto"/>
              <w:left w:val="single" w:sz="4" w:space="0" w:color="auto"/>
              <w:bottom w:val="single" w:sz="4" w:space="0" w:color="auto"/>
              <w:right w:val="single" w:sz="4" w:space="0" w:color="auto"/>
            </w:tcBorders>
            <w:vAlign w:val="center"/>
            <w:hideMark/>
          </w:tcPr>
          <w:p w14:paraId="418C8981" w14:textId="77777777" w:rsidR="00A0626E" w:rsidRDefault="00A0626E" w:rsidP="00A0626E">
            <w:pPr>
              <w:pStyle w:val="Standaard-Tabellen"/>
              <w:rPr>
                <w:rFonts w:eastAsia="Calibri"/>
                <w:color w:val="000000"/>
              </w:rPr>
            </w:pPr>
            <w:r>
              <w:rPr>
                <w:rFonts w:eastAsia="Calibri"/>
                <w:color w:val="000000"/>
              </w:rPr>
              <w:t>1500</w:t>
            </w:r>
          </w:p>
        </w:tc>
        <w:tc>
          <w:tcPr>
            <w:tcW w:w="506" w:type="pct"/>
            <w:tcBorders>
              <w:top w:val="single" w:sz="4" w:space="0" w:color="auto"/>
              <w:left w:val="single" w:sz="4" w:space="0" w:color="auto"/>
              <w:bottom w:val="single" w:sz="4" w:space="0" w:color="auto"/>
              <w:right w:val="single" w:sz="4" w:space="0" w:color="auto"/>
            </w:tcBorders>
            <w:vAlign w:val="center"/>
            <w:hideMark/>
          </w:tcPr>
          <w:p w14:paraId="478401A4" w14:textId="77777777" w:rsidR="00A0626E" w:rsidRDefault="00A0626E" w:rsidP="00A0626E">
            <w:pPr>
              <w:pStyle w:val="Standaard-Tabellen"/>
              <w:rPr>
                <w:rFonts w:eastAsia="Calibri"/>
                <w:color w:val="000000"/>
              </w:rPr>
            </w:pPr>
            <w:r>
              <w:rPr>
                <w:rFonts w:eastAsia="Calibri"/>
                <w:color w:val="000000"/>
              </w:rPr>
              <w:t>[-]</w:t>
            </w:r>
          </w:p>
        </w:tc>
        <w:tc>
          <w:tcPr>
            <w:tcW w:w="2092" w:type="pct"/>
            <w:tcBorders>
              <w:top w:val="single" w:sz="4" w:space="0" w:color="auto"/>
              <w:left w:val="single" w:sz="4" w:space="0" w:color="auto"/>
              <w:bottom w:val="single" w:sz="4" w:space="0" w:color="auto"/>
              <w:right w:val="single" w:sz="4" w:space="0" w:color="auto"/>
            </w:tcBorders>
            <w:vAlign w:val="center"/>
            <w:hideMark/>
          </w:tcPr>
          <w:p w14:paraId="2E3FBA02" w14:textId="77777777" w:rsidR="00A0626E" w:rsidRDefault="00A0626E" w:rsidP="00A0626E">
            <w:pPr>
              <w:pStyle w:val="Standaard-Tabellen"/>
              <w:rPr>
                <w:rFonts w:eastAsia="Calibri"/>
                <w:color w:val="000000"/>
              </w:rPr>
            </w:pPr>
            <w:r>
              <w:rPr>
                <w:rFonts w:eastAsia="Calibri"/>
                <w:color w:val="000000"/>
              </w:rPr>
              <w:t>D</w:t>
            </w:r>
          </w:p>
        </w:tc>
      </w:tr>
      <w:tr w:rsidR="00A0626E" w14:paraId="76BCBEE4" w14:textId="77777777" w:rsidTr="00A0626E">
        <w:trPr>
          <w:trHeight w:val="93"/>
        </w:trPr>
        <w:tc>
          <w:tcPr>
            <w:tcW w:w="1111" w:type="pct"/>
            <w:tcBorders>
              <w:top w:val="single" w:sz="4" w:space="0" w:color="auto"/>
              <w:left w:val="single" w:sz="4" w:space="0" w:color="auto"/>
              <w:bottom w:val="single" w:sz="4" w:space="0" w:color="auto"/>
              <w:right w:val="single" w:sz="4" w:space="0" w:color="auto"/>
            </w:tcBorders>
            <w:vAlign w:val="center"/>
            <w:hideMark/>
          </w:tcPr>
          <w:p w14:paraId="04F3E3D6" w14:textId="77777777" w:rsidR="00A0626E" w:rsidRDefault="00A0626E" w:rsidP="00A0626E">
            <w:pPr>
              <w:pStyle w:val="Standaard-Tabellen"/>
              <w:rPr>
                <w:rFonts w:eastAsia="Calibri"/>
                <w:color w:val="000000"/>
              </w:rPr>
            </w:pPr>
            <w:r>
              <w:rPr>
                <w:rFonts w:eastAsia="Calibri"/>
                <w:color w:val="000000"/>
              </w:rPr>
              <w:t>Fraction of swimmers using the repellent product</w:t>
            </w:r>
          </w:p>
        </w:tc>
        <w:tc>
          <w:tcPr>
            <w:tcW w:w="871" w:type="pct"/>
            <w:tcBorders>
              <w:top w:val="single" w:sz="4" w:space="0" w:color="auto"/>
              <w:left w:val="single" w:sz="4" w:space="0" w:color="auto"/>
              <w:bottom w:val="single" w:sz="4" w:space="0" w:color="auto"/>
              <w:right w:val="single" w:sz="4" w:space="0" w:color="auto"/>
            </w:tcBorders>
            <w:vAlign w:val="center"/>
            <w:hideMark/>
          </w:tcPr>
          <w:p w14:paraId="1B782B49" w14:textId="77777777" w:rsidR="00A0626E" w:rsidRDefault="00A0626E" w:rsidP="00A0626E">
            <w:pPr>
              <w:pStyle w:val="Standaard-Tabellen"/>
              <w:rPr>
                <w:rFonts w:eastAsia="Calibri"/>
                <w:color w:val="000000"/>
              </w:rPr>
            </w:pPr>
            <w:r>
              <w:rPr>
                <w:rFonts w:eastAsia="Calibri"/>
                <w:color w:val="000000"/>
              </w:rPr>
              <w:t>F</w:t>
            </w:r>
            <w:r>
              <w:rPr>
                <w:rFonts w:eastAsia="Calibri"/>
                <w:color w:val="000000"/>
                <w:vertAlign w:val="subscript"/>
              </w:rPr>
              <w:t>swim</w:t>
            </w:r>
          </w:p>
        </w:tc>
        <w:tc>
          <w:tcPr>
            <w:tcW w:w="420" w:type="pct"/>
            <w:tcBorders>
              <w:top w:val="single" w:sz="4" w:space="0" w:color="auto"/>
              <w:left w:val="single" w:sz="4" w:space="0" w:color="auto"/>
              <w:bottom w:val="single" w:sz="4" w:space="0" w:color="auto"/>
              <w:right w:val="single" w:sz="4" w:space="0" w:color="auto"/>
            </w:tcBorders>
            <w:vAlign w:val="center"/>
            <w:hideMark/>
          </w:tcPr>
          <w:p w14:paraId="6C215F3E" w14:textId="77777777" w:rsidR="00A0626E" w:rsidRDefault="00A0626E" w:rsidP="00A0626E">
            <w:pPr>
              <w:pStyle w:val="Standaard-Tabellen"/>
              <w:rPr>
                <w:rFonts w:eastAsia="Calibri"/>
                <w:color w:val="000000"/>
              </w:rPr>
            </w:pPr>
            <w:r>
              <w:rPr>
                <w:rFonts w:eastAsia="Calibri"/>
                <w:color w:val="000000"/>
              </w:rPr>
              <w:t>0.1</w:t>
            </w:r>
          </w:p>
        </w:tc>
        <w:tc>
          <w:tcPr>
            <w:tcW w:w="506" w:type="pct"/>
            <w:tcBorders>
              <w:top w:val="single" w:sz="4" w:space="0" w:color="auto"/>
              <w:left w:val="single" w:sz="4" w:space="0" w:color="auto"/>
              <w:bottom w:val="single" w:sz="4" w:space="0" w:color="auto"/>
              <w:right w:val="single" w:sz="4" w:space="0" w:color="auto"/>
            </w:tcBorders>
            <w:vAlign w:val="center"/>
            <w:hideMark/>
          </w:tcPr>
          <w:p w14:paraId="574FB18D" w14:textId="77777777" w:rsidR="00A0626E" w:rsidRDefault="00A0626E" w:rsidP="00A0626E">
            <w:pPr>
              <w:pStyle w:val="Standaard-Tabellen"/>
              <w:rPr>
                <w:rFonts w:eastAsia="Calibri"/>
                <w:color w:val="000000"/>
              </w:rPr>
            </w:pPr>
            <w:r>
              <w:rPr>
                <w:rFonts w:eastAsia="Calibri"/>
                <w:color w:val="000000"/>
              </w:rPr>
              <w:t>[-]</w:t>
            </w:r>
          </w:p>
        </w:tc>
        <w:tc>
          <w:tcPr>
            <w:tcW w:w="2092" w:type="pct"/>
            <w:tcBorders>
              <w:top w:val="single" w:sz="4" w:space="0" w:color="auto"/>
              <w:left w:val="single" w:sz="4" w:space="0" w:color="auto"/>
              <w:bottom w:val="single" w:sz="4" w:space="0" w:color="auto"/>
              <w:right w:val="single" w:sz="4" w:space="0" w:color="auto"/>
            </w:tcBorders>
            <w:hideMark/>
          </w:tcPr>
          <w:p w14:paraId="275B5AF2" w14:textId="77777777" w:rsidR="00A0626E" w:rsidRDefault="00A0626E" w:rsidP="00E744A3">
            <w:pPr>
              <w:pStyle w:val="Standaard-Tabellen"/>
              <w:rPr>
                <w:rFonts w:eastAsia="Calibri"/>
                <w:color w:val="000000"/>
              </w:rPr>
            </w:pPr>
            <w:r>
              <w:rPr>
                <w:rFonts w:eastAsia="Calibri"/>
                <w:color w:val="000000"/>
              </w:rPr>
              <w:t>P</w:t>
            </w:r>
          </w:p>
        </w:tc>
      </w:tr>
      <w:tr w:rsidR="00A0626E" w14:paraId="41B916B6" w14:textId="77777777" w:rsidTr="00A0626E">
        <w:trPr>
          <w:trHeight w:val="93"/>
        </w:trPr>
        <w:tc>
          <w:tcPr>
            <w:tcW w:w="1111" w:type="pct"/>
            <w:tcBorders>
              <w:top w:val="single" w:sz="4" w:space="0" w:color="auto"/>
              <w:left w:val="single" w:sz="4" w:space="0" w:color="auto"/>
              <w:bottom w:val="single" w:sz="4" w:space="0" w:color="auto"/>
              <w:right w:val="single" w:sz="4" w:space="0" w:color="auto"/>
            </w:tcBorders>
            <w:vAlign w:val="center"/>
            <w:hideMark/>
          </w:tcPr>
          <w:p w14:paraId="41F42DE2" w14:textId="77777777" w:rsidR="00A0626E" w:rsidRDefault="00A0626E" w:rsidP="00A0626E">
            <w:pPr>
              <w:pStyle w:val="Standaard-Tabellen"/>
              <w:rPr>
                <w:rFonts w:eastAsia="Calibri"/>
                <w:color w:val="000000"/>
              </w:rPr>
            </w:pPr>
            <w:r>
              <w:rPr>
                <w:rFonts w:eastAsia="Calibri"/>
                <w:color w:val="000000"/>
              </w:rPr>
              <w:t>Number of applications per day</w:t>
            </w:r>
          </w:p>
        </w:tc>
        <w:tc>
          <w:tcPr>
            <w:tcW w:w="871" w:type="pct"/>
            <w:tcBorders>
              <w:top w:val="single" w:sz="4" w:space="0" w:color="auto"/>
              <w:left w:val="single" w:sz="4" w:space="0" w:color="auto"/>
              <w:bottom w:val="single" w:sz="4" w:space="0" w:color="auto"/>
              <w:right w:val="single" w:sz="4" w:space="0" w:color="auto"/>
            </w:tcBorders>
            <w:vAlign w:val="center"/>
            <w:hideMark/>
          </w:tcPr>
          <w:p w14:paraId="4F911716" w14:textId="77777777" w:rsidR="00A0626E" w:rsidRDefault="00A0626E" w:rsidP="00A0626E">
            <w:pPr>
              <w:pStyle w:val="Standaard-Tabellen"/>
              <w:rPr>
                <w:rFonts w:eastAsia="Calibri"/>
                <w:color w:val="000000"/>
              </w:rPr>
            </w:pPr>
            <w:r>
              <w:rPr>
                <w:rFonts w:eastAsia="Calibri"/>
                <w:color w:val="000000"/>
              </w:rPr>
              <w:t>N</w:t>
            </w:r>
            <w:r>
              <w:rPr>
                <w:rFonts w:eastAsia="Calibri"/>
                <w:color w:val="000000"/>
                <w:vertAlign w:val="subscript"/>
              </w:rPr>
              <w:t>appl</w:t>
            </w:r>
          </w:p>
        </w:tc>
        <w:tc>
          <w:tcPr>
            <w:tcW w:w="420" w:type="pct"/>
            <w:tcBorders>
              <w:top w:val="single" w:sz="4" w:space="0" w:color="auto"/>
              <w:left w:val="single" w:sz="4" w:space="0" w:color="auto"/>
              <w:bottom w:val="single" w:sz="4" w:space="0" w:color="auto"/>
              <w:right w:val="single" w:sz="4" w:space="0" w:color="auto"/>
            </w:tcBorders>
            <w:vAlign w:val="center"/>
            <w:hideMark/>
          </w:tcPr>
          <w:p w14:paraId="0C2F749F" w14:textId="77777777" w:rsidR="00A0626E" w:rsidRDefault="00A0626E" w:rsidP="00A0626E">
            <w:pPr>
              <w:pStyle w:val="Standaard-Tabellen"/>
              <w:rPr>
                <w:rFonts w:eastAsia="Calibri"/>
                <w:color w:val="000000"/>
              </w:rPr>
            </w:pPr>
            <w:r>
              <w:rPr>
                <w:rFonts w:eastAsia="Calibri"/>
                <w:color w:val="000000"/>
              </w:rPr>
              <w:t>1</w:t>
            </w:r>
          </w:p>
        </w:tc>
        <w:tc>
          <w:tcPr>
            <w:tcW w:w="506" w:type="pct"/>
            <w:tcBorders>
              <w:top w:val="single" w:sz="4" w:space="0" w:color="auto"/>
              <w:left w:val="single" w:sz="4" w:space="0" w:color="auto"/>
              <w:bottom w:val="single" w:sz="4" w:space="0" w:color="auto"/>
              <w:right w:val="single" w:sz="4" w:space="0" w:color="auto"/>
            </w:tcBorders>
            <w:vAlign w:val="center"/>
            <w:hideMark/>
          </w:tcPr>
          <w:p w14:paraId="1399B222" w14:textId="77777777" w:rsidR="00A0626E" w:rsidRDefault="00A0626E" w:rsidP="00A0626E">
            <w:pPr>
              <w:pStyle w:val="Standaard-Tabellen"/>
              <w:rPr>
                <w:rFonts w:eastAsia="Calibri"/>
                <w:color w:val="000000"/>
              </w:rPr>
            </w:pPr>
            <w:r>
              <w:rPr>
                <w:rFonts w:eastAsia="Calibri"/>
                <w:color w:val="000000"/>
              </w:rPr>
              <w:t>d</w:t>
            </w:r>
            <w:r>
              <w:rPr>
                <w:rFonts w:eastAsia="Calibri"/>
                <w:color w:val="000000"/>
                <w:vertAlign w:val="superscript"/>
              </w:rPr>
              <w:t>-1</w:t>
            </w:r>
          </w:p>
        </w:tc>
        <w:tc>
          <w:tcPr>
            <w:tcW w:w="2092" w:type="pct"/>
            <w:tcBorders>
              <w:top w:val="single" w:sz="4" w:space="0" w:color="auto"/>
              <w:left w:val="single" w:sz="4" w:space="0" w:color="auto"/>
              <w:bottom w:val="single" w:sz="4" w:space="0" w:color="auto"/>
              <w:right w:val="single" w:sz="4" w:space="0" w:color="auto"/>
            </w:tcBorders>
            <w:hideMark/>
          </w:tcPr>
          <w:p w14:paraId="0A5388F0" w14:textId="77777777" w:rsidR="00A0626E" w:rsidRDefault="00A0626E" w:rsidP="00A0626E">
            <w:pPr>
              <w:pStyle w:val="Standaard-Tabellen"/>
              <w:rPr>
                <w:rFonts w:eastAsia="Calibri"/>
                <w:color w:val="000000"/>
              </w:rPr>
            </w:pPr>
            <w:r>
              <w:rPr>
                <w:rFonts w:eastAsia="Calibri"/>
                <w:color w:val="000000"/>
              </w:rPr>
              <w:t>D</w:t>
            </w:r>
          </w:p>
        </w:tc>
      </w:tr>
      <w:tr w:rsidR="00A0626E" w14:paraId="1A0ED365" w14:textId="77777777" w:rsidTr="00A0626E">
        <w:trPr>
          <w:trHeight w:val="93"/>
        </w:trPr>
        <w:tc>
          <w:tcPr>
            <w:tcW w:w="1111" w:type="pct"/>
            <w:tcBorders>
              <w:top w:val="single" w:sz="4" w:space="0" w:color="auto"/>
              <w:left w:val="single" w:sz="4" w:space="0" w:color="auto"/>
              <w:bottom w:val="single" w:sz="4" w:space="0" w:color="auto"/>
              <w:right w:val="single" w:sz="4" w:space="0" w:color="auto"/>
            </w:tcBorders>
            <w:vAlign w:val="center"/>
            <w:hideMark/>
          </w:tcPr>
          <w:p w14:paraId="74A90E71" w14:textId="77777777" w:rsidR="00A0626E" w:rsidRDefault="00A0626E" w:rsidP="00A0626E">
            <w:pPr>
              <w:pStyle w:val="Standaard-Tabellen"/>
              <w:rPr>
                <w:rFonts w:eastAsia="Calibri"/>
                <w:color w:val="000000"/>
              </w:rPr>
            </w:pPr>
            <w:r>
              <w:rPr>
                <w:rFonts w:eastAsia="Calibri"/>
                <w:color w:val="000000"/>
              </w:rPr>
              <w:t>Fraction released to surface water body</w:t>
            </w:r>
          </w:p>
        </w:tc>
        <w:tc>
          <w:tcPr>
            <w:tcW w:w="871" w:type="pct"/>
            <w:tcBorders>
              <w:top w:val="single" w:sz="4" w:space="0" w:color="auto"/>
              <w:left w:val="single" w:sz="4" w:space="0" w:color="auto"/>
              <w:bottom w:val="single" w:sz="4" w:space="0" w:color="auto"/>
              <w:right w:val="single" w:sz="4" w:space="0" w:color="auto"/>
            </w:tcBorders>
            <w:vAlign w:val="center"/>
            <w:hideMark/>
          </w:tcPr>
          <w:p w14:paraId="149C0C73" w14:textId="77777777" w:rsidR="00A0626E" w:rsidRDefault="00A0626E" w:rsidP="00A0626E">
            <w:pPr>
              <w:pStyle w:val="Standaard-Tabellen"/>
              <w:rPr>
                <w:rFonts w:eastAsia="Calibri"/>
                <w:color w:val="000000"/>
              </w:rPr>
            </w:pPr>
            <w:r>
              <w:rPr>
                <w:rFonts w:eastAsia="Calibri"/>
                <w:color w:val="000000"/>
              </w:rPr>
              <w:t>F</w:t>
            </w:r>
            <w:r>
              <w:rPr>
                <w:rFonts w:eastAsia="Calibri"/>
                <w:color w:val="000000"/>
                <w:vertAlign w:val="subscript"/>
              </w:rPr>
              <w:t>waterbody</w:t>
            </w:r>
          </w:p>
        </w:tc>
        <w:tc>
          <w:tcPr>
            <w:tcW w:w="420" w:type="pct"/>
            <w:tcBorders>
              <w:top w:val="single" w:sz="4" w:space="0" w:color="auto"/>
              <w:left w:val="single" w:sz="4" w:space="0" w:color="auto"/>
              <w:bottom w:val="single" w:sz="4" w:space="0" w:color="auto"/>
              <w:right w:val="single" w:sz="4" w:space="0" w:color="auto"/>
            </w:tcBorders>
            <w:vAlign w:val="center"/>
            <w:hideMark/>
          </w:tcPr>
          <w:p w14:paraId="419653F2" w14:textId="77777777" w:rsidR="00A0626E" w:rsidRDefault="00A0626E" w:rsidP="00A0626E">
            <w:pPr>
              <w:pStyle w:val="Standaard-Tabellen"/>
              <w:rPr>
                <w:rFonts w:eastAsia="Calibri"/>
                <w:color w:val="000000"/>
              </w:rPr>
            </w:pPr>
            <w:r>
              <w:rPr>
                <w:rFonts w:eastAsia="Calibri"/>
                <w:color w:val="000000"/>
              </w:rPr>
              <w:t>1</w:t>
            </w:r>
          </w:p>
        </w:tc>
        <w:tc>
          <w:tcPr>
            <w:tcW w:w="506" w:type="pct"/>
            <w:tcBorders>
              <w:top w:val="single" w:sz="4" w:space="0" w:color="auto"/>
              <w:left w:val="single" w:sz="4" w:space="0" w:color="auto"/>
              <w:bottom w:val="single" w:sz="4" w:space="0" w:color="auto"/>
              <w:right w:val="single" w:sz="4" w:space="0" w:color="auto"/>
            </w:tcBorders>
            <w:vAlign w:val="center"/>
            <w:hideMark/>
          </w:tcPr>
          <w:p w14:paraId="3F1F3F49" w14:textId="77777777" w:rsidR="00A0626E" w:rsidRDefault="00A0626E" w:rsidP="00A0626E">
            <w:pPr>
              <w:pStyle w:val="Standaard-Tabellen"/>
              <w:rPr>
                <w:rFonts w:eastAsia="Calibri"/>
                <w:color w:val="000000"/>
              </w:rPr>
            </w:pPr>
            <w:r>
              <w:rPr>
                <w:rFonts w:eastAsia="Calibri"/>
                <w:color w:val="000000"/>
              </w:rPr>
              <w:t>[-]</w:t>
            </w:r>
          </w:p>
        </w:tc>
        <w:tc>
          <w:tcPr>
            <w:tcW w:w="2092" w:type="pct"/>
            <w:tcBorders>
              <w:top w:val="single" w:sz="4" w:space="0" w:color="auto"/>
              <w:left w:val="single" w:sz="4" w:space="0" w:color="auto"/>
              <w:bottom w:val="single" w:sz="4" w:space="0" w:color="auto"/>
              <w:right w:val="single" w:sz="4" w:space="0" w:color="auto"/>
            </w:tcBorders>
            <w:hideMark/>
          </w:tcPr>
          <w:p w14:paraId="2CCB9B3A" w14:textId="77777777" w:rsidR="00A0626E" w:rsidRDefault="00A0626E" w:rsidP="00A0626E">
            <w:pPr>
              <w:pStyle w:val="Standaard-Tabellen"/>
              <w:rPr>
                <w:rFonts w:eastAsia="Calibri"/>
                <w:color w:val="000000"/>
              </w:rPr>
            </w:pPr>
            <w:r>
              <w:rPr>
                <w:rFonts w:eastAsia="Calibri"/>
                <w:color w:val="000000"/>
              </w:rPr>
              <w:t>D</w:t>
            </w:r>
          </w:p>
        </w:tc>
      </w:tr>
      <w:tr w:rsidR="00A0626E" w14:paraId="56535290" w14:textId="77777777" w:rsidTr="00A0626E">
        <w:trPr>
          <w:trHeight w:val="93"/>
        </w:trPr>
        <w:tc>
          <w:tcPr>
            <w:tcW w:w="1111" w:type="pct"/>
            <w:tcBorders>
              <w:top w:val="single" w:sz="4" w:space="0" w:color="auto"/>
              <w:left w:val="single" w:sz="4" w:space="0" w:color="auto"/>
              <w:bottom w:val="single" w:sz="4" w:space="0" w:color="auto"/>
              <w:right w:val="single" w:sz="4" w:space="0" w:color="auto"/>
            </w:tcBorders>
            <w:vAlign w:val="center"/>
            <w:hideMark/>
          </w:tcPr>
          <w:p w14:paraId="45D07C91" w14:textId="77777777" w:rsidR="00A0626E" w:rsidRDefault="00A0626E" w:rsidP="00A0626E">
            <w:pPr>
              <w:pStyle w:val="Standaard-Tabellen"/>
              <w:rPr>
                <w:rFonts w:eastAsia="Calibri"/>
                <w:color w:val="000000"/>
              </w:rPr>
            </w:pPr>
            <w:r>
              <w:rPr>
                <w:rFonts w:eastAsia="Calibri"/>
                <w:color w:val="000000"/>
              </w:rPr>
              <w:t>Active substance in the product</w:t>
            </w:r>
          </w:p>
        </w:tc>
        <w:tc>
          <w:tcPr>
            <w:tcW w:w="871" w:type="pct"/>
            <w:tcBorders>
              <w:top w:val="single" w:sz="4" w:space="0" w:color="auto"/>
              <w:left w:val="single" w:sz="4" w:space="0" w:color="auto"/>
              <w:bottom w:val="single" w:sz="4" w:space="0" w:color="auto"/>
              <w:right w:val="single" w:sz="4" w:space="0" w:color="auto"/>
            </w:tcBorders>
            <w:vAlign w:val="center"/>
            <w:hideMark/>
          </w:tcPr>
          <w:p w14:paraId="6A47AD53" w14:textId="77777777" w:rsidR="00A0626E" w:rsidRDefault="00A0626E" w:rsidP="00A0626E">
            <w:pPr>
              <w:pStyle w:val="Standaard-Tabellen"/>
              <w:rPr>
                <w:rFonts w:eastAsia="Calibri"/>
                <w:color w:val="000000"/>
              </w:rPr>
            </w:pPr>
            <w:r>
              <w:rPr>
                <w:rFonts w:eastAsia="Calibri"/>
                <w:color w:val="000000"/>
              </w:rPr>
              <w:t>(B) C</w:t>
            </w:r>
            <w:r>
              <w:rPr>
                <w:rFonts w:eastAsia="Calibri"/>
                <w:color w:val="000000"/>
                <w:vertAlign w:val="subscript"/>
              </w:rPr>
              <w:t>formweight</w:t>
            </w:r>
          </w:p>
        </w:tc>
        <w:tc>
          <w:tcPr>
            <w:tcW w:w="420" w:type="pct"/>
            <w:tcBorders>
              <w:top w:val="single" w:sz="4" w:space="0" w:color="auto"/>
              <w:left w:val="single" w:sz="4" w:space="0" w:color="auto"/>
              <w:bottom w:val="single" w:sz="4" w:space="0" w:color="auto"/>
              <w:right w:val="single" w:sz="4" w:space="0" w:color="auto"/>
            </w:tcBorders>
            <w:vAlign w:val="center"/>
            <w:hideMark/>
          </w:tcPr>
          <w:p w14:paraId="5AD14382" w14:textId="77777777" w:rsidR="00A0626E" w:rsidRDefault="00A0626E" w:rsidP="00A0626E">
            <w:pPr>
              <w:pStyle w:val="Standaard-Tabellen"/>
              <w:rPr>
                <w:rFonts w:eastAsia="Calibri"/>
                <w:color w:val="000000"/>
              </w:rPr>
            </w:pPr>
            <w:r>
              <w:rPr>
                <w:rFonts w:eastAsia="Calibri"/>
                <w:color w:val="000000"/>
              </w:rPr>
              <w:t>200</w:t>
            </w:r>
          </w:p>
        </w:tc>
        <w:tc>
          <w:tcPr>
            <w:tcW w:w="506" w:type="pct"/>
            <w:tcBorders>
              <w:top w:val="single" w:sz="4" w:space="0" w:color="auto"/>
              <w:left w:val="single" w:sz="4" w:space="0" w:color="auto"/>
              <w:bottom w:val="single" w:sz="4" w:space="0" w:color="auto"/>
              <w:right w:val="single" w:sz="4" w:space="0" w:color="auto"/>
            </w:tcBorders>
            <w:vAlign w:val="center"/>
            <w:hideMark/>
          </w:tcPr>
          <w:p w14:paraId="2917C3D2" w14:textId="77777777" w:rsidR="00A0626E" w:rsidRDefault="00A0626E" w:rsidP="00A0626E">
            <w:pPr>
              <w:pStyle w:val="Standaard-Tabellen"/>
              <w:rPr>
                <w:rFonts w:eastAsia="Calibri"/>
                <w:color w:val="000000"/>
              </w:rPr>
            </w:pPr>
            <w:r>
              <w:rPr>
                <w:rFonts w:eastAsia="Calibri"/>
                <w:color w:val="000000"/>
              </w:rPr>
              <w:t>g/kg</w:t>
            </w:r>
          </w:p>
        </w:tc>
        <w:tc>
          <w:tcPr>
            <w:tcW w:w="2092" w:type="pct"/>
            <w:tcBorders>
              <w:top w:val="single" w:sz="4" w:space="0" w:color="auto"/>
              <w:left w:val="single" w:sz="4" w:space="0" w:color="auto"/>
              <w:bottom w:val="single" w:sz="4" w:space="0" w:color="auto"/>
              <w:right w:val="single" w:sz="4" w:space="0" w:color="auto"/>
            </w:tcBorders>
            <w:hideMark/>
          </w:tcPr>
          <w:p w14:paraId="0FC010DB" w14:textId="77777777" w:rsidR="00A0626E" w:rsidRDefault="00E744A3" w:rsidP="00A0626E">
            <w:pPr>
              <w:pStyle w:val="Standaard-Tabellen"/>
              <w:rPr>
                <w:rFonts w:eastAsia="Calibri"/>
                <w:color w:val="000000"/>
              </w:rPr>
            </w:pPr>
            <w:r>
              <w:rPr>
                <w:rFonts w:eastAsia="Calibri"/>
                <w:color w:val="000000"/>
              </w:rPr>
              <w:t>(20%)</w:t>
            </w:r>
          </w:p>
        </w:tc>
      </w:tr>
      <w:tr w:rsidR="00A0626E" w:rsidRPr="00092E70" w14:paraId="4B0DE107" w14:textId="77777777" w:rsidTr="00A0626E">
        <w:trPr>
          <w:trHeight w:val="93"/>
        </w:trPr>
        <w:tc>
          <w:tcPr>
            <w:tcW w:w="1111" w:type="pct"/>
            <w:tcBorders>
              <w:top w:val="single" w:sz="4" w:space="0" w:color="auto"/>
              <w:left w:val="single" w:sz="4" w:space="0" w:color="auto"/>
              <w:bottom w:val="single" w:sz="4" w:space="0" w:color="auto"/>
              <w:right w:val="single" w:sz="4" w:space="0" w:color="auto"/>
            </w:tcBorders>
            <w:hideMark/>
          </w:tcPr>
          <w:p w14:paraId="55933035" w14:textId="77777777" w:rsidR="00A0626E" w:rsidRDefault="00A0626E" w:rsidP="00A0626E">
            <w:pPr>
              <w:pStyle w:val="Standaard-Tabellen"/>
              <w:rPr>
                <w:rFonts w:eastAsia="Calibri"/>
                <w:color w:val="000000"/>
              </w:rPr>
            </w:pPr>
            <w:r>
              <w:rPr>
                <w:rFonts w:eastAsia="Calibri"/>
                <w:color w:val="000000"/>
              </w:rPr>
              <w:t>Consumption per application</w:t>
            </w:r>
          </w:p>
        </w:tc>
        <w:tc>
          <w:tcPr>
            <w:tcW w:w="871" w:type="pct"/>
            <w:tcBorders>
              <w:top w:val="single" w:sz="4" w:space="0" w:color="auto"/>
              <w:left w:val="single" w:sz="4" w:space="0" w:color="auto"/>
              <w:bottom w:val="single" w:sz="4" w:space="0" w:color="auto"/>
              <w:right w:val="single" w:sz="4" w:space="0" w:color="auto"/>
            </w:tcBorders>
            <w:hideMark/>
          </w:tcPr>
          <w:p w14:paraId="0AAD4F8D" w14:textId="77777777" w:rsidR="00A0626E" w:rsidRDefault="00A0626E" w:rsidP="00A0626E">
            <w:pPr>
              <w:pStyle w:val="Standaard-Tabellen"/>
              <w:rPr>
                <w:rFonts w:eastAsia="Calibri"/>
                <w:color w:val="000000"/>
              </w:rPr>
            </w:pPr>
            <w:r>
              <w:rPr>
                <w:rFonts w:eastAsia="Calibri"/>
                <w:color w:val="000000"/>
              </w:rPr>
              <w:t>(D2) Qform</w:t>
            </w:r>
            <w:r>
              <w:rPr>
                <w:rFonts w:eastAsia="Calibri"/>
                <w:color w:val="000000"/>
                <w:vertAlign w:val="subscript"/>
              </w:rPr>
              <w:t>appl</w:t>
            </w:r>
          </w:p>
        </w:tc>
        <w:tc>
          <w:tcPr>
            <w:tcW w:w="420" w:type="pct"/>
            <w:tcBorders>
              <w:top w:val="single" w:sz="4" w:space="0" w:color="auto"/>
              <w:left w:val="single" w:sz="4" w:space="0" w:color="auto"/>
              <w:bottom w:val="single" w:sz="4" w:space="0" w:color="auto"/>
              <w:right w:val="single" w:sz="4" w:space="0" w:color="auto"/>
            </w:tcBorders>
            <w:hideMark/>
          </w:tcPr>
          <w:p w14:paraId="35D19616" w14:textId="77777777" w:rsidR="00A0626E" w:rsidRPr="0074492C" w:rsidRDefault="00A0626E" w:rsidP="00A0626E">
            <w:pPr>
              <w:pStyle w:val="Standaard-Tabellen"/>
              <w:rPr>
                <w:rFonts w:eastAsia="Calibri"/>
              </w:rPr>
            </w:pPr>
            <w:r w:rsidRPr="0074492C">
              <w:rPr>
                <w:rFonts w:eastAsia="Calibri"/>
              </w:rPr>
              <w:t>0</w:t>
            </w:r>
            <w:r w:rsidR="00DD5512" w:rsidRPr="0074492C">
              <w:rPr>
                <w:rFonts w:eastAsia="Calibri"/>
              </w:rPr>
              <w:t>.</w:t>
            </w:r>
            <w:r w:rsidRPr="0074492C">
              <w:rPr>
                <w:rFonts w:eastAsia="Calibri"/>
              </w:rPr>
              <w:t>6</w:t>
            </w:r>
          </w:p>
        </w:tc>
        <w:tc>
          <w:tcPr>
            <w:tcW w:w="506" w:type="pct"/>
            <w:tcBorders>
              <w:top w:val="single" w:sz="4" w:space="0" w:color="auto"/>
              <w:left w:val="single" w:sz="4" w:space="0" w:color="auto"/>
              <w:bottom w:val="single" w:sz="4" w:space="0" w:color="auto"/>
              <w:right w:val="single" w:sz="4" w:space="0" w:color="auto"/>
            </w:tcBorders>
            <w:hideMark/>
          </w:tcPr>
          <w:p w14:paraId="447796DE" w14:textId="77777777" w:rsidR="00A0626E" w:rsidRDefault="00A0626E" w:rsidP="00A0626E">
            <w:pPr>
              <w:pStyle w:val="Standaard-Tabellen"/>
              <w:rPr>
                <w:rFonts w:eastAsia="Calibri"/>
                <w:color w:val="000000"/>
              </w:rPr>
            </w:pPr>
            <w:r>
              <w:rPr>
                <w:rFonts w:eastAsia="Calibri"/>
                <w:color w:val="000000"/>
              </w:rPr>
              <w:t>mg/cm²</w:t>
            </w:r>
          </w:p>
        </w:tc>
        <w:tc>
          <w:tcPr>
            <w:tcW w:w="2092" w:type="pct"/>
            <w:tcBorders>
              <w:top w:val="single" w:sz="4" w:space="0" w:color="auto"/>
              <w:left w:val="single" w:sz="4" w:space="0" w:color="auto"/>
              <w:bottom w:val="single" w:sz="4" w:space="0" w:color="auto"/>
              <w:right w:val="single" w:sz="4" w:space="0" w:color="auto"/>
            </w:tcBorders>
            <w:hideMark/>
          </w:tcPr>
          <w:p w14:paraId="3AE3AA6D" w14:textId="77777777" w:rsidR="00A0626E" w:rsidRDefault="00E744A3" w:rsidP="00A0626E">
            <w:pPr>
              <w:pStyle w:val="Standaard-Tabellen"/>
              <w:rPr>
                <w:rFonts w:eastAsia="Calibri"/>
                <w:color w:val="000000"/>
              </w:rPr>
            </w:pPr>
            <w:r>
              <w:rPr>
                <w:rFonts w:eastAsia="Calibri"/>
                <w:color w:val="000000"/>
              </w:rPr>
              <w:t>(see above)</w:t>
            </w:r>
          </w:p>
        </w:tc>
      </w:tr>
      <w:tr w:rsidR="00A0626E" w:rsidRPr="00092E70" w14:paraId="3F62DAC3" w14:textId="77777777" w:rsidTr="00A0626E">
        <w:trPr>
          <w:trHeight w:val="93"/>
        </w:trPr>
        <w:tc>
          <w:tcPr>
            <w:tcW w:w="1111" w:type="pct"/>
            <w:tcBorders>
              <w:top w:val="single" w:sz="4" w:space="0" w:color="auto"/>
              <w:left w:val="single" w:sz="4" w:space="0" w:color="auto"/>
              <w:bottom w:val="single" w:sz="4" w:space="0" w:color="auto"/>
              <w:right w:val="single" w:sz="4" w:space="0" w:color="auto"/>
            </w:tcBorders>
            <w:hideMark/>
          </w:tcPr>
          <w:p w14:paraId="6E7EA3AE" w14:textId="77777777" w:rsidR="00A0626E" w:rsidRDefault="00A0626E" w:rsidP="00A0626E">
            <w:pPr>
              <w:pStyle w:val="Standaard-Tabellen"/>
              <w:rPr>
                <w:rFonts w:eastAsia="Calibri"/>
                <w:color w:val="000000"/>
              </w:rPr>
            </w:pPr>
            <w:r>
              <w:rPr>
                <w:rFonts w:eastAsia="Calibri"/>
                <w:color w:val="000000"/>
              </w:rPr>
              <w:t>Treated area of human skin</w:t>
            </w:r>
          </w:p>
        </w:tc>
        <w:tc>
          <w:tcPr>
            <w:tcW w:w="871" w:type="pct"/>
            <w:tcBorders>
              <w:top w:val="single" w:sz="4" w:space="0" w:color="auto"/>
              <w:left w:val="single" w:sz="4" w:space="0" w:color="auto"/>
              <w:bottom w:val="single" w:sz="4" w:space="0" w:color="auto"/>
              <w:right w:val="single" w:sz="4" w:space="0" w:color="auto"/>
            </w:tcBorders>
            <w:hideMark/>
          </w:tcPr>
          <w:p w14:paraId="0B5A37C2" w14:textId="77777777" w:rsidR="00A0626E" w:rsidRDefault="00A0626E" w:rsidP="00A0626E">
            <w:pPr>
              <w:pStyle w:val="Standaard-Tabellen"/>
              <w:rPr>
                <w:rFonts w:eastAsia="Calibri"/>
                <w:color w:val="000000"/>
                <w:vertAlign w:val="subscript"/>
              </w:rPr>
            </w:pPr>
            <w:r>
              <w:rPr>
                <w:rFonts w:eastAsia="Calibri"/>
                <w:color w:val="000000"/>
              </w:rPr>
              <w:t>AREA</w:t>
            </w:r>
            <w:r>
              <w:rPr>
                <w:rFonts w:eastAsia="Calibri"/>
                <w:color w:val="000000"/>
                <w:vertAlign w:val="subscript"/>
              </w:rPr>
              <w:t>skin</w:t>
            </w:r>
          </w:p>
        </w:tc>
        <w:tc>
          <w:tcPr>
            <w:tcW w:w="420" w:type="pct"/>
            <w:tcBorders>
              <w:top w:val="single" w:sz="4" w:space="0" w:color="auto"/>
              <w:left w:val="single" w:sz="4" w:space="0" w:color="auto"/>
              <w:bottom w:val="single" w:sz="4" w:space="0" w:color="auto"/>
              <w:right w:val="single" w:sz="4" w:space="0" w:color="auto"/>
            </w:tcBorders>
            <w:hideMark/>
          </w:tcPr>
          <w:p w14:paraId="1F19D689" w14:textId="77777777" w:rsidR="00A0626E" w:rsidRPr="0074492C" w:rsidRDefault="009F286C" w:rsidP="00A0626E">
            <w:pPr>
              <w:pStyle w:val="Standaard-Tabellen"/>
              <w:rPr>
                <w:rFonts w:eastAsia="Calibri"/>
              </w:rPr>
            </w:pPr>
            <w:r w:rsidRPr="0074492C">
              <w:rPr>
                <w:rFonts w:eastAsia="Calibri"/>
              </w:rPr>
              <w:t>1110</w:t>
            </w:r>
          </w:p>
        </w:tc>
        <w:tc>
          <w:tcPr>
            <w:tcW w:w="506" w:type="pct"/>
            <w:tcBorders>
              <w:top w:val="single" w:sz="4" w:space="0" w:color="auto"/>
              <w:left w:val="single" w:sz="4" w:space="0" w:color="auto"/>
              <w:bottom w:val="single" w:sz="4" w:space="0" w:color="auto"/>
              <w:right w:val="single" w:sz="4" w:space="0" w:color="auto"/>
            </w:tcBorders>
            <w:hideMark/>
          </w:tcPr>
          <w:p w14:paraId="3D47FD11" w14:textId="77777777" w:rsidR="00A0626E" w:rsidRDefault="00A0626E" w:rsidP="00A0626E">
            <w:pPr>
              <w:pStyle w:val="Standaard-Tabellen"/>
              <w:rPr>
                <w:rFonts w:eastAsia="Calibri"/>
                <w:color w:val="000000"/>
              </w:rPr>
            </w:pPr>
            <w:r>
              <w:rPr>
                <w:rFonts w:eastAsia="Calibri"/>
                <w:color w:val="000000"/>
              </w:rPr>
              <w:t>cm²</w:t>
            </w:r>
          </w:p>
        </w:tc>
        <w:tc>
          <w:tcPr>
            <w:tcW w:w="2092" w:type="pct"/>
            <w:tcBorders>
              <w:top w:val="single" w:sz="4" w:space="0" w:color="auto"/>
              <w:left w:val="single" w:sz="4" w:space="0" w:color="auto"/>
              <w:bottom w:val="single" w:sz="4" w:space="0" w:color="auto"/>
              <w:right w:val="single" w:sz="4" w:space="0" w:color="auto"/>
            </w:tcBorders>
            <w:hideMark/>
          </w:tcPr>
          <w:p w14:paraId="0DC450F7" w14:textId="77777777" w:rsidR="00A0626E" w:rsidRDefault="00E744A3" w:rsidP="00A0626E">
            <w:pPr>
              <w:pStyle w:val="Standaard-Tabellen"/>
              <w:rPr>
                <w:rFonts w:eastAsia="Calibri"/>
                <w:color w:val="000000"/>
              </w:rPr>
            </w:pPr>
            <w:r>
              <w:rPr>
                <w:rFonts w:eastAsia="Calibri"/>
                <w:color w:val="000000"/>
              </w:rPr>
              <w:t>(see above)</w:t>
            </w:r>
          </w:p>
        </w:tc>
      </w:tr>
      <w:tr w:rsidR="00A0626E" w14:paraId="550474BC" w14:textId="77777777" w:rsidTr="00A0626E">
        <w:trPr>
          <w:trHeight w:val="93"/>
        </w:trPr>
        <w:tc>
          <w:tcPr>
            <w:tcW w:w="1111" w:type="pct"/>
            <w:tcBorders>
              <w:top w:val="single" w:sz="4" w:space="0" w:color="auto"/>
              <w:left w:val="single" w:sz="4" w:space="0" w:color="auto"/>
              <w:bottom w:val="single" w:sz="4" w:space="0" w:color="auto"/>
              <w:right w:val="single" w:sz="4" w:space="0" w:color="auto"/>
            </w:tcBorders>
            <w:hideMark/>
          </w:tcPr>
          <w:p w14:paraId="4E6F4C2C" w14:textId="77777777" w:rsidR="00A0626E" w:rsidRDefault="00A0626E" w:rsidP="00A0626E">
            <w:pPr>
              <w:pStyle w:val="Standaard-Tabellen"/>
              <w:rPr>
                <w:rFonts w:eastAsia="Calibri"/>
                <w:color w:val="000000"/>
              </w:rPr>
            </w:pPr>
            <w:r>
              <w:rPr>
                <w:rFonts w:eastAsia="Calibri"/>
                <w:color w:val="000000"/>
              </w:rPr>
              <w:t>Specific density of product</w:t>
            </w:r>
          </w:p>
        </w:tc>
        <w:tc>
          <w:tcPr>
            <w:tcW w:w="871" w:type="pct"/>
            <w:tcBorders>
              <w:top w:val="single" w:sz="4" w:space="0" w:color="auto"/>
              <w:left w:val="single" w:sz="4" w:space="0" w:color="auto"/>
              <w:bottom w:val="single" w:sz="4" w:space="0" w:color="auto"/>
              <w:right w:val="single" w:sz="4" w:space="0" w:color="auto"/>
            </w:tcBorders>
            <w:hideMark/>
          </w:tcPr>
          <w:p w14:paraId="1ECA0BF4" w14:textId="77777777" w:rsidR="00A0626E" w:rsidRDefault="00A0626E" w:rsidP="00A0626E">
            <w:pPr>
              <w:pStyle w:val="Standaard-Tabellen"/>
              <w:rPr>
                <w:rFonts w:eastAsia="Calibri"/>
                <w:color w:val="000000"/>
              </w:rPr>
            </w:pPr>
            <w:r>
              <w:rPr>
                <w:rFonts w:eastAsia="Calibri"/>
                <w:color w:val="000000"/>
              </w:rPr>
              <w:t>RHOform</w:t>
            </w:r>
          </w:p>
        </w:tc>
        <w:tc>
          <w:tcPr>
            <w:tcW w:w="420" w:type="pct"/>
            <w:tcBorders>
              <w:top w:val="single" w:sz="4" w:space="0" w:color="auto"/>
              <w:left w:val="single" w:sz="4" w:space="0" w:color="auto"/>
              <w:bottom w:val="single" w:sz="4" w:space="0" w:color="auto"/>
              <w:right w:val="single" w:sz="4" w:space="0" w:color="auto"/>
            </w:tcBorders>
            <w:hideMark/>
          </w:tcPr>
          <w:p w14:paraId="48394C8F" w14:textId="77777777" w:rsidR="00A0626E" w:rsidRDefault="00A0626E" w:rsidP="00A0626E">
            <w:pPr>
              <w:pStyle w:val="Standaard-Tabellen"/>
              <w:rPr>
                <w:rFonts w:eastAsia="Calibri"/>
                <w:color w:val="000000"/>
              </w:rPr>
            </w:pPr>
            <w:r>
              <w:rPr>
                <w:rFonts w:eastAsia="Calibri"/>
                <w:color w:val="000000"/>
              </w:rPr>
              <w:t>1000</w:t>
            </w:r>
          </w:p>
        </w:tc>
        <w:tc>
          <w:tcPr>
            <w:tcW w:w="506" w:type="pct"/>
            <w:tcBorders>
              <w:top w:val="single" w:sz="4" w:space="0" w:color="auto"/>
              <w:left w:val="single" w:sz="4" w:space="0" w:color="auto"/>
              <w:bottom w:val="single" w:sz="4" w:space="0" w:color="auto"/>
              <w:right w:val="single" w:sz="4" w:space="0" w:color="auto"/>
            </w:tcBorders>
            <w:hideMark/>
          </w:tcPr>
          <w:p w14:paraId="593AD746" w14:textId="77777777" w:rsidR="00A0626E" w:rsidRDefault="00A0626E" w:rsidP="00A0626E">
            <w:pPr>
              <w:pStyle w:val="Standaard-Tabellen"/>
              <w:rPr>
                <w:rFonts w:eastAsia="Calibri"/>
                <w:color w:val="000000"/>
              </w:rPr>
            </w:pPr>
            <w:r>
              <w:rPr>
                <w:rFonts w:eastAsia="Calibri"/>
                <w:color w:val="000000"/>
              </w:rPr>
              <w:t>kg/m³</w:t>
            </w:r>
          </w:p>
        </w:tc>
        <w:tc>
          <w:tcPr>
            <w:tcW w:w="2092" w:type="pct"/>
            <w:tcBorders>
              <w:top w:val="single" w:sz="4" w:space="0" w:color="auto"/>
              <w:left w:val="single" w:sz="4" w:space="0" w:color="auto"/>
              <w:bottom w:val="single" w:sz="4" w:space="0" w:color="auto"/>
              <w:right w:val="single" w:sz="4" w:space="0" w:color="auto"/>
            </w:tcBorders>
            <w:hideMark/>
          </w:tcPr>
          <w:p w14:paraId="416183A7" w14:textId="77777777" w:rsidR="00A0626E" w:rsidRDefault="00A0626E" w:rsidP="00A0626E">
            <w:pPr>
              <w:pStyle w:val="Standaard-Tabellen"/>
              <w:rPr>
                <w:rFonts w:eastAsia="Calibri"/>
                <w:color w:val="000000"/>
              </w:rPr>
            </w:pPr>
            <w:r>
              <w:rPr>
                <w:rFonts w:eastAsia="Calibri"/>
                <w:color w:val="000000"/>
              </w:rPr>
              <w:t>D</w:t>
            </w:r>
          </w:p>
        </w:tc>
      </w:tr>
    </w:tbl>
    <w:p w14:paraId="26FF2CAF" w14:textId="77777777" w:rsidR="00A0626E" w:rsidRDefault="00A0626E" w:rsidP="00A0626E">
      <w:pPr>
        <w:rPr>
          <w:rFonts w:eastAsia="Calibri"/>
          <w:lang w:val="en-US" w:eastAsia="en-US"/>
        </w:rPr>
      </w:pPr>
    </w:p>
    <w:p w14:paraId="26620DFE" w14:textId="77777777" w:rsidR="00A0626E" w:rsidRPr="00FA1978" w:rsidRDefault="00A0626E" w:rsidP="00A0626E">
      <w:pPr>
        <w:pStyle w:val="Titre7"/>
      </w:pPr>
      <w:r w:rsidRPr="00FA1978">
        <w:t>Intermediate calculation for Scenario 2</w:t>
      </w:r>
    </w:p>
    <w:p w14:paraId="1ABF89A4" w14:textId="77777777" w:rsidR="00A0626E" w:rsidRDefault="00A0626E" w:rsidP="00A0626E">
      <w:pPr>
        <w:rPr>
          <w:b/>
          <w:lang w:val="en-US" w:eastAsia="en-US"/>
        </w:rPr>
      </w:pPr>
      <w:r w:rsidRPr="003D5898">
        <w:rPr>
          <w:b/>
          <w:lang w:val="en-US" w:eastAsia="en-US"/>
        </w:rPr>
        <w:sym w:font="Wingdings" w:char="F0E0"/>
      </w:r>
      <w:r>
        <w:rPr>
          <w:b/>
          <w:lang w:val="en-US" w:eastAsia="en-US"/>
        </w:rPr>
        <w:t xml:space="preserve"> B and D2</w:t>
      </w:r>
    </w:p>
    <w:p w14:paraId="41100D2E" w14:textId="1D2F9C28" w:rsidR="00A0626E" w:rsidRPr="003D5898" w:rsidRDefault="000D0DA7" w:rsidP="00A0626E">
      <w:pPr>
        <w:pBdr>
          <w:top w:val="single" w:sz="4" w:space="1" w:color="auto"/>
          <w:left w:val="single" w:sz="4" w:space="4" w:color="auto"/>
          <w:bottom w:val="single" w:sz="4" w:space="1" w:color="auto"/>
          <w:right w:val="single" w:sz="4" w:space="4" w:color="auto"/>
        </w:pBdr>
        <w:rPr>
          <w:lang w:val="en-US" w:eastAsia="en-US"/>
        </w:rPr>
      </w:pPr>
      <m:oMathPara>
        <m:oMath>
          <m:sSub>
            <m:sSubPr>
              <m:ctrlPr>
                <w:rPr>
                  <w:rFonts w:ascii="Cambria Math" w:hAnsi="Cambria Math"/>
                  <w:i/>
                  <w:lang w:val="en-US" w:eastAsia="en-US"/>
                </w:rPr>
              </m:ctrlPr>
            </m:sSubPr>
            <m:e>
              <m:r>
                <w:rPr>
                  <w:rFonts w:ascii="Cambria Math" w:hAnsi="Cambria Math"/>
                  <w:lang w:val="en-US" w:eastAsia="en-US"/>
                </w:rPr>
                <m:t>Elocal</m:t>
              </m:r>
            </m:e>
            <m:sub>
              <m:r>
                <w:rPr>
                  <w:rFonts w:ascii="Cambria Math" w:hAnsi="Cambria Math"/>
                  <w:lang w:val="en-US" w:eastAsia="en-US"/>
                </w:rPr>
                <m:t>water</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N</m:t>
              </m:r>
            </m:e>
            <m:sub>
              <m:r>
                <w:rPr>
                  <w:rFonts w:ascii="Cambria Math" w:hAnsi="Cambria Math"/>
                  <w:lang w:val="en-US" w:eastAsia="en-US"/>
                </w:rPr>
                <m:t>swimmer</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N</m:t>
              </m:r>
            </m:e>
            <m:sub>
              <m:r>
                <w:rPr>
                  <w:rFonts w:ascii="Cambria Math" w:hAnsi="Cambria Math"/>
                  <w:lang w:val="en-US" w:eastAsia="en-US"/>
                </w:rPr>
                <m:t>appl</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Qform</m:t>
              </m:r>
            </m:e>
            <m:sub>
              <m:r>
                <w:rPr>
                  <w:rFonts w:ascii="Cambria Math" w:hAnsi="Cambria Math"/>
                  <w:lang w:val="en-US" w:eastAsia="en-US"/>
                </w:rPr>
                <m:t>appl</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AREA</m:t>
              </m:r>
            </m:e>
            <m:sub>
              <m:r>
                <w:rPr>
                  <w:rFonts w:ascii="Cambria Math" w:hAnsi="Cambria Math"/>
                  <w:lang w:val="en-US" w:eastAsia="en-US"/>
                </w:rPr>
                <m:t>skin</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Cform</m:t>
              </m:r>
            </m:e>
            <m:sub>
              <m:r>
                <w:rPr>
                  <w:rFonts w:ascii="Cambria Math" w:hAnsi="Cambria Math"/>
                  <w:lang w:val="en-US" w:eastAsia="en-US"/>
                </w:rPr>
                <m:t>weight</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swim</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waterbody</m:t>
              </m:r>
            </m:sub>
          </m:sSub>
          <m:r>
            <w:rPr>
              <w:rFonts w:ascii="Cambria Math" w:hAnsi="Cambria Math"/>
              <w:lang w:val="en-US" w:eastAsia="en-US"/>
            </w:rPr>
            <m:t>×</m:t>
          </m:r>
          <m:sSup>
            <m:sSupPr>
              <m:ctrlPr>
                <w:rPr>
                  <w:rFonts w:ascii="Cambria Math" w:hAnsi="Cambria Math"/>
                  <w:i/>
                  <w:lang w:val="en-US" w:eastAsia="en-US"/>
                </w:rPr>
              </m:ctrlPr>
            </m:sSupPr>
            <m:e>
              <m:r>
                <w:rPr>
                  <w:rFonts w:ascii="Cambria Math" w:hAnsi="Cambria Math"/>
                  <w:lang w:val="en-US" w:eastAsia="en-US"/>
                </w:rPr>
                <m:t>10</m:t>
              </m:r>
            </m:e>
            <m:sup>
              <m:r>
                <w:rPr>
                  <w:rFonts w:ascii="Cambria Math" w:hAnsi="Cambria Math"/>
                  <w:lang w:val="en-US" w:eastAsia="en-US"/>
                </w:rPr>
                <m:t>-9</m:t>
              </m:r>
            </m:sup>
          </m:sSup>
        </m:oMath>
      </m:oMathPara>
    </w:p>
    <w:p w14:paraId="1FD664D2" w14:textId="77777777" w:rsidR="00A0626E" w:rsidRPr="00FD2055" w:rsidRDefault="00A0626E" w:rsidP="00A0626E">
      <w:pPr>
        <w:rPr>
          <w:rFonts w:eastAsia="Calibri"/>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A0626E" w:rsidRPr="00092E70" w14:paraId="6DEB1AEA" w14:textId="77777777" w:rsidTr="00A0626E">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EE68E39" w14:textId="77777777" w:rsidR="00A0626E" w:rsidRPr="00092E70" w:rsidRDefault="00A0626E" w:rsidP="00A0626E">
            <w:pPr>
              <w:pStyle w:val="Standaard-Tabellen"/>
              <w:rPr>
                <w:rFonts w:eastAsia="Calibri"/>
                <w:b/>
              </w:rPr>
            </w:pPr>
            <w:r w:rsidRPr="00092E70">
              <w:rPr>
                <w:rFonts w:eastAsia="Calibri"/>
                <w:b/>
              </w:rPr>
              <w:t>Resulting local emission to relevant environmental compartments</w:t>
            </w:r>
          </w:p>
        </w:tc>
      </w:tr>
      <w:tr w:rsidR="00A0626E" w:rsidRPr="00092E70" w14:paraId="407A385D" w14:textId="77777777" w:rsidTr="00A0626E">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6F7466BC" w14:textId="77777777" w:rsidR="00A0626E" w:rsidRPr="00092E70" w:rsidRDefault="00A0626E" w:rsidP="00A0626E">
            <w:pPr>
              <w:pStyle w:val="Standaard-Tabellen"/>
              <w:rPr>
                <w:rFonts w:eastAsia="Calibri"/>
                <w:b/>
              </w:rPr>
            </w:pPr>
            <w:r w:rsidRPr="00092E70">
              <w:rPr>
                <w:rFonts w:eastAsia="Calibri"/>
                <w:b/>
              </w:rPr>
              <w:t>Compartment</w:t>
            </w:r>
          </w:p>
        </w:tc>
        <w:tc>
          <w:tcPr>
            <w:tcW w:w="3610"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5F963182" w14:textId="77777777" w:rsidR="00A0626E" w:rsidRPr="00092E70" w:rsidRDefault="00A0626E" w:rsidP="00A0626E">
            <w:pPr>
              <w:pStyle w:val="Standaard-Tabellen"/>
              <w:rPr>
                <w:rFonts w:eastAsia="Calibri"/>
                <w:b/>
              </w:rPr>
            </w:pPr>
            <w:r w:rsidRPr="00092E70">
              <w:rPr>
                <w:rFonts w:eastAsia="Calibri"/>
                <w:b/>
              </w:rPr>
              <w:t>Local emission (Elocal</w:t>
            </w:r>
            <w:r w:rsidRPr="00FA1978">
              <w:rPr>
                <w:rFonts w:eastAsia="Calibri"/>
                <w:b/>
                <w:vertAlign w:val="subscript"/>
              </w:rPr>
              <w:t>compartment</w:t>
            </w:r>
            <w:r w:rsidRPr="00092E70">
              <w:rPr>
                <w:rFonts w:eastAsia="Calibri"/>
                <w:b/>
              </w:rPr>
              <w:t>) [kg/d]</w:t>
            </w:r>
          </w:p>
        </w:tc>
        <w:tc>
          <w:tcPr>
            <w:tcW w:w="3159"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1FF621C5" w14:textId="77777777" w:rsidR="00A0626E" w:rsidRPr="00092E70" w:rsidRDefault="00A0626E" w:rsidP="00A0626E">
            <w:pPr>
              <w:pStyle w:val="Standaard-Tabellen"/>
              <w:rPr>
                <w:rFonts w:eastAsia="Calibri"/>
                <w:b/>
              </w:rPr>
            </w:pPr>
            <w:r w:rsidRPr="00092E70">
              <w:rPr>
                <w:rFonts w:eastAsia="Calibri"/>
                <w:b/>
              </w:rPr>
              <w:t>Remarks</w:t>
            </w:r>
          </w:p>
        </w:tc>
      </w:tr>
      <w:tr w:rsidR="00A0626E" w:rsidRPr="00092E70" w14:paraId="0C32EF1F" w14:textId="77777777" w:rsidTr="00A0626E">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BD131A9" w14:textId="46866C9E" w:rsidR="00A0626E" w:rsidRPr="00092E70" w:rsidRDefault="0039777E" w:rsidP="00A0626E">
            <w:pPr>
              <w:pStyle w:val="Standaard-Tabellen"/>
            </w:pPr>
            <w:r>
              <w:t>Surface</w:t>
            </w:r>
            <w:r w:rsidRPr="00092E70">
              <w:t xml:space="preserve"> </w:t>
            </w:r>
            <w:r w:rsidR="00A0626E" w:rsidRPr="00092E70">
              <w:t>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6AED20" w14:textId="77777777" w:rsidR="00A0626E" w:rsidRPr="00B97132" w:rsidRDefault="00E744A3" w:rsidP="00A0626E">
            <w:pPr>
              <w:pStyle w:val="Standaard-Tabellen"/>
            </w:pPr>
            <w:r w:rsidRPr="00B97132">
              <w:t>0.02</w:t>
            </w:r>
            <w:r w:rsidR="00B97132" w:rsidRPr="00B97132">
              <w:t>0</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17981B" w14:textId="77777777" w:rsidR="00A0626E" w:rsidRPr="00092E70" w:rsidRDefault="00A0626E" w:rsidP="00A0626E">
            <w:pPr>
              <w:pStyle w:val="Standaard-Tabellen"/>
            </w:pPr>
            <w:r w:rsidRPr="00092E70">
              <w:t>/</w:t>
            </w:r>
          </w:p>
        </w:tc>
      </w:tr>
    </w:tbl>
    <w:p w14:paraId="190C2B4A" w14:textId="77777777" w:rsidR="00A0626E" w:rsidRDefault="00A0626E" w:rsidP="00A0626E">
      <w:pPr>
        <w:rPr>
          <w:rFonts w:eastAsia="Calibri"/>
          <w:lang w:eastAsia="en-US"/>
        </w:rPr>
      </w:pPr>
    </w:p>
    <w:p w14:paraId="02E5841D" w14:textId="77777777" w:rsidR="00A0626E" w:rsidRPr="00FA1978" w:rsidRDefault="00A0626E" w:rsidP="00A0626E">
      <w:pPr>
        <w:pStyle w:val="Titre7"/>
      </w:pPr>
      <w:r w:rsidRPr="00FA1978">
        <w:t>Final calculation for scenario 2</w:t>
      </w:r>
    </w:p>
    <w:p w14:paraId="3A09F1ED" w14:textId="77777777" w:rsidR="00A0626E" w:rsidRDefault="00A0626E" w:rsidP="00A0626E">
      <w:pPr>
        <w:rPr>
          <w:rFonts w:eastAsia="Calibri"/>
          <w:lang w:eastAsia="en-US"/>
        </w:rPr>
      </w:pPr>
      <w:r>
        <w:rPr>
          <w:rFonts w:eastAsia="Calibri"/>
          <w:lang w:eastAsia="en-US"/>
        </w:rPr>
        <w:t xml:space="preserve">In the intermediate calculation a local daily emission to the surface water body due to swimmers treated with the repellent, was calculated. In order to assess the impact of this emission on the aquatic life in this waterbody, the actual concentration in active substance in this waterbody should be calculated. </w:t>
      </w:r>
    </w:p>
    <w:p w14:paraId="2A92DD14" w14:textId="77777777" w:rsidR="00A0626E" w:rsidRDefault="00A0626E" w:rsidP="00A0626E">
      <w:pPr>
        <w:rPr>
          <w:rFonts w:eastAsia="Calibri"/>
          <w:lang w:eastAsia="en-US"/>
        </w:rPr>
      </w:pPr>
      <w:r>
        <w:rPr>
          <w:rFonts w:eastAsia="Calibri"/>
          <w:lang w:eastAsia="en-US"/>
        </w:rPr>
        <w:t>As a first TIER evaluation concentrations are calculated for emission periods of 1 day and 91 days, without taking into account possible degradation progresses, which represents the worst-case.</w:t>
      </w:r>
    </w:p>
    <w:p w14:paraId="5F3819C9" w14:textId="77777777" w:rsidR="00A0626E" w:rsidRDefault="00A0626E" w:rsidP="00A0626E">
      <w:pPr>
        <w:rPr>
          <w:rFonts w:eastAsia="Calibri"/>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638"/>
        <w:gridCol w:w="966"/>
        <w:gridCol w:w="634"/>
        <w:gridCol w:w="2718"/>
      </w:tblGrid>
      <w:tr w:rsidR="00A0626E" w:rsidRPr="00FA1978" w14:paraId="32B25936" w14:textId="77777777" w:rsidTr="00A0626E">
        <w:trPr>
          <w:trHeight w:val="346"/>
        </w:trPr>
        <w:tc>
          <w:tcPr>
            <w:tcW w:w="0" w:type="auto"/>
            <w:gridSpan w:val="5"/>
            <w:tcBorders>
              <w:top w:val="single" w:sz="4" w:space="0" w:color="auto"/>
              <w:left w:val="single" w:sz="4" w:space="0" w:color="auto"/>
              <w:bottom w:val="single" w:sz="4" w:space="0" w:color="auto"/>
              <w:right w:val="single" w:sz="4" w:space="0" w:color="auto"/>
            </w:tcBorders>
            <w:shd w:val="clear" w:color="auto" w:fill="FFFFCC"/>
            <w:vAlign w:val="center"/>
            <w:hideMark/>
          </w:tcPr>
          <w:p w14:paraId="064225D7" w14:textId="77777777" w:rsidR="00A0626E" w:rsidRPr="00FA1978" w:rsidRDefault="00A0626E" w:rsidP="00A0626E">
            <w:pPr>
              <w:pStyle w:val="Standaard-Tabellen"/>
              <w:rPr>
                <w:rFonts w:eastAsia="Calibri"/>
                <w:b/>
              </w:rPr>
            </w:pPr>
            <w:r w:rsidRPr="00FA1978">
              <w:rPr>
                <w:rFonts w:eastAsia="Calibri"/>
                <w:b/>
              </w:rPr>
              <w:t>Input parameters for calculating surface water concentration</w:t>
            </w:r>
          </w:p>
        </w:tc>
      </w:tr>
      <w:tr w:rsidR="00A0626E" w:rsidRPr="00FA1978" w14:paraId="2B80C5E3" w14:textId="77777777" w:rsidTr="00A0626E">
        <w:trPr>
          <w:trHeight w:val="7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15379E" w14:textId="77777777" w:rsidR="00A0626E" w:rsidRPr="00FA1978" w:rsidRDefault="00A0626E" w:rsidP="00A0626E">
            <w:pPr>
              <w:pStyle w:val="Standaard-Tabellen"/>
              <w:rPr>
                <w:rFonts w:eastAsia="Calibri" w:cs="Arial"/>
                <w:b/>
                <w:color w:val="000000"/>
              </w:rPr>
            </w:pPr>
            <w:r w:rsidRPr="00FA1978">
              <w:rPr>
                <w:rFonts w:eastAsia="Calibri" w:cs="Arial"/>
                <w:b/>
                <w:color w:val="000000"/>
              </w:rPr>
              <w:t xml:space="preserve">Input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03A1C8" w14:textId="77777777" w:rsidR="00A0626E" w:rsidRPr="00FA1978" w:rsidRDefault="00A0626E" w:rsidP="00A0626E">
            <w:pPr>
              <w:pStyle w:val="Standaard-Tabellen"/>
              <w:rPr>
                <w:rFonts w:eastAsia="Calibri" w:cs="Arial"/>
                <w:b/>
                <w:color w:val="000000"/>
              </w:rPr>
            </w:pPr>
            <w:r w:rsidRPr="00FA1978">
              <w:rPr>
                <w:rFonts w:eastAsia="Calibri" w:cs="Arial"/>
                <w:b/>
                <w:color w:val="000000"/>
              </w:rPr>
              <w:t>Nomenclature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625962" w14:textId="77777777" w:rsidR="00A0626E" w:rsidRPr="00FA1978" w:rsidRDefault="00A0626E" w:rsidP="00A0626E">
            <w:pPr>
              <w:pStyle w:val="Standaard-Tabellen"/>
              <w:rPr>
                <w:rFonts w:eastAsia="Calibri" w:cs="Arial"/>
                <w:b/>
                <w:color w:val="000000"/>
              </w:rPr>
            </w:pPr>
            <w:r w:rsidRPr="00FA1978">
              <w:rPr>
                <w:rFonts w:eastAsia="Calibri" w:cs="Arial"/>
                <w:b/>
                <w:color w:val="000000"/>
              </w:rPr>
              <w:t xml:space="preserve">Value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0BFBCF" w14:textId="77777777" w:rsidR="00A0626E" w:rsidRPr="00FA1978" w:rsidRDefault="00A0626E" w:rsidP="00A0626E">
            <w:pPr>
              <w:pStyle w:val="Standaard-Tabellen"/>
              <w:rPr>
                <w:rFonts w:eastAsia="Calibri" w:cs="Arial"/>
                <w:b/>
                <w:color w:val="000000"/>
              </w:rPr>
            </w:pPr>
            <w:r w:rsidRPr="00FA1978">
              <w:rPr>
                <w:rFonts w:eastAsia="Calibri" w:cs="Arial"/>
                <w:b/>
                <w:color w:val="000000"/>
              </w:rPr>
              <w:t>Unit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C83407" w14:textId="77777777" w:rsidR="00A0626E" w:rsidRPr="00FA1978" w:rsidRDefault="00A0626E" w:rsidP="00A0626E">
            <w:pPr>
              <w:pStyle w:val="Standaard-Tabellen"/>
              <w:rPr>
                <w:rFonts w:eastAsia="Calibri" w:cs="Arial"/>
                <w:b/>
                <w:color w:val="000000"/>
              </w:rPr>
            </w:pPr>
            <w:r w:rsidRPr="00FA1978">
              <w:rPr>
                <w:rFonts w:eastAsia="Calibri" w:cs="Arial"/>
                <w:b/>
                <w:color w:val="000000"/>
              </w:rPr>
              <w:t>Remarks</w:t>
            </w:r>
          </w:p>
        </w:tc>
      </w:tr>
      <w:tr w:rsidR="00A0626E" w:rsidRPr="00FA1978" w14:paraId="23FAFC62" w14:textId="77777777" w:rsidTr="00A0626E">
        <w:trPr>
          <w:trHeight w:val="75"/>
        </w:trPr>
        <w:tc>
          <w:tcPr>
            <w:tcW w:w="0" w:type="auto"/>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6346B09" w14:textId="77777777" w:rsidR="00A0626E" w:rsidRDefault="00A0626E" w:rsidP="00A0626E">
            <w:pPr>
              <w:pStyle w:val="Standaard-Tabellen"/>
              <w:rPr>
                <w:rFonts w:eastAsia="Calibri"/>
                <w:i/>
                <w:color w:val="000000"/>
              </w:rPr>
            </w:pPr>
            <w:r>
              <w:rPr>
                <w:rFonts w:eastAsia="Calibri"/>
                <w:i/>
                <w:color w:val="000000"/>
              </w:rPr>
              <w:t>Scenario</w:t>
            </w:r>
            <w:r>
              <w:rPr>
                <w:rFonts w:eastAsia="Calibri"/>
                <w:i/>
              </w:rPr>
              <w:t>: Release of repellents used on human skin due to swimming activities in surface water bodies</w:t>
            </w:r>
          </w:p>
        </w:tc>
      </w:tr>
      <w:tr w:rsidR="00A0626E" w14:paraId="7C653076" w14:textId="77777777" w:rsidTr="00A0626E">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6EB0F358" w14:textId="77777777" w:rsidR="00A0626E" w:rsidRDefault="00A0626E" w:rsidP="00A0626E">
            <w:pPr>
              <w:pStyle w:val="Standaard-Tabellen"/>
              <w:rPr>
                <w:rFonts w:eastAsia="Calibri"/>
                <w:color w:val="000000"/>
              </w:rPr>
            </w:pPr>
            <w:r>
              <w:rPr>
                <w:rFonts w:eastAsia="Calibri"/>
                <w:color w:val="000000"/>
              </w:rPr>
              <w:t>Local emission to surface water body</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47C92" w14:textId="77777777" w:rsidR="00A0626E" w:rsidRDefault="00A0626E" w:rsidP="00A0626E">
            <w:pPr>
              <w:pStyle w:val="Standaard-Tabellen"/>
              <w:rPr>
                <w:rFonts w:eastAsia="Calibri"/>
                <w:color w:val="000000"/>
                <w:vertAlign w:val="subscript"/>
              </w:rPr>
            </w:pPr>
            <w:r>
              <w:rPr>
                <w:rFonts w:eastAsia="Calibri"/>
                <w:color w:val="000000"/>
              </w:rPr>
              <w:t>Elocal</w:t>
            </w:r>
            <w:r>
              <w:rPr>
                <w:rFonts w:eastAsia="Calibri"/>
                <w:color w:val="000000"/>
                <w:vertAlign w:val="subscript"/>
              </w:rPr>
              <w:t>water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B9B6C" w14:textId="77777777" w:rsidR="00A0626E" w:rsidRPr="00FA1978" w:rsidRDefault="00C763DE" w:rsidP="00B534E4">
            <w:pPr>
              <w:pStyle w:val="Standaard-Tabellen"/>
              <w:rPr>
                <w:rFonts w:eastAsia="Calibri"/>
                <w:vertAlign w:val="superscript"/>
              </w:rPr>
            </w:pPr>
            <w:r>
              <w:rPr>
                <w:rFonts w:eastAsia="Calibri"/>
              </w:rPr>
              <w:t>0.02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E6426B" w14:textId="77777777" w:rsidR="00A0626E" w:rsidRDefault="00A0626E" w:rsidP="00A0626E">
            <w:pPr>
              <w:pStyle w:val="Standaard-Tabellen"/>
              <w:rPr>
                <w:rFonts w:eastAsia="Calibri"/>
                <w:color w:val="000000"/>
              </w:rPr>
            </w:pPr>
            <w:r>
              <w:rPr>
                <w:rFonts w:eastAsia="Calibri"/>
                <w:color w:val="000000"/>
              </w:rPr>
              <w:t>kg/d</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EE7F3" w14:textId="77777777" w:rsidR="00A0626E" w:rsidRDefault="00A0626E" w:rsidP="00A0626E">
            <w:pPr>
              <w:pStyle w:val="Standaard-Tabellen"/>
              <w:rPr>
                <w:rFonts w:eastAsia="Calibri"/>
                <w:color w:val="000000"/>
              </w:rPr>
            </w:pPr>
            <w:r>
              <w:rPr>
                <w:rFonts w:eastAsia="Calibri"/>
                <w:color w:val="000000"/>
              </w:rPr>
              <w:t>O (Intermediate calculation)</w:t>
            </w:r>
          </w:p>
        </w:tc>
      </w:tr>
      <w:tr w:rsidR="00A0626E" w14:paraId="120884F5" w14:textId="77777777" w:rsidTr="00A0626E">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5101213E" w14:textId="77777777" w:rsidR="00A0626E" w:rsidRDefault="00A0626E" w:rsidP="00A0626E">
            <w:pPr>
              <w:pStyle w:val="Standaard-Tabellen"/>
              <w:rPr>
                <w:rFonts w:eastAsia="Calibri"/>
                <w:color w:val="000000"/>
              </w:rPr>
            </w:pPr>
            <w:r>
              <w:rPr>
                <w:rFonts w:eastAsia="Calibri"/>
                <w:color w:val="000000"/>
              </w:rPr>
              <w:t>Volume of water body</w:t>
            </w:r>
          </w:p>
        </w:tc>
        <w:tc>
          <w:tcPr>
            <w:tcW w:w="0" w:type="auto"/>
            <w:tcBorders>
              <w:top w:val="single" w:sz="4" w:space="0" w:color="auto"/>
              <w:left w:val="single" w:sz="4" w:space="0" w:color="auto"/>
              <w:bottom w:val="single" w:sz="4" w:space="0" w:color="auto"/>
              <w:right w:val="single" w:sz="4" w:space="0" w:color="auto"/>
            </w:tcBorders>
            <w:vAlign w:val="center"/>
            <w:hideMark/>
          </w:tcPr>
          <w:p w14:paraId="33652376" w14:textId="77777777" w:rsidR="00A0626E" w:rsidRDefault="00A0626E" w:rsidP="00A0626E">
            <w:pPr>
              <w:pStyle w:val="Standaard-Tabellen"/>
              <w:rPr>
                <w:rFonts w:eastAsia="Calibri"/>
                <w:color w:val="000000"/>
                <w:vertAlign w:val="subscript"/>
              </w:rPr>
            </w:pPr>
            <w:r>
              <w:rPr>
                <w:rFonts w:eastAsia="Calibri"/>
                <w:color w:val="000000"/>
              </w:rPr>
              <w:t>V</w:t>
            </w:r>
            <w:r>
              <w:rPr>
                <w:rFonts w:eastAsia="Calibri"/>
                <w:color w:val="000000"/>
                <w:vertAlign w:val="subscript"/>
              </w:rPr>
              <w:t>waterbody</w:t>
            </w:r>
          </w:p>
        </w:tc>
        <w:tc>
          <w:tcPr>
            <w:tcW w:w="0" w:type="auto"/>
            <w:tcBorders>
              <w:top w:val="single" w:sz="4" w:space="0" w:color="auto"/>
              <w:left w:val="single" w:sz="4" w:space="0" w:color="auto"/>
              <w:bottom w:val="single" w:sz="4" w:space="0" w:color="auto"/>
              <w:right w:val="single" w:sz="4" w:space="0" w:color="auto"/>
            </w:tcBorders>
            <w:vAlign w:val="center"/>
            <w:hideMark/>
          </w:tcPr>
          <w:p w14:paraId="4A0E3AD6" w14:textId="77777777" w:rsidR="00A0626E" w:rsidRDefault="00A0626E" w:rsidP="00A0626E">
            <w:pPr>
              <w:pStyle w:val="Standaard-Tabellen"/>
              <w:rPr>
                <w:rFonts w:eastAsia="Calibri"/>
                <w:color w:val="000000"/>
              </w:rPr>
            </w:pPr>
            <w:r>
              <w:rPr>
                <w:rFonts w:eastAsia="Calibri"/>
                <w:color w:val="000000"/>
              </w:rPr>
              <w:t>435 000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3FCD6" w14:textId="77777777" w:rsidR="00A0626E" w:rsidRDefault="00A0626E" w:rsidP="00A0626E">
            <w:pPr>
              <w:pStyle w:val="Standaard-Tabellen"/>
              <w:rPr>
                <w:rFonts w:eastAsia="Calibri"/>
                <w:color w:val="000000"/>
              </w:rPr>
            </w:pPr>
            <w:r>
              <w:rPr>
                <w:rFonts w:eastAsia="Calibri"/>
                <w:color w:val="000000"/>
              </w:rPr>
              <w:t>m³</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75019" w14:textId="77777777" w:rsidR="00A0626E" w:rsidRDefault="00A0626E" w:rsidP="00A0626E">
            <w:pPr>
              <w:pStyle w:val="Standaard-Tabellen"/>
              <w:rPr>
                <w:rFonts w:eastAsia="Calibri"/>
                <w:color w:val="000000"/>
              </w:rPr>
            </w:pPr>
            <w:r>
              <w:rPr>
                <w:rFonts w:eastAsia="Calibri"/>
                <w:color w:val="000000"/>
              </w:rPr>
              <w:t>D</w:t>
            </w:r>
          </w:p>
        </w:tc>
      </w:tr>
      <w:tr w:rsidR="00A0626E" w14:paraId="06EB4D5C" w14:textId="77777777" w:rsidTr="00A0626E">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6BE1757B" w14:textId="77777777" w:rsidR="00A0626E" w:rsidRDefault="00A0626E" w:rsidP="00A0626E">
            <w:pPr>
              <w:pStyle w:val="Standaard-Tabellen"/>
              <w:rPr>
                <w:rFonts w:eastAsia="Calibri"/>
                <w:color w:val="000000"/>
              </w:rPr>
            </w:pPr>
            <w:r>
              <w:rPr>
                <w:rFonts w:eastAsia="Calibri"/>
                <w:color w:val="000000"/>
              </w:rPr>
              <w:t>Number of emission days TIER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4DEA7" w14:textId="77777777" w:rsidR="00A0626E" w:rsidRDefault="00A0626E" w:rsidP="00A0626E">
            <w:pPr>
              <w:pStyle w:val="Standaard-Tabellen"/>
              <w:rPr>
                <w:rFonts w:eastAsia="Calibri"/>
                <w:color w:val="000000"/>
                <w:vertAlign w:val="subscript"/>
              </w:rPr>
            </w:pPr>
            <w:r>
              <w:rPr>
                <w:rFonts w:eastAsia="Calibri"/>
                <w:color w:val="000000"/>
              </w:rPr>
              <w:t>T</w:t>
            </w:r>
            <w:r>
              <w:rPr>
                <w:rFonts w:eastAsia="Calibri"/>
                <w:color w:val="000000"/>
                <w:vertAlign w:val="subscript"/>
              </w:rPr>
              <w:t>emission, 1d</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E86F6" w14:textId="77777777" w:rsidR="00A0626E" w:rsidRDefault="00A0626E" w:rsidP="00A0626E">
            <w:pPr>
              <w:pStyle w:val="Standaard-Tabellen"/>
              <w:rPr>
                <w:rFonts w:eastAsia="Calibri"/>
                <w:color w:val="000000"/>
              </w:rPr>
            </w:pPr>
            <w:r>
              <w:rPr>
                <w:rFonts w:eastAsia="Calibri"/>
                <w:color w:val="00000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C3A20" w14:textId="77777777" w:rsidR="00A0626E" w:rsidRDefault="00A0626E" w:rsidP="00A0626E">
            <w:pPr>
              <w:pStyle w:val="Standaard-Tabellen"/>
              <w:rPr>
                <w:rFonts w:eastAsia="Calibri"/>
                <w:color w:val="000000"/>
              </w:rPr>
            </w:pPr>
            <w:r>
              <w:rPr>
                <w:rFonts w:eastAsia="Calibri"/>
                <w:color w:val="000000"/>
              </w:rPr>
              <w:t>d</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E9E49" w14:textId="77777777" w:rsidR="00A0626E" w:rsidRDefault="00A0626E" w:rsidP="00A0626E">
            <w:pPr>
              <w:pStyle w:val="Standaard-Tabellen"/>
              <w:rPr>
                <w:rFonts w:eastAsia="Calibri"/>
                <w:color w:val="000000"/>
              </w:rPr>
            </w:pPr>
            <w:r>
              <w:rPr>
                <w:rFonts w:eastAsia="Calibri"/>
                <w:color w:val="000000"/>
              </w:rPr>
              <w:t>D</w:t>
            </w:r>
          </w:p>
        </w:tc>
      </w:tr>
      <w:tr w:rsidR="00A0626E" w14:paraId="5E8666E5" w14:textId="77777777" w:rsidTr="00A0626E">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0C03790C" w14:textId="77777777" w:rsidR="00A0626E" w:rsidRDefault="00A0626E" w:rsidP="00A0626E">
            <w:pPr>
              <w:pStyle w:val="Standaard-Tabellen"/>
              <w:rPr>
                <w:rFonts w:eastAsia="Calibri"/>
                <w:color w:val="000000"/>
              </w:rPr>
            </w:pPr>
            <w:r>
              <w:rPr>
                <w:rFonts w:eastAsia="Calibri"/>
                <w:color w:val="000000"/>
              </w:rPr>
              <w:t>Number of emission days TIER 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784CB" w14:textId="77777777" w:rsidR="00A0626E" w:rsidRDefault="00A0626E" w:rsidP="00A0626E">
            <w:pPr>
              <w:pStyle w:val="Standaard-Tabellen"/>
              <w:rPr>
                <w:rFonts w:eastAsia="Calibri"/>
                <w:color w:val="000000"/>
                <w:vertAlign w:val="subscript"/>
              </w:rPr>
            </w:pPr>
            <w:r>
              <w:rPr>
                <w:rFonts w:eastAsia="Calibri"/>
                <w:color w:val="000000"/>
              </w:rPr>
              <w:t>T</w:t>
            </w:r>
            <w:r>
              <w:rPr>
                <w:rFonts w:eastAsia="Calibri"/>
                <w:color w:val="000000"/>
                <w:vertAlign w:val="subscript"/>
              </w:rPr>
              <w:t>emission, 91d</w:t>
            </w:r>
          </w:p>
        </w:tc>
        <w:tc>
          <w:tcPr>
            <w:tcW w:w="0" w:type="auto"/>
            <w:tcBorders>
              <w:top w:val="single" w:sz="4" w:space="0" w:color="auto"/>
              <w:left w:val="single" w:sz="4" w:space="0" w:color="auto"/>
              <w:bottom w:val="single" w:sz="4" w:space="0" w:color="auto"/>
              <w:right w:val="single" w:sz="4" w:space="0" w:color="auto"/>
            </w:tcBorders>
            <w:vAlign w:val="center"/>
            <w:hideMark/>
          </w:tcPr>
          <w:p w14:paraId="5EBE4BDE" w14:textId="77777777" w:rsidR="00A0626E" w:rsidRDefault="00A0626E" w:rsidP="00A0626E">
            <w:pPr>
              <w:pStyle w:val="Standaard-Tabellen"/>
              <w:rPr>
                <w:rFonts w:eastAsia="Calibri"/>
                <w:color w:val="000000"/>
              </w:rPr>
            </w:pPr>
            <w:r>
              <w:rPr>
                <w:rFonts w:eastAsia="Calibri"/>
                <w:color w:val="000000"/>
              </w:rPr>
              <w:t>91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161AF" w14:textId="77777777" w:rsidR="00A0626E" w:rsidRDefault="00A0626E" w:rsidP="00A0626E">
            <w:pPr>
              <w:pStyle w:val="Standaard-Tabellen"/>
              <w:rPr>
                <w:rFonts w:eastAsia="Calibri"/>
                <w:color w:val="000000"/>
              </w:rPr>
            </w:pPr>
            <w:r>
              <w:rPr>
                <w:rFonts w:eastAsia="Calibri"/>
                <w:color w:val="000000"/>
              </w:rPr>
              <w:t>d</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D4ED7" w14:textId="77777777" w:rsidR="00A0626E" w:rsidRDefault="00A0626E" w:rsidP="00A0626E">
            <w:pPr>
              <w:pStyle w:val="Standaard-Tabellen"/>
              <w:rPr>
                <w:rFonts w:eastAsia="Calibri"/>
                <w:color w:val="000000"/>
              </w:rPr>
            </w:pPr>
            <w:r>
              <w:rPr>
                <w:rFonts w:eastAsia="Calibri"/>
                <w:color w:val="000000"/>
              </w:rPr>
              <w:t>D</w:t>
            </w:r>
          </w:p>
        </w:tc>
      </w:tr>
      <w:tr w:rsidR="00A0626E" w14:paraId="38FF4CB7" w14:textId="77777777" w:rsidTr="00A0626E">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65264265" w14:textId="77777777" w:rsidR="00A0626E" w:rsidRDefault="00A0626E" w:rsidP="00A0626E">
            <w:pPr>
              <w:pStyle w:val="Standaard-Tabellen"/>
              <w:rPr>
                <w:rFonts w:eastAsia="Calibri"/>
                <w:color w:val="000000"/>
              </w:rPr>
            </w:pPr>
            <w:r>
              <w:rPr>
                <w:rFonts w:eastAsia="Calibri"/>
                <w:color w:val="000000"/>
              </w:rPr>
              <w:t>Number of emission events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E096B" w14:textId="77777777" w:rsidR="00A0626E" w:rsidRDefault="00A0626E" w:rsidP="00A0626E">
            <w:pPr>
              <w:pStyle w:val="Standaard-Tabellen"/>
              <w:rPr>
                <w:rFonts w:eastAsia="Calibri"/>
                <w:color w:val="000000"/>
                <w:vertAlign w:val="subscript"/>
              </w:rPr>
            </w:pPr>
            <w:r>
              <w:rPr>
                <w:rFonts w:eastAsia="Calibri"/>
                <w:color w:val="000000"/>
              </w:rPr>
              <w:t>N</w:t>
            </w:r>
            <w:r>
              <w:rPr>
                <w:rFonts w:eastAsia="Calibri"/>
                <w:color w:val="000000"/>
                <w:vertAlign w:val="subscript"/>
              </w:rPr>
              <w:t>emission, 91d</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BF07E" w14:textId="77777777" w:rsidR="00A0626E" w:rsidRDefault="00A0626E" w:rsidP="00A0626E">
            <w:pPr>
              <w:pStyle w:val="Standaard-Tabellen"/>
              <w:rPr>
                <w:rFonts w:eastAsia="Calibri"/>
                <w:color w:val="000000"/>
              </w:rPr>
            </w:pPr>
            <w:r>
              <w:rPr>
                <w:rFonts w:eastAsia="Calibri"/>
                <w:color w:val="000000"/>
              </w:rPr>
              <w:t>91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55C21B" w14:textId="77777777" w:rsidR="00A0626E" w:rsidRDefault="00A0626E" w:rsidP="00A0626E">
            <w:pPr>
              <w:pStyle w:val="Standaard-Tabellen"/>
              <w:rPr>
                <w:rFonts w:eastAsia="Calibri"/>
                <w:color w:val="000000"/>
              </w:rPr>
            </w:pPr>
            <w:r>
              <w:rPr>
                <w:rFonts w:eastAsia="Calibri"/>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43F5B" w14:textId="77777777" w:rsidR="00A0626E" w:rsidRDefault="00A0626E" w:rsidP="00A0626E">
            <w:pPr>
              <w:pStyle w:val="Standaard-Tabellen"/>
              <w:rPr>
                <w:rFonts w:eastAsia="Calibri"/>
                <w:color w:val="000000"/>
              </w:rPr>
            </w:pPr>
            <w:r>
              <w:rPr>
                <w:rFonts w:eastAsia="Calibri"/>
                <w:color w:val="000000"/>
              </w:rPr>
              <w:t>D</w:t>
            </w:r>
          </w:p>
        </w:tc>
      </w:tr>
    </w:tbl>
    <w:p w14:paraId="352EED56" w14:textId="77777777" w:rsidR="00A0626E" w:rsidRDefault="00A0626E" w:rsidP="00A0626E">
      <w:pPr>
        <w:spacing w:line="260" w:lineRule="atLeast"/>
        <w:rPr>
          <w:rFonts w:eastAsia="Calibri"/>
          <w:u w:val="single"/>
          <w:lang w:eastAsia="en-US"/>
        </w:rPr>
      </w:pPr>
    </w:p>
    <w:p w14:paraId="6453C273" w14:textId="77777777" w:rsidR="00A0626E" w:rsidRDefault="000D0DA7" w:rsidP="00A0626E">
      <w:pPr>
        <w:pBdr>
          <w:top w:val="single" w:sz="4" w:space="1" w:color="auto"/>
          <w:left w:val="single" w:sz="4" w:space="4" w:color="auto"/>
          <w:bottom w:val="single" w:sz="4" w:space="1" w:color="auto"/>
          <w:right w:val="single" w:sz="4" w:space="4" w:color="auto"/>
        </w:pBdr>
        <w:rPr>
          <w:rFonts w:eastAsia="Calibri"/>
          <w:lang w:eastAsia="en-US"/>
        </w:rPr>
      </w:pPr>
      <m:oMathPara>
        <m:oMath>
          <m:sSub>
            <m:sSubPr>
              <m:ctrlPr>
                <w:rPr>
                  <w:rFonts w:ascii="Cambria Math" w:eastAsia="Calibri" w:hAnsi="Cambria Math"/>
                  <w:i/>
                  <w:lang w:eastAsia="en-US"/>
                </w:rPr>
              </m:ctrlPr>
            </m:sSubPr>
            <m:e>
              <m:r>
                <w:rPr>
                  <w:rFonts w:ascii="Cambria Math" w:eastAsia="Calibri" w:hAnsi="Cambria Math"/>
                  <w:lang w:eastAsia="en-US"/>
                </w:rPr>
                <m:t>Clocal</m:t>
              </m:r>
            </m:e>
            <m:sub>
              <m:r>
                <w:rPr>
                  <w:rFonts w:ascii="Cambria Math" w:eastAsia="Calibri" w:hAnsi="Cambria Math"/>
                  <w:lang w:eastAsia="en-US"/>
                </w:rPr>
                <m:t>water,1d</m:t>
              </m:r>
            </m:sub>
          </m:sSub>
          <m:r>
            <w:rPr>
              <w:rFonts w:ascii="Cambria Math" w:eastAsia="Calibri" w:hAnsi="Cambria Math"/>
              <w:lang w:eastAsia="en-US"/>
            </w:rPr>
            <m:t>=</m:t>
          </m:r>
          <m:f>
            <m:fPr>
              <m:ctrlPr>
                <w:rPr>
                  <w:rFonts w:ascii="Cambria Math" w:eastAsia="Calibri" w:hAnsi="Cambria Math"/>
                  <w:i/>
                  <w:lang w:eastAsia="en-US"/>
                </w:rPr>
              </m:ctrlPr>
            </m:fPr>
            <m:num>
              <m:sSub>
                <m:sSubPr>
                  <m:ctrlPr>
                    <w:rPr>
                      <w:rFonts w:ascii="Cambria Math" w:eastAsia="Calibri" w:hAnsi="Cambria Math"/>
                      <w:i/>
                      <w:lang w:eastAsia="en-US"/>
                    </w:rPr>
                  </m:ctrlPr>
                </m:sSubPr>
                <m:e>
                  <m:r>
                    <w:rPr>
                      <w:rFonts w:ascii="Cambria Math" w:eastAsia="Calibri" w:hAnsi="Cambria Math"/>
                      <w:lang w:eastAsia="en-US"/>
                    </w:rPr>
                    <m:t>Elocal</m:t>
                  </m:r>
                </m:e>
                <m:sub>
                  <m:r>
                    <w:rPr>
                      <w:rFonts w:ascii="Cambria Math" w:eastAsia="Calibri" w:hAnsi="Cambria Math"/>
                      <w:lang w:eastAsia="en-US"/>
                    </w:rPr>
                    <m:t>water</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T</m:t>
                  </m:r>
                </m:e>
                <m:sub>
                  <m:r>
                    <w:rPr>
                      <w:rFonts w:ascii="Cambria Math" w:eastAsia="Calibri" w:hAnsi="Cambria Math"/>
                      <w:lang w:eastAsia="en-US"/>
                    </w:rPr>
                    <m:t>emission,1d</m:t>
                  </m:r>
                </m:sub>
              </m:sSub>
            </m:num>
            <m:den>
              <m:sSub>
                <m:sSubPr>
                  <m:ctrlPr>
                    <w:rPr>
                      <w:rFonts w:ascii="Cambria Math" w:eastAsia="Calibri" w:hAnsi="Cambria Math"/>
                      <w:i/>
                      <w:lang w:eastAsia="en-US"/>
                    </w:rPr>
                  </m:ctrlPr>
                </m:sSubPr>
                <m:e>
                  <m:r>
                    <w:rPr>
                      <w:rFonts w:ascii="Cambria Math" w:eastAsia="Calibri" w:hAnsi="Cambria Math"/>
                      <w:lang w:eastAsia="en-US"/>
                    </w:rPr>
                    <m:t>V</m:t>
                  </m:r>
                </m:e>
                <m:sub>
                  <m:r>
                    <w:rPr>
                      <w:rFonts w:ascii="Cambria Math" w:eastAsia="Calibri" w:hAnsi="Cambria Math"/>
                      <w:lang w:eastAsia="en-US"/>
                    </w:rPr>
                    <m:t>waterbody</m:t>
                  </m:r>
                </m:sub>
              </m:sSub>
            </m:den>
          </m:f>
        </m:oMath>
      </m:oMathPara>
    </w:p>
    <w:p w14:paraId="7C57972E" w14:textId="77777777" w:rsidR="00A0626E" w:rsidRDefault="000D0DA7" w:rsidP="00A0626E">
      <w:pPr>
        <w:pBdr>
          <w:top w:val="single" w:sz="4" w:space="1" w:color="auto"/>
          <w:left w:val="single" w:sz="4" w:space="4" w:color="auto"/>
          <w:bottom w:val="single" w:sz="4" w:space="1" w:color="auto"/>
          <w:right w:val="single" w:sz="4" w:space="4" w:color="auto"/>
        </w:pBdr>
        <w:rPr>
          <w:rFonts w:eastAsia="Calibri"/>
          <w:lang w:eastAsia="en-US"/>
        </w:rPr>
      </w:pPr>
      <m:oMathPara>
        <m:oMath>
          <m:sSub>
            <m:sSubPr>
              <m:ctrlPr>
                <w:rPr>
                  <w:rFonts w:ascii="Cambria Math" w:eastAsia="Calibri" w:hAnsi="Cambria Math"/>
                  <w:i/>
                  <w:lang w:eastAsia="en-US"/>
                </w:rPr>
              </m:ctrlPr>
            </m:sSubPr>
            <m:e>
              <m:r>
                <w:rPr>
                  <w:rFonts w:ascii="Cambria Math" w:eastAsia="Calibri" w:hAnsi="Cambria Math"/>
                  <w:lang w:eastAsia="en-US"/>
                </w:rPr>
                <m:t>Clocal</m:t>
              </m:r>
            </m:e>
            <m:sub>
              <m:r>
                <w:rPr>
                  <w:rFonts w:ascii="Cambria Math" w:eastAsia="Calibri" w:hAnsi="Cambria Math"/>
                  <w:lang w:eastAsia="en-US"/>
                </w:rPr>
                <m:t>water,91d</m:t>
              </m:r>
            </m:sub>
          </m:sSub>
          <m:r>
            <w:rPr>
              <w:rFonts w:ascii="Cambria Math" w:eastAsia="Calibri" w:hAnsi="Cambria Math"/>
              <w:lang w:eastAsia="en-US"/>
            </w:rPr>
            <m:t>=</m:t>
          </m:r>
          <m:f>
            <m:fPr>
              <m:ctrlPr>
                <w:rPr>
                  <w:rFonts w:ascii="Cambria Math" w:eastAsia="Calibri" w:hAnsi="Cambria Math"/>
                  <w:i/>
                  <w:lang w:eastAsia="en-US"/>
                </w:rPr>
              </m:ctrlPr>
            </m:fPr>
            <m:num>
              <m:sSub>
                <m:sSubPr>
                  <m:ctrlPr>
                    <w:rPr>
                      <w:rFonts w:ascii="Cambria Math" w:eastAsia="Calibri" w:hAnsi="Cambria Math"/>
                      <w:i/>
                      <w:lang w:eastAsia="en-US"/>
                    </w:rPr>
                  </m:ctrlPr>
                </m:sSubPr>
                <m:e>
                  <m:r>
                    <w:rPr>
                      <w:rFonts w:ascii="Cambria Math" w:eastAsia="Calibri" w:hAnsi="Cambria Math"/>
                      <w:lang w:eastAsia="en-US"/>
                    </w:rPr>
                    <m:t>Elocal</m:t>
                  </m:r>
                </m:e>
                <m:sub>
                  <m:r>
                    <w:rPr>
                      <w:rFonts w:ascii="Cambria Math" w:eastAsia="Calibri" w:hAnsi="Cambria Math"/>
                      <w:lang w:eastAsia="en-US"/>
                    </w:rPr>
                    <m:t>water</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T</m:t>
                  </m:r>
                </m:e>
                <m:sub>
                  <m:r>
                    <w:rPr>
                      <w:rFonts w:ascii="Cambria Math" w:eastAsia="Calibri" w:hAnsi="Cambria Math"/>
                      <w:lang w:eastAsia="en-US"/>
                    </w:rPr>
                    <m:t>emission,91d</m:t>
                  </m:r>
                </m:sub>
              </m:sSub>
            </m:num>
            <m:den>
              <m:sSub>
                <m:sSubPr>
                  <m:ctrlPr>
                    <w:rPr>
                      <w:rFonts w:ascii="Cambria Math" w:eastAsia="Calibri" w:hAnsi="Cambria Math"/>
                      <w:i/>
                      <w:lang w:eastAsia="en-US"/>
                    </w:rPr>
                  </m:ctrlPr>
                </m:sSubPr>
                <m:e>
                  <m:r>
                    <w:rPr>
                      <w:rFonts w:ascii="Cambria Math" w:eastAsia="Calibri" w:hAnsi="Cambria Math"/>
                      <w:lang w:eastAsia="en-US"/>
                    </w:rPr>
                    <m:t>V</m:t>
                  </m:r>
                </m:e>
                <m:sub>
                  <m:r>
                    <w:rPr>
                      <w:rFonts w:ascii="Cambria Math" w:eastAsia="Calibri" w:hAnsi="Cambria Math"/>
                      <w:lang w:eastAsia="en-US"/>
                    </w:rPr>
                    <m:t>waterbody</m:t>
                  </m:r>
                </m:sub>
              </m:sSub>
            </m:den>
          </m:f>
        </m:oMath>
      </m:oMathPara>
    </w:p>
    <w:p w14:paraId="474FC502" w14:textId="77777777" w:rsidR="00A0626E" w:rsidRDefault="00A0626E" w:rsidP="00A0626E">
      <w:pPr>
        <w:rPr>
          <w:rFonts w:eastAsia="Calibri"/>
          <w:lang w:eastAsia="en-US"/>
        </w:rPr>
      </w:pPr>
    </w:p>
    <w:tbl>
      <w:tblPr>
        <w:tblW w:w="5000" w:type="pct"/>
        <w:tblCellMar>
          <w:left w:w="0" w:type="dxa"/>
          <w:right w:w="0" w:type="dxa"/>
        </w:tblCellMar>
        <w:tblLook w:val="04A0" w:firstRow="1" w:lastRow="0" w:firstColumn="1" w:lastColumn="0" w:noHBand="0" w:noVBand="1"/>
      </w:tblPr>
      <w:tblGrid>
        <w:gridCol w:w="3051"/>
        <w:gridCol w:w="2868"/>
        <w:gridCol w:w="3483"/>
      </w:tblGrid>
      <w:tr w:rsidR="00A0626E" w:rsidRPr="00FA1978" w14:paraId="406EFE09" w14:textId="77777777" w:rsidTr="00A0626E">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hideMark/>
          </w:tcPr>
          <w:p w14:paraId="5A45BCF6" w14:textId="77777777" w:rsidR="00A0626E" w:rsidRPr="00FA1978" w:rsidRDefault="00A0626E" w:rsidP="00A0626E">
            <w:pPr>
              <w:pStyle w:val="Standaard-Tabellen"/>
              <w:rPr>
                <w:rFonts w:eastAsia="Calibri"/>
                <w:b/>
                <w:color w:val="000000"/>
              </w:rPr>
            </w:pPr>
            <w:r w:rsidRPr="00FA1978">
              <w:rPr>
                <w:rFonts w:eastAsia="Calibri"/>
                <w:b/>
              </w:rPr>
              <w:t>Resulting local concentrations in the waterbody</w:t>
            </w:r>
          </w:p>
        </w:tc>
      </w:tr>
      <w:tr w:rsidR="00A0626E" w:rsidRPr="00FA1978" w14:paraId="29F2D087" w14:textId="77777777" w:rsidTr="00A0626E">
        <w:trPr>
          <w:tblHeader/>
        </w:trPr>
        <w:tc>
          <w:tcPr>
            <w:tcW w:w="162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hideMark/>
          </w:tcPr>
          <w:p w14:paraId="7D1482D9" w14:textId="77777777" w:rsidR="00A0626E" w:rsidRPr="00FA1978" w:rsidRDefault="00A0626E" w:rsidP="00A0626E">
            <w:pPr>
              <w:pStyle w:val="Standaard-Tabellen"/>
              <w:rPr>
                <w:rFonts w:eastAsia="Calibri"/>
                <w:b/>
                <w:color w:val="000000"/>
              </w:rPr>
            </w:pPr>
            <w:r w:rsidRPr="00FA1978">
              <w:rPr>
                <w:rFonts w:eastAsia="Calibri"/>
                <w:b/>
                <w:color w:val="000000"/>
              </w:rPr>
              <w:t>Compartment</w:t>
            </w:r>
          </w:p>
        </w:tc>
        <w:tc>
          <w:tcPr>
            <w:tcW w:w="1525"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hideMark/>
          </w:tcPr>
          <w:p w14:paraId="16ECA809" w14:textId="77777777" w:rsidR="00A0626E" w:rsidRPr="00FA1978" w:rsidRDefault="00A0626E" w:rsidP="00A0626E">
            <w:pPr>
              <w:pStyle w:val="Standaard-Tabellen"/>
              <w:rPr>
                <w:rFonts w:eastAsia="Calibri"/>
                <w:b/>
                <w:color w:val="000000"/>
              </w:rPr>
            </w:pPr>
            <w:r w:rsidRPr="00FA1978">
              <w:rPr>
                <w:rFonts w:eastAsia="Calibri"/>
                <w:b/>
                <w:color w:val="000000"/>
              </w:rPr>
              <w:t xml:space="preserve">Local concentration </w:t>
            </w:r>
          </w:p>
          <w:p w14:paraId="0FF715A6" w14:textId="77777777" w:rsidR="00A0626E" w:rsidRPr="00FA1978" w:rsidRDefault="00A0626E" w:rsidP="00A0626E">
            <w:pPr>
              <w:pStyle w:val="Standaard-Tabellen"/>
              <w:rPr>
                <w:rFonts w:eastAsia="Calibri"/>
                <w:b/>
                <w:color w:val="000000"/>
              </w:rPr>
            </w:pPr>
            <w:r w:rsidRPr="00FA1978">
              <w:rPr>
                <w:rFonts w:eastAsia="Calibri"/>
                <w:b/>
                <w:color w:val="000000"/>
              </w:rPr>
              <w:t>(Clocal</w:t>
            </w:r>
            <w:r w:rsidRPr="00FA1978">
              <w:rPr>
                <w:rFonts w:eastAsia="Calibri"/>
                <w:b/>
                <w:color w:val="000000"/>
                <w:vertAlign w:val="subscript"/>
              </w:rPr>
              <w:t>compartment</w:t>
            </w:r>
            <w:r w:rsidRPr="00FA1978">
              <w:rPr>
                <w:rFonts w:eastAsia="Calibri"/>
                <w:b/>
                <w:color w:val="000000"/>
              </w:rPr>
              <w:t>) [kg/m³]</w:t>
            </w:r>
          </w:p>
        </w:tc>
        <w:tc>
          <w:tcPr>
            <w:tcW w:w="1852"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hideMark/>
          </w:tcPr>
          <w:p w14:paraId="15063382" w14:textId="77777777" w:rsidR="00A0626E" w:rsidRPr="00FA1978" w:rsidRDefault="00A0626E" w:rsidP="00A0626E">
            <w:pPr>
              <w:pStyle w:val="Standaard-Tabellen"/>
              <w:rPr>
                <w:rFonts w:eastAsia="Calibri"/>
                <w:b/>
                <w:color w:val="000000"/>
              </w:rPr>
            </w:pPr>
            <w:r w:rsidRPr="00FA1978">
              <w:rPr>
                <w:rFonts w:eastAsia="Calibri"/>
                <w:b/>
                <w:color w:val="000000"/>
              </w:rPr>
              <w:t>Remarks</w:t>
            </w:r>
          </w:p>
        </w:tc>
      </w:tr>
      <w:tr w:rsidR="00A0626E" w14:paraId="3C0340C1" w14:textId="77777777" w:rsidTr="00A0626E">
        <w:tc>
          <w:tcPr>
            <w:tcW w:w="1623" w:type="pct"/>
            <w:tcBorders>
              <w:top w:val="nil"/>
              <w:left w:val="single" w:sz="4" w:space="0" w:color="000000"/>
              <w:bottom w:val="single" w:sz="4" w:space="0" w:color="auto"/>
              <w:right w:val="single" w:sz="4" w:space="0" w:color="000000"/>
            </w:tcBorders>
            <w:tcMar>
              <w:top w:w="40" w:type="dxa"/>
              <w:left w:w="40" w:type="dxa"/>
              <w:bottom w:w="40" w:type="dxa"/>
              <w:right w:w="40" w:type="dxa"/>
            </w:tcMar>
            <w:vAlign w:val="center"/>
            <w:hideMark/>
          </w:tcPr>
          <w:p w14:paraId="63369DC3" w14:textId="77777777" w:rsidR="00A0626E" w:rsidRDefault="00A0626E" w:rsidP="00A0626E">
            <w:pPr>
              <w:pStyle w:val="Standaard-Tabellen"/>
              <w:rPr>
                <w:color w:val="000000"/>
              </w:rPr>
            </w:pPr>
            <w:r>
              <w:rPr>
                <w:color w:val="000000"/>
              </w:rPr>
              <w:t>Surface water – after 1 day</w:t>
            </w:r>
          </w:p>
        </w:tc>
        <w:tc>
          <w:tcPr>
            <w:tcW w:w="1525" w:type="pct"/>
            <w:tcBorders>
              <w:top w:val="nil"/>
              <w:left w:val="nil"/>
              <w:bottom w:val="single" w:sz="4" w:space="0" w:color="auto"/>
              <w:right w:val="single" w:sz="4" w:space="0" w:color="000000"/>
            </w:tcBorders>
            <w:tcMar>
              <w:top w:w="40" w:type="dxa"/>
              <w:left w:w="40" w:type="dxa"/>
              <w:bottom w:w="40" w:type="dxa"/>
              <w:right w:w="40" w:type="dxa"/>
            </w:tcMar>
            <w:hideMark/>
          </w:tcPr>
          <w:p w14:paraId="414F300F" w14:textId="77777777" w:rsidR="00A0626E" w:rsidRPr="00C763DE" w:rsidRDefault="00B97132" w:rsidP="00A0626E">
            <w:pPr>
              <w:pStyle w:val="Standaard-Tabellen"/>
              <w:rPr>
                <w:rFonts w:eastAsia="Calibri"/>
                <w:color w:val="000000"/>
                <w:vertAlign w:val="superscript"/>
              </w:rPr>
            </w:pPr>
            <w:r>
              <w:rPr>
                <w:rFonts w:eastAsia="Calibri"/>
                <w:color w:val="000000"/>
              </w:rPr>
              <w:t>4.59</w:t>
            </w:r>
            <w:r w:rsidR="00C763DE">
              <w:rPr>
                <w:rFonts w:eastAsia="Calibri"/>
                <w:color w:val="000000"/>
              </w:rPr>
              <w:t>x10</w:t>
            </w:r>
            <w:r w:rsidR="00C763DE">
              <w:rPr>
                <w:rFonts w:eastAsia="Calibri"/>
                <w:color w:val="000000"/>
                <w:vertAlign w:val="superscript"/>
              </w:rPr>
              <w:t>-8</w:t>
            </w:r>
          </w:p>
        </w:tc>
        <w:tc>
          <w:tcPr>
            <w:tcW w:w="1852" w:type="pct"/>
            <w:tcBorders>
              <w:top w:val="nil"/>
              <w:left w:val="nil"/>
              <w:bottom w:val="single" w:sz="4" w:space="0" w:color="auto"/>
              <w:right w:val="single" w:sz="4" w:space="0" w:color="000000"/>
            </w:tcBorders>
            <w:tcMar>
              <w:top w:w="40" w:type="dxa"/>
              <w:left w:w="40" w:type="dxa"/>
              <w:bottom w:w="40" w:type="dxa"/>
              <w:right w:w="40" w:type="dxa"/>
            </w:tcMar>
            <w:vAlign w:val="center"/>
            <w:hideMark/>
          </w:tcPr>
          <w:p w14:paraId="15F390B6" w14:textId="77777777" w:rsidR="00A0626E" w:rsidRDefault="00A0626E" w:rsidP="00A0626E">
            <w:pPr>
              <w:pStyle w:val="Standaard-Tabellen"/>
              <w:rPr>
                <w:color w:val="000000"/>
              </w:rPr>
            </w:pPr>
            <w:r>
              <w:rPr>
                <w:color w:val="000000"/>
              </w:rPr>
              <w:t>/</w:t>
            </w:r>
          </w:p>
        </w:tc>
      </w:tr>
      <w:tr w:rsidR="00A0626E" w14:paraId="227C4667" w14:textId="77777777" w:rsidTr="00A0626E">
        <w:tc>
          <w:tcPr>
            <w:tcW w:w="1623" w:type="pct"/>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3D7ED26" w14:textId="77777777" w:rsidR="00A0626E" w:rsidRDefault="00A0626E" w:rsidP="00A0626E">
            <w:pPr>
              <w:pStyle w:val="Standaard-Tabellen"/>
              <w:rPr>
                <w:color w:val="000000"/>
              </w:rPr>
            </w:pPr>
            <w:r>
              <w:rPr>
                <w:color w:val="000000"/>
              </w:rPr>
              <w:t>Surface water – after 91 days</w:t>
            </w:r>
          </w:p>
        </w:tc>
        <w:tc>
          <w:tcPr>
            <w:tcW w:w="1525" w:type="pct"/>
            <w:tcBorders>
              <w:top w:val="single" w:sz="4" w:space="0" w:color="auto"/>
              <w:left w:val="nil"/>
              <w:bottom w:val="single" w:sz="4" w:space="0" w:color="000000"/>
              <w:right w:val="single" w:sz="4" w:space="0" w:color="000000"/>
            </w:tcBorders>
            <w:tcMar>
              <w:top w:w="40" w:type="dxa"/>
              <w:left w:w="40" w:type="dxa"/>
              <w:bottom w:w="40" w:type="dxa"/>
              <w:right w:w="40" w:type="dxa"/>
            </w:tcMar>
            <w:hideMark/>
          </w:tcPr>
          <w:p w14:paraId="6DB1BE1E" w14:textId="77777777" w:rsidR="00A0626E" w:rsidRPr="00C763DE" w:rsidRDefault="00B97132" w:rsidP="00A0626E">
            <w:pPr>
              <w:pStyle w:val="Standaard-Tabellen"/>
              <w:rPr>
                <w:rFonts w:eastAsia="Calibri"/>
                <w:color w:val="000000"/>
                <w:vertAlign w:val="superscript"/>
              </w:rPr>
            </w:pPr>
            <w:r>
              <w:rPr>
                <w:rFonts w:eastAsia="Calibri"/>
                <w:color w:val="000000"/>
              </w:rPr>
              <w:t>4.18</w:t>
            </w:r>
            <w:r w:rsidR="00C763DE">
              <w:rPr>
                <w:rFonts w:eastAsia="Calibri"/>
                <w:color w:val="000000"/>
              </w:rPr>
              <w:t>x10</w:t>
            </w:r>
            <w:r w:rsidR="00C763DE">
              <w:rPr>
                <w:rFonts w:eastAsia="Calibri"/>
                <w:color w:val="000000"/>
                <w:vertAlign w:val="superscript"/>
              </w:rPr>
              <w:t>-6</w:t>
            </w:r>
          </w:p>
        </w:tc>
        <w:tc>
          <w:tcPr>
            <w:tcW w:w="1852" w:type="pct"/>
            <w:tcBorders>
              <w:top w:val="single" w:sz="4" w:space="0" w:color="auto"/>
              <w:left w:val="nil"/>
              <w:bottom w:val="single" w:sz="4" w:space="0" w:color="000000"/>
              <w:right w:val="single" w:sz="4" w:space="0" w:color="000000"/>
            </w:tcBorders>
            <w:tcMar>
              <w:top w:w="40" w:type="dxa"/>
              <w:left w:w="40" w:type="dxa"/>
              <w:bottom w:w="40" w:type="dxa"/>
              <w:right w:w="40" w:type="dxa"/>
            </w:tcMar>
            <w:vAlign w:val="center"/>
            <w:hideMark/>
          </w:tcPr>
          <w:p w14:paraId="56D773A4" w14:textId="77777777" w:rsidR="00A0626E" w:rsidRDefault="00A0626E" w:rsidP="00A0626E">
            <w:pPr>
              <w:pStyle w:val="Standaard-Tabellen"/>
              <w:rPr>
                <w:color w:val="000000"/>
              </w:rPr>
            </w:pPr>
            <w:r>
              <w:rPr>
                <w:color w:val="000000"/>
              </w:rPr>
              <w:t>(without considering possible degradation)</w:t>
            </w:r>
          </w:p>
        </w:tc>
      </w:tr>
    </w:tbl>
    <w:p w14:paraId="14A59F82" w14:textId="77777777" w:rsidR="00A0626E" w:rsidRDefault="00A0626E" w:rsidP="00A0626E">
      <w:pPr>
        <w:rPr>
          <w:rFonts w:eastAsia="Calibri"/>
          <w:lang w:eastAsia="en-US"/>
        </w:rPr>
      </w:pPr>
    </w:p>
    <w:p w14:paraId="771DC237" w14:textId="77777777" w:rsidR="0098647E" w:rsidRPr="003E3E25" w:rsidRDefault="0098647E"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p w14:paraId="30D630EF" w14:textId="632BBDFB" w:rsidR="00E84C23" w:rsidRPr="003E3E25" w:rsidRDefault="00E84C23" w:rsidP="003E3E25">
      <w:pPr>
        <w:spacing w:line="260" w:lineRule="atLeast"/>
        <w:rPr>
          <w:rFonts w:eastAsia="Calibri"/>
          <w:b/>
          <w:bCs/>
          <w:lang w:eastAsia="en-US"/>
        </w:rPr>
      </w:pPr>
      <w:r w:rsidRPr="003E3E25">
        <w:rPr>
          <w:rFonts w:eastAsia="Calibri"/>
          <w:b/>
          <w:bCs/>
          <w:lang w:eastAsia="en-US"/>
        </w:rPr>
        <w:t>Scenario 2b: Repellent treatment against mosquitoes of ticks applied on skin – Swimming scenario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638"/>
        <w:gridCol w:w="783"/>
        <w:gridCol w:w="893"/>
        <w:gridCol w:w="3313"/>
      </w:tblGrid>
      <w:tr w:rsidR="00E84C23" w:rsidRPr="00490C8C" w14:paraId="7A16F231" w14:textId="77777777" w:rsidTr="00923F01">
        <w:trPr>
          <w:trHeight w:val="346"/>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hideMark/>
          </w:tcPr>
          <w:p w14:paraId="241FFC18" w14:textId="77777777" w:rsidR="00E84C23" w:rsidRPr="00490C8C" w:rsidRDefault="00E84C23" w:rsidP="00923F01">
            <w:pPr>
              <w:pStyle w:val="Standaard-Tabellen"/>
              <w:rPr>
                <w:rFonts w:eastAsia="Calibri"/>
                <w:b/>
                <w:highlight w:val="lightGray"/>
              </w:rPr>
            </w:pPr>
            <w:r w:rsidRPr="00490C8C">
              <w:rPr>
                <w:rFonts w:eastAsia="Calibri"/>
                <w:b/>
              </w:rPr>
              <w:t>Input parameters for calculating the local emission</w:t>
            </w:r>
          </w:p>
        </w:tc>
      </w:tr>
      <w:tr w:rsidR="00E84C23" w:rsidRPr="00490C8C" w14:paraId="2D721218" w14:textId="77777777" w:rsidTr="00490C8C">
        <w:trPr>
          <w:trHeight w:val="75"/>
        </w:trPr>
        <w:tc>
          <w:tcPr>
            <w:tcW w:w="1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63AF5" w14:textId="77777777" w:rsidR="00E84C23" w:rsidRPr="00490C8C" w:rsidRDefault="00E84C23" w:rsidP="00923F01">
            <w:pPr>
              <w:pStyle w:val="Standaard-Tabellen"/>
              <w:rPr>
                <w:rFonts w:eastAsia="Calibri" w:cs="Arial"/>
                <w:b/>
                <w:color w:val="000000"/>
                <w:highlight w:val="lightGray"/>
              </w:rPr>
            </w:pPr>
            <w:r w:rsidRPr="00490C8C">
              <w:rPr>
                <w:rFonts w:eastAsia="Calibri" w:cs="Arial"/>
                <w:b/>
                <w:color w:val="000000"/>
                <w:highlight w:val="lightGray"/>
              </w:rPr>
              <w:t xml:space="preserve">Input </w:t>
            </w:r>
          </w:p>
        </w:tc>
        <w:tc>
          <w:tcPr>
            <w:tcW w:w="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20BE44" w14:textId="77777777" w:rsidR="00E84C23" w:rsidRPr="00490C8C" w:rsidRDefault="00E84C23" w:rsidP="00923F01">
            <w:pPr>
              <w:pStyle w:val="Standaard-Tabellen"/>
              <w:rPr>
                <w:rFonts w:eastAsia="Calibri" w:cs="Arial"/>
                <w:b/>
                <w:color w:val="000000"/>
                <w:highlight w:val="lightGray"/>
              </w:rPr>
            </w:pPr>
            <w:r w:rsidRPr="00490C8C">
              <w:rPr>
                <w:rFonts w:eastAsia="Calibri" w:cs="Arial"/>
                <w:b/>
                <w:color w:val="000000"/>
                <w:highlight w:val="lightGray"/>
              </w:rPr>
              <w:t>Nomenclature</w:t>
            </w:r>
          </w:p>
        </w:tc>
        <w:tc>
          <w:tcPr>
            <w:tcW w:w="4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301ACF" w14:textId="77777777" w:rsidR="00E84C23" w:rsidRPr="00490C8C" w:rsidRDefault="00E84C23" w:rsidP="00923F01">
            <w:pPr>
              <w:pStyle w:val="Standaard-Tabellen"/>
              <w:rPr>
                <w:rFonts w:eastAsia="Calibri" w:cs="Arial"/>
                <w:b/>
                <w:color w:val="000000"/>
                <w:highlight w:val="lightGray"/>
              </w:rPr>
            </w:pPr>
            <w:r w:rsidRPr="00490C8C">
              <w:rPr>
                <w:rFonts w:eastAsia="Calibri" w:cs="Arial"/>
                <w:b/>
                <w:color w:val="000000"/>
                <w:highlight w:val="lightGray"/>
              </w:rPr>
              <w:t xml:space="preserve">Value </w:t>
            </w:r>
          </w:p>
        </w:tc>
        <w:tc>
          <w:tcPr>
            <w:tcW w:w="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814473" w14:textId="77777777" w:rsidR="00E84C23" w:rsidRPr="00490C8C" w:rsidRDefault="00E84C23" w:rsidP="00923F01">
            <w:pPr>
              <w:pStyle w:val="Standaard-Tabellen"/>
              <w:rPr>
                <w:rFonts w:eastAsia="Calibri" w:cs="Arial"/>
                <w:b/>
                <w:color w:val="000000"/>
                <w:highlight w:val="lightGray"/>
              </w:rPr>
            </w:pPr>
            <w:r w:rsidRPr="00490C8C">
              <w:rPr>
                <w:rFonts w:eastAsia="Calibri" w:cs="Arial"/>
                <w:b/>
                <w:color w:val="000000"/>
                <w:highlight w:val="lightGray"/>
              </w:rPr>
              <w:t>Unit</w:t>
            </w:r>
          </w:p>
        </w:tc>
        <w:tc>
          <w:tcPr>
            <w:tcW w:w="18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BD407" w14:textId="77777777" w:rsidR="00E84C23" w:rsidRPr="00490C8C" w:rsidRDefault="00E84C23" w:rsidP="00923F01">
            <w:pPr>
              <w:pStyle w:val="Standaard-Tabellen"/>
              <w:rPr>
                <w:rFonts w:eastAsia="Calibri" w:cs="Arial"/>
                <w:b/>
                <w:color w:val="000000"/>
                <w:highlight w:val="lightGray"/>
              </w:rPr>
            </w:pPr>
            <w:r w:rsidRPr="00490C8C">
              <w:rPr>
                <w:rFonts w:eastAsia="Calibri" w:cs="Arial"/>
                <w:b/>
                <w:color w:val="000000"/>
                <w:highlight w:val="lightGray"/>
              </w:rPr>
              <w:t>Remarks</w:t>
            </w:r>
          </w:p>
        </w:tc>
      </w:tr>
      <w:tr w:rsidR="00E84C23" w:rsidRPr="00490C8C" w14:paraId="353807BE" w14:textId="77777777" w:rsidTr="003E3E25">
        <w:trPr>
          <w:trHeight w:val="7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2CFECF" w14:textId="556F1EF2" w:rsidR="00E84C23" w:rsidRPr="00571EBF" w:rsidRDefault="00E84C23" w:rsidP="00DF65A8">
            <w:pPr>
              <w:spacing w:line="276" w:lineRule="auto"/>
              <w:rPr>
                <w:rFonts w:eastAsia="Calibri"/>
                <w:color w:val="000000"/>
                <w:lang w:eastAsia="en-US"/>
              </w:rPr>
            </w:pPr>
            <w:r w:rsidRPr="00571EBF">
              <w:rPr>
                <w:rFonts w:eastAsia="Calibri"/>
                <w:color w:val="000000"/>
                <w:szCs w:val="18"/>
              </w:rPr>
              <w:t>Scenario</w:t>
            </w:r>
            <w:r w:rsidR="00E2477C" w:rsidRPr="00571EBF">
              <w:rPr>
                <w:rFonts w:eastAsia="Calibri"/>
                <w:color w:val="000000"/>
                <w:szCs w:val="18"/>
              </w:rPr>
              <w:t xml:space="preserve"> 2b</w:t>
            </w:r>
            <w:r w:rsidRPr="00571EBF">
              <w:rPr>
                <w:rFonts w:eastAsia="Calibri"/>
                <w:color w:val="000000"/>
                <w:szCs w:val="18"/>
              </w:rPr>
              <w:t>: Repellent treatment again</w:t>
            </w:r>
            <w:r w:rsidR="0010127C" w:rsidRPr="00571EBF">
              <w:rPr>
                <w:rFonts w:eastAsia="Calibri"/>
                <w:color w:val="000000"/>
                <w:szCs w:val="18"/>
              </w:rPr>
              <w:t>s</w:t>
            </w:r>
            <w:r w:rsidRPr="00571EBF">
              <w:rPr>
                <w:rFonts w:eastAsia="Calibri"/>
                <w:color w:val="000000"/>
                <w:szCs w:val="18"/>
              </w:rPr>
              <w:t>t mosquitoes or ticks applied on skin – Swimming scenario [ESD-PT19 – Section 3.1.4]</w:t>
            </w:r>
            <w:r w:rsidR="00AF6D81" w:rsidRPr="00571EBF">
              <w:rPr>
                <w:rFonts w:eastAsia="Calibri"/>
                <w:b/>
                <w:color w:val="000000"/>
                <w:lang w:eastAsia="en-US"/>
              </w:rPr>
              <w:t xml:space="preserve"> </w:t>
            </w:r>
            <w:r w:rsidR="00AF6D81" w:rsidRPr="00571EBF">
              <w:rPr>
                <w:rFonts w:eastAsia="Calibri"/>
                <w:b/>
                <w:color w:val="000000"/>
                <w:lang w:eastAsia="en-US"/>
              </w:rPr>
              <w:sym w:font="Wingdings" w:char="F0E0"/>
            </w:r>
            <w:r w:rsidR="00AF6D81" w:rsidRPr="00571EBF">
              <w:rPr>
                <w:rFonts w:eastAsia="Calibri"/>
                <w:b/>
                <w:color w:val="000000"/>
                <w:lang w:eastAsia="en-US"/>
              </w:rPr>
              <w:t xml:space="preserve"> Use #1, 4, 6</w:t>
            </w:r>
          </w:p>
        </w:tc>
      </w:tr>
      <w:tr w:rsidR="00E84C23" w:rsidRPr="00490C8C" w14:paraId="242DB3B9" w14:textId="77777777" w:rsidTr="003E3E25">
        <w:trPr>
          <w:trHeight w:val="75"/>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DD4DF" w14:textId="77777777" w:rsidR="00E84C23" w:rsidRPr="00571EBF" w:rsidRDefault="00E84C23" w:rsidP="00923F01">
            <w:pPr>
              <w:pStyle w:val="Standaard-Tabellen"/>
              <w:rPr>
                <w:rFonts w:eastAsia="Calibri"/>
                <w:color w:val="000000"/>
              </w:rPr>
            </w:pPr>
            <w:r w:rsidRPr="00571EBF">
              <w:rPr>
                <w:rFonts w:eastAsia="Calibri"/>
                <w:color w:val="000000"/>
              </w:rPr>
              <w:t>Daily number of swimmers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C4879" w14:textId="77777777" w:rsidR="00E84C23" w:rsidRPr="00571EBF" w:rsidRDefault="00E84C23" w:rsidP="00923F01">
            <w:pPr>
              <w:pStyle w:val="Standaard-Tabellen"/>
              <w:rPr>
                <w:rFonts w:eastAsia="Calibri"/>
                <w:color w:val="000000"/>
              </w:rPr>
            </w:pPr>
            <w:r w:rsidRPr="00571EBF">
              <w:rPr>
                <w:rFonts w:eastAsia="Calibri"/>
                <w:color w:val="000000"/>
              </w:rPr>
              <w:t>N</w:t>
            </w:r>
            <w:r w:rsidRPr="00571EBF">
              <w:rPr>
                <w:rFonts w:eastAsia="Calibri"/>
                <w:color w:val="000000"/>
                <w:vertAlign w:val="subscript"/>
              </w:rPr>
              <w:t>swimmer</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54584" w14:textId="77777777" w:rsidR="00E84C23" w:rsidRPr="00571EBF" w:rsidRDefault="00E84C23" w:rsidP="00923F01">
            <w:pPr>
              <w:pStyle w:val="Standaard-Tabellen"/>
              <w:rPr>
                <w:rFonts w:eastAsia="Calibri"/>
                <w:color w:val="000000"/>
              </w:rPr>
            </w:pPr>
            <w:r w:rsidRPr="00571EBF">
              <w:rPr>
                <w:rFonts w:eastAsia="Calibri"/>
                <w:color w:val="000000"/>
              </w:rPr>
              <w:t>1500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8A0A9" w14:textId="77777777" w:rsidR="00E84C23" w:rsidRPr="00571EBF" w:rsidRDefault="00E84C23" w:rsidP="00923F01">
            <w:pPr>
              <w:pStyle w:val="Standaard-Tabellen"/>
              <w:rPr>
                <w:rFonts w:eastAsia="Calibri"/>
                <w:color w:val="000000"/>
              </w:rPr>
            </w:pPr>
            <w:r w:rsidRPr="00571EBF">
              <w:rPr>
                <w:rFonts w:eastAsia="Calibri"/>
                <w:color w:val="000000"/>
              </w:rPr>
              <w:t>[-]</w:t>
            </w:r>
          </w:p>
        </w:tc>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846B8" w14:textId="7F70E5E0" w:rsidR="00E84C23" w:rsidRPr="00571EBF" w:rsidRDefault="00E84C23" w:rsidP="00923F01">
            <w:pPr>
              <w:pStyle w:val="Standaard-Tabellen"/>
              <w:rPr>
                <w:rFonts w:eastAsia="Calibri"/>
                <w:color w:val="000000"/>
              </w:rPr>
            </w:pPr>
            <w:r w:rsidRPr="00571EBF">
              <w:rPr>
                <w:rFonts w:eastAsia="Calibri"/>
                <w:color w:val="000000"/>
              </w:rPr>
              <w:t>Default value</w:t>
            </w:r>
          </w:p>
        </w:tc>
      </w:tr>
      <w:tr w:rsidR="00E84C23" w:rsidRPr="00490C8C" w14:paraId="7D61CA03" w14:textId="77777777" w:rsidTr="003E3E25">
        <w:trPr>
          <w:trHeight w:val="93"/>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48080" w14:textId="77777777" w:rsidR="00E84C23" w:rsidRPr="00571EBF" w:rsidRDefault="00E84C23" w:rsidP="00923F01">
            <w:pPr>
              <w:pStyle w:val="Standaard-Tabellen"/>
              <w:rPr>
                <w:rFonts w:eastAsia="Calibri"/>
                <w:color w:val="000000"/>
              </w:rPr>
            </w:pPr>
            <w:r w:rsidRPr="00571EBF">
              <w:rPr>
                <w:rFonts w:eastAsia="Calibri"/>
                <w:color w:val="000000"/>
              </w:rPr>
              <w:t>Fraction of swimmers using the repellent product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26A85" w14:textId="77777777" w:rsidR="00E84C23" w:rsidRPr="00571EBF" w:rsidRDefault="00E84C23" w:rsidP="00923F01">
            <w:pPr>
              <w:pStyle w:val="Standaard-Tabellen"/>
              <w:rPr>
                <w:rFonts w:eastAsia="Calibri"/>
                <w:color w:val="000000"/>
              </w:rPr>
            </w:pPr>
            <w:r w:rsidRPr="00571EBF">
              <w:rPr>
                <w:rFonts w:eastAsia="Calibri"/>
                <w:color w:val="000000"/>
              </w:rPr>
              <w:t>F</w:t>
            </w:r>
            <w:r w:rsidRPr="00571EBF">
              <w:rPr>
                <w:rFonts w:eastAsia="Calibri"/>
                <w:color w:val="000000"/>
                <w:vertAlign w:val="subscript"/>
              </w:rPr>
              <w:t>swim</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D36C0" w14:textId="77777777" w:rsidR="00E84C23" w:rsidRPr="00571EBF" w:rsidRDefault="00E84C23" w:rsidP="00923F01">
            <w:pPr>
              <w:pStyle w:val="Standaard-Tabellen"/>
              <w:rPr>
                <w:rFonts w:eastAsia="Calibri"/>
                <w:color w:val="000000"/>
              </w:rPr>
            </w:pPr>
            <w:r w:rsidRPr="00571EBF">
              <w:rPr>
                <w:rFonts w:eastAsia="Calibri"/>
                <w:color w:val="000000"/>
              </w:rPr>
              <w:t>0.1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A33B2" w14:textId="77777777" w:rsidR="00E84C23" w:rsidRPr="00571EBF" w:rsidRDefault="00E84C23" w:rsidP="00923F01">
            <w:pPr>
              <w:pStyle w:val="Standaard-Tabellen"/>
              <w:rPr>
                <w:rFonts w:eastAsia="Calibri"/>
                <w:color w:val="000000"/>
              </w:rPr>
            </w:pPr>
            <w:r w:rsidRPr="00571EBF">
              <w:rPr>
                <w:rFonts w:eastAsia="Calibri"/>
                <w:color w:val="000000"/>
              </w:rPr>
              <w:t>[-]</w:t>
            </w:r>
          </w:p>
        </w:tc>
        <w:tc>
          <w:tcPr>
            <w:tcW w:w="1811" w:type="pct"/>
            <w:tcBorders>
              <w:top w:val="single" w:sz="4" w:space="0" w:color="auto"/>
              <w:left w:val="single" w:sz="4" w:space="0" w:color="auto"/>
              <w:bottom w:val="single" w:sz="4" w:space="0" w:color="auto"/>
              <w:right w:val="single" w:sz="4" w:space="0" w:color="auto"/>
            </w:tcBorders>
            <w:shd w:val="clear" w:color="auto" w:fill="auto"/>
            <w:hideMark/>
          </w:tcPr>
          <w:p w14:paraId="03DE2C9A" w14:textId="259E2D66" w:rsidR="00E84C23" w:rsidRPr="00571EBF" w:rsidRDefault="006B4C5A" w:rsidP="00510D08">
            <w:pPr>
              <w:pStyle w:val="Standaard-Tabellen"/>
              <w:rPr>
                <w:rFonts w:eastAsia="Calibri"/>
                <w:color w:val="000000"/>
              </w:rPr>
            </w:pPr>
            <w:r w:rsidRPr="00571EBF">
              <w:rPr>
                <w:rFonts w:eastAsia="Calibri"/>
                <w:color w:val="000000"/>
                <w:szCs w:val="18"/>
              </w:rPr>
              <w:t xml:space="preserve">Default value </w:t>
            </w:r>
          </w:p>
        </w:tc>
      </w:tr>
      <w:tr w:rsidR="00E84C23" w:rsidRPr="00490C8C" w14:paraId="4CA979FE" w14:textId="77777777" w:rsidTr="003E3E25">
        <w:trPr>
          <w:trHeight w:val="93"/>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FCC87" w14:textId="77777777" w:rsidR="00E84C23" w:rsidRPr="00571EBF" w:rsidRDefault="00E84C23" w:rsidP="00923F01">
            <w:pPr>
              <w:pStyle w:val="Standaard-Tabellen"/>
              <w:rPr>
                <w:rFonts w:eastAsia="Calibri"/>
                <w:color w:val="000000"/>
              </w:rPr>
            </w:pPr>
            <w:r w:rsidRPr="00571EBF">
              <w:rPr>
                <w:rFonts w:eastAsia="Calibri"/>
                <w:color w:val="000000"/>
              </w:rPr>
              <w:t>Number of applications per day</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61F33" w14:textId="77777777" w:rsidR="00E84C23" w:rsidRPr="00571EBF" w:rsidRDefault="00E84C23" w:rsidP="00923F01">
            <w:pPr>
              <w:pStyle w:val="Standaard-Tabellen"/>
              <w:rPr>
                <w:rFonts w:eastAsia="Calibri"/>
                <w:color w:val="000000"/>
              </w:rPr>
            </w:pPr>
            <w:r w:rsidRPr="00571EBF">
              <w:rPr>
                <w:rFonts w:eastAsia="Calibri"/>
                <w:color w:val="000000"/>
              </w:rPr>
              <w:t>N</w:t>
            </w:r>
            <w:r w:rsidRPr="00571EBF">
              <w:rPr>
                <w:rFonts w:eastAsia="Calibri"/>
                <w:color w:val="000000"/>
                <w:vertAlign w:val="subscript"/>
              </w:rPr>
              <w:t>appl</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7BE4B" w14:textId="77777777" w:rsidR="00E84C23" w:rsidRPr="00571EBF" w:rsidRDefault="00E84C23" w:rsidP="00923F01">
            <w:pPr>
              <w:pStyle w:val="Standaard-Tabellen"/>
              <w:rPr>
                <w:rFonts w:eastAsia="Calibri"/>
                <w:color w:val="000000"/>
              </w:rPr>
            </w:pPr>
            <w:r w:rsidRPr="00571EBF">
              <w:rPr>
                <w:rFonts w:eastAsia="Calibri"/>
                <w:color w:val="000000"/>
              </w:rPr>
              <w:t>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C2A20" w14:textId="77777777" w:rsidR="00E84C23" w:rsidRPr="00571EBF" w:rsidRDefault="00E84C23" w:rsidP="00923F01">
            <w:pPr>
              <w:pStyle w:val="Standaard-Tabellen"/>
              <w:rPr>
                <w:rFonts w:eastAsia="Calibri"/>
                <w:color w:val="000000"/>
              </w:rPr>
            </w:pPr>
            <w:r w:rsidRPr="00571EBF">
              <w:rPr>
                <w:rFonts w:eastAsia="Calibri"/>
                <w:color w:val="000000"/>
              </w:rPr>
              <w:t>d</w:t>
            </w:r>
            <w:r w:rsidRPr="00571EBF">
              <w:rPr>
                <w:rFonts w:eastAsia="Calibri"/>
                <w:color w:val="000000"/>
                <w:vertAlign w:val="superscript"/>
              </w:rPr>
              <w:t>-1</w:t>
            </w:r>
          </w:p>
        </w:tc>
        <w:tc>
          <w:tcPr>
            <w:tcW w:w="1811" w:type="pct"/>
            <w:tcBorders>
              <w:top w:val="single" w:sz="4" w:space="0" w:color="auto"/>
              <w:left w:val="single" w:sz="4" w:space="0" w:color="auto"/>
              <w:bottom w:val="single" w:sz="4" w:space="0" w:color="auto"/>
              <w:right w:val="single" w:sz="4" w:space="0" w:color="auto"/>
            </w:tcBorders>
            <w:shd w:val="clear" w:color="auto" w:fill="auto"/>
            <w:hideMark/>
          </w:tcPr>
          <w:p w14:paraId="6588D03C" w14:textId="0AC0DD2F" w:rsidR="00E84C23" w:rsidRPr="00571EBF" w:rsidRDefault="00E84C23" w:rsidP="00923F01">
            <w:pPr>
              <w:pStyle w:val="Standaard-Tabellen"/>
              <w:rPr>
                <w:rFonts w:eastAsia="Calibri"/>
                <w:color w:val="000000"/>
              </w:rPr>
            </w:pPr>
            <w:r w:rsidRPr="00571EBF">
              <w:rPr>
                <w:rFonts w:eastAsia="Calibri"/>
                <w:color w:val="000000"/>
              </w:rPr>
              <w:t>D</w:t>
            </w:r>
            <w:r w:rsidR="006B4C5A" w:rsidRPr="00571EBF">
              <w:rPr>
                <w:rFonts w:eastAsia="Calibri"/>
                <w:color w:val="000000"/>
              </w:rPr>
              <w:t>efault value</w:t>
            </w:r>
          </w:p>
        </w:tc>
      </w:tr>
      <w:tr w:rsidR="00E84C23" w:rsidRPr="00490C8C" w14:paraId="531D7D01" w14:textId="77777777" w:rsidTr="003E3E25">
        <w:trPr>
          <w:trHeight w:val="93"/>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9EA34" w14:textId="77777777" w:rsidR="00E84C23" w:rsidRPr="00571EBF" w:rsidRDefault="00E84C23" w:rsidP="00923F01">
            <w:pPr>
              <w:pStyle w:val="Standaard-Tabellen"/>
              <w:rPr>
                <w:rFonts w:eastAsia="Calibri"/>
                <w:color w:val="000000"/>
              </w:rPr>
            </w:pPr>
            <w:r w:rsidRPr="00571EBF">
              <w:rPr>
                <w:rFonts w:eastAsia="Calibri"/>
                <w:color w:val="000000"/>
              </w:rPr>
              <w:t>Fraction released to surface water body</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A9A12" w14:textId="77777777" w:rsidR="00E84C23" w:rsidRPr="00571EBF" w:rsidRDefault="00E84C23" w:rsidP="00923F01">
            <w:pPr>
              <w:pStyle w:val="Standaard-Tabellen"/>
              <w:rPr>
                <w:rFonts w:eastAsia="Calibri"/>
                <w:color w:val="000000"/>
              </w:rPr>
            </w:pPr>
            <w:r w:rsidRPr="00571EBF">
              <w:rPr>
                <w:rFonts w:eastAsia="Calibri"/>
                <w:color w:val="000000"/>
              </w:rPr>
              <w:t>F</w:t>
            </w:r>
            <w:r w:rsidRPr="00571EBF">
              <w:rPr>
                <w:rFonts w:eastAsia="Calibri"/>
                <w:color w:val="000000"/>
                <w:vertAlign w:val="subscript"/>
              </w:rPr>
              <w:t>waterbody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55B76" w14:textId="77777777" w:rsidR="00E84C23" w:rsidRPr="00571EBF" w:rsidRDefault="00E84C23" w:rsidP="00923F01">
            <w:pPr>
              <w:pStyle w:val="Standaard-Tabellen"/>
              <w:rPr>
                <w:rFonts w:eastAsia="Calibri"/>
                <w:color w:val="000000"/>
              </w:rPr>
            </w:pPr>
            <w:r w:rsidRPr="00571EBF">
              <w:rPr>
                <w:rFonts w:eastAsia="Calibri"/>
                <w:color w:val="000000"/>
              </w:rPr>
              <w:t>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29D2D" w14:textId="77777777" w:rsidR="00E84C23" w:rsidRPr="00571EBF" w:rsidRDefault="00E84C23" w:rsidP="00923F01">
            <w:pPr>
              <w:pStyle w:val="Standaard-Tabellen"/>
              <w:rPr>
                <w:rFonts w:eastAsia="Calibri"/>
                <w:color w:val="000000"/>
              </w:rPr>
            </w:pPr>
            <w:r w:rsidRPr="00571EBF">
              <w:rPr>
                <w:rFonts w:eastAsia="Calibri"/>
                <w:color w:val="000000"/>
              </w:rPr>
              <w:t>[-]</w:t>
            </w:r>
          </w:p>
        </w:tc>
        <w:tc>
          <w:tcPr>
            <w:tcW w:w="1811" w:type="pct"/>
            <w:tcBorders>
              <w:top w:val="single" w:sz="4" w:space="0" w:color="auto"/>
              <w:left w:val="single" w:sz="4" w:space="0" w:color="auto"/>
              <w:bottom w:val="single" w:sz="4" w:space="0" w:color="auto"/>
              <w:right w:val="single" w:sz="4" w:space="0" w:color="auto"/>
            </w:tcBorders>
            <w:shd w:val="clear" w:color="auto" w:fill="auto"/>
            <w:hideMark/>
          </w:tcPr>
          <w:p w14:paraId="5BF4A2FC" w14:textId="43B1F722" w:rsidR="00E84C23" w:rsidRPr="00571EBF" w:rsidRDefault="00E84C23" w:rsidP="00923F01">
            <w:pPr>
              <w:pStyle w:val="Standaard-Tabellen"/>
              <w:rPr>
                <w:rFonts w:eastAsia="Calibri"/>
                <w:color w:val="000000"/>
              </w:rPr>
            </w:pPr>
            <w:r w:rsidRPr="00571EBF">
              <w:rPr>
                <w:rFonts w:eastAsia="Calibri"/>
                <w:color w:val="000000"/>
              </w:rPr>
              <w:t>D</w:t>
            </w:r>
            <w:r w:rsidR="006B4C5A" w:rsidRPr="00571EBF">
              <w:rPr>
                <w:rFonts w:eastAsia="Calibri"/>
                <w:color w:val="000000"/>
              </w:rPr>
              <w:t>efault value</w:t>
            </w:r>
          </w:p>
        </w:tc>
      </w:tr>
      <w:tr w:rsidR="00E84C23" w:rsidRPr="00490C8C" w14:paraId="343D2C3D" w14:textId="77777777" w:rsidTr="003E3E25">
        <w:trPr>
          <w:trHeight w:val="93"/>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178F0" w14:textId="77777777" w:rsidR="00E84C23" w:rsidRPr="00571EBF" w:rsidRDefault="00E84C23" w:rsidP="00923F01">
            <w:pPr>
              <w:pStyle w:val="Standaard-Tabellen"/>
              <w:rPr>
                <w:rFonts w:eastAsia="Calibri"/>
                <w:color w:val="000000"/>
              </w:rPr>
            </w:pPr>
            <w:r w:rsidRPr="00571EBF">
              <w:rPr>
                <w:rFonts w:eastAsia="Calibri"/>
                <w:color w:val="000000"/>
              </w:rPr>
              <w:t>Active substance in the product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96668" w14:textId="77777777" w:rsidR="00E84C23" w:rsidRPr="00571EBF" w:rsidRDefault="00E84C23" w:rsidP="00923F01">
            <w:pPr>
              <w:pStyle w:val="Standaard-Tabellen"/>
              <w:rPr>
                <w:rFonts w:eastAsia="Calibri"/>
                <w:color w:val="000000"/>
              </w:rPr>
            </w:pPr>
            <w:r w:rsidRPr="00571EBF">
              <w:rPr>
                <w:rFonts w:eastAsia="Calibri"/>
                <w:color w:val="000000"/>
              </w:rPr>
              <w:t>(B) C</w:t>
            </w:r>
            <w:r w:rsidRPr="00571EBF">
              <w:rPr>
                <w:rFonts w:eastAsia="Calibri"/>
                <w:color w:val="000000"/>
                <w:vertAlign w:val="subscript"/>
              </w:rPr>
              <w:t>formweight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A67BD" w14:textId="71642632" w:rsidR="00E84C23" w:rsidRPr="00571EBF" w:rsidRDefault="00E2477C" w:rsidP="00923F01">
            <w:pPr>
              <w:pStyle w:val="Standaard-Tabellen"/>
              <w:rPr>
                <w:rFonts w:eastAsia="Calibri"/>
                <w:color w:val="000000"/>
              </w:rPr>
            </w:pPr>
            <w:r w:rsidRPr="00571EBF">
              <w:rPr>
                <w:rFonts w:eastAsia="Calibri"/>
                <w:color w:val="000000"/>
              </w:rPr>
              <w:t>20</w:t>
            </w:r>
            <w:r w:rsidR="00281E9A" w:rsidRPr="00571EBF">
              <w:rPr>
                <w:rFonts w:eastAsia="Calibri"/>
                <w:color w:val="000000"/>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AB433" w14:textId="77777777" w:rsidR="00E84C23" w:rsidRPr="00571EBF" w:rsidRDefault="00E84C23" w:rsidP="00923F01">
            <w:pPr>
              <w:pStyle w:val="Standaard-Tabellen"/>
              <w:rPr>
                <w:rFonts w:eastAsia="Calibri"/>
                <w:color w:val="000000"/>
              </w:rPr>
            </w:pPr>
            <w:r w:rsidRPr="00571EBF">
              <w:rPr>
                <w:rFonts w:eastAsia="Calibri"/>
                <w:color w:val="000000"/>
              </w:rPr>
              <w:t>g/kg</w:t>
            </w:r>
          </w:p>
        </w:tc>
        <w:tc>
          <w:tcPr>
            <w:tcW w:w="1811" w:type="pct"/>
            <w:tcBorders>
              <w:top w:val="single" w:sz="4" w:space="0" w:color="auto"/>
              <w:left w:val="single" w:sz="4" w:space="0" w:color="auto"/>
              <w:bottom w:val="single" w:sz="4" w:space="0" w:color="auto"/>
              <w:right w:val="single" w:sz="4" w:space="0" w:color="auto"/>
            </w:tcBorders>
            <w:shd w:val="clear" w:color="auto" w:fill="auto"/>
            <w:hideMark/>
          </w:tcPr>
          <w:p w14:paraId="718FC9CA" w14:textId="7E24CFA4" w:rsidR="00E84C23" w:rsidRPr="00571EBF" w:rsidRDefault="00E84C23" w:rsidP="00923F01">
            <w:pPr>
              <w:pStyle w:val="Standaard-Tabellen"/>
              <w:rPr>
                <w:rFonts w:eastAsia="Calibri"/>
                <w:color w:val="000000"/>
              </w:rPr>
            </w:pPr>
            <w:r w:rsidRPr="00571EBF">
              <w:rPr>
                <w:rFonts w:eastAsia="Calibri"/>
                <w:color w:val="000000"/>
              </w:rPr>
              <w:t>(20%</w:t>
            </w:r>
            <w:r w:rsidR="00E2477C" w:rsidRPr="00571EBF">
              <w:rPr>
                <w:rFonts w:eastAsia="Calibri"/>
                <w:color w:val="000000"/>
              </w:rPr>
              <w:t xml:space="preserve"> technical</w:t>
            </w:r>
            <w:r w:rsidRPr="00571EBF">
              <w:rPr>
                <w:rFonts w:eastAsia="Calibri"/>
                <w:color w:val="000000"/>
              </w:rPr>
              <w:t>)</w:t>
            </w:r>
          </w:p>
        </w:tc>
      </w:tr>
      <w:tr w:rsidR="00E84C23" w:rsidRPr="00490C8C" w14:paraId="334FB827" w14:textId="77777777" w:rsidTr="003E3E25">
        <w:trPr>
          <w:trHeight w:val="93"/>
        </w:trPr>
        <w:tc>
          <w:tcPr>
            <w:tcW w:w="1505" w:type="pct"/>
            <w:tcBorders>
              <w:top w:val="single" w:sz="4" w:space="0" w:color="auto"/>
              <w:left w:val="single" w:sz="4" w:space="0" w:color="auto"/>
              <w:bottom w:val="single" w:sz="4" w:space="0" w:color="auto"/>
              <w:right w:val="single" w:sz="4" w:space="0" w:color="auto"/>
            </w:tcBorders>
            <w:shd w:val="clear" w:color="auto" w:fill="auto"/>
            <w:hideMark/>
          </w:tcPr>
          <w:p w14:paraId="29D702B1" w14:textId="77777777" w:rsidR="00E84C23" w:rsidRPr="00571EBF" w:rsidRDefault="00E84C23" w:rsidP="00923F01">
            <w:pPr>
              <w:pStyle w:val="Standaard-Tabellen"/>
              <w:rPr>
                <w:rFonts w:eastAsia="Calibri"/>
                <w:color w:val="000000"/>
              </w:rPr>
            </w:pPr>
            <w:r w:rsidRPr="00571EBF">
              <w:rPr>
                <w:rFonts w:eastAsia="Calibri"/>
                <w:color w:val="000000"/>
              </w:rPr>
              <w:t>Consumption per application</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14:paraId="388F14AC" w14:textId="77777777" w:rsidR="00E84C23" w:rsidRPr="00571EBF" w:rsidRDefault="00E84C23" w:rsidP="00923F01">
            <w:pPr>
              <w:pStyle w:val="Standaard-Tabellen"/>
              <w:rPr>
                <w:rFonts w:eastAsia="Calibri"/>
                <w:color w:val="000000"/>
              </w:rPr>
            </w:pPr>
            <w:r w:rsidRPr="00571EBF">
              <w:rPr>
                <w:rFonts w:eastAsia="Calibri"/>
                <w:color w:val="000000"/>
              </w:rPr>
              <w:t>(D2) Qform</w:t>
            </w:r>
            <w:r w:rsidRPr="00571EBF">
              <w:rPr>
                <w:rFonts w:eastAsia="Calibri"/>
                <w:color w:val="000000"/>
                <w:vertAlign w:val="subscript"/>
              </w:rPr>
              <w:t>appl</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6418D230" w14:textId="104EA5A7" w:rsidR="00E84C23" w:rsidRPr="00571EBF" w:rsidRDefault="00E84C23" w:rsidP="00923F01">
            <w:pPr>
              <w:pStyle w:val="Standaard-Tabellen"/>
              <w:rPr>
                <w:rFonts w:eastAsia="Calibri"/>
              </w:rPr>
            </w:pPr>
            <w:r w:rsidRPr="00571EBF">
              <w:rPr>
                <w:rFonts w:eastAsia="Calibri"/>
              </w:rPr>
              <w:t>0.8</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744751F" w14:textId="69F77F92" w:rsidR="00E84C23" w:rsidRPr="00571EBF" w:rsidRDefault="00E84C23" w:rsidP="00923F01">
            <w:pPr>
              <w:pStyle w:val="Standaard-Tabellen"/>
              <w:rPr>
                <w:rFonts w:eastAsia="Calibri"/>
                <w:color w:val="000000"/>
              </w:rPr>
            </w:pPr>
            <w:r w:rsidRPr="00571EBF">
              <w:rPr>
                <w:rFonts w:eastAsia="Calibri"/>
                <w:color w:val="000000"/>
              </w:rPr>
              <w:t>mg.cm</w:t>
            </w:r>
            <w:r w:rsidRPr="00571EBF">
              <w:rPr>
                <w:rFonts w:eastAsia="Calibri"/>
                <w:color w:val="000000"/>
                <w:vertAlign w:val="superscript"/>
              </w:rPr>
              <w:t>-</w:t>
            </w:r>
            <w:r w:rsidRPr="00571EBF">
              <w:rPr>
                <w:rFonts w:eastAsia="Calibri"/>
                <w:color w:val="000000"/>
              </w:rPr>
              <w:t>²</w:t>
            </w:r>
          </w:p>
        </w:tc>
        <w:tc>
          <w:tcPr>
            <w:tcW w:w="1811" w:type="pct"/>
            <w:tcBorders>
              <w:top w:val="single" w:sz="4" w:space="0" w:color="auto"/>
              <w:left w:val="single" w:sz="4" w:space="0" w:color="auto"/>
              <w:bottom w:val="single" w:sz="4" w:space="0" w:color="auto"/>
              <w:right w:val="single" w:sz="4" w:space="0" w:color="auto"/>
            </w:tcBorders>
            <w:shd w:val="clear" w:color="auto" w:fill="auto"/>
            <w:hideMark/>
          </w:tcPr>
          <w:p w14:paraId="084DFF81" w14:textId="1AB777CE" w:rsidR="00E84C23" w:rsidRPr="00571EBF" w:rsidRDefault="00E84C23" w:rsidP="003A04EC">
            <w:pPr>
              <w:pStyle w:val="Standaard-Tabellen"/>
              <w:rPr>
                <w:rFonts w:eastAsia="Calibri"/>
                <w:color w:val="000000"/>
                <w:lang w:val="fr-FR"/>
              </w:rPr>
            </w:pPr>
            <w:r w:rsidRPr="00571EBF">
              <w:rPr>
                <w:rFonts w:eastAsia="Calibri"/>
                <w:color w:val="000000"/>
                <w:szCs w:val="18"/>
                <w:lang w:val="fr-FR"/>
              </w:rPr>
              <w:t>Maximum efficient dose</w:t>
            </w:r>
          </w:p>
        </w:tc>
      </w:tr>
      <w:tr w:rsidR="00E84C23" w:rsidRPr="00490C8C" w14:paraId="78E0CE27" w14:textId="77777777" w:rsidTr="003E3E25">
        <w:trPr>
          <w:trHeight w:val="93"/>
        </w:trPr>
        <w:tc>
          <w:tcPr>
            <w:tcW w:w="1505" w:type="pct"/>
            <w:tcBorders>
              <w:top w:val="single" w:sz="4" w:space="0" w:color="auto"/>
              <w:left w:val="single" w:sz="4" w:space="0" w:color="auto"/>
              <w:bottom w:val="single" w:sz="4" w:space="0" w:color="auto"/>
              <w:right w:val="single" w:sz="4" w:space="0" w:color="auto"/>
            </w:tcBorders>
            <w:shd w:val="clear" w:color="auto" w:fill="auto"/>
            <w:hideMark/>
          </w:tcPr>
          <w:p w14:paraId="1458842A" w14:textId="77777777" w:rsidR="00E84C23" w:rsidRPr="00571EBF" w:rsidRDefault="00E84C23" w:rsidP="00923F01">
            <w:pPr>
              <w:pStyle w:val="Standaard-Tabellen"/>
              <w:rPr>
                <w:rFonts w:eastAsia="Calibri"/>
                <w:color w:val="000000"/>
              </w:rPr>
            </w:pPr>
            <w:r w:rsidRPr="00571EBF">
              <w:rPr>
                <w:rFonts w:eastAsia="Calibri"/>
                <w:color w:val="000000"/>
              </w:rPr>
              <w:t>Treated area of human skin</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14:paraId="22D30A7D" w14:textId="77777777" w:rsidR="00E84C23" w:rsidRPr="00571EBF" w:rsidRDefault="00E84C23" w:rsidP="00923F01">
            <w:pPr>
              <w:pStyle w:val="Standaard-Tabellen"/>
              <w:rPr>
                <w:rFonts w:eastAsia="Calibri"/>
                <w:color w:val="000000"/>
                <w:vertAlign w:val="subscript"/>
              </w:rPr>
            </w:pPr>
            <w:r w:rsidRPr="00571EBF">
              <w:rPr>
                <w:rFonts w:eastAsia="Calibri"/>
                <w:color w:val="000000"/>
              </w:rPr>
              <w:t>AREA</w:t>
            </w:r>
            <w:r w:rsidRPr="00571EBF">
              <w:rPr>
                <w:rFonts w:eastAsia="Calibri"/>
                <w:color w:val="000000"/>
                <w:vertAlign w:val="subscript"/>
              </w:rPr>
              <w:t>skin</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15461EFA" w14:textId="1A43F64A" w:rsidR="00E84C23" w:rsidRPr="00571EBF" w:rsidRDefault="00845001" w:rsidP="006B4C5A">
            <w:pPr>
              <w:pStyle w:val="Standaard-Tabellen"/>
              <w:rPr>
                <w:rFonts w:eastAsia="Calibri"/>
              </w:rPr>
            </w:pPr>
            <w:r w:rsidRPr="00571EBF">
              <w:rPr>
                <w:rFonts w:eastAsia="Calibri"/>
              </w:rPr>
              <w:t>9130</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3E1F0DD3" w14:textId="77777777" w:rsidR="00E84C23" w:rsidRPr="00571EBF" w:rsidRDefault="00E84C23" w:rsidP="00923F01">
            <w:pPr>
              <w:pStyle w:val="Standaard-Tabellen"/>
              <w:rPr>
                <w:rFonts w:eastAsia="Calibri"/>
                <w:color w:val="000000"/>
              </w:rPr>
            </w:pPr>
            <w:r w:rsidRPr="00571EBF">
              <w:rPr>
                <w:rFonts w:eastAsia="Calibri"/>
                <w:color w:val="000000"/>
              </w:rPr>
              <w:t>cm²</w:t>
            </w:r>
          </w:p>
        </w:tc>
        <w:tc>
          <w:tcPr>
            <w:tcW w:w="1811" w:type="pct"/>
            <w:tcBorders>
              <w:top w:val="single" w:sz="4" w:space="0" w:color="auto"/>
              <w:left w:val="single" w:sz="4" w:space="0" w:color="auto"/>
              <w:bottom w:val="single" w:sz="4" w:space="0" w:color="auto"/>
              <w:right w:val="single" w:sz="4" w:space="0" w:color="auto"/>
            </w:tcBorders>
            <w:shd w:val="clear" w:color="auto" w:fill="auto"/>
            <w:hideMark/>
          </w:tcPr>
          <w:p w14:paraId="4862298C" w14:textId="3E6DBB3F" w:rsidR="00E84C23" w:rsidRPr="00571EBF" w:rsidRDefault="00845001" w:rsidP="00923F01">
            <w:pPr>
              <w:pStyle w:val="Standaard-Tabellen"/>
              <w:rPr>
                <w:rFonts w:eastAsia="Calibri"/>
                <w:color w:val="000000"/>
              </w:rPr>
            </w:pPr>
            <w:r w:rsidRPr="00571EBF">
              <w:t>HEAdoc recommendation (January 2018)</w:t>
            </w:r>
          </w:p>
        </w:tc>
      </w:tr>
    </w:tbl>
    <w:p w14:paraId="2B9B919C" w14:textId="5716C1D8" w:rsidR="00E84C23" w:rsidRPr="00490C8C" w:rsidRDefault="00E84C23" w:rsidP="00E84C23">
      <w:pPr>
        <w:rPr>
          <w:rFonts w:eastAsia="Calibri"/>
          <w:highlight w:val="lightGray"/>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440"/>
      </w:tblGrid>
      <w:tr w:rsidR="00E84C23" w:rsidRPr="00490C8C" w14:paraId="1B8ADB9F" w14:textId="77777777" w:rsidTr="00DF65A8">
        <w:trPr>
          <w:tblHeader/>
        </w:trPr>
        <w:tc>
          <w:tcPr>
            <w:tcW w:w="9306"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0A2DD681" w14:textId="77777777" w:rsidR="00E84C23" w:rsidRPr="00490C8C" w:rsidRDefault="00E84C23" w:rsidP="00923F01">
            <w:pPr>
              <w:pStyle w:val="Standaard-Tabellen"/>
              <w:rPr>
                <w:rFonts w:eastAsia="Calibri"/>
                <w:b/>
                <w:highlight w:val="lightGray"/>
              </w:rPr>
            </w:pPr>
            <w:r w:rsidRPr="00490C8C">
              <w:rPr>
                <w:rFonts w:eastAsia="Calibri"/>
                <w:b/>
              </w:rPr>
              <w:t>Resulting local emission to relevant environmental compartments</w:t>
            </w:r>
          </w:p>
        </w:tc>
      </w:tr>
      <w:tr w:rsidR="00E84C23" w:rsidRPr="00490C8C" w14:paraId="6B3C2985" w14:textId="77777777" w:rsidTr="00490C8C">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3918248D" w14:textId="77777777" w:rsidR="00E84C23" w:rsidRPr="00571EBF" w:rsidRDefault="00E84C23" w:rsidP="00923F01">
            <w:pPr>
              <w:pStyle w:val="Standaard-Tabellen"/>
              <w:rPr>
                <w:rFonts w:eastAsia="Calibri"/>
                <w:b/>
              </w:rPr>
            </w:pPr>
            <w:r w:rsidRPr="00571EBF">
              <w:rPr>
                <w:rFonts w:eastAsia="Calibri"/>
                <w:b/>
              </w:rPr>
              <w:t>Compartment</w:t>
            </w:r>
          </w:p>
        </w:tc>
        <w:tc>
          <w:tcPr>
            <w:tcW w:w="3610"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6E3EFB21" w14:textId="77777777" w:rsidR="00E84C23" w:rsidRPr="00571EBF" w:rsidRDefault="00E84C23" w:rsidP="00923F01">
            <w:pPr>
              <w:pStyle w:val="Standaard-Tabellen"/>
              <w:rPr>
                <w:rFonts w:eastAsia="Calibri"/>
                <w:b/>
              </w:rPr>
            </w:pPr>
            <w:r w:rsidRPr="00571EBF">
              <w:rPr>
                <w:rFonts w:eastAsia="Calibri"/>
                <w:b/>
              </w:rPr>
              <w:t>Local emission (Elocal</w:t>
            </w:r>
            <w:r w:rsidRPr="00571EBF">
              <w:rPr>
                <w:rFonts w:eastAsia="Calibri"/>
                <w:b/>
                <w:vertAlign w:val="subscript"/>
              </w:rPr>
              <w:t>compartment</w:t>
            </w:r>
            <w:r w:rsidRPr="00571EBF">
              <w:rPr>
                <w:rFonts w:eastAsia="Calibri"/>
                <w:b/>
              </w:rPr>
              <w:t>) [kg/d]</w:t>
            </w:r>
          </w:p>
        </w:tc>
        <w:tc>
          <w:tcPr>
            <w:tcW w:w="3440"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01350CE4" w14:textId="77777777" w:rsidR="00E84C23" w:rsidRPr="00571EBF" w:rsidRDefault="00E84C23" w:rsidP="00923F01">
            <w:pPr>
              <w:pStyle w:val="Standaard-Tabellen"/>
              <w:rPr>
                <w:rFonts w:eastAsia="Calibri"/>
                <w:b/>
              </w:rPr>
            </w:pPr>
            <w:r w:rsidRPr="00571EBF">
              <w:rPr>
                <w:rFonts w:eastAsia="Calibri"/>
                <w:b/>
              </w:rPr>
              <w:t>Remarks</w:t>
            </w:r>
          </w:p>
        </w:tc>
      </w:tr>
      <w:tr w:rsidR="00E84C23" w:rsidRPr="00490C8C" w14:paraId="32576AC2" w14:textId="77777777" w:rsidTr="003E3E25">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E11B0F9" w14:textId="77777777" w:rsidR="00E84C23" w:rsidRPr="00571EBF" w:rsidRDefault="00E84C23" w:rsidP="00923F01">
            <w:pPr>
              <w:pStyle w:val="Standaard-Tabellen"/>
            </w:pPr>
            <w:r w:rsidRPr="00571EBF">
              <w:t>Surface 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BF4E26" w14:textId="4DAEDC1D" w:rsidR="00E84C23" w:rsidRPr="00571EBF" w:rsidRDefault="00E84C23" w:rsidP="00845001">
            <w:pPr>
              <w:pStyle w:val="Standaard-Tabellen"/>
            </w:pPr>
            <w:r w:rsidRPr="00571EBF">
              <w:t>0.</w:t>
            </w:r>
            <w:r w:rsidR="00845001" w:rsidRPr="00571EBF">
              <w:t>2</w:t>
            </w:r>
            <w:r w:rsidR="00281E9A" w:rsidRPr="00571EBF">
              <w:t>19</w:t>
            </w:r>
          </w:p>
        </w:tc>
        <w:tc>
          <w:tcPr>
            <w:tcW w:w="344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25CDDD" w14:textId="77777777" w:rsidR="00E84C23" w:rsidRPr="00571EBF" w:rsidRDefault="00E84C23" w:rsidP="00923F01">
            <w:pPr>
              <w:pStyle w:val="Standaard-Tabellen"/>
            </w:pPr>
            <w:r w:rsidRPr="00571EBF">
              <w:t>/</w:t>
            </w:r>
          </w:p>
        </w:tc>
      </w:tr>
    </w:tbl>
    <w:p w14:paraId="4E4FA536" w14:textId="2BA6383E" w:rsidR="00E84C23" w:rsidRPr="00490C8C" w:rsidRDefault="00E84C23" w:rsidP="00E84C23">
      <w:pPr>
        <w:rPr>
          <w:rFonts w:eastAsia="Calibri"/>
          <w:highlight w:val="lightGray"/>
          <w:lang w:eastAsia="en-US"/>
        </w:rPr>
      </w:pPr>
    </w:p>
    <w:p w14:paraId="36CE73E7" w14:textId="77777777" w:rsidR="0098647E" w:rsidRPr="003E3E25" w:rsidRDefault="0098647E"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p w14:paraId="350117AE" w14:textId="01F4F472" w:rsidR="00923F01" w:rsidRDefault="00923F01" w:rsidP="003E3E25">
      <w:pPr>
        <w:spacing w:line="260" w:lineRule="atLeast"/>
        <w:rPr>
          <w:rFonts w:eastAsia="Calibri"/>
          <w:b/>
          <w:bCs/>
          <w:lang w:eastAsia="en-US"/>
        </w:rPr>
      </w:pPr>
      <w:r w:rsidRPr="003E3E25">
        <w:rPr>
          <w:rFonts w:eastAsia="Calibri"/>
          <w:b/>
          <w:bCs/>
          <w:lang w:eastAsia="en-US"/>
        </w:rPr>
        <w:t>Scenario 3: Repellent treatment against mosquitoes of ticks applied on clothes – STP release scenario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638"/>
        <w:gridCol w:w="873"/>
        <w:gridCol w:w="1093"/>
        <w:gridCol w:w="2703"/>
      </w:tblGrid>
      <w:tr w:rsidR="00923F01" w:rsidRPr="001346A9" w14:paraId="0EBE48AA" w14:textId="77777777" w:rsidTr="00923F01">
        <w:trPr>
          <w:trHeight w:val="346"/>
        </w:trPr>
        <w:tc>
          <w:tcPr>
            <w:tcW w:w="5000" w:type="pct"/>
            <w:gridSpan w:val="5"/>
            <w:shd w:val="clear" w:color="auto" w:fill="FFFFCC"/>
            <w:vAlign w:val="center"/>
          </w:tcPr>
          <w:p w14:paraId="103CFCE3" w14:textId="77777777" w:rsidR="00923F01" w:rsidRPr="001346A9" w:rsidRDefault="00923F01" w:rsidP="00923F01">
            <w:pPr>
              <w:pStyle w:val="Standaard-Tabellen"/>
              <w:jc w:val="center"/>
              <w:rPr>
                <w:rFonts w:eastAsia="Calibri"/>
                <w:b/>
                <w:highlight w:val="lightGray"/>
              </w:rPr>
            </w:pPr>
            <w:r w:rsidRPr="00490C8C">
              <w:rPr>
                <w:rFonts w:eastAsia="Calibri"/>
                <w:b/>
              </w:rPr>
              <w:t>Input parameters for calculating the local emission</w:t>
            </w:r>
          </w:p>
        </w:tc>
      </w:tr>
      <w:tr w:rsidR="00923F01" w:rsidRPr="001346A9" w14:paraId="55EBC483" w14:textId="77777777" w:rsidTr="001346A9">
        <w:trPr>
          <w:trHeight w:val="75"/>
        </w:trPr>
        <w:tc>
          <w:tcPr>
            <w:tcW w:w="1656" w:type="pct"/>
            <w:shd w:val="clear" w:color="auto" w:fill="D9D9D9" w:themeFill="background1" w:themeFillShade="D9"/>
            <w:vAlign w:val="center"/>
          </w:tcPr>
          <w:p w14:paraId="34F65E13" w14:textId="77777777" w:rsidR="00923F01" w:rsidRPr="00E55696" w:rsidRDefault="00923F01" w:rsidP="00923F01">
            <w:pPr>
              <w:pStyle w:val="Standaard-Tabellen"/>
              <w:rPr>
                <w:rFonts w:eastAsia="Calibri" w:cs="Arial"/>
                <w:b/>
                <w:color w:val="000000"/>
              </w:rPr>
            </w:pPr>
            <w:r w:rsidRPr="00E55696">
              <w:rPr>
                <w:rFonts w:eastAsia="Calibri" w:cs="Arial"/>
                <w:b/>
                <w:color w:val="000000"/>
              </w:rPr>
              <w:t xml:space="preserve">Input </w:t>
            </w:r>
          </w:p>
        </w:tc>
        <w:tc>
          <w:tcPr>
            <w:tcW w:w="832" w:type="pct"/>
            <w:shd w:val="clear" w:color="auto" w:fill="D9D9D9" w:themeFill="background1" w:themeFillShade="D9"/>
            <w:vAlign w:val="center"/>
          </w:tcPr>
          <w:p w14:paraId="6A83E135" w14:textId="77777777" w:rsidR="00923F01" w:rsidRPr="00E55696" w:rsidRDefault="00923F01" w:rsidP="00923F01">
            <w:pPr>
              <w:pStyle w:val="Standaard-Tabellen"/>
              <w:rPr>
                <w:rFonts w:eastAsia="Calibri" w:cs="Arial"/>
                <w:b/>
                <w:color w:val="000000"/>
              </w:rPr>
            </w:pPr>
            <w:r w:rsidRPr="00E55696">
              <w:rPr>
                <w:rFonts w:eastAsia="Calibri" w:cs="Arial"/>
                <w:b/>
                <w:color w:val="000000"/>
              </w:rPr>
              <w:t>Nomenclature</w:t>
            </w:r>
          </w:p>
        </w:tc>
        <w:tc>
          <w:tcPr>
            <w:tcW w:w="474" w:type="pct"/>
            <w:shd w:val="clear" w:color="auto" w:fill="D9D9D9" w:themeFill="background1" w:themeFillShade="D9"/>
            <w:vAlign w:val="center"/>
          </w:tcPr>
          <w:p w14:paraId="60639414" w14:textId="77777777" w:rsidR="00923F01" w:rsidRPr="00E55696" w:rsidRDefault="00923F01" w:rsidP="00923F01">
            <w:pPr>
              <w:pStyle w:val="Standaard-Tabellen"/>
              <w:rPr>
                <w:rFonts w:eastAsia="Calibri" w:cs="Arial"/>
                <w:b/>
                <w:color w:val="000000"/>
              </w:rPr>
            </w:pPr>
            <w:r w:rsidRPr="00E55696">
              <w:rPr>
                <w:rFonts w:eastAsia="Calibri" w:cs="Arial"/>
                <w:b/>
                <w:color w:val="000000"/>
              </w:rPr>
              <w:t>Value</w:t>
            </w:r>
          </w:p>
        </w:tc>
        <w:tc>
          <w:tcPr>
            <w:tcW w:w="591" w:type="pct"/>
            <w:shd w:val="clear" w:color="auto" w:fill="D9D9D9" w:themeFill="background1" w:themeFillShade="D9"/>
            <w:vAlign w:val="center"/>
          </w:tcPr>
          <w:p w14:paraId="6734BDB2" w14:textId="77777777" w:rsidR="00923F01" w:rsidRPr="00E55696" w:rsidRDefault="00923F01" w:rsidP="00923F01">
            <w:pPr>
              <w:pStyle w:val="Standaard-Tabellen"/>
              <w:rPr>
                <w:rFonts w:eastAsia="Calibri" w:cs="Arial"/>
                <w:b/>
                <w:color w:val="000000"/>
              </w:rPr>
            </w:pPr>
            <w:r w:rsidRPr="00E55696">
              <w:rPr>
                <w:rFonts w:eastAsia="Calibri" w:cs="Arial"/>
                <w:b/>
                <w:color w:val="000000"/>
              </w:rPr>
              <w:t>Unit</w:t>
            </w:r>
          </w:p>
        </w:tc>
        <w:tc>
          <w:tcPr>
            <w:tcW w:w="1448" w:type="pct"/>
            <w:shd w:val="clear" w:color="auto" w:fill="D9D9D9" w:themeFill="background1" w:themeFillShade="D9"/>
          </w:tcPr>
          <w:p w14:paraId="6D5E4E39" w14:textId="77777777" w:rsidR="00923F01" w:rsidRPr="00E55696" w:rsidRDefault="00923F01" w:rsidP="00923F01">
            <w:pPr>
              <w:pStyle w:val="Standaard-Tabellen"/>
              <w:rPr>
                <w:rFonts w:eastAsia="Calibri" w:cs="Arial"/>
                <w:b/>
                <w:color w:val="000000"/>
              </w:rPr>
            </w:pPr>
            <w:r w:rsidRPr="00E55696">
              <w:rPr>
                <w:rFonts w:eastAsia="Calibri" w:cs="Arial"/>
                <w:b/>
                <w:color w:val="000000"/>
              </w:rPr>
              <w:t>Remarks</w:t>
            </w:r>
          </w:p>
        </w:tc>
      </w:tr>
      <w:tr w:rsidR="00923F01" w:rsidRPr="001346A9" w14:paraId="09AC6442" w14:textId="77777777" w:rsidTr="003E3E25">
        <w:trPr>
          <w:trHeight w:val="75"/>
        </w:trPr>
        <w:tc>
          <w:tcPr>
            <w:tcW w:w="5000" w:type="pct"/>
            <w:gridSpan w:val="5"/>
            <w:shd w:val="clear" w:color="auto" w:fill="auto"/>
            <w:vAlign w:val="center"/>
          </w:tcPr>
          <w:p w14:paraId="50DEAD55" w14:textId="5D7AA5F5" w:rsidR="00923F01" w:rsidRPr="00E55696" w:rsidRDefault="00923F01" w:rsidP="00DF65A8">
            <w:pPr>
              <w:spacing w:line="276" w:lineRule="auto"/>
              <w:rPr>
                <w:rFonts w:eastAsia="Calibri"/>
                <w:color w:val="000000"/>
                <w:lang w:eastAsia="en-US"/>
              </w:rPr>
            </w:pPr>
            <w:r w:rsidRPr="00E55696">
              <w:rPr>
                <w:rFonts w:eastAsia="Calibri"/>
                <w:color w:val="000000"/>
                <w:szCs w:val="18"/>
              </w:rPr>
              <w:t>Scenario</w:t>
            </w:r>
            <w:r w:rsidR="00AF6D81" w:rsidRPr="00E55696">
              <w:rPr>
                <w:rFonts w:eastAsia="Calibri"/>
                <w:color w:val="000000"/>
                <w:szCs w:val="18"/>
              </w:rPr>
              <w:t xml:space="preserve"> 3</w:t>
            </w:r>
            <w:r w:rsidRPr="00E55696">
              <w:rPr>
                <w:rFonts w:eastAsia="Calibri"/>
                <w:color w:val="000000"/>
                <w:szCs w:val="18"/>
              </w:rPr>
              <w:t xml:space="preserve">: </w:t>
            </w:r>
            <w:r w:rsidRPr="00E55696">
              <w:rPr>
                <w:rFonts w:eastAsia="Calibri"/>
                <w:color w:val="000000"/>
                <w:lang w:eastAsia="en-US"/>
              </w:rPr>
              <w:t>Repellent treatment again</w:t>
            </w:r>
            <w:r w:rsidR="0010127C" w:rsidRPr="00E55696">
              <w:rPr>
                <w:rFonts w:eastAsia="Calibri"/>
                <w:color w:val="000000"/>
                <w:lang w:eastAsia="en-US"/>
              </w:rPr>
              <w:t>s</w:t>
            </w:r>
            <w:r w:rsidRPr="00E55696">
              <w:rPr>
                <w:rFonts w:eastAsia="Calibri"/>
                <w:color w:val="000000"/>
                <w:lang w:eastAsia="en-US"/>
              </w:rPr>
              <w:t>t mosquitoes or ticks applied on clothes – STP release scenario [ESD-PT19 – Section 3.1.4].</w:t>
            </w:r>
            <w:r w:rsidR="00AF6D81" w:rsidRPr="00E55696">
              <w:rPr>
                <w:rFonts w:eastAsia="Calibri"/>
                <w:b/>
                <w:color w:val="000000"/>
                <w:lang w:eastAsia="en-US"/>
              </w:rPr>
              <w:t xml:space="preserve"> </w:t>
            </w:r>
            <w:r w:rsidR="00AF6D81" w:rsidRPr="00E55696">
              <w:rPr>
                <w:rFonts w:eastAsia="Calibri"/>
                <w:b/>
                <w:color w:val="000000"/>
                <w:lang w:eastAsia="en-US"/>
              </w:rPr>
              <w:sym w:font="Wingdings" w:char="F0E0"/>
            </w:r>
            <w:r w:rsidR="00AF6D81" w:rsidRPr="00E55696">
              <w:rPr>
                <w:rFonts w:eastAsia="Calibri"/>
                <w:b/>
                <w:color w:val="000000"/>
                <w:lang w:eastAsia="en-US"/>
              </w:rPr>
              <w:t xml:space="preserve"> Use #3, 5</w:t>
            </w:r>
          </w:p>
        </w:tc>
      </w:tr>
      <w:tr w:rsidR="00923F01" w:rsidRPr="001346A9" w14:paraId="53A65953" w14:textId="77777777" w:rsidTr="003E3E25">
        <w:trPr>
          <w:trHeight w:val="75"/>
        </w:trPr>
        <w:tc>
          <w:tcPr>
            <w:tcW w:w="1656" w:type="pct"/>
            <w:shd w:val="clear" w:color="auto" w:fill="auto"/>
            <w:vAlign w:val="center"/>
          </w:tcPr>
          <w:p w14:paraId="358EEB4E" w14:textId="3A0176E4" w:rsidR="00923F01" w:rsidRPr="00E55696" w:rsidRDefault="00923F01" w:rsidP="00C71927">
            <w:pPr>
              <w:pStyle w:val="Standaard-Tabellen"/>
              <w:rPr>
                <w:rFonts w:eastAsia="Calibri"/>
              </w:rPr>
            </w:pPr>
            <w:r w:rsidRPr="00E55696">
              <w:rPr>
                <w:rFonts w:eastAsia="Calibri"/>
              </w:rPr>
              <w:t xml:space="preserve">Number of inhabitants </w:t>
            </w:r>
            <w:r w:rsidR="00C71927" w:rsidRPr="00E55696">
              <w:rPr>
                <w:rFonts w:eastAsia="Calibri"/>
              </w:rPr>
              <w:t>per</w:t>
            </w:r>
            <w:r w:rsidRPr="00E55696">
              <w:rPr>
                <w:rFonts w:eastAsia="Calibri"/>
              </w:rPr>
              <w:t xml:space="preserve"> STP</w:t>
            </w:r>
          </w:p>
        </w:tc>
        <w:tc>
          <w:tcPr>
            <w:tcW w:w="832" w:type="pct"/>
            <w:shd w:val="clear" w:color="auto" w:fill="auto"/>
            <w:vAlign w:val="center"/>
          </w:tcPr>
          <w:p w14:paraId="46E5D312" w14:textId="77777777" w:rsidR="00923F01" w:rsidRPr="00E55696" w:rsidRDefault="00923F01" w:rsidP="00923F01">
            <w:pPr>
              <w:pStyle w:val="Standaard-Tabellen"/>
              <w:rPr>
                <w:rFonts w:eastAsia="Calibri"/>
              </w:rPr>
            </w:pPr>
            <w:r w:rsidRPr="00E55696">
              <w:rPr>
                <w:rFonts w:eastAsia="Calibri"/>
              </w:rPr>
              <w:t>N</w:t>
            </w:r>
            <w:r w:rsidRPr="00E55696">
              <w:rPr>
                <w:rFonts w:eastAsia="Calibri"/>
                <w:vertAlign w:val="subscript"/>
              </w:rPr>
              <w:t>local</w:t>
            </w:r>
          </w:p>
        </w:tc>
        <w:tc>
          <w:tcPr>
            <w:tcW w:w="474" w:type="pct"/>
            <w:shd w:val="clear" w:color="auto" w:fill="auto"/>
            <w:vAlign w:val="center"/>
          </w:tcPr>
          <w:p w14:paraId="79DF3B2B" w14:textId="77777777" w:rsidR="00923F01" w:rsidRPr="00E55696" w:rsidRDefault="00923F01" w:rsidP="00923F01">
            <w:pPr>
              <w:pStyle w:val="Standaard-Tabellen"/>
              <w:rPr>
                <w:rFonts w:eastAsia="Calibri"/>
              </w:rPr>
            </w:pPr>
            <w:r w:rsidRPr="00E55696">
              <w:rPr>
                <w:rFonts w:eastAsia="Calibri"/>
              </w:rPr>
              <w:t>10 000</w:t>
            </w:r>
          </w:p>
        </w:tc>
        <w:tc>
          <w:tcPr>
            <w:tcW w:w="591" w:type="pct"/>
            <w:shd w:val="clear" w:color="auto" w:fill="auto"/>
            <w:vAlign w:val="center"/>
          </w:tcPr>
          <w:p w14:paraId="03EDD477" w14:textId="77777777" w:rsidR="00923F01" w:rsidRPr="00E55696" w:rsidRDefault="00923F01" w:rsidP="00923F01">
            <w:pPr>
              <w:pStyle w:val="Standaard-Tabellen"/>
              <w:rPr>
                <w:rFonts w:eastAsia="Calibri"/>
              </w:rPr>
            </w:pPr>
            <w:r w:rsidRPr="00E55696">
              <w:rPr>
                <w:rFonts w:eastAsia="Calibri"/>
              </w:rPr>
              <w:t>[-]</w:t>
            </w:r>
          </w:p>
        </w:tc>
        <w:tc>
          <w:tcPr>
            <w:tcW w:w="1448" w:type="pct"/>
            <w:shd w:val="clear" w:color="auto" w:fill="auto"/>
          </w:tcPr>
          <w:p w14:paraId="55FC85D0" w14:textId="77777777" w:rsidR="00923F01" w:rsidRPr="00E55696" w:rsidRDefault="00923F01" w:rsidP="00923F01">
            <w:pPr>
              <w:pStyle w:val="Standaard-Tabellen"/>
              <w:rPr>
                <w:rFonts w:eastAsia="Calibri"/>
              </w:rPr>
            </w:pPr>
            <w:r w:rsidRPr="00E55696">
              <w:rPr>
                <w:rFonts w:eastAsia="Calibri"/>
              </w:rPr>
              <w:t>Default value</w:t>
            </w:r>
          </w:p>
        </w:tc>
      </w:tr>
      <w:tr w:rsidR="00923F01" w:rsidRPr="001346A9" w14:paraId="34F72E13" w14:textId="77777777" w:rsidTr="003E3E25">
        <w:trPr>
          <w:trHeight w:val="93"/>
        </w:trPr>
        <w:tc>
          <w:tcPr>
            <w:tcW w:w="1656" w:type="pct"/>
            <w:shd w:val="clear" w:color="auto" w:fill="auto"/>
            <w:vAlign w:val="center"/>
          </w:tcPr>
          <w:p w14:paraId="2FBD9A0C" w14:textId="77777777" w:rsidR="00923F01" w:rsidRPr="00E55696" w:rsidRDefault="00923F01" w:rsidP="00923F01">
            <w:pPr>
              <w:pStyle w:val="Standaard-Tabellen"/>
              <w:rPr>
                <w:rFonts w:eastAsia="Calibri"/>
              </w:rPr>
            </w:pPr>
            <w:r w:rsidRPr="00E55696">
              <w:rPr>
                <w:rFonts w:eastAsia="Calibri"/>
              </w:rPr>
              <w:t>Active substance in product</w:t>
            </w:r>
          </w:p>
        </w:tc>
        <w:tc>
          <w:tcPr>
            <w:tcW w:w="832" w:type="pct"/>
            <w:shd w:val="clear" w:color="auto" w:fill="auto"/>
            <w:vAlign w:val="center"/>
          </w:tcPr>
          <w:p w14:paraId="17CB907C" w14:textId="77777777" w:rsidR="00923F01" w:rsidRPr="00E55696" w:rsidRDefault="00923F01" w:rsidP="00923F01">
            <w:pPr>
              <w:pStyle w:val="Standaard-Tabellen"/>
              <w:rPr>
                <w:rFonts w:eastAsia="Calibri"/>
              </w:rPr>
            </w:pPr>
            <w:r w:rsidRPr="00E55696">
              <w:rPr>
                <w:rFonts w:eastAsia="Calibri"/>
              </w:rPr>
              <w:t>(B) Cform</w:t>
            </w:r>
            <w:r w:rsidRPr="00E55696">
              <w:rPr>
                <w:rFonts w:eastAsia="Calibri"/>
                <w:vertAlign w:val="subscript"/>
              </w:rPr>
              <w:t>weight</w:t>
            </w:r>
          </w:p>
        </w:tc>
        <w:tc>
          <w:tcPr>
            <w:tcW w:w="474" w:type="pct"/>
            <w:shd w:val="clear" w:color="auto" w:fill="auto"/>
            <w:vAlign w:val="center"/>
          </w:tcPr>
          <w:p w14:paraId="77729B84" w14:textId="5082046A" w:rsidR="00923F01" w:rsidRPr="00E55696" w:rsidRDefault="00E2477C" w:rsidP="00923F01">
            <w:pPr>
              <w:pStyle w:val="Standaard-Tabellen"/>
              <w:rPr>
                <w:rFonts w:eastAsia="Calibri"/>
              </w:rPr>
            </w:pPr>
            <w:r w:rsidRPr="00E55696">
              <w:rPr>
                <w:rFonts w:eastAsia="Calibri"/>
              </w:rPr>
              <w:t>20</w:t>
            </w:r>
            <w:r w:rsidR="00281E9A" w:rsidRPr="00E55696">
              <w:rPr>
                <w:rFonts w:eastAsia="Calibri"/>
              </w:rPr>
              <w:t>0</w:t>
            </w:r>
          </w:p>
        </w:tc>
        <w:tc>
          <w:tcPr>
            <w:tcW w:w="591" w:type="pct"/>
            <w:shd w:val="clear" w:color="auto" w:fill="auto"/>
            <w:vAlign w:val="center"/>
          </w:tcPr>
          <w:p w14:paraId="02C5192F" w14:textId="77777777" w:rsidR="00923F01" w:rsidRPr="00E55696" w:rsidRDefault="00923F01" w:rsidP="00923F01">
            <w:pPr>
              <w:pStyle w:val="Standaard-Tabellen"/>
              <w:rPr>
                <w:rFonts w:eastAsia="Calibri"/>
              </w:rPr>
            </w:pPr>
            <w:r w:rsidRPr="00E55696">
              <w:rPr>
                <w:rFonts w:eastAsia="Calibri"/>
                <w:color w:val="000000"/>
                <w:szCs w:val="18"/>
              </w:rPr>
              <w:t>g.kg</w:t>
            </w:r>
            <w:r w:rsidRPr="00E55696">
              <w:rPr>
                <w:rFonts w:eastAsia="Calibri"/>
                <w:color w:val="000000"/>
                <w:szCs w:val="18"/>
                <w:vertAlign w:val="superscript"/>
              </w:rPr>
              <w:t>-1</w:t>
            </w:r>
          </w:p>
        </w:tc>
        <w:tc>
          <w:tcPr>
            <w:tcW w:w="1448" w:type="pct"/>
            <w:shd w:val="clear" w:color="auto" w:fill="auto"/>
          </w:tcPr>
          <w:p w14:paraId="5E63C7DC" w14:textId="6C28E6E3" w:rsidR="00923F01" w:rsidRPr="00E55696" w:rsidRDefault="00923F01" w:rsidP="00923F01">
            <w:pPr>
              <w:pStyle w:val="Standaard-Tabellen"/>
              <w:rPr>
                <w:rFonts w:eastAsia="Calibri"/>
              </w:rPr>
            </w:pPr>
            <w:r w:rsidRPr="00E55696">
              <w:rPr>
                <w:rFonts w:eastAsia="Calibri"/>
              </w:rPr>
              <w:t>(20%</w:t>
            </w:r>
            <w:r w:rsidR="00E2477C" w:rsidRPr="00E55696">
              <w:rPr>
                <w:rFonts w:eastAsia="Calibri"/>
              </w:rPr>
              <w:t xml:space="preserve"> technical</w:t>
            </w:r>
            <w:r w:rsidRPr="00E55696">
              <w:rPr>
                <w:rFonts w:eastAsia="Calibri"/>
              </w:rPr>
              <w:t>)</w:t>
            </w:r>
          </w:p>
        </w:tc>
      </w:tr>
      <w:tr w:rsidR="00923F01" w:rsidRPr="001346A9" w14:paraId="5700C731" w14:textId="77777777" w:rsidTr="003E3E25">
        <w:trPr>
          <w:trHeight w:val="93"/>
        </w:trPr>
        <w:tc>
          <w:tcPr>
            <w:tcW w:w="1656" w:type="pct"/>
            <w:shd w:val="clear" w:color="auto" w:fill="auto"/>
          </w:tcPr>
          <w:p w14:paraId="09AF4FA5" w14:textId="77777777" w:rsidR="00923F01" w:rsidRPr="00E55696" w:rsidRDefault="00923F01" w:rsidP="00923F01">
            <w:pPr>
              <w:pStyle w:val="Standaard-Tabellen"/>
              <w:rPr>
                <w:rFonts w:eastAsia="Calibri"/>
              </w:rPr>
            </w:pPr>
            <w:r w:rsidRPr="00E55696">
              <w:rPr>
                <w:rFonts w:eastAsia="Calibri"/>
              </w:rPr>
              <w:t>Consumption per application</w:t>
            </w:r>
          </w:p>
        </w:tc>
        <w:tc>
          <w:tcPr>
            <w:tcW w:w="832" w:type="pct"/>
            <w:shd w:val="clear" w:color="auto" w:fill="auto"/>
          </w:tcPr>
          <w:p w14:paraId="258F1E05" w14:textId="77777777" w:rsidR="00923F01" w:rsidRPr="00E55696" w:rsidRDefault="00923F01" w:rsidP="00923F01">
            <w:pPr>
              <w:pStyle w:val="Standaard-Tabellen"/>
              <w:rPr>
                <w:rFonts w:eastAsia="Calibri"/>
              </w:rPr>
            </w:pPr>
            <w:r w:rsidRPr="00E55696">
              <w:rPr>
                <w:rFonts w:eastAsia="Calibri"/>
              </w:rPr>
              <w:t>(D2) Qform</w:t>
            </w:r>
            <w:r w:rsidRPr="00E55696">
              <w:rPr>
                <w:rFonts w:eastAsia="Calibri"/>
                <w:vertAlign w:val="subscript"/>
              </w:rPr>
              <w:t>appl</w:t>
            </w:r>
          </w:p>
        </w:tc>
        <w:tc>
          <w:tcPr>
            <w:tcW w:w="474" w:type="pct"/>
            <w:shd w:val="clear" w:color="auto" w:fill="auto"/>
          </w:tcPr>
          <w:p w14:paraId="7E7F7EAE" w14:textId="393C2DF3" w:rsidR="00923F01" w:rsidRPr="00E55696" w:rsidRDefault="00DC11BD" w:rsidP="00923F01">
            <w:pPr>
              <w:pStyle w:val="Standaard-Tabellen"/>
              <w:rPr>
                <w:rFonts w:eastAsia="Calibri"/>
              </w:rPr>
            </w:pPr>
            <w:r w:rsidRPr="00E55696">
              <w:rPr>
                <w:rFonts w:eastAsia="Calibri"/>
              </w:rPr>
              <w:t>0.85</w:t>
            </w:r>
          </w:p>
        </w:tc>
        <w:tc>
          <w:tcPr>
            <w:tcW w:w="591" w:type="pct"/>
            <w:shd w:val="clear" w:color="auto" w:fill="auto"/>
          </w:tcPr>
          <w:p w14:paraId="7C2BC362" w14:textId="77777777" w:rsidR="00923F01" w:rsidRPr="00E55696" w:rsidRDefault="00923F01" w:rsidP="00923F01">
            <w:pPr>
              <w:pStyle w:val="Standaard-Tabellen"/>
              <w:rPr>
                <w:rFonts w:eastAsia="Calibri"/>
              </w:rPr>
            </w:pPr>
            <w:r w:rsidRPr="00E55696">
              <w:rPr>
                <w:rFonts w:eastAsia="Calibri"/>
              </w:rPr>
              <w:t>mg.cm</w:t>
            </w:r>
            <w:r w:rsidRPr="00E55696">
              <w:rPr>
                <w:rFonts w:eastAsia="Calibri"/>
                <w:vertAlign w:val="superscript"/>
              </w:rPr>
              <w:t>-²</w:t>
            </w:r>
          </w:p>
        </w:tc>
        <w:tc>
          <w:tcPr>
            <w:tcW w:w="1448" w:type="pct"/>
            <w:shd w:val="clear" w:color="auto" w:fill="auto"/>
          </w:tcPr>
          <w:p w14:paraId="35F36F47" w14:textId="7F5DEC65" w:rsidR="00923F01" w:rsidRPr="00E55696" w:rsidRDefault="00923F01" w:rsidP="00CE3AA0">
            <w:pPr>
              <w:pStyle w:val="Standaard-Tabellen"/>
              <w:rPr>
                <w:rFonts w:eastAsia="Calibri"/>
                <w:lang w:val="fr-FR"/>
              </w:rPr>
            </w:pPr>
            <w:r w:rsidRPr="00E55696">
              <w:rPr>
                <w:rFonts w:eastAsia="Calibri"/>
                <w:color w:val="000000"/>
                <w:szCs w:val="18"/>
                <w:lang w:val="fr-FR"/>
              </w:rPr>
              <w:t>Maximum efficient dose</w:t>
            </w:r>
          </w:p>
        </w:tc>
      </w:tr>
      <w:tr w:rsidR="00923F01" w:rsidRPr="001346A9" w14:paraId="3C5E749B" w14:textId="77777777" w:rsidTr="003E3E25">
        <w:trPr>
          <w:trHeight w:val="93"/>
        </w:trPr>
        <w:tc>
          <w:tcPr>
            <w:tcW w:w="1656" w:type="pct"/>
            <w:shd w:val="clear" w:color="auto" w:fill="auto"/>
            <w:vAlign w:val="center"/>
          </w:tcPr>
          <w:p w14:paraId="53E678D1" w14:textId="77777777" w:rsidR="00923F01" w:rsidRPr="00E55696" w:rsidRDefault="00923F01" w:rsidP="00923F01">
            <w:pPr>
              <w:pStyle w:val="Standaard-Tabellen"/>
              <w:rPr>
                <w:rFonts w:eastAsia="Calibri"/>
              </w:rPr>
            </w:pPr>
            <w:r w:rsidRPr="00E55696">
              <w:rPr>
                <w:rFonts w:eastAsia="Calibri"/>
              </w:rPr>
              <w:t>Number of applications per day</w:t>
            </w:r>
          </w:p>
        </w:tc>
        <w:tc>
          <w:tcPr>
            <w:tcW w:w="832" w:type="pct"/>
            <w:shd w:val="clear" w:color="auto" w:fill="auto"/>
            <w:vAlign w:val="center"/>
          </w:tcPr>
          <w:p w14:paraId="4BB5D7D8" w14:textId="77777777" w:rsidR="00923F01" w:rsidRPr="00E55696" w:rsidRDefault="00923F01" w:rsidP="00923F01">
            <w:pPr>
              <w:pStyle w:val="Standaard-Tabellen"/>
              <w:rPr>
                <w:rFonts w:eastAsia="Calibri"/>
              </w:rPr>
            </w:pPr>
            <w:r w:rsidRPr="00E55696">
              <w:rPr>
                <w:rFonts w:eastAsia="Calibri"/>
              </w:rPr>
              <w:t>N</w:t>
            </w:r>
            <w:r w:rsidRPr="00E55696">
              <w:rPr>
                <w:rFonts w:eastAsia="Calibri"/>
                <w:vertAlign w:val="subscript"/>
              </w:rPr>
              <w:t>appl</w:t>
            </w:r>
          </w:p>
        </w:tc>
        <w:tc>
          <w:tcPr>
            <w:tcW w:w="474" w:type="pct"/>
            <w:shd w:val="clear" w:color="auto" w:fill="auto"/>
            <w:vAlign w:val="center"/>
          </w:tcPr>
          <w:p w14:paraId="1A266538" w14:textId="7927CF3D" w:rsidR="00923F01" w:rsidRPr="00E55696" w:rsidRDefault="00923F01" w:rsidP="00923F01">
            <w:pPr>
              <w:pStyle w:val="Standaard-Tabellen"/>
              <w:rPr>
                <w:rFonts w:eastAsia="Calibri"/>
              </w:rPr>
            </w:pPr>
            <w:r w:rsidRPr="00E55696">
              <w:rPr>
                <w:rFonts w:eastAsia="Calibri"/>
              </w:rPr>
              <w:t>1</w:t>
            </w:r>
          </w:p>
        </w:tc>
        <w:tc>
          <w:tcPr>
            <w:tcW w:w="591" w:type="pct"/>
            <w:shd w:val="clear" w:color="auto" w:fill="auto"/>
            <w:vAlign w:val="center"/>
          </w:tcPr>
          <w:p w14:paraId="4E05D076" w14:textId="77777777" w:rsidR="00923F01" w:rsidRPr="00E55696" w:rsidRDefault="00923F01" w:rsidP="00923F01">
            <w:pPr>
              <w:pStyle w:val="Standaard-Tabellen"/>
              <w:rPr>
                <w:rFonts w:eastAsia="Calibri"/>
              </w:rPr>
            </w:pPr>
            <w:r w:rsidRPr="00E55696">
              <w:rPr>
                <w:rFonts w:eastAsia="Calibri"/>
              </w:rPr>
              <w:t>d</w:t>
            </w:r>
            <w:r w:rsidRPr="00E55696">
              <w:rPr>
                <w:rFonts w:eastAsia="Calibri"/>
                <w:vertAlign w:val="superscript"/>
              </w:rPr>
              <w:t>-1</w:t>
            </w:r>
          </w:p>
        </w:tc>
        <w:tc>
          <w:tcPr>
            <w:tcW w:w="1448" w:type="pct"/>
            <w:shd w:val="clear" w:color="auto" w:fill="auto"/>
          </w:tcPr>
          <w:p w14:paraId="501B24C5" w14:textId="38F13B87" w:rsidR="00923F01" w:rsidRPr="00E55696" w:rsidRDefault="00593869" w:rsidP="00DF65A8">
            <w:pPr>
              <w:rPr>
                <w:rFonts w:eastAsia="Calibri"/>
                <w:color w:val="000000"/>
                <w:sz w:val="18"/>
                <w:szCs w:val="18"/>
                <w:lang w:val="en-US" w:eastAsia="en-GB"/>
              </w:rPr>
            </w:pPr>
            <w:r w:rsidRPr="00E55696">
              <w:rPr>
                <w:rFonts w:eastAsia="Calibri"/>
                <w:color w:val="000000"/>
                <w:sz w:val="18"/>
                <w:szCs w:val="18"/>
                <w:lang w:val="en-US" w:eastAsia="en-GB"/>
              </w:rPr>
              <w:t>Default value</w:t>
            </w:r>
            <w:r w:rsidR="00923F01" w:rsidRPr="00E55696">
              <w:rPr>
                <w:rFonts w:eastAsia="Calibri"/>
                <w:color w:val="000000"/>
                <w:sz w:val="18"/>
                <w:szCs w:val="18"/>
                <w:lang w:val="en-US" w:eastAsia="en-GB"/>
              </w:rPr>
              <w:t xml:space="preserve"> for human clothes </w:t>
            </w:r>
            <w:r w:rsidR="0025067D" w:rsidRPr="00E55696">
              <w:rPr>
                <w:rFonts w:eastAsia="Calibri"/>
                <w:color w:val="000000"/>
                <w:sz w:val="18"/>
                <w:szCs w:val="18"/>
                <w:lang w:val="en-US" w:eastAsia="en-GB"/>
              </w:rPr>
              <w:t>(</w:t>
            </w:r>
            <w:r w:rsidR="00C71927" w:rsidRPr="00E55696">
              <w:rPr>
                <w:rFonts w:eastAsia="Calibri"/>
                <w:color w:val="000000"/>
                <w:sz w:val="18"/>
                <w:szCs w:val="18"/>
                <w:lang w:val="en-US" w:eastAsia="en-GB"/>
              </w:rPr>
              <w:t>ESD PT19</w:t>
            </w:r>
            <w:r w:rsidR="0025067D" w:rsidRPr="00E55696">
              <w:rPr>
                <w:rFonts w:eastAsia="Calibri"/>
                <w:color w:val="000000"/>
                <w:sz w:val="18"/>
                <w:szCs w:val="18"/>
                <w:lang w:val="en-US" w:eastAsia="en-GB"/>
              </w:rPr>
              <w:t>, Table 3.2</w:t>
            </w:r>
            <w:r w:rsidR="00923F01" w:rsidRPr="00E55696">
              <w:rPr>
                <w:rFonts w:eastAsia="Calibri"/>
                <w:color w:val="000000"/>
                <w:sz w:val="18"/>
                <w:szCs w:val="18"/>
                <w:lang w:val="en-US" w:eastAsia="en-GB"/>
              </w:rPr>
              <w:t>)</w:t>
            </w:r>
          </w:p>
        </w:tc>
      </w:tr>
      <w:tr w:rsidR="00923F01" w:rsidRPr="001346A9" w14:paraId="5524E6E0" w14:textId="77777777" w:rsidTr="003E3E25">
        <w:trPr>
          <w:trHeight w:val="93"/>
        </w:trPr>
        <w:tc>
          <w:tcPr>
            <w:tcW w:w="1656" w:type="pct"/>
            <w:shd w:val="clear" w:color="auto" w:fill="auto"/>
          </w:tcPr>
          <w:p w14:paraId="0EAC2C63" w14:textId="57CD2B42" w:rsidR="00923F01" w:rsidRPr="00E55696" w:rsidRDefault="00923F01" w:rsidP="00EB2B09">
            <w:pPr>
              <w:pStyle w:val="Standaard-Tabellen"/>
              <w:rPr>
                <w:rFonts w:eastAsia="Calibri"/>
              </w:rPr>
            </w:pPr>
            <w:r w:rsidRPr="00E55696">
              <w:rPr>
                <w:rFonts w:eastAsia="Calibri"/>
              </w:rPr>
              <w:t xml:space="preserve">Treated area of </w:t>
            </w:r>
            <w:r w:rsidR="00894B73" w:rsidRPr="00E55696">
              <w:rPr>
                <w:rFonts w:eastAsia="Calibri"/>
              </w:rPr>
              <w:t>clothes</w:t>
            </w:r>
          </w:p>
        </w:tc>
        <w:tc>
          <w:tcPr>
            <w:tcW w:w="832" w:type="pct"/>
            <w:shd w:val="clear" w:color="auto" w:fill="auto"/>
          </w:tcPr>
          <w:p w14:paraId="7E2F8FC7" w14:textId="5D8100E8" w:rsidR="00923F01" w:rsidRPr="00E55696" w:rsidRDefault="00923F01" w:rsidP="00923F01">
            <w:pPr>
              <w:pStyle w:val="Standaard-Tabellen"/>
              <w:rPr>
                <w:rFonts w:eastAsia="Calibri"/>
              </w:rPr>
            </w:pPr>
            <w:r w:rsidRPr="00E55696">
              <w:rPr>
                <w:rFonts w:eastAsia="Calibri"/>
              </w:rPr>
              <w:t>AREA</w:t>
            </w:r>
            <w:r w:rsidR="00894B73" w:rsidRPr="00E55696">
              <w:rPr>
                <w:rFonts w:eastAsia="Calibri"/>
                <w:vertAlign w:val="subscript"/>
              </w:rPr>
              <w:t>clothes</w:t>
            </w:r>
          </w:p>
        </w:tc>
        <w:tc>
          <w:tcPr>
            <w:tcW w:w="474" w:type="pct"/>
            <w:shd w:val="clear" w:color="auto" w:fill="auto"/>
          </w:tcPr>
          <w:p w14:paraId="01ABBFE1" w14:textId="7F566F40" w:rsidR="00923F01" w:rsidRPr="00E55696" w:rsidRDefault="00923F01" w:rsidP="00923F01">
            <w:pPr>
              <w:pStyle w:val="Standaard-Tabellen"/>
              <w:rPr>
                <w:rFonts w:eastAsia="Calibri"/>
              </w:rPr>
            </w:pPr>
            <w:r w:rsidRPr="00E55696">
              <w:rPr>
                <w:rFonts w:eastAsia="Calibri"/>
              </w:rPr>
              <w:t>17838</w:t>
            </w:r>
          </w:p>
        </w:tc>
        <w:tc>
          <w:tcPr>
            <w:tcW w:w="591" w:type="pct"/>
            <w:shd w:val="clear" w:color="auto" w:fill="auto"/>
          </w:tcPr>
          <w:p w14:paraId="34ECD482" w14:textId="77777777" w:rsidR="00923F01" w:rsidRPr="00E55696" w:rsidRDefault="00923F01" w:rsidP="00923F01">
            <w:pPr>
              <w:pStyle w:val="Standaard-Tabellen"/>
              <w:rPr>
                <w:rFonts w:eastAsia="Calibri"/>
              </w:rPr>
            </w:pPr>
            <w:r w:rsidRPr="00E55696">
              <w:rPr>
                <w:rFonts w:eastAsia="Calibri"/>
              </w:rPr>
              <w:t>cm²</w:t>
            </w:r>
          </w:p>
        </w:tc>
        <w:tc>
          <w:tcPr>
            <w:tcW w:w="1448" w:type="pct"/>
            <w:shd w:val="clear" w:color="auto" w:fill="auto"/>
          </w:tcPr>
          <w:p w14:paraId="7CA15ACA" w14:textId="0D1C07AA" w:rsidR="00923F01" w:rsidRPr="00E55696" w:rsidRDefault="00923F01" w:rsidP="00923F01">
            <w:pPr>
              <w:pStyle w:val="Standaard-Tabellen"/>
              <w:rPr>
                <w:rFonts w:eastAsia="Calibri"/>
              </w:rPr>
            </w:pPr>
            <w:r w:rsidRPr="00E55696">
              <w:rPr>
                <w:rFonts w:eastAsia="Calibri"/>
                <w:color w:val="000000"/>
                <w:szCs w:val="18"/>
                <w:lang w:val="en-US"/>
              </w:rPr>
              <w:t>Default value for human clothes (</w:t>
            </w:r>
            <w:r w:rsidR="00593869" w:rsidRPr="00E55696">
              <w:rPr>
                <w:rFonts w:eastAsia="Calibri"/>
                <w:color w:val="000000"/>
                <w:szCs w:val="18"/>
                <w:lang w:val="en-US"/>
              </w:rPr>
              <w:t xml:space="preserve">ESD </w:t>
            </w:r>
            <w:r w:rsidR="00C71927" w:rsidRPr="00E55696">
              <w:rPr>
                <w:rFonts w:eastAsia="Calibri"/>
                <w:color w:val="000000"/>
                <w:szCs w:val="18"/>
                <w:lang w:val="en-US"/>
              </w:rPr>
              <w:t>PT19</w:t>
            </w:r>
            <w:r w:rsidR="00593869" w:rsidRPr="00E55696">
              <w:rPr>
                <w:rFonts w:eastAsia="Calibri"/>
                <w:color w:val="000000"/>
                <w:szCs w:val="18"/>
                <w:lang w:val="en-US"/>
              </w:rPr>
              <w:t>, Table 3.4</w:t>
            </w:r>
            <w:r w:rsidRPr="00E55696">
              <w:rPr>
                <w:rFonts w:eastAsia="Calibri"/>
                <w:color w:val="000000"/>
                <w:szCs w:val="18"/>
                <w:lang w:val="en-US"/>
              </w:rPr>
              <w:t>)</w:t>
            </w:r>
          </w:p>
        </w:tc>
      </w:tr>
      <w:tr w:rsidR="00923F01" w:rsidRPr="001346A9" w14:paraId="7773B372" w14:textId="77777777" w:rsidTr="003E3E25">
        <w:trPr>
          <w:trHeight w:val="93"/>
        </w:trPr>
        <w:tc>
          <w:tcPr>
            <w:tcW w:w="1656" w:type="pct"/>
            <w:shd w:val="clear" w:color="auto" w:fill="auto"/>
          </w:tcPr>
          <w:p w14:paraId="03BA0402" w14:textId="77777777" w:rsidR="00923F01" w:rsidRPr="00E55696" w:rsidRDefault="00923F01" w:rsidP="00923F01">
            <w:pPr>
              <w:pStyle w:val="Standaard-Tabellen"/>
              <w:rPr>
                <w:rFonts w:eastAsia="Calibri"/>
              </w:rPr>
            </w:pPr>
            <w:r w:rsidRPr="00E55696">
              <w:rPr>
                <w:rFonts w:eastAsia="Calibri"/>
              </w:rPr>
              <w:t>Fraction released to wastewater</w:t>
            </w:r>
          </w:p>
        </w:tc>
        <w:tc>
          <w:tcPr>
            <w:tcW w:w="832" w:type="pct"/>
            <w:shd w:val="clear" w:color="auto" w:fill="auto"/>
          </w:tcPr>
          <w:p w14:paraId="12387208" w14:textId="77777777" w:rsidR="00923F01" w:rsidRPr="00E55696" w:rsidRDefault="00923F01" w:rsidP="00923F01">
            <w:pPr>
              <w:pStyle w:val="Standaard-Tabellen"/>
              <w:rPr>
                <w:rFonts w:eastAsia="Calibri"/>
              </w:rPr>
            </w:pPr>
            <w:r w:rsidRPr="00E55696">
              <w:rPr>
                <w:rFonts w:eastAsia="Calibri"/>
              </w:rPr>
              <w:t>F</w:t>
            </w:r>
            <w:r w:rsidRPr="00E55696">
              <w:rPr>
                <w:rFonts w:eastAsia="Calibri"/>
                <w:vertAlign w:val="subscript"/>
              </w:rPr>
              <w:t>water</w:t>
            </w:r>
          </w:p>
        </w:tc>
        <w:tc>
          <w:tcPr>
            <w:tcW w:w="474" w:type="pct"/>
            <w:shd w:val="clear" w:color="auto" w:fill="auto"/>
          </w:tcPr>
          <w:p w14:paraId="1A7B6451" w14:textId="77777777" w:rsidR="00923F01" w:rsidRPr="00E55696" w:rsidRDefault="00923F01" w:rsidP="00923F01">
            <w:pPr>
              <w:pStyle w:val="Standaard-Tabellen"/>
              <w:rPr>
                <w:rFonts w:eastAsia="Calibri"/>
              </w:rPr>
            </w:pPr>
            <w:r w:rsidRPr="00E55696">
              <w:rPr>
                <w:rFonts w:eastAsia="Calibri"/>
              </w:rPr>
              <w:t>1</w:t>
            </w:r>
          </w:p>
        </w:tc>
        <w:tc>
          <w:tcPr>
            <w:tcW w:w="591" w:type="pct"/>
            <w:shd w:val="clear" w:color="auto" w:fill="auto"/>
          </w:tcPr>
          <w:p w14:paraId="0AC42EE0" w14:textId="77777777" w:rsidR="00923F01" w:rsidRPr="00E55696" w:rsidRDefault="00923F01" w:rsidP="00923F01">
            <w:pPr>
              <w:pStyle w:val="Standaard-Tabellen"/>
              <w:rPr>
                <w:rFonts w:eastAsia="Calibri"/>
              </w:rPr>
            </w:pPr>
            <w:r w:rsidRPr="00E55696">
              <w:rPr>
                <w:rFonts w:eastAsia="Calibri"/>
              </w:rPr>
              <w:t>[-]</w:t>
            </w:r>
          </w:p>
        </w:tc>
        <w:tc>
          <w:tcPr>
            <w:tcW w:w="1448" w:type="pct"/>
            <w:shd w:val="clear" w:color="auto" w:fill="auto"/>
          </w:tcPr>
          <w:p w14:paraId="23470ABD" w14:textId="77777777" w:rsidR="00923F01" w:rsidRPr="00E55696" w:rsidRDefault="00923F01" w:rsidP="00923F01">
            <w:pPr>
              <w:pStyle w:val="Standaard-Tabellen"/>
              <w:rPr>
                <w:rFonts w:eastAsia="Calibri"/>
              </w:rPr>
            </w:pPr>
            <w:r w:rsidRPr="00E55696">
              <w:rPr>
                <w:rFonts w:eastAsia="Calibri"/>
              </w:rPr>
              <w:t>Default value</w:t>
            </w:r>
          </w:p>
        </w:tc>
      </w:tr>
      <w:tr w:rsidR="00923F01" w:rsidRPr="001346A9" w14:paraId="2CC8125B" w14:textId="77777777" w:rsidTr="003E3E25">
        <w:trPr>
          <w:trHeight w:val="93"/>
        </w:trPr>
        <w:tc>
          <w:tcPr>
            <w:tcW w:w="1656" w:type="pct"/>
            <w:shd w:val="clear" w:color="auto" w:fill="auto"/>
          </w:tcPr>
          <w:p w14:paraId="2CB824DC" w14:textId="77777777" w:rsidR="00923F01" w:rsidRPr="00E55696" w:rsidRDefault="00923F01" w:rsidP="00923F01">
            <w:pPr>
              <w:pStyle w:val="Standaard-Tabellen"/>
              <w:rPr>
                <w:rFonts w:eastAsia="Calibri"/>
              </w:rPr>
            </w:pPr>
            <w:r w:rsidRPr="00E55696">
              <w:rPr>
                <w:rFonts w:eastAsia="Calibri"/>
              </w:rPr>
              <w:t>Fraction of inhabitants using a repellent product</w:t>
            </w:r>
          </w:p>
        </w:tc>
        <w:tc>
          <w:tcPr>
            <w:tcW w:w="832" w:type="pct"/>
            <w:shd w:val="clear" w:color="auto" w:fill="auto"/>
          </w:tcPr>
          <w:p w14:paraId="2F6ADCEC" w14:textId="77777777" w:rsidR="00923F01" w:rsidRPr="00E55696" w:rsidRDefault="00923F01" w:rsidP="00923F01">
            <w:pPr>
              <w:pStyle w:val="Standaard-Tabellen"/>
              <w:rPr>
                <w:rFonts w:eastAsia="Calibri"/>
              </w:rPr>
            </w:pPr>
            <w:r w:rsidRPr="00E55696">
              <w:rPr>
                <w:rFonts w:eastAsia="Calibri"/>
              </w:rPr>
              <w:t>F</w:t>
            </w:r>
            <w:r w:rsidRPr="00E55696">
              <w:rPr>
                <w:rFonts w:eastAsia="Calibri"/>
                <w:vertAlign w:val="subscript"/>
              </w:rPr>
              <w:t>inh</w:t>
            </w:r>
          </w:p>
        </w:tc>
        <w:tc>
          <w:tcPr>
            <w:tcW w:w="474" w:type="pct"/>
            <w:shd w:val="clear" w:color="auto" w:fill="auto"/>
          </w:tcPr>
          <w:p w14:paraId="31AA0AC6" w14:textId="77777777" w:rsidR="00923F01" w:rsidRPr="00E55696" w:rsidRDefault="00923F01" w:rsidP="00923F01">
            <w:pPr>
              <w:pStyle w:val="Standaard-Tabellen"/>
              <w:rPr>
                <w:rFonts w:eastAsia="Calibri"/>
              </w:rPr>
            </w:pPr>
            <w:r w:rsidRPr="00E55696">
              <w:rPr>
                <w:rFonts w:eastAsia="Calibri"/>
              </w:rPr>
              <w:t>0.2</w:t>
            </w:r>
          </w:p>
        </w:tc>
        <w:tc>
          <w:tcPr>
            <w:tcW w:w="591" w:type="pct"/>
            <w:shd w:val="clear" w:color="auto" w:fill="auto"/>
          </w:tcPr>
          <w:p w14:paraId="636C1AE1" w14:textId="77777777" w:rsidR="00923F01" w:rsidRPr="00E55696" w:rsidRDefault="00923F01" w:rsidP="00923F01">
            <w:pPr>
              <w:pStyle w:val="Standaard-Tabellen"/>
              <w:rPr>
                <w:rFonts w:eastAsia="Calibri"/>
              </w:rPr>
            </w:pPr>
            <w:r w:rsidRPr="00E55696">
              <w:rPr>
                <w:rFonts w:eastAsia="Calibri"/>
              </w:rPr>
              <w:t>[-]</w:t>
            </w:r>
          </w:p>
        </w:tc>
        <w:tc>
          <w:tcPr>
            <w:tcW w:w="1448" w:type="pct"/>
            <w:shd w:val="clear" w:color="auto" w:fill="auto"/>
          </w:tcPr>
          <w:p w14:paraId="4550187B" w14:textId="04EDBD73" w:rsidR="00923F01" w:rsidRPr="00E55696" w:rsidRDefault="00923F01" w:rsidP="00923F01">
            <w:pPr>
              <w:pStyle w:val="Standaard-Tabellen"/>
              <w:rPr>
                <w:rFonts w:eastAsia="Calibri"/>
              </w:rPr>
            </w:pPr>
            <w:r w:rsidRPr="00E55696">
              <w:rPr>
                <w:rFonts w:eastAsia="Calibri"/>
              </w:rPr>
              <w:t>Default value (</w:t>
            </w:r>
            <w:r w:rsidR="00C71927" w:rsidRPr="00E55696">
              <w:rPr>
                <w:rFonts w:eastAsia="Calibri"/>
                <w:color w:val="000000"/>
                <w:szCs w:val="18"/>
                <w:lang w:val="en-US"/>
              </w:rPr>
              <w:t>ESD PT19</w:t>
            </w:r>
            <w:r w:rsidR="00593869" w:rsidRPr="00E55696">
              <w:rPr>
                <w:rFonts w:eastAsia="Calibri"/>
                <w:color w:val="000000"/>
                <w:szCs w:val="18"/>
                <w:lang w:val="en-US"/>
              </w:rPr>
              <w:t>, Table 3.5</w:t>
            </w:r>
            <w:r w:rsidRPr="00E55696">
              <w:rPr>
                <w:rFonts w:eastAsia="Calibri"/>
                <w:color w:val="000000"/>
                <w:szCs w:val="18"/>
                <w:lang w:val="en-US"/>
              </w:rPr>
              <w:t>)</w:t>
            </w:r>
          </w:p>
        </w:tc>
      </w:tr>
      <w:tr w:rsidR="00923F01" w:rsidRPr="001346A9" w14:paraId="06B09A19" w14:textId="77777777" w:rsidTr="003E3E25">
        <w:trPr>
          <w:trHeight w:val="70"/>
        </w:trPr>
        <w:tc>
          <w:tcPr>
            <w:tcW w:w="1656" w:type="pct"/>
            <w:shd w:val="clear" w:color="auto" w:fill="auto"/>
          </w:tcPr>
          <w:p w14:paraId="12750793" w14:textId="77777777" w:rsidR="00923F01" w:rsidRPr="00E55696" w:rsidRDefault="00923F01" w:rsidP="00923F01">
            <w:pPr>
              <w:pStyle w:val="Standaard-Tabellen"/>
              <w:rPr>
                <w:rFonts w:eastAsia="Calibri"/>
              </w:rPr>
            </w:pPr>
            <w:r w:rsidRPr="00E55696">
              <w:rPr>
                <w:rFonts w:eastAsia="Calibri"/>
              </w:rPr>
              <w:t>Market share of repellent</w:t>
            </w:r>
          </w:p>
        </w:tc>
        <w:tc>
          <w:tcPr>
            <w:tcW w:w="832" w:type="pct"/>
            <w:shd w:val="clear" w:color="auto" w:fill="auto"/>
          </w:tcPr>
          <w:p w14:paraId="2EB05610" w14:textId="77777777" w:rsidR="00923F01" w:rsidRPr="00E55696" w:rsidRDefault="00923F01" w:rsidP="00923F01">
            <w:pPr>
              <w:pStyle w:val="Standaard-Tabellen"/>
              <w:rPr>
                <w:rFonts w:eastAsia="Calibri"/>
              </w:rPr>
            </w:pPr>
            <w:r w:rsidRPr="00E55696">
              <w:rPr>
                <w:rFonts w:eastAsia="Calibri"/>
              </w:rPr>
              <w:t>F</w:t>
            </w:r>
            <w:r w:rsidRPr="00E55696">
              <w:rPr>
                <w:rFonts w:eastAsia="Calibri"/>
                <w:vertAlign w:val="subscript"/>
              </w:rPr>
              <w:t>penetr</w:t>
            </w:r>
          </w:p>
        </w:tc>
        <w:tc>
          <w:tcPr>
            <w:tcW w:w="474" w:type="pct"/>
            <w:shd w:val="clear" w:color="auto" w:fill="auto"/>
          </w:tcPr>
          <w:p w14:paraId="3DE27E7A" w14:textId="77777777" w:rsidR="00923F01" w:rsidRPr="00E55696" w:rsidRDefault="00923F01" w:rsidP="00923F01">
            <w:pPr>
              <w:pStyle w:val="Standaard-Tabellen"/>
              <w:rPr>
                <w:rFonts w:eastAsia="Calibri"/>
              </w:rPr>
            </w:pPr>
            <w:r w:rsidRPr="00E55696">
              <w:rPr>
                <w:rFonts w:eastAsia="Calibri"/>
              </w:rPr>
              <w:t>0.5</w:t>
            </w:r>
          </w:p>
        </w:tc>
        <w:tc>
          <w:tcPr>
            <w:tcW w:w="591" w:type="pct"/>
            <w:shd w:val="clear" w:color="auto" w:fill="auto"/>
          </w:tcPr>
          <w:p w14:paraId="351ADFEB" w14:textId="77777777" w:rsidR="00923F01" w:rsidRPr="00E55696" w:rsidRDefault="00923F01" w:rsidP="00923F01">
            <w:pPr>
              <w:pStyle w:val="Standaard-Tabellen"/>
              <w:rPr>
                <w:rFonts w:eastAsia="Calibri"/>
              </w:rPr>
            </w:pPr>
            <w:r w:rsidRPr="00E55696">
              <w:rPr>
                <w:rFonts w:eastAsia="Calibri"/>
              </w:rPr>
              <w:t>[-]</w:t>
            </w:r>
          </w:p>
        </w:tc>
        <w:tc>
          <w:tcPr>
            <w:tcW w:w="1448" w:type="pct"/>
            <w:shd w:val="clear" w:color="auto" w:fill="auto"/>
          </w:tcPr>
          <w:p w14:paraId="630D0CCA" w14:textId="77777777" w:rsidR="00923F01" w:rsidRPr="00E55696" w:rsidRDefault="00923F01" w:rsidP="00923F01">
            <w:pPr>
              <w:pStyle w:val="Standaard-Tabellen"/>
              <w:rPr>
                <w:rFonts w:eastAsia="Calibri"/>
              </w:rPr>
            </w:pPr>
            <w:r w:rsidRPr="00E55696">
              <w:rPr>
                <w:rFonts w:eastAsia="Calibri"/>
              </w:rPr>
              <w:t>Default value</w:t>
            </w:r>
          </w:p>
        </w:tc>
      </w:tr>
    </w:tbl>
    <w:p w14:paraId="61947D26" w14:textId="18C4376C" w:rsidR="00923F01" w:rsidRPr="001346A9" w:rsidRDefault="00923F01" w:rsidP="00923F01">
      <w:pPr>
        <w:spacing w:line="276" w:lineRule="auto"/>
        <w:rPr>
          <w:rFonts w:eastAsia="Calibri" w:cs="Arial"/>
          <w:b/>
          <w:color w:val="000000"/>
          <w:highlight w:val="lightGray"/>
        </w:rPr>
      </w:pPr>
    </w:p>
    <w:p w14:paraId="07E28750" w14:textId="57ED3080" w:rsidR="00923F01" w:rsidRPr="003E3E25" w:rsidRDefault="00923F01" w:rsidP="00923F01">
      <w:pPr>
        <w:spacing w:line="276" w:lineRule="auto"/>
        <w:rPr>
          <w:rFonts w:eastAsia="Calibri"/>
          <w:u w:val="single"/>
          <w:lang w:eastAsia="en-US"/>
        </w:rPr>
      </w:pPr>
      <w:r w:rsidRPr="003E3E25">
        <w:rPr>
          <w:rFonts w:eastAsia="Calibri"/>
          <w:u w:val="single"/>
          <w:lang w:eastAsia="en-US"/>
        </w:rPr>
        <w:t>Calculations for Scenario 3: Repellent treatment against mosquitoes of ticks applied on clothes – STP release scenario</w:t>
      </w:r>
    </w:p>
    <w:tbl>
      <w:tblPr>
        <w:tblW w:w="9448" w:type="dxa"/>
        <w:tblInd w:w="45" w:type="dxa"/>
        <w:tblLayout w:type="fixed"/>
        <w:tblCellMar>
          <w:left w:w="0" w:type="dxa"/>
          <w:right w:w="0" w:type="dxa"/>
        </w:tblCellMar>
        <w:tblLook w:val="0000" w:firstRow="0" w:lastRow="0" w:firstColumn="0" w:lastColumn="0" w:noHBand="0" w:noVBand="0"/>
      </w:tblPr>
      <w:tblGrid>
        <w:gridCol w:w="2256"/>
        <w:gridCol w:w="4215"/>
        <w:gridCol w:w="2977"/>
      </w:tblGrid>
      <w:tr w:rsidR="00923F01" w:rsidRPr="00A24D3E" w14:paraId="1F83614A" w14:textId="77777777" w:rsidTr="00DF65A8">
        <w:trPr>
          <w:tblHeader/>
        </w:trPr>
        <w:tc>
          <w:tcPr>
            <w:tcW w:w="9448"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5182BC6C" w14:textId="77777777" w:rsidR="00923F01" w:rsidRPr="00A24D3E" w:rsidRDefault="00923F01" w:rsidP="00923F01">
            <w:pPr>
              <w:spacing w:line="260" w:lineRule="atLeast"/>
              <w:rPr>
                <w:rFonts w:eastAsia="Calibri"/>
                <w:b/>
                <w:color w:val="000000"/>
                <w:sz w:val="18"/>
                <w:szCs w:val="18"/>
                <w:highlight w:val="lightGray"/>
                <w:lang w:eastAsia="en-GB"/>
              </w:rPr>
            </w:pPr>
            <w:r w:rsidRPr="00490C8C">
              <w:rPr>
                <w:rFonts w:eastAsia="Calibri"/>
                <w:b/>
                <w:sz w:val="18"/>
                <w:szCs w:val="18"/>
                <w:lang w:eastAsia="en-US"/>
              </w:rPr>
              <w:t>Resulting local emission to relevant environmental compartments</w:t>
            </w:r>
          </w:p>
        </w:tc>
      </w:tr>
      <w:tr w:rsidR="00923F01" w:rsidRPr="00A24D3E" w14:paraId="5E10895B" w14:textId="77777777" w:rsidTr="00A24D3E">
        <w:trPr>
          <w:trHeight w:val="386"/>
          <w:tblHeader/>
        </w:trPr>
        <w:tc>
          <w:tcPr>
            <w:tcW w:w="2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0E38167F" w14:textId="77777777" w:rsidR="00923F01" w:rsidRPr="00D66385" w:rsidRDefault="00923F01" w:rsidP="00923F01">
            <w:pPr>
              <w:spacing w:line="260" w:lineRule="atLeast"/>
              <w:rPr>
                <w:rFonts w:eastAsia="Calibri"/>
                <w:b/>
                <w:color w:val="000000"/>
                <w:sz w:val="18"/>
                <w:szCs w:val="18"/>
                <w:lang w:eastAsia="en-GB"/>
              </w:rPr>
            </w:pPr>
            <w:r w:rsidRPr="00D66385">
              <w:rPr>
                <w:rFonts w:eastAsia="Calibri"/>
                <w:b/>
                <w:color w:val="000000"/>
                <w:sz w:val="18"/>
                <w:szCs w:val="18"/>
                <w:lang w:eastAsia="en-GB"/>
              </w:rPr>
              <w:t>Compartment</w:t>
            </w:r>
          </w:p>
        </w:tc>
        <w:tc>
          <w:tcPr>
            <w:tcW w:w="4215"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18C3CBF9" w14:textId="77777777" w:rsidR="00923F01" w:rsidRPr="00571EBF" w:rsidRDefault="00923F01" w:rsidP="00923F01">
            <w:pPr>
              <w:spacing w:line="260" w:lineRule="atLeast"/>
              <w:rPr>
                <w:rFonts w:eastAsia="Calibri"/>
                <w:b/>
                <w:color w:val="000000"/>
                <w:sz w:val="18"/>
                <w:szCs w:val="18"/>
                <w:lang w:eastAsia="en-GB"/>
              </w:rPr>
            </w:pPr>
            <w:r w:rsidRPr="00D66385">
              <w:rPr>
                <w:rFonts w:eastAsia="Calibri"/>
                <w:b/>
                <w:color w:val="000000"/>
                <w:sz w:val="18"/>
                <w:szCs w:val="18"/>
                <w:lang w:eastAsia="en-GB"/>
              </w:rPr>
              <w:t>Local emission (Elocal</w:t>
            </w:r>
            <w:r w:rsidRPr="00D66385">
              <w:rPr>
                <w:rFonts w:eastAsia="Calibri"/>
                <w:b/>
                <w:color w:val="000000"/>
                <w:sz w:val="18"/>
                <w:szCs w:val="18"/>
                <w:vertAlign w:val="subscript"/>
                <w:lang w:eastAsia="en-GB"/>
              </w:rPr>
              <w:t>compartment</w:t>
            </w:r>
            <w:r w:rsidRPr="00571EBF">
              <w:rPr>
                <w:rFonts w:eastAsia="Calibri"/>
                <w:b/>
                <w:color w:val="000000"/>
                <w:sz w:val="18"/>
                <w:szCs w:val="18"/>
                <w:lang w:eastAsia="en-GB"/>
              </w:rPr>
              <w:t>) [kg/d]</w:t>
            </w:r>
          </w:p>
        </w:tc>
        <w:tc>
          <w:tcPr>
            <w:tcW w:w="2977"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2A74CE06" w14:textId="77777777" w:rsidR="00923F01" w:rsidRPr="00E55696" w:rsidRDefault="00923F01" w:rsidP="00923F01">
            <w:pPr>
              <w:spacing w:line="260" w:lineRule="atLeast"/>
              <w:rPr>
                <w:rFonts w:eastAsia="Calibri"/>
                <w:b/>
                <w:color w:val="000000"/>
                <w:sz w:val="18"/>
                <w:szCs w:val="18"/>
                <w:lang w:eastAsia="en-GB"/>
              </w:rPr>
            </w:pPr>
            <w:r w:rsidRPr="00E55696">
              <w:rPr>
                <w:rFonts w:eastAsia="Calibri"/>
                <w:b/>
                <w:color w:val="000000"/>
                <w:sz w:val="18"/>
                <w:szCs w:val="18"/>
                <w:lang w:eastAsia="en-GB"/>
              </w:rPr>
              <w:t>Remarks</w:t>
            </w:r>
          </w:p>
        </w:tc>
      </w:tr>
      <w:tr w:rsidR="00923F01" w:rsidRPr="00A24D3E" w14:paraId="732C9E6B" w14:textId="77777777" w:rsidTr="003E3E25">
        <w:trPr>
          <w:trHeight w:val="205"/>
        </w:trPr>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B724558" w14:textId="77777777" w:rsidR="00923F01" w:rsidRPr="00D66385" w:rsidRDefault="00923F01" w:rsidP="00923F01">
            <w:pPr>
              <w:rPr>
                <w:color w:val="000000"/>
                <w:sz w:val="18"/>
                <w:szCs w:val="18"/>
                <w:lang w:eastAsia="en-GB"/>
              </w:rPr>
            </w:pPr>
            <w:r w:rsidRPr="00D66385">
              <w:rPr>
                <w:color w:val="000000"/>
                <w:sz w:val="18"/>
                <w:szCs w:val="18"/>
                <w:lang w:eastAsia="en-GB"/>
              </w:rPr>
              <w:t>STP</w:t>
            </w:r>
          </w:p>
        </w:tc>
        <w:tc>
          <w:tcPr>
            <w:tcW w:w="42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DB2047" w14:textId="343F7D8A" w:rsidR="00923F01" w:rsidRPr="00571EBF" w:rsidRDefault="00E2477C" w:rsidP="00923F01">
            <w:pPr>
              <w:rPr>
                <w:color w:val="000000"/>
                <w:sz w:val="18"/>
                <w:szCs w:val="18"/>
                <w:lang w:eastAsia="en-GB"/>
              </w:rPr>
            </w:pPr>
            <w:r w:rsidRPr="00D66385">
              <w:rPr>
                <w:color w:val="000000"/>
                <w:sz w:val="18"/>
                <w:szCs w:val="18"/>
                <w:lang w:eastAsia="en-GB"/>
              </w:rPr>
              <w:t>3.</w:t>
            </w:r>
            <w:r w:rsidR="00294ECB" w:rsidRPr="00D66385">
              <w:rPr>
                <w:color w:val="000000"/>
                <w:sz w:val="18"/>
                <w:szCs w:val="18"/>
                <w:lang w:eastAsia="en-GB"/>
              </w:rPr>
              <w:t>0</w:t>
            </w:r>
            <w:r w:rsidR="00281E9A" w:rsidRPr="00571EBF">
              <w:rPr>
                <w:color w:val="000000"/>
                <w:sz w:val="18"/>
                <w:szCs w:val="18"/>
                <w:lang w:eastAsia="en-GB"/>
              </w:rPr>
              <w:t>3</w:t>
            </w:r>
            <w:r w:rsidR="00923F01" w:rsidRPr="00571EBF">
              <w:rPr>
                <w:color w:val="000000"/>
                <w:sz w:val="18"/>
                <w:szCs w:val="18"/>
                <w:lang w:eastAsia="en-GB"/>
              </w:rPr>
              <w:t>E+00</w:t>
            </w:r>
          </w:p>
        </w:tc>
        <w:tc>
          <w:tcPr>
            <w:tcW w:w="2977"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721F6E" w14:textId="07B8AEBA" w:rsidR="00923F01" w:rsidRPr="00F4707E" w:rsidRDefault="00E2477C" w:rsidP="00923F01">
            <w:pPr>
              <w:rPr>
                <w:color w:val="000000"/>
                <w:sz w:val="18"/>
                <w:szCs w:val="18"/>
                <w:lang w:eastAsia="en-GB"/>
              </w:rPr>
            </w:pPr>
            <w:r w:rsidRPr="00F4707E">
              <w:rPr>
                <w:color w:val="000000"/>
                <w:sz w:val="18"/>
                <w:szCs w:val="18"/>
                <w:lang w:eastAsia="en-GB"/>
              </w:rPr>
              <w:t>/</w:t>
            </w:r>
          </w:p>
        </w:tc>
      </w:tr>
    </w:tbl>
    <w:p w14:paraId="36316C0C" w14:textId="77777777" w:rsidR="00C71927" w:rsidRPr="00A24D3E" w:rsidRDefault="00C71927" w:rsidP="00DF65A8">
      <w:pPr>
        <w:pStyle w:val="Commentaire"/>
        <w:ind w:left="720"/>
        <w:rPr>
          <w:highlight w:val="lightGray"/>
        </w:rPr>
      </w:pPr>
    </w:p>
    <w:p w14:paraId="1201517C" w14:textId="77777777" w:rsidR="0098647E" w:rsidRPr="003E3E25" w:rsidRDefault="0098647E"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p w14:paraId="1F75023A" w14:textId="5300D587" w:rsidR="00E2477C" w:rsidRPr="003E3E25" w:rsidRDefault="00E2477C" w:rsidP="003E3E25">
      <w:pPr>
        <w:spacing w:line="260" w:lineRule="atLeast"/>
        <w:rPr>
          <w:rFonts w:eastAsia="Calibri"/>
          <w:b/>
          <w:bCs/>
          <w:lang w:eastAsia="en-US"/>
        </w:rPr>
      </w:pPr>
      <w:r w:rsidRPr="003E3E25">
        <w:rPr>
          <w:rFonts w:eastAsia="Calibri"/>
          <w:b/>
          <w:bCs/>
          <w:lang w:eastAsia="en-US"/>
        </w:rPr>
        <w:t xml:space="preserve">Scenario 4: Repellent treatment against head lice or </w:t>
      </w:r>
      <w:r w:rsidR="00695A12" w:rsidRPr="003E3E25">
        <w:rPr>
          <w:rFonts w:eastAsia="Calibri"/>
          <w:b/>
          <w:bCs/>
          <w:lang w:eastAsia="en-US"/>
        </w:rPr>
        <w:t>dust mites</w:t>
      </w:r>
      <w:r w:rsidRPr="003E3E25">
        <w:rPr>
          <w:rFonts w:eastAsia="Calibri"/>
          <w:b/>
          <w:bCs/>
          <w:lang w:eastAsia="en-US"/>
        </w:rPr>
        <w:t xml:space="preserve"> applied on fabric – Environment treatment scenario</w:t>
      </w:r>
    </w:p>
    <w:p w14:paraId="0BA231E1" w14:textId="08FD572B" w:rsidR="003B44C2" w:rsidRPr="003E3E25" w:rsidRDefault="003B44C2" w:rsidP="003E3E25">
      <w:pPr>
        <w:spacing w:line="260" w:lineRule="atLeast"/>
        <w:jc w:val="both"/>
        <w:rPr>
          <w:rFonts w:eastAsia="Calibri"/>
          <w:bCs/>
          <w:lang w:eastAsia="en-US"/>
        </w:rPr>
      </w:pPr>
      <w:r w:rsidRPr="003E3E25">
        <w:rPr>
          <w:rFonts w:eastAsia="Calibri"/>
          <w:bCs/>
          <w:lang w:eastAsia="en-US"/>
        </w:rPr>
        <w:t xml:space="preserve">In the ESD PT19, the only available scenario for treated surfaces is the </w:t>
      </w:r>
      <w:r w:rsidR="00B6108D" w:rsidRPr="003E3E25">
        <w:rPr>
          <w:rFonts w:eastAsia="Calibri"/>
          <w:bCs/>
          <w:lang w:eastAsia="en-US"/>
        </w:rPr>
        <w:t>indoor surface spray treatment</w:t>
      </w:r>
      <w:r w:rsidRPr="003E3E25">
        <w:rPr>
          <w:rFonts w:eastAsia="Calibri"/>
          <w:bCs/>
          <w:lang w:eastAsia="en-US"/>
        </w:rPr>
        <w:t xml:space="preserve"> scenario for spot treatments (2m</w:t>
      </w:r>
      <w:r w:rsidRPr="003E3E25">
        <w:rPr>
          <w:rFonts w:eastAsia="Calibri"/>
          <w:bCs/>
          <w:vertAlign w:val="superscript"/>
          <w:lang w:eastAsia="en-US"/>
        </w:rPr>
        <w:t>2</w:t>
      </w:r>
      <w:r w:rsidRPr="003E3E25">
        <w:rPr>
          <w:rFonts w:eastAsia="Calibri"/>
          <w:bCs/>
          <w:lang w:eastAsia="en-US"/>
        </w:rPr>
        <w:t>) and barrier treatments (9.3m</w:t>
      </w:r>
      <w:r w:rsidRPr="003E3E25">
        <w:rPr>
          <w:rFonts w:eastAsia="Calibri"/>
          <w:bCs/>
          <w:vertAlign w:val="superscript"/>
          <w:lang w:eastAsia="en-US"/>
        </w:rPr>
        <w:t>2</w:t>
      </w:r>
      <w:r w:rsidRPr="003E3E25">
        <w:rPr>
          <w:rFonts w:eastAsia="Calibri"/>
          <w:bCs/>
          <w:lang w:eastAsia="en-US"/>
        </w:rPr>
        <w:t>). These kind</w:t>
      </w:r>
      <w:r w:rsidR="0010127C" w:rsidRPr="003E3E25">
        <w:rPr>
          <w:rFonts w:eastAsia="Calibri"/>
          <w:bCs/>
          <w:lang w:eastAsia="en-US"/>
        </w:rPr>
        <w:t>s</w:t>
      </w:r>
      <w:r w:rsidRPr="003E3E25">
        <w:rPr>
          <w:rFonts w:eastAsia="Calibri"/>
          <w:bCs/>
          <w:lang w:eastAsia="en-US"/>
        </w:rPr>
        <w:t xml:space="preserve"> of surfaces are not representative </w:t>
      </w:r>
      <w:r w:rsidR="0010127C" w:rsidRPr="003E3E25">
        <w:rPr>
          <w:rFonts w:eastAsia="Calibri"/>
          <w:bCs/>
          <w:lang w:eastAsia="en-US"/>
        </w:rPr>
        <w:t xml:space="preserve">for the treatment of bed linen </w:t>
      </w:r>
      <w:r w:rsidR="0057357E" w:rsidRPr="003E3E25">
        <w:rPr>
          <w:rFonts w:eastAsia="Calibri"/>
          <w:bCs/>
          <w:lang w:eastAsia="en-US"/>
        </w:rPr>
        <w:t>and underestimate</w:t>
      </w:r>
      <w:r w:rsidR="0010127C" w:rsidRPr="003E3E25">
        <w:rPr>
          <w:rFonts w:eastAsia="Calibri"/>
          <w:bCs/>
          <w:lang w:eastAsia="en-US"/>
        </w:rPr>
        <w:t xml:space="preserve"> the emissions</w:t>
      </w:r>
      <w:r w:rsidRPr="003E3E25">
        <w:rPr>
          <w:rFonts w:eastAsia="Calibri"/>
          <w:bCs/>
          <w:lang w:eastAsia="en-US"/>
        </w:rPr>
        <w:t>. Then, the AREA treated was adapted to that kind of use</w:t>
      </w:r>
      <w:r w:rsidR="00572420" w:rsidRPr="003E3E25">
        <w:rPr>
          <w:rFonts w:eastAsia="Calibri"/>
          <w:bCs/>
          <w:lang w:eastAsia="en-US"/>
        </w:rPr>
        <w:t xml:space="preserve"> (#7)</w:t>
      </w:r>
      <w:r w:rsidRPr="003E3E25">
        <w:rPr>
          <w:rFonts w:eastAsia="Calibri"/>
          <w:bCs/>
          <w:lang w:eastAsia="en-US"/>
        </w:rPr>
        <w:t xml:space="preserve">. </w:t>
      </w:r>
      <w:r w:rsidR="00B6108D" w:rsidRPr="003E3E25">
        <w:rPr>
          <w:rFonts w:eastAsia="Calibri"/>
          <w:bCs/>
          <w:lang w:eastAsia="en-US"/>
        </w:rPr>
        <w:t>Taking</w:t>
      </w:r>
      <w:r w:rsidR="0057357E" w:rsidRPr="003E3E25">
        <w:rPr>
          <w:rFonts w:eastAsia="Calibri"/>
          <w:bCs/>
          <w:lang w:eastAsia="en-US"/>
        </w:rPr>
        <w:t xml:space="preserve"> the different surf</w:t>
      </w:r>
      <w:r w:rsidR="00B6108D" w:rsidRPr="003E3E25">
        <w:rPr>
          <w:rFonts w:eastAsia="Calibri"/>
          <w:bCs/>
          <w:lang w:eastAsia="en-US"/>
        </w:rPr>
        <w:t xml:space="preserve">aces of a single bed linen </w:t>
      </w:r>
      <w:r w:rsidR="00BD60DF" w:rsidRPr="003E3E25">
        <w:rPr>
          <w:rFonts w:eastAsia="Calibri"/>
          <w:bCs/>
          <w:lang w:eastAsia="en-US"/>
        </w:rPr>
        <w:t xml:space="preserve">(worst-case) and adding the surfaces of </w:t>
      </w:r>
      <w:r w:rsidR="0057357E" w:rsidRPr="003E3E25">
        <w:rPr>
          <w:rFonts w:eastAsia="Calibri"/>
          <w:bCs/>
          <w:lang w:eastAsia="en-US"/>
        </w:rPr>
        <w:t xml:space="preserve">pillowcases (60cm*60cm*2 </w:t>
      </w:r>
      <w:r w:rsidR="00B6108D" w:rsidRPr="003E3E25">
        <w:rPr>
          <w:rFonts w:eastAsia="Calibri"/>
          <w:bCs/>
          <w:lang w:eastAsia="en-US"/>
        </w:rPr>
        <w:t>sides</w:t>
      </w:r>
      <w:r w:rsidR="0057357E" w:rsidRPr="003E3E25">
        <w:rPr>
          <w:rFonts w:eastAsia="Calibri"/>
          <w:bCs/>
          <w:lang w:eastAsia="en-US"/>
        </w:rPr>
        <w:t>*2.5 inhabitants</w:t>
      </w:r>
      <w:r w:rsidR="00B6108D" w:rsidRPr="003E3E25">
        <w:rPr>
          <w:rFonts w:eastAsia="Calibri"/>
          <w:bCs/>
          <w:lang w:eastAsia="en-US"/>
        </w:rPr>
        <w:t>=1.8</w:t>
      </w:r>
      <w:r w:rsidR="003D7061" w:rsidRPr="003E3E25">
        <w:rPr>
          <w:rFonts w:eastAsia="Calibri"/>
          <w:bCs/>
          <w:lang w:eastAsia="en-US"/>
        </w:rPr>
        <w:t xml:space="preserve"> </w:t>
      </w:r>
      <w:r w:rsidR="00B6108D" w:rsidRPr="003E3E25">
        <w:rPr>
          <w:rFonts w:eastAsia="Calibri"/>
          <w:bCs/>
          <w:lang w:eastAsia="en-US"/>
        </w:rPr>
        <w:t>m</w:t>
      </w:r>
      <w:r w:rsidR="00B6108D" w:rsidRPr="003E3E25">
        <w:rPr>
          <w:rFonts w:eastAsia="Calibri"/>
          <w:bCs/>
          <w:vertAlign w:val="superscript"/>
          <w:lang w:eastAsia="en-US"/>
        </w:rPr>
        <w:t>2</w:t>
      </w:r>
      <w:r w:rsidR="0057357E" w:rsidRPr="003E3E25">
        <w:rPr>
          <w:rFonts w:eastAsia="Calibri"/>
          <w:bCs/>
          <w:lang w:eastAsia="en-US"/>
        </w:rPr>
        <w:t>), fitted sheets (</w:t>
      </w:r>
      <w:r w:rsidR="00B6108D" w:rsidRPr="003E3E25">
        <w:rPr>
          <w:rFonts w:eastAsia="Calibri"/>
          <w:bCs/>
          <w:lang w:eastAsia="en-US"/>
        </w:rPr>
        <w:t>90cm*190cm*2.5 inhabitants=4.3</w:t>
      </w:r>
      <w:r w:rsidR="003D7061" w:rsidRPr="003E3E25">
        <w:rPr>
          <w:rFonts w:eastAsia="Calibri"/>
          <w:bCs/>
          <w:lang w:eastAsia="en-US"/>
        </w:rPr>
        <w:t xml:space="preserve"> </w:t>
      </w:r>
      <w:r w:rsidR="00B6108D" w:rsidRPr="003E3E25">
        <w:rPr>
          <w:rFonts w:eastAsia="Calibri"/>
          <w:bCs/>
          <w:lang w:eastAsia="en-US"/>
        </w:rPr>
        <w:t>m</w:t>
      </w:r>
      <w:r w:rsidR="00B6108D" w:rsidRPr="003E3E25">
        <w:rPr>
          <w:rFonts w:eastAsia="Calibri"/>
          <w:bCs/>
          <w:vertAlign w:val="superscript"/>
          <w:lang w:eastAsia="en-US"/>
        </w:rPr>
        <w:t>2</w:t>
      </w:r>
      <w:r w:rsidR="00B6108D" w:rsidRPr="003E3E25">
        <w:rPr>
          <w:rFonts w:eastAsia="Calibri"/>
          <w:bCs/>
          <w:lang w:eastAsia="en-US"/>
        </w:rPr>
        <w:t>)</w:t>
      </w:r>
      <w:r w:rsidR="0057357E" w:rsidRPr="003E3E25">
        <w:rPr>
          <w:rFonts w:eastAsia="Calibri"/>
          <w:bCs/>
          <w:lang w:eastAsia="en-US"/>
        </w:rPr>
        <w:t xml:space="preserve">, </w:t>
      </w:r>
      <w:r w:rsidR="00B6108D" w:rsidRPr="003E3E25">
        <w:rPr>
          <w:rFonts w:eastAsia="Calibri"/>
          <w:bCs/>
          <w:lang w:eastAsia="en-US"/>
        </w:rPr>
        <w:t>and</w:t>
      </w:r>
      <w:r w:rsidR="0057357E" w:rsidRPr="003E3E25">
        <w:rPr>
          <w:rFonts w:eastAsia="Calibri"/>
          <w:bCs/>
          <w:lang w:eastAsia="en-US"/>
        </w:rPr>
        <w:t xml:space="preserve"> </w:t>
      </w:r>
      <w:r w:rsidR="00B6108D" w:rsidRPr="003E3E25">
        <w:rPr>
          <w:rFonts w:eastAsia="Calibri"/>
          <w:bCs/>
          <w:lang w:eastAsia="en-US"/>
        </w:rPr>
        <w:t>duvet</w:t>
      </w:r>
      <w:r w:rsidR="0057357E" w:rsidRPr="003E3E25">
        <w:rPr>
          <w:rFonts w:eastAsia="Calibri"/>
          <w:bCs/>
          <w:lang w:eastAsia="en-US"/>
        </w:rPr>
        <w:t xml:space="preserve"> covers</w:t>
      </w:r>
      <w:r w:rsidR="00B6108D" w:rsidRPr="003E3E25">
        <w:rPr>
          <w:rFonts w:eastAsia="Calibri"/>
          <w:bCs/>
          <w:lang w:eastAsia="en-US"/>
        </w:rPr>
        <w:t xml:space="preserve"> (180cm*220cm*2sides*2.5 inhabitants=19.8</w:t>
      </w:r>
      <w:r w:rsidR="003D7061" w:rsidRPr="003E3E25">
        <w:rPr>
          <w:rFonts w:eastAsia="Calibri"/>
          <w:bCs/>
          <w:lang w:eastAsia="en-US"/>
        </w:rPr>
        <w:t xml:space="preserve"> </w:t>
      </w:r>
      <w:r w:rsidR="00B6108D" w:rsidRPr="003E3E25">
        <w:rPr>
          <w:rFonts w:eastAsia="Calibri"/>
          <w:bCs/>
          <w:lang w:eastAsia="en-US"/>
        </w:rPr>
        <w:t>m</w:t>
      </w:r>
      <w:r w:rsidR="00B6108D" w:rsidRPr="003E3E25">
        <w:rPr>
          <w:rFonts w:eastAsia="Calibri"/>
          <w:bCs/>
          <w:vertAlign w:val="superscript"/>
          <w:lang w:eastAsia="en-US"/>
        </w:rPr>
        <w:t>2</w:t>
      </w:r>
      <w:r w:rsidR="0057357E" w:rsidRPr="003E3E25">
        <w:rPr>
          <w:rFonts w:eastAsia="Calibri"/>
          <w:bCs/>
          <w:lang w:eastAsia="en-US"/>
        </w:rPr>
        <w:t>)</w:t>
      </w:r>
      <w:r w:rsidR="00B6108D" w:rsidRPr="003E3E25">
        <w:rPr>
          <w:rFonts w:eastAsia="Calibri"/>
          <w:bCs/>
          <w:lang w:eastAsia="en-US"/>
        </w:rPr>
        <w:t xml:space="preserve">, a treated surface of </w:t>
      </w:r>
      <w:r w:rsidR="00B6108D" w:rsidRPr="003E3E25">
        <w:rPr>
          <w:rFonts w:eastAsia="Calibri"/>
          <w:b/>
          <w:bCs/>
          <w:lang w:eastAsia="en-US"/>
        </w:rPr>
        <w:t>26</w:t>
      </w:r>
      <w:r w:rsidR="003D7061" w:rsidRPr="003E3E25">
        <w:rPr>
          <w:rFonts w:eastAsia="Calibri"/>
          <w:b/>
          <w:bCs/>
          <w:lang w:eastAsia="en-US"/>
        </w:rPr>
        <w:t xml:space="preserve"> </w:t>
      </w:r>
      <w:r w:rsidR="00BD60DF" w:rsidRPr="003E3E25">
        <w:rPr>
          <w:rFonts w:eastAsia="Calibri"/>
          <w:b/>
          <w:bCs/>
          <w:lang w:eastAsia="en-US"/>
        </w:rPr>
        <w:t>m</w:t>
      </w:r>
      <w:r w:rsidR="00BD60DF" w:rsidRPr="003E3E25">
        <w:rPr>
          <w:rFonts w:eastAsia="Calibri"/>
          <w:b/>
          <w:bCs/>
          <w:vertAlign w:val="superscript"/>
          <w:lang w:eastAsia="en-US"/>
        </w:rPr>
        <w:t>2</w:t>
      </w:r>
      <w:r w:rsidR="00BD60DF" w:rsidRPr="003E3E25">
        <w:rPr>
          <w:rFonts w:eastAsia="Calibri"/>
          <w:bCs/>
          <w:lang w:eastAsia="en-US"/>
        </w:rPr>
        <w:t xml:space="preserve"> was calculated. This calculation is</w:t>
      </w:r>
      <w:r w:rsidR="0057357E" w:rsidRPr="003E3E25">
        <w:rPr>
          <w:rFonts w:eastAsia="Calibri"/>
          <w:bCs/>
          <w:lang w:eastAsia="en-US"/>
        </w:rPr>
        <w:t xml:space="preserve"> considering an average of 2.5 inhabitants per house (10000 inhabitants </w:t>
      </w:r>
      <w:r w:rsidR="00392A9C" w:rsidRPr="003E3E25">
        <w:rPr>
          <w:rFonts w:eastAsia="Calibri"/>
          <w:bCs/>
          <w:lang w:eastAsia="en-US"/>
        </w:rPr>
        <w:t>per STP divided</w:t>
      </w:r>
      <w:r w:rsidR="0057357E" w:rsidRPr="003E3E25">
        <w:rPr>
          <w:rFonts w:eastAsia="Calibri"/>
          <w:bCs/>
          <w:lang w:eastAsia="en-US"/>
        </w:rPr>
        <w:t xml:space="preserve"> by 4000 houses).</w:t>
      </w:r>
      <w:r w:rsidR="00572420" w:rsidRPr="003E3E25">
        <w:rPr>
          <w:rFonts w:eastAsia="Calibri"/>
          <w:bCs/>
          <w:lang w:eastAsia="en-US"/>
        </w:rPr>
        <w:t xml:space="preserve"> Concerning the barrier treatment against human lice, the treated AREA</w:t>
      </w:r>
      <w:r w:rsidR="008C6C51" w:rsidRPr="003E3E25">
        <w:rPr>
          <w:rFonts w:eastAsia="Calibri"/>
          <w:bCs/>
          <w:lang w:eastAsia="en-US"/>
        </w:rPr>
        <w:t xml:space="preserve"> (top of the bed linen and clothes in contact with the top of the body)</w:t>
      </w:r>
      <w:r w:rsidR="00572420" w:rsidRPr="003E3E25">
        <w:rPr>
          <w:rFonts w:eastAsia="Calibri"/>
          <w:bCs/>
          <w:lang w:eastAsia="en-US"/>
        </w:rPr>
        <w:t xml:space="preserve"> is </w:t>
      </w:r>
      <w:r w:rsidR="00476436" w:rsidRPr="003E3E25">
        <w:rPr>
          <w:rFonts w:eastAsia="Calibri"/>
          <w:bCs/>
          <w:lang w:eastAsia="en-US"/>
        </w:rPr>
        <w:t>largely</w:t>
      </w:r>
      <w:r w:rsidR="008C6C51" w:rsidRPr="003E3E25">
        <w:rPr>
          <w:rFonts w:eastAsia="Calibri"/>
          <w:bCs/>
          <w:lang w:eastAsia="en-US"/>
        </w:rPr>
        <w:t xml:space="preserve"> </w:t>
      </w:r>
      <w:r w:rsidR="00572420" w:rsidRPr="003E3E25">
        <w:rPr>
          <w:rFonts w:eastAsia="Calibri"/>
          <w:bCs/>
          <w:lang w:eastAsia="en-US"/>
        </w:rPr>
        <w:t>covered by the AREA of 26m</w:t>
      </w:r>
      <w:r w:rsidR="00572420" w:rsidRPr="003E3E25">
        <w:rPr>
          <w:rFonts w:eastAsia="Calibri"/>
          <w:bCs/>
          <w:vertAlign w:val="superscript"/>
          <w:lang w:eastAsia="en-US"/>
        </w:rPr>
        <w:t>2</w:t>
      </w:r>
      <w:r w:rsidR="00572420" w:rsidRPr="003E3E25">
        <w:rPr>
          <w:rFonts w:eastAsia="Calibri"/>
          <w:bCs/>
          <w:lang w:eastAsia="en-US"/>
        </w:rPr>
        <w:t xml:space="preserve">. </w:t>
      </w:r>
      <w:r w:rsidR="003704D1" w:rsidRPr="003E3E25">
        <w:rPr>
          <w:rFonts w:eastAsia="Calibri"/>
          <w:bCs/>
          <w:lang w:eastAsia="en-US"/>
        </w:rPr>
        <w:t>As a worst-case, it was decided to use a treated AREA of 26m</w:t>
      </w:r>
      <w:r w:rsidR="003704D1" w:rsidRPr="003E3E25">
        <w:rPr>
          <w:rFonts w:eastAsia="Calibri"/>
          <w:bCs/>
          <w:vertAlign w:val="superscript"/>
          <w:lang w:eastAsia="en-US"/>
        </w:rPr>
        <w:t>2</w:t>
      </w:r>
      <w:r w:rsidR="003704D1" w:rsidRPr="003E3E25">
        <w:rPr>
          <w:rFonts w:eastAsia="Calibri"/>
          <w:bCs/>
          <w:lang w:eastAsia="en-US"/>
        </w:rPr>
        <w:t xml:space="preserve"> (Use #7) with the maximum efficient dose of 1.00kg.m</w:t>
      </w:r>
      <w:r w:rsidR="003704D1" w:rsidRPr="003E3E25">
        <w:rPr>
          <w:rFonts w:eastAsia="Calibri"/>
          <w:bCs/>
          <w:vertAlign w:val="superscript"/>
          <w:lang w:eastAsia="en-US"/>
        </w:rPr>
        <w:t>-2</w:t>
      </w:r>
      <w:r w:rsidR="00476436" w:rsidRPr="003E3E25">
        <w:rPr>
          <w:rFonts w:eastAsia="Calibri"/>
          <w:bCs/>
          <w:lang w:eastAsia="en-US"/>
        </w:rPr>
        <w:t xml:space="preserve"> </w:t>
      </w:r>
      <w:r w:rsidR="003704D1" w:rsidRPr="003E3E25">
        <w:rPr>
          <w:rFonts w:eastAsia="Calibri"/>
          <w:bCs/>
          <w:lang w:eastAsia="en-US"/>
        </w:rPr>
        <w:t>(Use #2).</w:t>
      </w:r>
    </w:p>
    <w:p w14:paraId="3948EB74" w14:textId="77777777" w:rsidR="0057357E" w:rsidRPr="00490C8C" w:rsidRDefault="0057357E" w:rsidP="00E2477C">
      <w:pPr>
        <w:spacing w:line="260" w:lineRule="atLeast"/>
        <w:rPr>
          <w:rFonts w:eastAsia="Calibri"/>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758"/>
        <w:gridCol w:w="1134"/>
        <w:gridCol w:w="852"/>
        <w:gridCol w:w="2885"/>
      </w:tblGrid>
      <w:tr w:rsidR="00E2477C" w:rsidRPr="00490C8C" w14:paraId="0A676C5B" w14:textId="77777777" w:rsidTr="00EB1B5F">
        <w:trPr>
          <w:trHeight w:val="346"/>
        </w:trPr>
        <w:tc>
          <w:tcPr>
            <w:tcW w:w="5000" w:type="pct"/>
            <w:gridSpan w:val="5"/>
            <w:shd w:val="clear" w:color="auto" w:fill="FFFFCC"/>
            <w:vAlign w:val="center"/>
          </w:tcPr>
          <w:p w14:paraId="5CC4F13C" w14:textId="77777777" w:rsidR="00E2477C" w:rsidRPr="00490C8C" w:rsidRDefault="00E2477C" w:rsidP="00EB1B5F">
            <w:pPr>
              <w:pStyle w:val="Standaard-Tabellen"/>
              <w:jc w:val="center"/>
              <w:rPr>
                <w:rFonts w:eastAsia="Calibri"/>
                <w:b/>
              </w:rPr>
            </w:pPr>
            <w:r w:rsidRPr="00490C8C">
              <w:rPr>
                <w:rFonts w:eastAsia="Calibri"/>
                <w:b/>
              </w:rPr>
              <w:t>Input parameters for calculating the local emission</w:t>
            </w:r>
          </w:p>
        </w:tc>
      </w:tr>
      <w:tr w:rsidR="003A31C7" w:rsidRPr="008B4B10" w14:paraId="51FF05F6" w14:textId="77777777" w:rsidTr="008B4B10">
        <w:trPr>
          <w:trHeight w:val="75"/>
        </w:trPr>
        <w:tc>
          <w:tcPr>
            <w:tcW w:w="1475" w:type="pct"/>
            <w:shd w:val="clear" w:color="auto" w:fill="D9D9D9" w:themeFill="background1" w:themeFillShade="D9"/>
            <w:vAlign w:val="center"/>
          </w:tcPr>
          <w:p w14:paraId="3CB4A591" w14:textId="77777777" w:rsidR="00E2477C" w:rsidRPr="00D66385" w:rsidRDefault="00E2477C" w:rsidP="00EB1B5F">
            <w:pPr>
              <w:pStyle w:val="Standaard-Tabellen"/>
              <w:rPr>
                <w:rFonts w:eastAsia="Calibri" w:cs="Arial"/>
                <w:b/>
                <w:color w:val="000000"/>
              </w:rPr>
            </w:pPr>
            <w:r w:rsidRPr="00D66385">
              <w:rPr>
                <w:rFonts w:eastAsia="Calibri" w:cs="Arial"/>
                <w:b/>
                <w:color w:val="000000"/>
              </w:rPr>
              <w:t xml:space="preserve">Input </w:t>
            </w:r>
          </w:p>
        </w:tc>
        <w:tc>
          <w:tcPr>
            <w:tcW w:w="935" w:type="pct"/>
            <w:shd w:val="clear" w:color="auto" w:fill="D9D9D9" w:themeFill="background1" w:themeFillShade="D9"/>
            <w:vAlign w:val="center"/>
          </w:tcPr>
          <w:p w14:paraId="79408297" w14:textId="77777777" w:rsidR="00E2477C" w:rsidRPr="00D66385" w:rsidRDefault="00E2477C" w:rsidP="00EB1B5F">
            <w:pPr>
              <w:pStyle w:val="Standaard-Tabellen"/>
              <w:rPr>
                <w:rFonts w:eastAsia="Calibri" w:cs="Arial"/>
                <w:b/>
                <w:color w:val="000000"/>
              </w:rPr>
            </w:pPr>
            <w:r w:rsidRPr="00D66385">
              <w:rPr>
                <w:rFonts w:eastAsia="Calibri" w:cs="Arial"/>
                <w:b/>
                <w:color w:val="000000"/>
              </w:rPr>
              <w:t>Nomenclature</w:t>
            </w:r>
          </w:p>
        </w:tc>
        <w:tc>
          <w:tcPr>
            <w:tcW w:w="603" w:type="pct"/>
            <w:shd w:val="clear" w:color="auto" w:fill="D9D9D9" w:themeFill="background1" w:themeFillShade="D9"/>
            <w:vAlign w:val="center"/>
          </w:tcPr>
          <w:p w14:paraId="3ADECFAB" w14:textId="77777777" w:rsidR="00E2477C" w:rsidRPr="00571EBF" w:rsidRDefault="00E2477C" w:rsidP="00EB1B5F">
            <w:pPr>
              <w:pStyle w:val="Standaard-Tabellen"/>
              <w:rPr>
                <w:rFonts w:eastAsia="Calibri" w:cs="Arial"/>
                <w:b/>
                <w:color w:val="000000"/>
              </w:rPr>
            </w:pPr>
            <w:r w:rsidRPr="00571EBF">
              <w:rPr>
                <w:rFonts w:eastAsia="Calibri" w:cs="Arial"/>
                <w:b/>
                <w:color w:val="000000"/>
              </w:rPr>
              <w:t>Value</w:t>
            </w:r>
          </w:p>
        </w:tc>
        <w:tc>
          <w:tcPr>
            <w:tcW w:w="453" w:type="pct"/>
            <w:shd w:val="clear" w:color="auto" w:fill="D9D9D9" w:themeFill="background1" w:themeFillShade="D9"/>
            <w:vAlign w:val="center"/>
          </w:tcPr>
          <w:p w14:paraId="10D1B3DB" w14:textId="77777777" w:rsidR="00E2477C" w:rsidRPr="000910D0" w:rsidRDefault="00E2477C" w:rsidP="00EB1B5F">
            <w:pPr>
              <w:pStyle w:val="Standaard-Tabellen"/>
              <w:rPr>
                <w:rFonts w:eastAsia="Calibri" w:cs="Arial"/>
                <w:b/>
                <w:color w:val="000000"/>
              </w:rPr>
            </w:pPr>
            <w:r w:rsidRPr="000910D0">
              <w:rPr>
                <w:rFonts w:eastAsia="Calibri" w:cs="Arial"/>
                <w:b/>
                <w:color w:val="000000"/>
              </w:rPr>
              <w:t>Unit</w:t>
            </w:r>
          </w:p>
        </w:tc>
        <w:tc>
          <w:tcPr>
            <w:tcW w:w="1535" w:type="pct"/>
            <w:shd w:val="clear" w:color="auto" w:fill="D9D9D9" w:themeFill="background1" w:themeFillShade="D9"/>
          </w:tcPr>
          <w:p w14:paraId="57ED9F24" w14:textId="77777777" w:rsidR="00E2477C" w:rsidRPr="000910D0" w:rsidRDefault="00E2477C" w:rsidP="00EB1B5F">
            <w:pPr>
              <w:pStyle w:val="Standaard-Tabellen"/>
              <w:rPr>
                <w:rFonts w:eastAsia="Calibri" w:cs="Arial"/>
                <w:b/>
                <w:color w:val="000000"/>
              </w:rPr>
            </w:pPr>
            <w:r w:rsidRPr="000910D0">
              <w:rPr>
                <w:rFonts w:eastAsia="Calibri" w:cs="Arial"/>
                <w:b/>
                <w:color w:val="000000"/>
              </w:rPr>
              <w:t>Remarks</w:t>
            </w:r>
          </w:p>
        </w:tc>
      </w:tr>
      <w:tr w:rsidR="00E2477C" w:rsidRPr="008B4B10" w14:paraId="43A6E37B" w14:textId="77777777" w:rsidTr="003E3E25">
        <w:trPr>
          <w:trHeight w:val="75"/>
        </w:trPr>
        <w:tc>
          <w:tcPr>
            <w:tcW w:w="5000" w:type="pct"/>
            <w:gridSpan w:val="5"/>
            <w:shd w:val="clear" w:color="auto" w:fill="auto"/>
            <w:vAlign w:val="center"/>
          </w:tcPr>
          <w:p w14:paraId="3F949F0F" w14:textId="02B3BAE1" w:rsidR="00E2477C" w:rsidRPr="00D66385" w:rsidRDefault="00E2477C" w:rsidP="00695A12">
            <w:pPr>
              <w:pStyle w:val="Standaard-Tabellen"/>
              <w:rPr>
                <w:rFonts w:eastAsia="Calibri"/>
                <w:i/>
                <w:color w:val="000000"/>
                <w:szCs w:val="18"/>
              </w:rPr>
            </w:pPr>
            <w:r w:rsidRPr="00D66385">
              <w:rPr>
                <w:rFonts w:eastAsia="Calibri"/>
                <w:color w:val="000000"/>
                <w:szCs w:val="18"/>
              </w:rPr>
              <w:t>Scenario</w:t>
            </w:r>
            <w:r w:rsidR="00AF6D81" w:rsidRPr="00D66385">
              <w:rPr>
                <w:rFonts w:eastAsia="Calibri"/>
                <w:color w:val="000000"/>
                <w:szCs w:val="18"/>
              </w:rPr>
              <w:t xml:space="preserve"> 4</w:t>
            </w:r>
            <w:r w:rsidRPr="00D66385">
              <w:rPr>
                <w:rFonts w:eastAsia="Calibri"/>
                <w:color w:val="000000"/>
                <w:szCs w:val="18"/>
              </w:rPr>
              <w:t>: Repellent treatment again</w:t>
            </w:r>
            <w:r w:rsidR="00917ACA" w:rsidRPr="00D66385">
              <w:rPr>
                <w:rFonts w:eastAsia="Calibri"/>
                <w:color w:val="000000"/>
                <w:szCs w:val="18"/>
              </w:rPr>
              <w:t>s</w:t>
            </w:r>
            <w:r w:rsidRPr="00D66385">
              <w:rPr>
                <w:rFonts w:eastAsia="Calibri"/>
                <w:color w:val="000000"/>
                <w:szCs w:val="18"/>
              </w:rPr>
              <w:t xml:space="preserve">t head lice or </w:t>
            </w:r>
            <w:r w:rsidR="00695A12" w:rsidRPr="00D66385">
              <w:rPr>
                <w:rFonts w:eastAsia="Calibri"/>
                <w:color w:val="000000"/>
                <w:szCs w:val="18"/>
              </w:rPr>
              <w:t>dust mites</w:t>
            </w:r>
            <w:r w:rsidRPr="00D66385">
              <w:rPr>
                <w:rFonts w:eastAsia="Calibri"/>
                <w:color w:val="000000"/>
                <w:szCs w:val="18"/>
              </w:rPr>
              <w:t xml:space="preserve"> applied on fabric – environment treatment scenario [ESD-PT19 – Section 3.3.4]</w:t>
            </w:r>
            <w:r w:rsidR="00AF6D81" w:rsidRPr="00D66385">
              <w:rPr>
                <w:rFonts w:eastAsia="Calibri"/>
                <w:b/>
                <w:color w:val="000000"/>
                <w:lang w:eastAsia="en-US"/>
              </w:rPr>
              <w:t xml:space="preserve"> </w:t>
            </w:r>
            <w:r w:rsidR="00AF6D81" w:rsidRPr="00D66385">
              <w:rPr>
                <w:rFonts w:eastAsia="Calibri"/>
                <w:b/>
                <w:color w:val="000000"/>
                <w:lang w:eastAsia="en-US"/>
              </w:rPr>
              <w:sym w:font="Wingdings" w:char="F0E0"/>
            </w:r>
            <w:r w:rsidR="00AF6D81" w:rsidRPr="00D66385">
              <w:rPr>
                <w:rFonts w:eastAsia="Calibri"/>
                <w:b/>
                <w:color w:val="000000"/>
                <w:lang w:eastAsia="en-US"/>
              </w:rPr>
              <w:t xml:space="preserve"> Use #2, 7</w:t>
            </w:r>
          </w:p>
        </w:tc>
      </w:tr>
      <w:tr w:rsidR="003A31C7" w:rsidRPr="008B4B10" w14:paraId="3C9F4CC8" w14:textId="77777777" w:rsidTr="003E3E25">
        <w:trPr>
          <w:trHeight w:val="93"/>
        </w:trPr>
        <w:tc>
          <w:tcPr>
            <w:tcW w:w="1475" w:type="pct"/>
            <w:shd w:val="clear" w:color="auto" w:fill="auto"/>
          </w:tcPr>
          <w:p w14:paraId="2FF75590" w14:textId="30B3DA28" w:rsidR="00E2477C" w:rsidRPr="00D66385" w:rsidRDefault="00E2477C" w:rsidP="00EB1B5F">
            <w:pPr>
              <w:pStyle w:val="Standaard-Tabellen"/>
              <w:rPr>
                <w:rFonts w:eastAsia="Calibri"/>
              </w:rPr>
            </w:pPr>
            <w:r w:rsidRPr="00D66385">
              <w:rPr>
                <w:rFonts w:eastAsia="Calibri" w:cs="Arial"/>
                <w:color w:val="000000"/>
                <w:szCs w:val="18"/>
              </w:rPr>
              <w:t>Quantity of product applied</w:t>
            </w:r>
          </w:p>
        </w:tc>
        <w:tc>
          <w:tcPr>
            <w:tcW w:w="935" w:type="pct"/>
            <w:shd w:val="clear" w:color="auto" w:fill="auto"/>
          </w:tcPr>
          <w:p w14:paraId="3E9A45DC" w14:textId="7487BED9" w:rsidR="00E2477C" w:rsidRPr="00571EBF" w:rsidRDefault="00E2477C" w:rsidP="00E2477C">
            <w:pPr>
              <w:pStyle w:val="Standaard-Tabellen"/>
              <w:rPr>
                <w:rFonts w:eastAsia="Calibri"/>
                <w:szCs w:val="18"/>
              </w:rPr>
            </w:pPr>
            <w:r w:rsidRPr="00D66385">
              <w:rPr>
                <w:rFonts w:eastAsia="Calibri"/>
                <w:szCs w:val="18"/>
              </w:rPr>
              <w:t>Q</w:t>
            </w:r>
            <w:r w:rsidRPr="00D66385">
              <w:rPr>
                <w:rFonts w:eastAsia="Calibri"/>
                <w:szCs w:val="18"/>
                <w:vertAlign w:val="subscript"/>
              </w:rPr>
              <w:t>prod</w:t>
            </w:r>
          </w:p>
        </w:tc>
        <w:tc>
          <w:tcPr>
            <w:tcW w:w="603" w:type="pct"/>
            <w:shd w:val="clear" w:color="auto" w:fill="auto"/>
          </w:tcPr>
          <w:p w14:paraId="3F76ECE0" w14:textId="4E8B8A16" w:rsidR="00E2477C" w:rsidRPr="000910D0" w:rsidRDefault="00E2477C" w:rsidP="00EB1B5F">
            <w:pPr>
              <w:pStyle w:val="Standaard-Tabellen"/>
              <w:rPr>
                <w:rFonts w:eastAsia="Calibri"/>
                <w:szCs w:val="18"/>
              </w:rPr>
            </w:pPr>
            <w:r w:rsidRPr="000910D0">
              <w:rPr>
                <w:rFonts w:eastAsia="Calibri" w:cs="Arial"/>
                <w:color w:val="000000"/>
                <w:szCs w:val="18"/>
              </w:rPr>
              <w:t>1.00E-02</w:t>
            </w:r>
          </w:p>
        </w:tc>
        <w:tc>
          <w:tcPr>
            <w:tcW w:w="453" w:type="pct"/>
            <w:shd w:val="clear" w:color="auto" w:fill="auto"/>
          </w:tcPr>
          <w:p w14:paraId="506A330D" w14:textId="4A315C2B" w:rsidR="00E2477C" w:rsidRPr="000910D0" w:rsidRDefault="00E2477C" w:rsidP="00EB1B5F">
            <w:pPr>
              <w:pStyle w:val="Standaard-Tabellen"/>
              <w:rPr>
                <w:rFonts w:eastAsia="Calibri"/>
                <w:szCs w:val="18"/>
              </w:rPr>
            </w:pPr>
            <w:r w:rsidRPr="000910D0">
              <w:rPr>
                <w:rFonts w:eastAsia="Calibri"/>
                <w:szCs w:val="18"/>
              </w:rPr>
              <w:t>kg.m</w:t>
            </w:r>
            <w:r w:rsidRPr="000910D0">
              <w:rPr>
                <w:rFonts w:eastAsia="Calibri"/>
                <w:szCs w:val="18"/>
                <w:vertAlign w:val="superscript"/>
              </w:rPr>
              <w:t>-</w:t>
            </w:r>
            <w:r w:rsidRPr="000910D0">
              <w:rPr>
                <w:rFonts w:eastAsia="Calibri"/>
                <w:szCs w:val="18"/>
              </w:rPr>
              <w:t>²</w:t>
            </w:r>
          </w:p>
        </w:tc>
        <w:tc>
          <w:tcPr>
            <w:tcW w:w="1535" w:type="pct"/>
            <w:shd w:val="clear" w:color="auto" w:fill="auto"/>
          </w:tcPr>
          <w:p w14:paraId="15356639" w14:textId="18C26F74" w:rsidR="00E2477C" w:rsidRPr="000910D0" w:rsidRDefault="00E2477C" w:rsidP="00392A9C">
            <w:pPr>
              <w:pStyle w:val="Standaard-Tabellen"/>
              <w:rPr>
                <w:rFonts w:eastAsia="Calibri"/>
                <w:szCs w:val="18"/>
                <w:lang w:val="fr-FR"/>
              </w:rPr>
            </w:pPr>
            <w:r w:rsidRPr="000910D0">
              <w:rPr>
                <w:rFonts w:eastAsia="Calibri"/>
                <w:color w:val="000000"/>
                <w:szCs w:val="18"/>
                <w:lang w:val="fr-FR"/>
              </w:rPr>
              <w:t>Maximum efficient dose</w:t>
            </w:r>
          </w:p>
        </w:tc>
      </w:tr>
      <w:tr w:rsidR="003A31C7" w:rsidRPr="008B4B10" w14:paraId="20C665DA" w14:textId="77777777" w:rsidTr="003E3E25">
        <w:trPr>
          <w:trHeight w:val="93"/>
        </w:trPr>
        <w:tc>
          <w:tcPr>
            <w:tcW w:w="1475" w:type="pct"/>
            <w:shd w:val="clear" w:color="auto" w:fill="auto"/>
            <w:vAlign w:val="center"/>
          </w:tcPr>
          <w:p w14:paraId="01FC1CEF" w14:textId="2F39B30B" w:rsidR="00663428" w:rsidRPr="00D66385" w:rsidRDefault="00663428" w:rsidP="00663428">
            <w:pPr>
              <w:pStyle w:val="Standaard-Tabellen"/>
              <w:rPr>
                <w:rFonts w:eastAsia="Calibri" w:cs="Arial"/>
                <w:color w:val="000000"/>
                <w:szCs w:val="18"/>
              </w:rPr>
            </w:pPr>
            <w:r w:rsidRPr="00D66385">
              <w:rPr>
                <w:rFonts w:eastAsia="Calibri" w:cs="Arial"/>
                <w:color w:val="000000"/>
                <w:szCs w:val="18"/>
              </w:rPr>
              <w:t>Fraction of active substance in the commercial product</w:t>
            </w:r>
          </w:p>
        </w:tc>
        <w:tc>
          <w:tcPr>
            <w:tcW w:w="935" w:type="pct"/>
            <w:shd w:val="clear" w:color="auto" w:fill="auto"/>
            <w:vAlign w:val="center"/>
          </w:tcPr>
          <w:p w14:paraId="3FEEB219" w14:textId="757A310F" w:rsidR="00663428" w:rsidRPr="00571EBF" w:rsidRDefault="00663428" w:rsidP="00663428">
            <w:pPr>
              <w:pStyle w:val="Standaard-Tabellen"/>
              <w:rPr>
                <w:rFonts w:eastAsia="Calibri"/>
                <w:szCs w:val="18"/>
              </w:rPr>
            </w:pPr>
            <w:r w:rsidRPr="00D66385">
              <w:rPr>
                <w:rFonts w:eastAsia="Calibri" w:cs="Arial"/>
                <w:i/>
                <w:color w:val="000000"/>
                <w:szCs w:val="18"/>
              </w:rPr>
              <w:t>F</w:t>
            </w:r>
            <w:r w:rsidRPr="00D66385">
              <w:rPr>
                <w:rFonts w:eastAsia="Calibri" w:cs="Arial"/>
                <w:i/>
                <w:color w:val="000000"/>
                <w:szCs w:val="18"/>
                <w:vertAlign w:val="subscript"/>
              </w:rPr>
              <w:t>AI</w:t>
            </w:r>
          </w:p>
        </w:tc>
        <w:tc>
          <w:tcPr>
            <w:tcW w:w="603" w:type="pct"/>
            <w:shd w:val="clear" w:color="auto" w:fill="auto"/>
            <w:vAlign w:val="center"/>
          </w:tcPr>
          <w:p w14:paraId="4333488B" w14:textId="57BF6FD5" w:rsidR="00663428" w:rsidRPr="00F4707E" w:rsidRDefault="00663428" w:rsidP="00663428">
            <w:pPr>
              <w:pStyle w:val="Standaard-Tabellen"/>
              <w:rPr>
                <w:rFonts w:eastAsia="Calibri" w:cs="Arial"/>
                <w:color w:val="000000"/>
                <w:szCs w:val="18"/>
              </w:rPr>
            </w:pPr>
            <w:r w:rsidRPr="000910D0">
              <w:rPr>
                <w:rFonts w:eastAsia="Calibri"/>
                <w:szCs w:val="18"/>
              </w:rPr>
              <w:t>0.20</w:t>
            </w:r>
            <w:r w:rsidR="00281E9A" w:rsidRPr="000910D0">
              <w:rPr>
                <w:rFonts w:eastAsia="Calibri"/>
                <w:szCs w:val="18"/>
              </w:rPr>
              <w:t>0</w:t>
            </w:r>
          </w:p>
        </w:tc>
        <w:tc>
          <w:tcPr>
            <w:tcW w:w="453" w:type="pct"/>
            <w:shd w:val="clear" w:color="auto" w:fill="auto"/>
            <w:vAlign w:val="center"/>
          </w:tcPr>
          <w:p w14:paraId="2172D6B6" w14:textId="3238F63F" w:rsidR="00663428" w:rsidRPr="00D66385" w:rsidRDefault="00663428" w:rsidP="00663428">
            <w:pPr>
              <w:pStyle w:val="Standaard-Tabellen"/>
              <w:rPr>
                <w:rFonts w:eastAsia="Calibri"/>
                <w:szCs w:val="18"/>
              </w:rPr>
            </w:pPr>
            <w:r w:rsidRPr="00D66385">
              <w:rPr>
                <w:rFonts w:eastAsia="Calibri"/>
                <w:szCs w:val="18"/>
              </w:rPr>
              <w:t>[-]</w:t>
            </w:r>
          </w:p>
        </w:tc>
        <w:tc>
          <w:tcPr>
            <w:tcW w:w="1535" w:type="pct"/>
            <w:shd w:val="clear" w:color="auto" w:fill="auto"/>
          </w:tcPr>
          <w:p w14:paraId="4DA3D244" w14:textId="0EF37CB1" w:rsidR="00663428" w:rsidRPr="00D66385" w:rsidRDefault="00663428" w:rsidP="00663428">
            <w:pPr>
              <w:pStyle w:val="Standaard-Tabellen"/>
              <w:rPr>
                <w:rFonts w:eastAsia="Calibri"/>
                <w:color w:val="000000"/>
                <w:szCs w:val="18"/>
                <w:lang w:val="fr-FR"/>
              </w:rPr>
            </w:pPr>
            <w:r w:rsidRPr="00D66385">
              <w:rPr>
                <w:rFonts w:eastAsia="Calibri"/>
                <w:szCs w:val="18"/>
              </w:rPr>
              <w:t>(20% technical)</w:t>
            </w:r>
          </w:p>
        </w:tc>
      </w:tr>
      <w:tr w:rsidR="003A31C7" w:rsidRPr="008B4B10" w14:paraId="5A39E64E" w14:textId="77777777" w:rsidTr="003E3E25">
        <w:trPr>
          <w:trHeight w:val="93"/>
        </w:trPr>
        <w:tc>
          <w:tcPr>
            <w:tcW w:w="1475" w:type="pct"/>
            <w:shd w:val="clear" w:color="auto" w:fill="auto"/>
          </w:tcPr>
          <w:p w14:paraId="46EB18D0" w14:textId="312ADE77" w:rsidR="00663428" w:rsidRPr="00D66385" w:rsidRDefault="00663428" w:rsidP="00663428">
            <w:pPr>
              <w:pStyle w:val="Standaard-Tabellen"/>
              <w:rPr>
                <w:rFonts w:eastAsia="Calibri" w:cs="Arial"/>
                <w:color w:val="000000"/>
                <w:szCs w:val="18"/>
              </w:rPr>
            </w:pPr>
            <w:r w:rsidRPr="00D66385">
              <w:rPr>
                <w:rFonts w:eastAsiaTheme="minorHAnsi" w:cs="Verdana"/>
                <w:color w:val="000000"/>
                <w:lang w:eastAsia="en-US"/>
              </w:rPr>
              <w:t xml:space="preserve">Number of applications per day per building </w:t>
            </w:r>
          </w:p>
        </w:tc>
        <w:tc>
          <w:tcPr>
            <w:tcW w:w="935" w:type="pct"/>
            <w:shd w:val="clear" w:color="auto" w:fill="auto"/>
          </w:tcPr>
          <w:p w14:paraId="4423AF77" w14:textId="7F9E4CFF" w:rsidR="00663428" w:rsidRPr="00571EBF" w:rsidRDefault="00663428" w:rsidP="00663428">
            <w:pPr>
              <w:pStyle w:val="Standaard-Tabellen"/>
              <w:rPr>
                <w:rFonts w:eastAsia="Calibri" w:cs="Arial"/>
                <w:i/>
                <w:color w:val="000000"/>
                <w:szCs w:val="18"/>
              </w:rPr>
            </w:pPr>
            <w:r w:rsidRPr="00D66385">
              <w:rPr>
                <w:rFonts w:eastAsiaTheme="minorHAnsi" w:cs="Verdana"/>
                <w:color w:val="000000"/>
                <w:szCs w:val="18"/>
                <w:lang w:val="fr-FR" w:eastAsia="en-US"/>
              </w:rPr>
              <w:t>N</w:t>
            </w:r>
            <w:r w:rsidRPr="00D66385">
              <w:rPr>
                <w:rFonts w:eastAsiaTheme="minorHAnsi" w:cs="Verdana"/>
                <w:color w:val="000000"/>
                <w:szCs w:val="18"/>
                <w:vertAlign w:val="subscript"/>
                <w:lang w:val="fr-FR" w:eastAsia="en-US"/>
              </w:rPr>
              <w:t xml:space="preserve">appl, building </w:t>
            </w:r>
          </w:p>
        </w:tc>
        <w:tc>
          <w:tcPr>
            <w:tcW w:w="603" w:type="pct"/>
            <w:shd w:val="clear" w:color="auto" w:fill="auto"/>
          </w:tcPr>
          <w:p w14:paraId="280F4225" w14:textId="76FCC2A7" w:rsidR="00663428" w:rsidRPr="00F4707E" w:rsidRDefault="00663428" w:rsidP="00663428">
            <w:pPr>
              <w:pStyle w:val="Standaard-Tabellen"/>
              <w:rPr>
                <w:rFonts w:eastAsia="Calibri"/>
                <w:szCs w:val="18"/>
              </w:rPr>
            </w:pPr>
            <w:r w:rsidRPr="00F4707E">
              <w:rPr>
                <w:rFonts w:eastAsiaTheme="minorHAnsi" w:cs="Verdana"/>
                <w:color w:val="000000"/>
                <w:szCs w:val="18"/>
                <w:lang w:val="fr-FR" w:eastAsia="en-US"/>
              </w:rPr>
              <w:t xml:space="preserve">1 </w:t>
            </w:r>
          </w:p>
        </w:tc>
        <w:tc>
          <w:tcPr>
            <w:tcW w:w="453" w:type="pct"/>
            <w:shd w:val="clear" w:color="auto" w:fill="auto"/>
          </w:tcPr>
          <w:p w14:paraId="6C695E14" w14:textId="40F68EF7" w:rsidR="00663428" w:rsidRPr="00D66385" w:rsidRDefault="00663428" w:rsidP="00663428">
            <w:pPr>
              <w:pStyle w:val="Standaard-Tabellen"/>
              <w:rPr>
                <w:rFonts w:eastAsia="Calibri"/>
                <w:szCs w:val="18"/>
              </w:rPr>
            </w:pPr>
            <w:r w:rsidRPr="00D66385">
              <w:rPr>
                <w:rFonts w:eastAsiaTheme="minorHAnsi" w:cs="Verdana"/>
                <w:color w:val="000000"/>
                <w:szCs w:val="18"/>
                <w:lang w:val="fr-FR" w:eastAsia="en-US"/>
              </w:rPr>
              <w:t>d</w:t>
            </w:r>
            <w:r w:rsidRPr="00D66385">
              <w:rPr>
                <w:rFonts w:eastAsiaTheme="minorHAnsi" w:cs="Verdana"/>
                <w:color w:val="000000"/>
                <w:szCs w:val="18"/>
                <w:vertAlign w:val="superscript"/>
                <w:lang w:val="fr-FR" w:eastAsia="en-US"/>
              </w:rPr>
              <w:t>-1</w:t>
            </w:r>
          </w:p>
        </w:tc>
        <w:tc>
          <w:tcPr>
            <w:tcW w:w="1535" w:type="pct"/>
            <w:shd w:val="clear" w:color="auto" w:fill="auto"/>
          </w:tcPr>
          <w:p w14:paraId="214B20E6" w14:textId="0DBB9FA7" w:rsidR="00663428" w:rsidRPr="00D66385" w:rsidRDefault="00663428" w:rsidP="00663428">
            <w:pPr>
              <w:pStyle w:val="Standaard-Tabellen"/>
              <w:rPr>
                <w:rFonts w:eastAsia="Calibri"/>
                <w:szCs w:val="18"/>
              </w:rPr>
            </w:pPr>
            <w:r w:rsidRPr="00D66385">
              <w:rPr>
                <w:rFonts w:eastAsiaTheme="minorHAnsi" w:cs="Verdana"/>
                <w:color w:val="000000"/>
                <w:szCs w:val="18"/>
                <w:lang w:val="fr-FR" w:eastAsia="en-US"/>
              </w:rPr>
              <w:t>Default value</w:t>
            </w:r>
          </w:p>
        </w:tc>
      </w:tr>
      <w:tr w:rsidR="003A31C7" w:rsidRPr="008B4B10" w14:paraId="355C4212" w14:textId="77777777" w:rsidTr="003E3E25">
        <w:trPr>
          <w:trHeight w:val="93"/>
        </w:trPr>
        <w:tc>
          <w:tcPr>
            <w:tcW w:w="1475" w:type="pct"/>
            <w:shd w:val="clear" w:color="auto" w:fill="auto"/>
          </w:tcPr>
          <w:p w14:paraId="78560006" w14:textId="041BF3E1" w:rsidR="00663428" w:rsidRPr="00D66385" w:rsidRDefault="00663428" w:rsidP="00663428">
            <w:pPr>
              <w:pStyle w:val="Standaard-Tabellen"/>
              <w:rPr>
                <w:rFonts w:eastAsiaTheme="minorHAnsi" w:cs="Verdana"/>
                <w:color w:val="000000"/>
                <w:lang w:eastAsia="en-US"/>
              </w:rPr>
            </w:pPr>
            <w:r w:rsidRPr="00D66385">
              <w:rPr>
                <w:rFonts w:eastAsiaTheme="minorHAnsi" w:cs="Verdana"/>
                <w:color w:val="000000"/>
                <w:lang w:val="fr-FR" w:eastAsia="en-US"/>
              </w:rPr>
              <w:t xml:space="preserve">Fraction emitted to air </w:t>
            </w:r>
          </w:p>
        </w:tc>
        <w:tc>
          <w:tcPr>
            <w:tcW w:w="935" w:type="pct"/>
            <w:shd w:val="clear" w:color="auto" w:fill="auto"/>
          </w:tcPr>
          <w:p w14:paraId="164BD287" w14:textId="61F6028B" w:rsidR="00663428" w:rsidRPr="00571EBF" w:rsidRDefault="00663428" w:rsidP="00663428">
            <w:pPr>
              <w:pStyle w:val="Standaard-Tabellen"/>
              <w:rPr>
                <w:rFonts w:eastAsiaTheme="minorHAnsi" w:cs="Verdana"/>
                <w:color w:val="000000"/>
                <w:szCs w:val="18"/>
                <w:lang w:val="fr-FR" w:eastAsia="en-US"/>
              </w:rPr>
            </w:pPr>
            <w:r w:rsidRPr="00D66385">
              <w:rPr>
                <w:rFonts w:eastAsiaTheme="minorHAnsi" w:cs="Verdana"/>
                <w:color w:val="000000"/>
                <w:szCs w:val="18"/>
                <w:lang w:val="fr-FR" w:eastAsia="en-US"/>
              </w:rPr>
              <w:t>F</w:t>
            </w:r>
            <w:r w:rsidRPr="00D66385">
              <w:rPr>
                <w:rFonts w:eastAsiaTheme="minorHAnsi" w:cs="Verdana"/>
                <w:color w:val="000000"/>
                <w:szCs w:val="18"/>
                <w:vertAlign w:val="subscript"/>
                <w:lang w:val="fr-FR" w:eastAsia="en-US"/>
              </w:rPr>
              <w:t xml:space="preserve">application,air </w:t>
            </w:r>
          </w:p>
        </w:tc>
        <w:tc>
          <w:tcPr>
            <w:tcW w:w="603" w:type="pct"/>
            <w:shd w:val="clear" w:color="auto" w:fill="auto"/>
          </w:tcPr>
          <w:p w14:paraId="75D851B1" w14:textId="35CC7633" w:rsidR="00663428" w:rsidRPr="00F4707E" w:rsidRDefault="00663428" w:rsidP="00663428">
            <w:pPr>
              <w:pStyle w:val="Standaard-Tabellen"/>
              <w:rPr>
                <w:rFonts w:eastAsiaTheme="minorHAnsi" w:cs="Verdana"/>
                <w:color w:val="000000"/>
                <w:szCs w:val="18"/>
                <w:lang w:val="fr-FR" w:eastAsia="en-US"/>
              </w:rPr>
            </w:pPr>
            <w:r w:rsidRPr="00F4707E">
              <w:rPr>
                <w:rFonts w:eastAsiaTheme="minorHAnsi" w:cs="Verdana"/>
                <w:color w:val="000000"/>
                <w:szCs w:val="18"/>
                <w:lang w:val="fr-FR" w:eastAsia="en-US"/>
              </w:rPr>
              <w:t xml:space="preserve">0.02 </w:t>
            </w:r>
          </w:p>
        </w:tc>
        <w:tc>
          <w:tcPr>
            <w:tcW w:w="453" w:type="pct"/>
            <w:shd w:val="clear" w:color="auto" w:fill="auto"/>
          </w:tcPr>
          <w:p w14:paraId="06C2EC8A" w14:textId="7FDF44FC" w:rsidR="00663428" w:rsidRPr="00D66385" w:rsidRDefault="00663428" w:rsidP="00663428">
            <w:pPr>
              <w:pStyle w:val="Standaard-Tabellen"/>
              <w:rPr>
                <w:rFonts w:eastAsiaTheme="minorHAnsi" w:cs="Verdana"/>
                <w:color w:val="000000"/>
                <w:szCs w:val="18"/>
                <w:lang w:val="fr-FR" w:eastAsia="en-US"/>
              </w:rPr>
            </w:pPr>
            <w:r w:rsidRPr="00D66385">
              <w:rPr>
                <w:rFonts w:eastAsiaTheme="minorHAnsi" w:cs="Verdana"/>
                <w:color w:val="000000"/>
                <w:szCs w:val="18"/>
                <w:lang w:val="fr-FR" w:eastAsia="en-US"/>
              </w:rPr>
              <w:t xml:space="preserve">[-] </w:t>
            </w:r>
          </w:p>
        </w:tc>
        <w:tc>
          <w:tcPr>
            <w:tcW w:w="1535" w:type="pct"/>
            <w:vMerge w:val="restart"/>
            <w:shd w:val="clear" w:color="auto" w:fill="auto"/>
          </w:tcPr>
          <w:p w14:paraId="53401CA8" w14:textId="4563F574" w:rsidR="00663428" w:rsidRPr="00D66385" w:rsidRDefault="00663428" w:rsidP="00663428">
            <w:pPr>
              <w:pStyle w:val="Standaard-Tabellen"/>
              <w:rPr>
                <w:rFonts w:eastAsiaTheme="minorHAnsi" w:cs="Verdana"/>
                <w:color w:val="000000"/>
                <w:szCs w:val="18"/>
                <w:lang w:eastAsia="en-US"/>
              </w:rPr>
            </w:pPr>
            <w:r w:rsidRPr="00D66385">
              <w:rPr>
                <w:rFonts w:eastAsiaTheme="minorHAnsi" w:cs="Verdana"/>
                <w:color w:val="000000"/>
                <w:szCs w:val="18"/>
                <w:lang w:eastAsia="en-US"/>
              </w:rPr>
              <w:t>Default value</w:t>
            </w:r>
            <w:r w:rsidR="0025067D" w:rsidRPr="00D66385">
              <w:rPr>
                <w:rFonts w:eastAsiaTheme="minorHAnsi" w:cs="Verdana"/>
                <w:color w:val="000000"/>
                <w:szCs w:val="18"/>
                <w:lang w:eastAsia="en-US"/>
              </w:rPr>
              <w:t xml:space="preserve"> (</w:t>
            </w:r>
            <w:r w:rsidR="00CB49C6" w:rsidRPr="00D66385">
              <w:rPr>
                <w:rFonts w:eastAsiaTheme="minorHAnsi" w:cs="Verdana"/>
                <w:color w:val="000000"/>
                <w:szCs w:val="18"/>
                <w:lang w:eastAsia="en-US"/>
              </w:rPr>
              <w:t>ESD PT</w:t>
            </w:r>
            <w:r w:rsidR="0025067D" w:rsidRPr="00D66385">
              <w:rPr>
                <w:rFonts w:eastAsiaTheme="minorHAnsi" w:cs="Verdana"/>
                <w:color w:val="000000"/>
                <w:szCs w:val="18"/>
                <w:lang w:eastAsia="en-US"/>
              </w:rPr>
              <w:t>18, OECD</w:t>
            </w:r>
            <w:r w:rsidRPr="00D66385">
              <w:rPr>
                <w:rFonts w:eastAsiaTheme="minorHAnsi" w:cs="Verdana"/>
                <w:color w:val="000000"/>
                <w:szCs w:val="18"/>
                <w:lang w:eastAsia="en-US"/>
              </w:rPr>
              <w:t xml:space="preserve"> 2008, Table 3.3-5) </w:t>
            </w:r>
          </w:p>
          <w:p w14:paraId="08E5B265" w14:textId="77777777" w:rsidR="00663428" w:rsidRPr="00D66385" w:rsidRDefault="00663428" w:rsidP="00663428">
            <w:pPr>
              <w:pStyle w:val="Standaard-Tabellen"/>
              <w:rPr>
                <w:rFonts w:eastAsiaTheme="minorHAnsi" w:cs="Verdana"/>
                <w:color w:val="000000"/>
                <w:szCs w:val="18"/>
                <w:lang w:eastAsia="en-US"/>
              </w:rPr>
            </w:pPr>
          </w:p>
          <w:p w14:paraId="6EF97945" w14:textId="77777777" w:rsidR="00663428" w:rsidRPr="00D66385" w:rsidRDefault="00663428" w:rsidP="00663428">
            <w:pPr>
              <w:pStyle w:val="Standaard-Tabellen"/>
              <w:rPr>
                <w:rFonts w:eastAsiaTheme="minorHAnsi" w:cs="Verdana"/>
                <w:color w:val="000000"/>
                <w:szCs w:val="18"/>
                <w:lang w:eastAsia="en-US"/>
              </w:rPr>
            </w:pPr>
          </w:p>
          <w:p w14:paraId="7EF919B5" w14:textId="73AE4F30" w:rsidR="00663428" w:rsidRPr="00D66385" w:rsidRDefault="00663428" w:rsidP="00663428">
            <w:pPr>
              <w:pStyle w:val="Standaard-Tabellen"/>
              <w:rPr>
                <w:rFonts w:eastAsiaTheme="minorHAnsi" w:cs="Verdana"/>
                <w:color w:val="000000"/>
                <w:szCs w:val="18"/>
                <w:lang w:eastAsia="en-US"/>
              </w:rPr>
            </w:pPr>
          </w:p>
        </w:tc>
      </w:tr>
      <w:tr w:rsidR="003A31C7" w:rsidRPr="008B4B10" w14:paraId="5E2E7930" w14:textId="77777777" w:rsidTr="003E3E25">
        <w:trPr>
          <w:trHeight w:val="93"/>
        </w:trPr>
        <w:tc>
          <w:tcPr>
            <w:tcW w:w="1475" w:type="pct"/>
            <w:shd w:val="clear" w:color="auto" w:fill="auto"/>
          </w:tcPr>
          <w:p w14:paraId="7C3BA6D5" w14:textId="0C41253D" w:rsidR="00663428" w:rsidRPr="00D66385" w:rsidRDefault="00663428" w:rsidP="00663428">
            <w:pPr>
              <w:pStyle w:val="Standaard-Tabellen"/>
              <w:rPr>
                <w:rFonts w:eastAsiaTheme="minorHAnsi" w:cs="Verdana"/>
                <w:color w:val="000000"/>
                <w:lang w:eastAsia="en-US"/>
              </w:rPr>
            </w:pPr>
            <w:r w:rsidRPr="00D66385">
              <w:rPr>
                <w:rFonts w:eastAsiaTheme="minorHAnsi" w:cs="Verdana"/>
                <w:color w:val="000000"/>
                <w:lang w:val="fr-FR" w:eastAsia="en-US"/>
              </w:rPr>
              <w:t xml:space="preserve">Fraction emitted to applicator </w:t>
            </w:r>
          </w:p>
        </w:tc>
        <w:tc>
          <w:tcPr>
            <w:tcW w:w="935" w:type="pct"/>
            <w:shd w:val="clear" w:color="auto" w:fill="auto"/>
          </w:tcPr>
          <w:p w14:paraId="177C39F5" w14:textId="36DA555E" w:rsidR="00663428" w:rsidRPr="00571EBF" w:rsidRDefault="00663428" w:rsidP="00663428">
            <w:pPr>
              <w:pStyle w:val="Standaard-Tabellen"/>
              <w:rPr>
                <w:rFonts w:eastAsiaTheme="minorHAnsi" w:cs="Verdana"/>
                <w:color w:val="000000"/>
                <w:szCs w:val="18"/>
                <w:lang w:val="fr-FR" w:eastAsia="en-US"/>
              </w:rPr>
            </w:pPr>
            <w:r w:rsidRPr="00D66385">
              <w:rPr>
                <w:rFonts w:eastAsiaTheme="minorHAnsi" w:cs="Verdana"/>
                <w:color w:val="000000"/>
                <w:szCs w:val="18"/>
                <w:lang w:val="fr-FR" w:eastAsia="en-US"/>
              </w:rPr>
              <w:t>F</w:t>
            </w:r>
            <w:r w:rsidRPr="00D66385">
              <w:rPr>
                <w:rFonts w:eastAsiaTheme="minorHAnsi" w:cs="Verdana"/>
                <w:color w:val="000000"/>
                <w:szCs w:val="18"/>
                <w:vertAlign w:val="subscript"/>
                <w:lang w:val="fr-FR" w:eastAsia="en-US"/>
              </w:rPr>
              <w:t xml:space="preserve">application,applicator </w:t>
            </w:r>
          </w:p>
        </w:tc>
        <w:tc>
          <w:tcPr>
            <w:tcW w:w="603" w:type="pct"/>
            <w:shd w:val="clear" w:color="auto" w:fill="auto"/>
          </w:tcPr>
          <w:p w14:paraId="13C83A28" w14:textId="7109BFC0" w:rsidR="00663428" w:rsidRPr="00F4707E" w:rsidRDefault="00663428" w:rsidP="00663428">
            <w:pPr>
              <w:pStyle w:val="Standaard-Tabellen"/>
              <w:rPr>
                <w:rFonts w:eastAsiaTheme="minorHAnsi" w:cs="Verdana"/>
                <w:color w:val="000000"/>
                <w:szCs w:val="18"/>
                <w:lang w:val="fr-FR" w:eastAsia="en-US"/>
              </w:rPr>
            </w:pPr>
            <w:r w:rsidRPr="00F4707E">
              <w:rPr>
                <w:rFonts w:eastAsiaTheme="minorHAnsi" w:cs="Verdana"/>
                <w:color w:val="000000"/>
                <w:szCs w:val="18"/>
                <w:lang w:val="fr-FR" w:eastAsia="en-US"/>
              </w:rPr>
              <w:t xml:space="preserve">0.02 </w:t>
            </w:r>
          </w:p>
        </w:tc>
        <w:tc>
          <w:tcPr>
            <w:tcW w:w="453" w:type="pct"/>
            <w:shd w:val="clear" w:color="auto" w:fill="auto"/>
          </w:tcPr>
          <w:p w14:paraId="036BD552" w14:textId="1E0E2954" w:rsidR="00663428" w:rsidRPr="00D66385" w:rsidRDefault="00663428" w:rsidP="00663428">
            <w:pPr>
              <w:pStyle w:val="Standaard-Tabellen"/>
              <w:rPr>
                <w:rFonts w:eastAsiaTheme="minorHAnsi" w:cs="Verdana"/>
                <w:color w:val="000000"/>
                <w:szCs w:val="18"/>
                <w:lang w:val="fr-FR" w:eastAsia="en-US"/>
              </w:rPr>
            </w:pPr>
            <w:r w:rsidRPr="00D66385">
              <w:rPr>
                <w:rFonts w:eastAsiaTheme="minorHAnsi" w:cs="Verdana"/>
                <w:color w:val="000000"/>
                <w:szCs w:val="18"/>
                <w:lang w:val="fr-FR" w:eastAsia="en-US"/>
              </w:rPr>
              <w:t xml:space="preserve">[-] </w:t>
            </w:r>
          </w:p>
        </w:tc>
        <w:tc>
          <w:tcPr>
            <w:tcW w:w="1535" w:type="pct"/>
            <w:vMerge/>
            <w:shd w:val="clear" w:color="auto" w:fill="auto"/>
          </w:tcPr>
          <w:p w14:paraId="5AE35486" w14:textId="250CC141" w:rsidR="00663428" w:rsidRPr="00D66385" w:rsidRDefault="00663428" w:rsidP="00663428">
            <w:pPr>
              <w:pStyle w:val="Standaard-Tabellen"/>
              <w:rPr>
                <w:rFonts w:eastAsiaTheme="minorHAnsi" w:cs="Verdana"/>
                <w:color w:val="000000"/>
                <w:szCs w:val="18"/>
                <w:lang w:val="fr-FR" w:eastAsia="en-US"/>
              </w:rPr>
            </w:pPr>
          </w:p>
        </w:tc>
      </w:tr>
      <w:tr w:rsidR="003A31C7" w:rsidRPr="008B4B10" w14:paraId="05DF534A" w14:textId="77777777" w:rsidTr="003E3E25">
        <w:trPr>
          <w:trHeight w:val="93"/>
        </w:trPr>
        <w:tc>
          <w:tcPr>
            <w:tcW w:w="1475" w:type="pct"/>
            <w:shd w:val="clear" w:color="auto" w:fill="auto"/>
          </w:tcPr>
          <w:p w14:paraId="3A7F11FE" w14:textId="1891B4F8" w:rsidR="00663428" w:rsidRPr="00D66385" w:rsidRDefault="00663428" w:rsidP="00663428">
            <w:pPr>
              <w:pStyle w:val="Standaard-Tabellen"/>
              <w:rPr>
                <w:rFonts w:eastAsiaTheme="minorHAnsi" w:cs="Verdana"/>
                <w:color w:val="000000"/>
                <w:lang w:eastAsia="en-US"/>
              </w:rPr>
            </w:pPr>
            <w:r w:rsidRPr="00D66385">
              <w:rPr>
                <w:rFonts w:eastAsiaTheme="minorHAnsi" w:cs="Verdana"/>
                <w:color w:val="000000"/>
                <w:lang w:val="fr-FR" w:eastAsia="en-US"/>
              </w:rPr>
              <w:t xml:space="preserve">Fraction emitted to floor </w:t>
            </w:r>
          </w:p>
        </w:tc>
        <w:tc>
          <w:tcPr>
            <w:tcW w:w="935" w:type="pct"/>
            <w:shd w:val="clear" w:color="auto" w:fill="auto"/>
          </w:tcPr>
          <w:p w14:paraId="37E2231A" w14:textId="76021EBE" w:rsidR="00663428" w:rsidRPr="00571EBF" w:rsidRDefault="00663428" w:rsidP="00663428">
            <w:pPr>
              <w:pStyle w:val="Standaard-Tabellen"/>
              <w:rPr>
                <w:rFonts w:eastAsiaTheme="minorHAnsi" w:cs="Verdana"/>
                <w:color w:val="000000"/>
                <w:szCs w:val="18"/>
                <w:lang w:val="fr-FR" w:eastAsia="en-US"/>
              </w:rPr>
            </w:pPr>
            <w:r w:rsidRPr="00D66385">
              <w:rPr>
                <w:rFonts w:eastAsiaTheme="minorHAnsi" w:cs="Verdana"/>
                <w:color w:val="000000"/>
                <w:szCs w:val="18"/>
                <w:lang w:val="fr-FR" w:eastAsia="en-US"/>
              </w:rPr>
              <w:t>F</w:t>
            </w:r>
            <w:r w:rsidRPr="00D66385">
              <w:rPr>
                <w:rFonts w:eastAsiaTheme="minorHAnsi" w:cs="Verdana"/>
                <w:color w:val="000000"/>
                <w:szCs w:val="18"/>
                <w:vertAlign w:val="subscript"/>
                <w:lang w:val="fr-FR" w:eastAsia="en-US"/>
              </w:rPr>
              <w:t xml:space="preserve">application,floor </w:t>
            </w:r>
          </w:p>
        </w:tc>
        <w:tc>
          <w:tcPr>
            <w:tcW w:w="603" w:type="pct"/>
            <w:shd w:val="clear" w:color="auto" w:fill="auto"/>
          </w:tcPr>
          <w:p w14:paraId="79697083" w14:textId="4A625D6D" w:rsidR="00663428" w:rsidRPr="00F4707E" w:rsidRDefault="00663428" w:rsidP="00663428">
            <w:pPr>
              <w:pStyle w:val="Standaard-Tabellen"/>
              <w:rPr>
                <w:rFonts w:eastAsiaTheme="minorHAnsi" w:cs="Verdana"/>
                <w:color w:val="000000"/>
                <w:szCs w:val="18"/>
                <w:lang w:val="fr-FR" w:eastAsia="en-US"/>
              </w:rPr>
            </w:pPr>
            <w:r w:rsidRPr="00F4707E">
              <w:rPr>
                <w:rFonts w:eastAsiaTheme="minorHAnsi" w:cs="Verdana"/>
                <w:color w:val="000000"/>
                <w:szCs w:val="18"/>
                <w:lang w:val="fr-FR" w:eastAsia="en-US"/>
              </w:rPr>
              <w:t xml:space="preserve">0.11 </w:t>
            </w:r>
          </w:p>
        </w:tc>
        <w:tc>
          <w:tcPr>
            <w:tcW w:w="453" w:type="pct"/>
            <w:shd w:val="clear" w:color="auto" w:fill="auto"/>
          </w:tcPr>
          <w:p w14:paraId="5D0E4A26" w14:textId="3AA708EC" w:rsidR="00663428" w:rsidRPr="00D66385" w:rsidRDefault="00663428" w:rsidP="00663428">
            <w:pPr>
              <w:pStyle w:val="Standaard-Tabellen"/>
              <w:rPr>
                <w:rFonts w:eastAsiaTheme="minorHAnsi" w:cs="Verdana"/>
                <w:color w:val="000000"/>
                <w:szCs w:val="18"/>
                <w:lang w:val="fr-FR" w:eastAsia="en-US"/>
              </w:rPr>
            </w:pPr>
            <w:r w:rsidRPr="00D66385">
              <w:rPr>
                <w:rFonts w:eastAsiaTheme="minorHAnsi" w:cs="Verdana"/>
                <w:color w:val="000000"/>
                <w:szCs w:val="18"/>
                <w:lang w:val="fr-FR" w:eastAsia="en-US"/>
              </w:rPr>
              <w:t xml:space="preserve">[-] </w:t>
            </w:r>
          </w:p>
        </w:tc>
        <w:tc>
          <w:tcPr>
            <w:tcW w:w="1535" w:type="pct"/>
            <w:vMerge/>
            <w:shd w:val="clear" w:color="auto" w:fill="auto"/>
          </w:tcPr>
          <w:p w14:paraId="083F77B0" w14:textId="343C4CC8" w:rsidR="00663428" w:rsidRPr="00D66385" w:rsidRDefault="00663428" w:rsidP="00663428">
            <w:pPr>
              <w:pStyle w:val="Standaard-Tabellen"/>
              <w:rPr>
                <w:rFonts w:eastAsiaTheme="minorHAnsi" w:cs="Verdana"/>
                <w:color w:val="000000"/>
                <w:szCs w:val="18"/>
                <w:lang w:val="fr-FR" w:eastAsia="en-US"/>
              </w:rPr>
            </w:pPr>
          </w:p>
        </w:tc>
      </w:tr>
      <w:tr w:rsidR="003A31C7" w:rsidRPr="008B4B10" w14:paraId="5FE5EC2D" w14:textId="77777777" w:rsidTr="003E3E25">
        <w:trPr>
          <w:trHeight w:val="93"/>
        </w:trPr>
        <w:tc>
          <w:tcPr>
            <w:tcW w:w="1475" w:type="pct"/>
            <w:shd w:val="clear" w:color="auto" w:fill="auto"/>
          </w:tcPr>
          <w:p w14:paraId="14BE029D" w14:textId="5B798FDE" w:rsidR="00663428" w:rsidRPr="00D66385" w:rsidRDefault="00663428" w:rsidP="00663428">
            <w:pPr>
              <w:pStyle w:val="Standaard-Tabellen"/>
              <w:rPr>
                <w:rFonts w:eastAsiaTheme="minorHAnsi" w:cs="Verdana"/>
                <w:color w:val="000000"/>
                <w:lang w:eastAsia="en-US"/>
              </w:rPr>
            </w:pPr>
            <w:r w:rsidRPr="00D66385">
              <w:rPr>
                <w:rFonts w:eastAsiaTheme="minorHAnsi" w:cs="Verdana"/>
                <w:color w:val="000000"/>
                <w:lang w:eastAsia="en-US"/>
              </w:rPr>
              <w:t xml:space="preserve">Fraction emitted to treated surfaces </w:t>
            </w:r>
          </w:p>
        </w:tc>
        <w:tc>
          <w:tcPr>
            <w:tcW w:w="935" w:type="pct"/>
            <w:shd w:val="clear" w:color="auto" w:fill="auto"/>
          </w:tcPr>
          <w:p w14:paraId="5876FBED" w14:textId="28D34751" w:rsidR="00663428" w:rsidRPr="00571EBF" w:rsidRDefault="00663428" w:rsidP="00663428">
            <w:pPr>
              <w:pStyle w:val="Standaard-Tabellen"/>
              <w:rPr>
                <w:rFonts w:eastAsiaTheme="minorHAnsi" w:cs="Verdana"/>
                <w:color w:val="000000"/>
                <w:szCs w:val="18"/>
                <w:lang w:val="fr-FR" w:eastAsia="en-US"/>
              </w:rPr>
            </w:pPr>
            <w:r w:rsidRPr="00D66385">
              <w:rPr>
                <w:rFonts w:eastAsiaTheme="minorHAnsi" w:cs="Verdana"/>
                <w:color w:val="000000"/>
                <w:szCs w:val="18"/>
                <w:lang w:val="fr-FR" w:eastAsia="en-US"/>
              </w:rPr>
              <w:t>F</w:t>
            </w:r>
            <w:r w:rsidRPr="00D66385">
              <w:rPr>
                <w:rFonts w:eastAsiaTheme="minorHAnsi" w:cs="Verdana"/>
                <w:color w:val="000000"/>
                <w:szCs w:val="18"/>
                <w:vertAlign w:val="subscript"/>
                <w:lang w:val="fr-FR" w:eastAsia="en-US"/>
              </w:rPr>
              <w:t xml:space="preserve">application,treated </w:t>
            </w:r>
          </w:p>
        </w:tc>
        <w:tc>
          <w:tcPr>
            <w:tcW w:w="603" w:type="pct"/>
            <w:shd w:val="clear" w:color="auto" w:fill="auto"/>
          </w:tcPr>
          <w:p w14:paraId="67ABAA75" w14:textId="4C63B41C" w:rsidR="00663428" w:rsidRPr="00F4707E" w:rsidRDefault="00663428" w:rsidP="00663428">
            <w:pPr>
              <w:pStyle w:val="Standaard-Tabellen"/>
              <w:rPr>
                <w:rFonts w:eastAsiaTheme="minorHAnsi" w:cs="Verdana"/>
                <w:color w:val="000000"/>
                <w:szCs w:val="18"/>
                <w:lang w:val="fr-FR" w:eastAsia="en-US"/>
              </w:rPr>
            </w:pPr>
            <w:r w:rsidRPr="00F4707E">
              <w:rPr>
                <w:rFonts w:eastAsiaTheme="minorHAnsi" w:cs="Verdana"/>
                <w:color w:val="000000"/>
                <w:szCs w:val="18"/>
                <w:lang w:val="fr-FR" w:eastAsia="en-US"/>
              </w:rPr>
              <w:t xml:space="preserve">0.85 </w:t>
            </w:r>
          </w:p>
        </w:tc>
        <w:tc>
          <w:tcPr>
            <w:tcW w:w="453" w:type="pct"/>
            <w:shd w:val="clear" w:color="auto" w:fill="auto"/>
          </w:tcPr>
          <w:p w14:paraId="3FB731E8" w14:textId="28016D2A" w:rsidR="00663428" w:rsidRPr="00D66385" w:rsidRDefault="00663428" w:rsidP="00663428">
            <w:pPr>
              <w:pStyle w:val="Standaard-Tabellen"/>
              <w:rPr>
                <w:rFonts w:eastAsiaTheme="minorHAnsi" w:cs="Verdana"/>
                <w:color w:val="000000"/>
                <w:szCs w:val="18"/>
                <w:lang w:val="fr-FR" w:eastAsia="en-US"/>
              </w:rPr>
            </w:pPr>
            <w:r w:rsidRPr="00D66385">
              <w:rPr>
                <w:rFonts w:eastAsiaTheme="minorHAnsi" w:cs="Verdana"/>
                <w:color w:val="000000"/>
                <w:szCs w:val="18"/>
                <w:lang w:val="fr-FR" w:eastAsia="en-US"/>
              </w:rPr>
              <w:t xml:space="preserve">[-] </w:t>
            </w:r>
          </w:p>
        </w:tc>
        <w:tc>
          <w:tcPr>
            <w:tcW w:w="1535" w:type="pct"/>
            <w:vMerge/>
            <w:shd w:val="clear" w:color="auto" w:fill="auto"/>
          </w:tcPr>
          <w:p w14:paraId="72025E3B" w14:textId="0C693F82" w:rsidR="00663428" w:rsidRPr="00D66385" w:rsidRDefault="00663428" w:rsidP="00663428">
            <w:pPr>
              <w:pStyle w:val="Standaard-Tabellen"/>
              <w:rPr>
                <w:rFonts w:eastAsiaTheme="minorHAnsi" w:cs="Verdana"/>
                <w:color w:val="000000"/>
                <w:szCs w:val="18"/>
                <w:lang w:val="fr-FR" w:eastAsia="en-US"/>
              </w:rPr>
            </w:pPr>
          </w:p>
        </w:tc>
      </w:tr>
      <w:tr w:rsidR="003A31C7" w:rsidRPr="008B4B10" w14:paraId="6F767E59" w14:textId="77777777" w:rsidTr="003E3E25">
        <w:trPr>
          <w:trHeight w:val="93"/>
        </w:trPr>
        <w:tc>
          <w:tcPr>
            <w:tcW w:w="1475" w:type="pct"/>
            <w:shd w:val="clear" w:color="auto" w:fill="auto"/>
          </w:tcPr>
          <w:p w14:paraId="72871576" w14:textId="43E7CE24" w:rsidR="00663428" w:rsidRPr="00D66385" w:rsidRDefault="00663428" w:rsidP="00663428">
            <w:pPr>
              <w:pStyle w:val="Standaard-Tabellen"/>
              <w:rPr>
                <w:rFonts w:eastAsia="Calibri"/>
              </w:rPr>
            </w:pPr>
            <w:r w:rsidRPr="00D66385">
              <w:rPr>
                <w:rFonts w:eastAsia="Calibri"/>
              </w:rPr>
              <w:t>Area</w:t>
            </w:r>
            <w:r w:rsidRPr="00D66385">
              <w:rPr>
                <w:rFonts w:eastAsia="Calibri" w:cs="Arial"/>
                <w:color w:val="000000"/>
                <w:szCs w:val="18"/>
              </w:rPr>
              <w:t xml:space="preserve"> treated with the product</w:t>
            </w:r>
          </w:p>
        </w:tc>
        <w:tc>
          <w:tcPr>
            <w:tcW w:w="935" w:type="pct"/>
            <w:shd w:val="clear" w:color="auto" w:fill="auto"/>
          </w:tcPr>
          <w:p w14:paraId="434F3805" w14:textId="3BCA20D2" w:rsidR="00663428" w:rsidRPr="00E55696" w:rsidRDefault="00663428" w:rsidP="00663428">
            <w:pPr>
              <w:pStyle w:val="Standaard-Tabellen"/>
              <w:rPr>
                <w:rFonts w:eastAsia="Calibri"/>
                <w:szCs w:val="18"/>
              </w:rPr>
            </w:pPr>
            <w:r w:rsidRPr="00571EBF">
              <w:rPr>
                <w:rFonts w:eastAsia="Calibri"/>
                <w:szCs w:val="18"/>
              </w:rPr>
              <w:t>AREA</w:t>
            </w:r>
            <w:r w:rsidRPr="00E55696">
              <w:rPr>
                <w:rFonts w:eastAsia="Calibri"/>
                <w:szCs w:val="18"/>
                <w:vertAlign w:val="subscript"/>
              </w:rPr>
              <w:t>treated</w:t>
            </w:r>
          </w:p>
        </w:tc>
        <w:tc>
          <w:tcPr>
            <w:tcW w:w="603" w:type="pct"/>
            <w:shd w:val="clear" w:color="auto" w:fill="auto"/>
          </w:tcPr>
          <w:p w14:paraId="5124DDE0" w14:textId="30937E09" w:rsidR="00663428" w:rsidRPr="00F4707E" w:rsidRDefault="00B6108D" w:rsidP="00663428">
            <w:pPr>
              <w:pStyle w:val="Standaard-Tabellen"/>
              <w:rPr>
                <w:rFonts w:eastAsia="Calibri"/>
                <w:szCs w:val="18"/>
              </w:rPr>
            </w:pPr>
            <w:r w:rsidRPr="00F4707E">
              <w:rPr>
                <w:rFonts w:eastAsia="Calibri"/>
                <w:szCs w:val="18"/>
              </w:rPr>
              <w:t>26</w:t>
            </w:r>
          </w:p>
        </w:tc>
        <w:tc>
          <w:tcPr>
            <w:tcW w:w="453" w:type="pct"/>
            <w:shd w:val="clear" w:color="auto" w:fill="auto"/>
          </w:tcPr>
          <w:p w14:paraId="0E60ADD9" w14:textId="4572B73A" w:rsidR="00663428" w:rsidRPr="00D66385" w:rsidRDefault="00663428" w:rsidP="00663428">
            <w:pPr>
              <w:pStyle w:val="Standaard-Tabellen"/>
              <w:rPr>
                <w:rFonts w:eastAsia="Calibri"/>
                <w:szCs w:val="18"/>
              </w:rPr>
            </w:pPr>
            <w:r w:rsidRPr="00D66385">
              <w:rPr>
                <w:rFonts w:eastAsia="Calibri"/>
                <w:szCs w:val="18"/>
              </w:rPr>
              <w:t>m²</w:t>
            </w:r>
          </w:p>
        </w:tc>
        <w:tc>
          <w:tcPr>
            <w:tcW w:w="1535" w:type="pct"/>
            <w:shd w:val="clear" w:color="auto" w:fill="auto"/>
          </w:tcPr>
          <w:p w14:paraId="2DFA1EA5" w14:textId="5D1AB37B" w:rsidR="00663428" w:rsidRPr="00D66385" w:rsidRDefault="00DC11BD" w:rsidP="00392A9C">
            <w:pPr>
              <w:pStyle w:val="Standaard-Tabellen"/>
              <w:rPr>
                <w:rFonts w:eastAsia="Calibri"/>
                <w:szCs w:val="18"/>
              </w:rPr>
            </w:pPr>
            <w:r w:rsidRPr="00D66385">
              <w:rPr>
                <w:rFonts w:eastAsiaTheme="minorHAnsi" w:cs="Verdana"/>
                <w:color w:val="000000"/>
                <w:szCs w:val="18"/>
                <w:lang w:eastAsia="en-US"/>
              </w:rPr>
              <w:t>Area calculated for the treatment of bed linen</w:t>
            </w:r>
            <w:r w:rsidR="00BC7FAB" w:rsidRPr="00D66385">
              <w:rPr>
                <w:rFonts w:eastAsiaTheme="minorHAnsi" w:cs="Verdana"/>
                <w:color w:val="000000"/>
                <w:szCs w:val="18"/>
                <w:lang w:eastAsia="en-US"/>
              </w:rPr>
              <w:t xml:space="preserve"> </w:t>
            </w:r>
            <w:r w:rsidR="00AF6D81" w:rsidRPr="00D66385">
              <w:rPr>
                <w:rFonts w:eastAsiaTheme="minorHAnsi" w:cs="Verdana"/>
                <w:color w:val="000000"/>
                <w:szCs w:val="18"/>
                <w:lang w:eastAsia="en-US"/>
              </w:rPr>
              <w:t>(cf calculation detail above).</w:t>
            </w:r>
          </w:p>
        </w:tc>
      </w:tr>
      <w:tr w:rsidR="009A1984" w:rsidRPr="008B4B10" w14:paraId="5C760BC6" w14:textId="77777777" w:rsidTr="003E3E25">
        <w:trPr>
          <w:trHeight w:val="93"/>
        </w:trPr>
        <w:tc>
          <w:tcPr>
            <w:tcW w:w="1475" w:type="pct"/>
            <w:shd w:val="clear" w:color="auto" w:fill="auto"/>
            <w:vAlign w:val="center"/>
          </w:tcPr>
          <w:p w14:paraId="537E36B0" w14:textId="05C130FE" w:rsidR="009A1984" w:rsidRPr="00D66385" w:rsidRDefault="009A1984" w:rsidP="00663428">
            <w:pPr>
              <w:pStyle w:val="Standaard-Tabellen"/>
              <w:rPr>
                <w:rFonts w:eastAsia="Calibri"/>
                <w:szCs w:val="18"/>
              </w:rPr>
            </w:pPr>
            <w:r w:rsidRPr="00D66385">
              <w:rPr>
                <w:rFonts w:eastAsia="Calibri"/>
                <w:szCs w:val="18"/>
              </w:rPr>
              <w:t>Fraction emitted to wastewater from applicator after the application</w:t>
            </w:r>
          </w:p>
        </w:tc>
        <w:tc>
          <w:tcPr>
            <w:tcW w:w="935" w:type="pct"/>
            <w:shd w:val="clear" w:color="auto" w:fill="auto"/>
            <w:vAlign w:val="center"/>
          </w:tcPr>
          <w:p w14:paraId="2C04E2DE" w14:textId="21C836EA" w:rsidR="009A1984" w:rsidRPr="00571EBF" w:rsidRDefault="009A1984" w:rsidP="00663428">
            <w:pPr>
              <w:pStyle w:val="Standaard-Tabellen"/>
              <w:rPr>
                <w:rFonts w:eastAsia="Calibri"/>
                <w:szCs w:val="18"/>
              </w:rPr>
            </w:pPr>
            <w:r w:rsidRPr="00D66385">
              <w:rPr>
                <w:rFonts w:eastAsia="Calibri" w:cs="Arial"/>
                <w:color w:val="000000"/>
                <w:szCs w:val="18"/>
              </w:rPr>
              <w:t>F</w:t>
            </w:r>
            <w:r w:rsidRPr="00D66385">
              <w:rPr>
                <w:rFonts w:eastAsia="Calibri" w:cs="Arial"/>
                <w:color w:val="000000"/>
                <w:szCs w:val="18"/>
                <w:vertAlign w:val="subscript"/>
              </w:rPr>
              <w:t>ww</w:t>
            </w:r>
          </w:p>
        </w:tc>
        <w:tc>
          <w:tcPr>
            <w:tcW w:w="603" w:type="pct"/>
            <w:shd w:val="clear" w:color="auto" w:fill="auto"/>
            <w:vAlign w:val="center"/>
          </w:tcPr>
          <w:p w14:paraId="52802BD3" w14:textId="18EF858D" w:rsidR="009A1984" w:rsidRPr="00F4707E" w:rsidRDefault="009A1984" w:rsidP="00663428">
            <w:pPr>
              <w:pStyle w:val="Standaard-Tabellen"/>
              <w:rPr>
                <w:rFonts w:eastAsia="Calibri"/>
                <w:szCs w:val="18"/>
              </w:rPr>
            </w:pPr>
            <w:r w:rsidRPr="00F4707E">
              <w:rPr>
                <w:rFonts w:eastAsia="Calibri" w:cs="Arial"/>
                <w:color w:val="000000"/>
                <w:szCs w:val="18"/>
              </w:rPr>
              <w:t>1</w:t>
            </w:r>
          </w:p>
        </w:tc>
        <w:tc>
          <w:tcPr>
            <w:tcW w:w="453" w:type="pct"/>
            <w:shd w:val="clear" w:color="auto" w:fill="auto"/>
            <w:vAlign w:val="center"/>
          </w:tcPr>
          <w:p w14:paraId="1A1E1AF1" w14:textId="37E34432" w:rsidR="009A1984" w:rsidRPr="00D66385" w:rsidRDefault="009A1984" w:rsidP="00663428">
            <w:pPr>
              <w:pStyle w:val="Standaard-Tabellen"/>
              <w:rPr>
                <w:rFonts w:eastAsia="Calibri"/>
                <w:szCs w:val="18"/>
              </w:rPr>
            </w:pPr>
            <w:r w:rsidRPr="00D66385">
              <w:rPr>
                <w:rFonts w:eastAsia="Calibri" w:cs="Arial"/>
                <w:color w:val="000000"/>
                <w:szCs w:val="18"/>
              </w:rPr>
              <w:t>[-]</w:t>
            </w:r>
          </w:p>
        </w:tc>
        <w:tc>
          <w:tcPr>
            <w:tcW w:w="1535" w:type="pct"/>
            <w:vMerge w:val="restart"/>
            <w:shd w:val="clear" w:color="auto" w:fill="auto"/>
            <w:vAlign w:val="center"/>
          </w:tcPr>
          <w:p w14:paraId="5F373AC6" w14:textId="7C8541B8" w:rsidR="009A1984" w:rsidRPr="00D66385" w:rsidRDefault="009A1984" w:rsidP="009A1984">
            <w:pPr>
              <w:pStyle w:val="Default"/>
              <w:rPr>
                <w:rFonts w:ascii="Verdana" w:hAnsi="Verdana"/>
                <w:sz w:val="18"/>
                <w:szCs w:val="18"/>
              </w:rPr>
            </w:pPr>
            <w:r w:rsidRPr="00D66385">
              <w:rPr>
                <w:rFonts w:ascii="Verdana" w:hAnsi="Verdana"/>
                <w:sz w:val="18"/>
                <w:szCs w:val="18"/>
              </w:rPr>
              <w:t>Default value</w:t>
            </w:r>
            <w:r w:rsidR="0025067D" w:rsidRPr="00D66385">
              <w:rPr>
                <w:rFonts w:ascii="Verdana" w:hAnsi="Verdana"/>
                <w:sz w:val="18"/>
                <w:szCs w:val="18"/>
              </w:rPr>
              <w:t xml:space="preserve"> (</w:t>
            </w:r>
            <w:r w:rsidR="00CB49C6" w:rsidRPr="00D66385">
              <w:rPr>
                <w:rFonts w:ascii="Verdana" w:hAnsi="Verdana"/>
                <w:sz w:val="18"/>
                <w:szCs w:val="18"/>
              </w:rPr>
              <w:t>ESD PT</w:t>
            </w:r>
            <w:r w:rsidRPr="00D66385">
              <w:rPr>
                <w:rFonts w:ascii="Verdana" w:hAnsi="Verdana"/>
                <w:sz w:val="18"/>
                <w:szCs w:val="18"/>
              </w:rPr>
              <w:t>18, OECD</w:t>
            </w:r>
            <w:r w:rsidR="0025067D" w:rsidRPr="00D66385">
              <w:rPr>
                <w:rFonts w:ascii="Verdana" w:hAnsi="Verdana"/>
                <w:sz w:val="18"/>
                <w:szCs w:val="18"/>
              </w:rPr>
              <w:t xml:space="preserve"> </w:t>
            </w:r>
            <w:r w:rsidRPr="00D66385">
              <w:rPr>
                <w:rFonts w:ascii="Verdana" w:hAnsi="Verdana"/>
                <w:sz w:val="18"/>
                <w:szCs w:val="18"/>
              </w:rPr>
              <w:t>2008, section 3.3.7)</w:t>
            </w:r>
          </w:p>
          <w:p w14:paraId="0FFC4880" w14:textId="56C78DAB" w:rsidR="009A1984" w:rsidRPr="00D66385" w:rsidRDefault="009A1984" w:rsidP="00663428">
            <w:pPr>
              <w:pStyle w:val="Standaard-Tabellen"/>
              <w:rPr>
                <w:rFonts w:eastAsia="Calibri"/>
                <w:color w:val="000000"/>
                <w:szCs w:val="18"/>
              </w:rPr>
            </w:pPr>
          </w:p>
        </w:tc>
      </w:tr>
      <w:tr w:rsidR="009A1984" w:rsidRPr="008B4B10" w14:paraId="36CE304C" w14:textId="77777777" w:rsidTr="003E3E25">
        <w:trPr>
          <w:trHeight w:val="93"/>
        </w:trPr>
        <w:tc>
          <w:tcPr>
            <w:tcW w:w="1475" w:type="pct"/>
            <w:shd w:val="clear" w:color="auto" w:fill="auto"/>
            <w:vAlign w:val="center"/>
          </w:tcPr>
          <w:p w14:paraId="5081B81A" w14:textId="436F601E" w:rsidR="009A1984" w:rsidRPr="00571EBF" w:rsidRDefault="00CB49C6" w:rsidP="00DF65A8">
            <w:pPr>
              <w:pStyle w:val="Default"/>
              <w:rPr>
                <w:szCs w:val="18"/>
              </w:rPr>
            </w:pPr>
            <w:r w:rsidRPr="00D66385">
              <w:rPr>
                <w:rFonts w:ascii="Verdana" w:hAnsi="Verdana"/>
                <w:sz w:val="18"/>
                <w:szCs w:val="18"/>
              </w:rPr>
              <w:t>Fraction emitted to wast</w:t>
            </w:r>
            <w:r w:rsidR="00EB5491" w:rsidRPr="00D66385">
              <w:rPr>
                <w:rFonts w:ascii="Verdana" w:hAnsi="Verdana"/>
                <w:sz w:val="18"/>
                <w:szCs w:val="18"/>
              </w:rPr>
              <w:t xml:space="preserve">ewater from applicator after the </w:t>
            </w:r>
            <w:r w:rsidRPr="00D66385">
              <w:rPr>
                <w:rFonts w:ascii="Verdana" w:hAnsi="Verdana"/>
                <w:sz w:val="18"/>
                <w:szCs w:val="18"/>
              </w:rPr>
              <w:t xml:space="preserve">application </w:t>
            </w:r>
          </w:p>
        </w:tc>
        <w:tc>
          <w:tcPr>
            <w:tcW w:w="935" w:type="pct"/>
            <w:shd w:val="clear" w:color="auto" w:fill="auto"/>
            <w:vAlign w:val="center"/>
          </w:tcPr>
          <w:p w14:paraId="1B809749" w14:textId="17ED52A0" w:rsidR="009A1984" w:rsidRPr="00F4707E" w:rsidRDefault="009A1984" w:rsidP="00663428">
            <w:pPr>
              <w:pStyle w:val="Standaard-Tabellen"/>
              <w:rPr>
                <w:rFonts w:eastAsia="Calibri"/>
                <w:szCs w:val="18"/>
              </w:rPr>
            </w:pPr>
            <w:r w:rsidRPr="00F4707E">
              <w:rPr>
                <w:rFonts w:eastAsia="Calibri" w:cs="Arial"/>
                <w:color w:val="000000"/>
                <w:szCs w:val="18"/>
              </w:rPr>
              <w:t>F</w:t>
            </w:r>
            <w:r w:rsidRPr="00F4707E">
              <w:rPr>
                <w:rFonts w:eastAsia="Calibri" w:cs="Arial"/>
                <w:color w:val="000000"/>
                <w:szCs w:val="18"/>
                <w:vertAlign w:val="subscript"/>
              </w:rPr>
              <w:t>applicator</w:t>
            </w:r>
          </w:p>
        </w:tc>
        <w:tc>
          <w:tcPr>
            <w:tcW w:w="603" w:type="pct"/>
            <w:shd w:val="clear" w:color="auto" w:fill="auto"/>
            <w:vAlign w:val="center"/>
          </w:tcPr>
          <w:p w14:paraId="2F389D31" w14:textId="2E72495D" w:rsidR="009A1984" w:rsidRPr="00D66385" w:rsidRDefault="009A1984" w:rsidP="00663428">
            <w:pPr>
              <w:pStyle w:val="Standaard-Tabellen"/>
              <w:rPr>
                <w:rFonts w:eastAsia="Calibri"/>
                <w:szCs w:val="18"/>
              </w:rPr>
            </w:pPr>
            <w:r w:rsidRPr="00D66385">
              <w:rPr>
                <w:rFonts w:eastAsia="Calibri"/>
                <w:szCs w:val="18"/>
              </w:rPr>
              <w:t>1</w:t>
            </w:r>
          </w:p>
        </w:tc>
        <w:tc>
          <w:tcPr>
            <w:tcW w:w="453" w:type="pct"/>
            <w:shd w:val="clear" w:color="auto" w:fill="auto"/>
            <w:vAlign w:val="center"/>
          </w:tcPr>
          <w:p w14:paraId="29F33A31" w14:textId="77777777" w:rsidR="009A1984" w:rsidRPr="00D66385" w:rsidRDefault="009A1984" w:rsidP="00663428">
            <w:pPr>
              <w:pStyle w:val="Standaard-Tabellen"/>
              <w:rPr>
                <w:rFonts w:eastAsia="Calibri"/>
                <w:szCs w:val="18"/>
              </w:rPr>
            </w:pPr>
          </w:p>
        </w:tc>
        <w:tc>
          <w:tcPr>
            <w:tcW w:w="1535" w:type="pct"/>
            <w:vMerge/>
            <w:shd w:val="clear" w:color="auto" w:fill="auto"/>
            <w:vAlign w:val="center"/>
          </w:tcPr>
          <w:p w14:paraId="730C3806" w14:textId="25337238" w:rsidR="009A1984" w:rsidRPr="00D66385" w:rsidRDefault="009A1984" w:rsidP="00663428">
            <w:pPr>
              <w:pStyle w:val="Standaard-Tabellen"/>
              <w:rPr>
                <w:rFonts w:eastAsia="Calibri"/>
                <w:color w:val="000000"/>
                <w:szCs w:val="18"/>
                <w:lang w:val="en-US"/>
              </w:rPr>
            </w:pPr>
          </w:p>
        </w:tc>
      </w:tr>
      <w:tr w:rsidR="003A31C7" w:rsidRPr="008B4B10" w14:paraId="2E95AB78" w14:textId="77777777" w:rsidTr="003E3E25">
        <w:trPr>
          <w:trHeight w:val="93"/>
        </w:trPr>
        <w:tc>
          <w:tcPr>
            <w:tcW w:w="1475" w:type="pct"/>
            <w:shd w:val="clear" w:color="auto" w:fill="auto"/>
          </w:tcPr>
          <w:p w14:paraId="615D75CC" w14:textId="65AD6511" w:rsidR="00663428" w:rsidRPr="00D66385" w:rsidRDefault="00663428" w:rsidP="00663428">
            <w:pPr>
              <w:pStyle w:val="Standaard-Tabellen"/>
              <w:rPr>
                <w:rFonts w:eastAsia="Calibri"/>
              </w:rPr>
            </w:pPr>
            <w:r w:rsidRPr="00D66385">
              <w:rPr>
                <w:rFonts w:eastAsia="Calibri" w:cs="Arial"/>
                <w:color w:val="000000"/>
                <w:szCs w:val="18"/>
              </w:rPr>
              <w:t>Cleaning efficiency</w:t>
            </w:r>
          </w:p>
        </w:tc>
        <w:tc>
          <w:tcPr>
            <w:tcW w:w="935" w:type="pct"/>
            <w:shd w:val="clear" w:color="auto" w:fill="auto"/>
          </w:tcPr>
          <w:p w14:paraId="597CFC75" w14:textId="590B21A4" w:rsidR="00663428" w:rsidRPr="00571EBF" w:rsidRDefault="00663428" w:rsidP="00663428">
            <w:pPr>
              <w:pStyle w:val="Standaard-Tabellen"/>
              <w:rPr>
                <w:rFonts w:eastAsia="Calibri"/>
                <w:szCs w:val="18"/>
              </w:rPr>
            </w:pPr>
            <w:r w:rsidRPr="00D66385">
              <w:rPr>
                <w:rFonts w:eastAsia="Calibri" w:cs="Arial"/>
                <w:color w:val="000000"/>
                <w:szCs w:val="18"/>
              </w:rPr>
              <w:t>F</w:t>
            </w:r>
            <w:r w:rsidRPr="00D66385">
              <w:rPr>
                <w:rFonts w:eastAsia="Calibri" w:cs="Arial"/>
                <w:color w:val="000000"/>
                <w:szCs w:val="18"/>
                <w:vertAlign w:val="subscript"/>
              </w:rPr>
              <w:t>CE</w:t>
            </w:r>
          </w:p>
        </w:tc>
        <w:tc>
          <w:tcPr>
            <w:tcW w:w="603" w:type="pct"/>
            <w:shd w:val="clear" w:color="auto" w:fill="auto"/>
            <w:vAlign w:val="center"/>
          </w:tcPr>
          <w:p w14:paraId="2AEDFD2E" w14:textId="16AFE76F" w:rsidR="00663428" w:rsidRPr="00F4707E" w:rsidRDefault="00663428" w:rsidP="00663428">
            <w:pPr>
              <w:pStyle w:val="Standaard-Tabellen"/>
              <w:rPr>
                <w:rFonts w:eastAsia="Calibri"/>
                <w:szCs w:val="18"/>
              </w:rPr>
            </w:pPr>
            <w:r w:rsidRPr="00F4707E">
              <w:rPr>
                <w:rFonts w:eastAsia="Calibri" w:cs="Arial"/>
                <w:color w:val="000000"/>
                <w:szCs w:val="18"/>
              </w:rPr>
              <w:t>1</w:t>
            </w:r>
          </w:p>
        </w:tc>
        <w:tc>
          <w:tcPr>
            <w:tcW w:w="453" w:type="pct"/>
            <w:shd w:val="clear" w:color="auto" w:fill="auto"/>
            <w:vAlign w:val="center"/>
          </w:tcPr>
          <w:p w14:paraId="07169E0A" w14:textId="754E47D7" w:rsidR="00663428" w:rsidRPr="00D66385" w:rsidRDefault="00663428" w:rsidP="00663428">
            <w:pPr>
              <w:pStyle w:val="Standaard-Tabellen"/>
              <w:rPr>
                <w:rFonts w:eastAsia="Calibri"/>
                <w:szCs w:val="18"/>
              </w:rPr>
            </w:pPr>
            <w:r w:rsidRPr="00D66385">
              <w:rPr>
                <w:rFonts w:eastAsia="Calibri" w:cs="Arial"/>
                <w:color w:val="000000"/>
                <w:szCs w:val="18"/>
              </w:rPr>
              <w:t>[-]</w:t>
            </w:r>
          </w:p>
        </w:tc>
        <w:tc>
          <w:tcPr>
            <w:tcW w:w="1535" w:type="pct"/>
            <w:shd w:val="clear" w:color="auto" w:fill="auto"/>
            <w:vAlign w:val="center"/>
          </w:tcPr>
          <w:p w14:paraId="09B98E53" w14:textId="5B487EC6" w:rsidR="00663428" w:rsidRPr="00D66385" w:rsidRDefault="00C71927" w:rsidP="00C71927">
            <w:pPr>
              <w:pStyle w:val="Standaard-Tabellen"/>
              <w:rPr>
                <w:rFonts w:eastAsia="Calibri"/>
                <w:color w:val="000000"/>
                <w:szCs w:val="18"/>
                <w:lang w:val="en-US"/>
              </w:rPr>
            </w:pPr>
            <w:r w:rsidRPr="00D66385">
              <w:rPr>
                <w:rFonts w:eastAsia="Calibri" w:cs="Arial"/>
                <w:color w:val="000000"/>
                <w:szCs w:val="18"/>
              </w:rPr>
              <w:t>W</w:t>
            </w:r>
            <w:r w:rsidR="00663428" w:rsidRPr="00D66385">
              <w:rPr>
                <w:rFonts w:eastAsia="Calibri" w:cs="Arial"/>
                <w:color w:val="000000"/>
                <w:szCs w:val="18"/>
              </w:rPr>
              <w:t>orst case,  considering that treated surface (</w:t>
            </w:r>
            <w:r w:rsidR="00663428" w:rsidRPr="00D66385">
              <w:rPr>
                <w:rFonts w:eastAsia="Calibri" w:cs="Arial"/>
                <w:i/>
                <w:color w:val="000000"/>
                <w:szCs w:val="18"/>
              </w:rPr>
              <w:t>e.g.</w:t>
            </w:r>
            <w:r w:rsidR="00663428" w:rsidRPr="00D66385">
              <w:rPr>
                <w:rFonts w:eastAsia="Calibri" w:cs="Arial"/>
                <w:color w:val="000000"/>
                <w:szCs w:val="18"/>
              </w:rPr>
              <w:t xml:space="preserve"> bed linen) is fully washed in a washing machine</w:t>
            </w:r>
          </w:p>
        </w:tc>
      </w:tr>
      <w:tr w:rsidR="00663428" w:rsidRPr="008B4B10" w14:paraId="3028B879" w14:textId="77777777" w:rsidTr="003E3E25">
        <w:trPr>
          <w:trHeight w:val="93"/>
        </w:trPr>
        <w:tc>
          <w:tcPr>
            <w:tcW w:w="1475" w:type="pct"/>
            <w:shd w:val="clear" w:color="auto" w:fill="auto"/>
            <w:vAlign w:val="center"/>
          </w:tcPr>
          <w:p w14:paraId="20438C45" w14:textId="52EC243A" w:rsidR="00663428" w:rsidRPr="00D66385" w:rsidRDefault="00663428" w:rsidP="00663428">
            <w:pPr>
              <w:pStyle w:val="Standaard-Tabellen"/>
              <w:rPr>
                <w:rFonts w:eastAsia="Calibri" w:cs="Arial"/>
                <w:color w:val="000000"/>
                <w:szCs w:val="18"/>
              </w:rPr>
            </w:pPr>
            <w:r w:rsidRPr="00D66385">
              <w:rPr>
                <w:rFonts w:eastAsia="Calibri" w:cs="Arial"/>
                <w:color w:val="000000"/>
                <w:szCs w:val="18"/>
              </w:rPr>
              <w:t>Number of houses contributing to the same sewage treatment plant</w:t>
            </w:r>
          </w:p>
        </w:tc>
        <w:tc>
          <w:tcPr>
            <w:tcW w:w="935" w:type="pct"/>
            <w:shd w:val="clear" w:color="auto" w:fill="auto"/>
            <w:vAlign w:val="center"/>
          </w:tcPr>
          <w:p w14:paraId="5A68EAA9" w14:textId="46B44527" w:rsidR="00663428" w:rsidRPr="00571EBF" w:rsidRDefault="00663428" w:rsidP="00663428">
            <w:pPr>
              <w:pStyle w:val="Standaard-Tabellen"/>
              <w:rPr>
                <w:rFonts w:eastAsia="Calibri" w:cs="Arial"/>
                <w:color w:val="000000"/>
                <w:szCs w:val="18"/>
              </w:rPr>
            </w:pPr>
            <w:r w:rsidRPr="00D66385">
              <w:rPr>
                <w:rFonts w:eastAsia="Calibri" w:cs="Arial"/>
                <w:color w:val="000000"/>
                <w:szCs w:val="18"/>
              </w:rPr>
              <w:t>N</w:t>
            </w:r>
            <w:r w:rsidRPr="00D66385">
              <w:rPr>
                <w:rFonts w:eastAsia="Calibri" w:cs="Arial"/>
                <w:color w:val="000000"/>
                <w:szCs w:val="18"/>
                <w:vertAlign w:val="subscript"/>
              </w:rPr>
              <w:t>house</w:t>
            </w:r>
          </w:p>
        </w:tc>
        <w:tc>
          <w:tcPr>
            <w:tcW w:w="603" w:type="pct"/>
            <w:shd w:val="clear" w:color="auto" w:fill="auto"/>
            <w:vAlign w:val="center"/>
          </w:tcPr>
          <w:p w14:paraId="05FF4D0F" w14:textId="71A67BAA" w:rsidR="00663428" w:rsidRPr="00F4707E" w:rsidRDefault="00663428" w:rsidP="00663428">
            <w:pPr>
              <w:pStyle w:val="Standaard-Tabellen"/>
              <w:rPr>
                <w:rFonts w:eastAsia="Calibri" w:cs="Arial"/>
                <w:color w:val="000000"/>
                <w:szCs w:val="18"/>
              </w:rPr>
            </w:pPr>
            <w:r w:rsidRPr="00F4707E">
              <w:rPr>
                <w:rFonts w:eastAsia="Calibri" w:cs="Arial"/>
                <w:color w:val="000000"/>
                <w:szCs w:val="18"/>
              </w:rPr>
              <w:t>4000</w:t>
            </w:r>
          </w:p>
        </w:tc>
        <w:tc>
          <w:tcPr>
            <w:tcW w:w="453" w:type="pct"/>
            <w:shd w:val="clear" w:color="auto" w:fill="auto"/>
            <w:vAlign w:val="center"/>
          </w:tcPr>
          <w:p w14:paraId="2E3BEF00" w14:textId="7FA2D2C9" w:rsidR="00663428" w:rsidRPr="00D66385" w:rsidRDefault="00663428" w:rsidP="00663428">
            <w:pPr>
              <w:pStyle w:val="Standaard-Tabellen"/>
              <w:rPr>
                <w:rFonts w:eastAsia="Calibri" w:cs="Arial"/>
                <w:color w:val="000000"/>
                <w:szCs w:val="18"/>
              </w:rPr>
            </w:pPr>
            <w:r w:rsidRPr="00D66385">
              <w:rPr>
                <w:rFonts w:eastAsia="Calibri" w:cs="Arial"/>
                <w:color w:val="000000"/>
                <w:szCs w:val="18"/>
              </w:rPr>
              <w:t>[-]</w:t>
            </w:r>
          </w:p>
        </w:tc>
        <w:tc>
          <w:tcPr>
            <w:tcW w:w="1535" w:type="pct"/>
            <w:shd w:val="clear" w:color="auto" w:fill="auto"/>
            <w:vAlign w:val="center"/>
          </w:tcPr>
          <w:p w14:paraId="4C4C8F77" w14:textId="144D4FDD" w:rsidR="00663428" w:rsidRPr="00D66385" w:rsidRDefault="00663428" w:rsidP="00663428">
            <w:pPr>
              <w:pStyle w:val="Standaard-Tabellen"/>
              <w:rPr>
                <w:rFonts w:eastAsia="Calibri" w:cs="Arial"/>
                <w:color w:val="000000"/>
                <w:szCs w:val="18"/>
              </w:rPr>
            </w:pPr>
            <w:r w:rsidRPr="00D66385">
              <w:rPr>
                <w:rFonts w:eastAsia="Calibri" w:cs="Arial"/>
                <w:color w:val="000000"/>
                <w:szCs w:val="18"/>
              </w:rPr>
              <w:t>Default value</w:t>
            </w:r>
          </w:p>
        </w:tc>
      </w:tr>
      <w:tr w:rsidR="003A31C7" w:rsidRPr="008B4B10" w14:paraId="19C35B24" w14:textId="77777777" w:rsidTr="003E3E25">
        <w:trPr>
          <w:trHeight w:val="93"/>
        </w:trPr>
        <w:tc>
          <w:tcPr>
            <w:tcW w:w="1475" w:type="pct"/>
            <w:shd w:val="clear" w:color="auto" w:fill="auto"/>
            <w:vAlign w:val="center"/>
          </w:tcPr>
          <w:p w14:paraId="34060EAE" w14:textId="19663553" w:rsidR="00663428" w:rsidRPr="00D66385" w:rsidRDefault="00663428" w:rsidP="00663428">
            <w:pPr>
              <w:pStyle w:val="Standaard-Tabellen"/>
              <w:rPr>
                <w:rFonts w:eastAsia="Calibri" w:cs="Arial"/>
                <w:color w:val="000000"/>
                <w:szCs w:val="18"/>
              </w:rPr>
            </w:pPr>
            <w:r w:rsidRPr="00D66385">
              <w:rPr>
                <w:rFonts w:eastAsia="Calibri" w:cs="Arial"/>
                <w:color w:val="000000"/>
                <w:szCs w:val="18"/>
              </w:rPr>
              <w:t xml:space="preserve">Simultaneity factor </w:t>
            </w:r>
          </w:p>
        </w:tc>
        <w:tc>
          <w:tcPr>
            <w:tcW w:w="935" w:type="pct"/>
            <w:shd w:val="clear" w:color="auto" w:fill="auto"/>
            <w:vAlign w:val="center"/>
          </w:tcPr>
          <w:p w14:paraId="676E0093" w14:textId="5AFBF8C6" w:rsidR="00663428" w:rsidRPr="00571EBF" w:rsidRDefault="00663428" w:rsidP="00663428">
            <w:pPr>
              <w:pStyle w:val="Standaard-Tabellen"/>
              <w:rPr>
                <w:rFonts w:eastAsia="Calibri" w:cs="Arial"/>
                <w:color w:val="000000"/>
                <w:szCs w:val="18"/>
              </w:rPr>
            </w:pPr>
            <w:r w:rsidRPr="00D66385">
              <w:rPr>
                <w:rFonts w:eastAsia="Calibri" w:cs="Arial"/>
                <w:color w:val="000000"/>
                <w:szCs w:val="18"/>
              </w:rPr>
              <w:t>F</w:t>
            </w:r>
            <w:r w:rsidRPr="00D66385">
              <w:rPr>
                <w:rFonts w:eastAsia="Calibri" w:cs="Arial"/>
                <w:color w:val="000000"/>
                <w:szCs w:val="18"/>
                <w:vertAlign w:val="subscript"/>
              </w:rPr>
              <w:t>simultaneity</w:t>
            </w:r>
          </w:p>
        </w:tc>
        <w:tc>
          <w:tcPr>
            <w:tcW w:w="603" w:type="pct"/>
            <w:shd w:val="clear" w:color="auto" w:fill="auto"/>
            <w:vAlign w:val="center"/>
          </w:tcPr>
          <w:p w14:paraId="0218FFAB" w14:textId="3857D284" w:rsidR="00663428" w:rsidRPr="00F4707E" w:rsidRDefault="00663428" w:rsidP="00663428">
            <w:pPr>
              <w:pStyle w:val="Standaard-Tabellen"/>
              <w:rPr>
                <w:rFonts w:eastAsia="Calibri" w:cs="Arial"/>
                <w:color w:val="000000"/>
                <w:szCs w:val="18"/>
              </w:rPr>
            </w:pPr>
            <w:r w:rsidRPr="00F4707E">
              <w:rPr>
                <w:rFonts w:eastAsia="Calibri" w:cs="Arial"/>
                <w:color w:val="000000"/>
                <w:szCs w:val="18"/>
              </w:rPr>
              <w:t>0.0552</w:t>
            </w:r>
          </w:p>
        </w:tc>
        <w:tc>
          <w:tcPr>
            <w:tcW w:w="453" w:type="pct"/>
            <w:shd w:val="clear" w:color="auto" w:fill="auto"/>
            <w:vAlign w:val="center"/>
          </w:tcPr>
          <w:p w14:paraId="1414E4B1" w14:textId="674A372C" w:rsidR="00663428" w:rsidRPr="00D66385" w:rsidRDefault="00663428" w:rsidP="00663428">
            <w:pPr>
              <w:pStyle w:val="Standaard-Tabellen"/>
              <w:rPr>
                <w:rFonts w:eastAsia="Calibri" w:cs="Arial"/>
                <w:color w:val="000000"/>
                <w:szCs w:val="18"/>
              </w:rPr>
            </w:pPr>
            <w:r w:rsidRPr="00D66385">
              <w:rPr>
                <w:rFonts w:eastAsia="Calibri" w:cs="Arial"/>
                <w:color w:val="000000"/>
                <w:szCs w:val="18"/>
              </w:rPr>
              <w:t>[-]</w:t>
            </w:r>
          </w:p>
        </w:tc>
        <w:tc>
          <w:tcPr>
            <w:tcW w:w="1535" w:type="pct"/>
            <w:shd w:val="clear" w:color="auto" w:fill="auto"/>
            <w:vAlign w:val="center"/>
          </w:tcPr>
          <w:p w14:paraId="00961C2B" w14:textId="00A1C95F" w:rsidR="00663428" w:rsidRPr="00D66385" w:rsidRDefault="00663428" w:rsidP="00663428">
            <w:pPr>
              <w:pStyle w:val="Standaard-Tabellen"/>
              <w:rPr>
                <w:rFonts w:eastAsia="Calibri" w:cs="Arial"/>
                <w:color w:val="000000"/>
                <w:szCs w:val="18"/>
              </w:rPr>
            </w:pPr>
            <w:r w:rsidRPr="00D66385">
              <w:rPr>
                <w:rFonts w:eastAsia="Calibri" w:cs="Arial"/>
                <w:color w:val="000000"/>
                <w:szCs w:val="18"/>
              </w:rPr>
              <w:t>Worst case considering a daily treatment (</w:t>
            </w:r>
            <w:r w:rsidR="005C4373" w:rsidRPr="00D66385">
              <w:rPr>
                <w:rFonts w:eastAsia="Calibri" w:cs="Arial"/>
                <w:color w:val="000000"/>
                <w:szCs w:val="18"/>
              </w:rPr>
              <w:t>ESD PT19</w:t>
            </w:r>
            <w:r w:rsidR="00E67E46" w:rsidRPr="00D66385">
              <w:rPr>
                <w:rFonts w:eastAsia="Calibri" w:cs="Arial"/>
                <w:color w:val="000000"/>
                <w:szCs w:val="18"/>
              </w:rPr>
              <w:t>, Table 3.17</w:t>
            </w:r>
            <w:r w:rsidRPr="00D66385">
              <w:rPr>
                <w:rFonts w:eastAsia="Calibri" w:cs="Arial"/>
                <w:color w:val="000000"/>
                <w:szCs w:val="18"/>
              </w:rPr>
              <w:t>).</w:t>
            </w:r>
          </w:p>
        </w:tc>
      </w:tr>
    </w:tbl>
    <w:p w14:paraId="2B352359" w14:textId="727720F2" w:rsidR="00E2477C" w:rsidRPr="008B4B10" w:rsidRDefault="00E2477C" w:rsidP="00DF65A8">
      <w:pPr>
        <w:spacing w:line="260" w:lineRule="atLeast"/>
        <w:rPr>
          <w:rFonts w:eastAsia="Calibri"/>
          <w:b/>
          <w:bCs/>
          <w:highlight w:val="lightGray"/>
          <w:lang w:eastAsia="en-US"/>
        </w:rPr>
      </w:pPr>
    </w:p>
    <w:p w14:paraId="1BAAF022" w14:textId="0C9849D1" w:rsidR="00E2477C" w:rsidRPr="003E3E25" w:rsidRDefault="00E2477C" w:rsidP="00E2477C">
      <w:pPr>
        <w:spacing w:line="276" w:lineRule="auto"/>
        <w:rPr>
          <w:rFonts w:eastAsia="Calibri"/>
          <w:lang w:eastAsia="en-US"/>
        </w:rPr>
      </w:pPr>
      <w:r w:rsidRPr="003E3E25">
        <w:rPr>
          <w:rFonts w:eastAsia="Calibri"/>
          <w:u w:val="single"/>
          <w:lang w:eastAsia="en-US"/>
        </w:rPr>
        <w:t xml:space="preserve">Calculations for Scenario 4: Repellent treatment against head lice or </w:t>
      </w:r>
      <w:r w:rsidR="00695A12" w:rsidRPr="003E3E25">
        <w:rPr>
          <w:rFonts w:eastAsia="Calibri"/>
          <w:u w:val="single"/>
          <w:lang w:eastAsia="en-US"/>
        </w:rPr>
        <w:t>dust mites</w:t>
      </w:r>
      <w:r w:rsidRPr="003E3E25">
        <w:rPr>
          <w:rFonts w:eastAsia="Calibri"/>
          <w:u w:val="single"/>
          <w:lang w:eastAsia="en-US"/>
        </w:rPr>
        <w:t xml:space="preserve"> applied on fabric – Environment treatment scenario</w:t>
      </w: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E2477C" w:rsidRPr="008B4B10" w14:paraId="127C168F" w14:textId="77777777" w:rsidTr="00EB1B5F">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07CB0499" w14:textId="77777777" w:rsidR="00E2477C" w:rsidRPr="008B4B10" w:rsidRDefault="00E2477C" w:rsidP="00EB1B5F">
            <w:pPr>
              <w:spacing w:line="260" w:lineRule="atLeast"/>
              <w:rPr>
                <w:rFonts w:eastAsia="Calibri"/>
                <w:b/>
                <w:color w:val="000000"/>
                <w:sz w:val="18"/>
                <w:szCs w:val="18"/>
                <w:highlight w:val="lightGray"/>
                <w:lang w:eastAsia="en-GB"/>
              </w:rPr>
            </w:pPr>
            <w:r w:rsidRPr="00490C8C">
              <w:rPr>
                <w:rFonts w:eastAsia="Calibri"/>
                <w:b/>
                <w:sz w:val="18"/>
                <w:szCs w:val="18"/>
                <w:lang w:eastAsia="en-US"/>
              </w:rPr>
              <w:t>Resulting local emission to relevant environmental compartments</w:t>
            </w:r>
          </w:p>
        </w:tc>
      </w:tr>
      <w:tr w:rsidR="00E2477C" w:rsidRPr="008B4B10" w14:paraId="3A0B5C53" w14:textId="77777777" w:rsidTr="008B4B10">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3D7A2F89" w14:textId="77777777" w:rsidR="00E2477C" w:rsidRPr="00E55696" w:rsidRDefault="00E2477C" w:rsidP="00EB1B5F">
            <w:pPr>
              <w:spacing w:line="260" w:lineRule="atLeast"/>
              <w:rPr>
                <w:rFonts w:eastAsia="Calibri"/>
                <w:b/>
                <w:color w:val="000000"/>
                <w:sz w:val="18"/>
                <w:szCs w:val="18"/>
                <w:lang w:eastAsia="en-GB"/>
              </w:rPr>
            </w:pPr>
            <w:r w:rsidRPr="00E55696">
              <w:rPr>
                <w:rFonts w:eastAsia="Calibri"/>
                <w:b/>
                <w:color w:val="000000"/>
                <w:sz w:val="18"/>
                <w:szCs w:val="18"/>
                <w:lang w:eastAsia="en-GB"/>
              </w:rPr>
              <w:t>Compartment</w:t>
            </w:r>
          </w:p>
        </w:tc>
        <w:tc>
          <w:tcPr>
            <w:tcW w:w="3610"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137E6E78" w14:textId="77777777" w:rsidR="00E2477C" w:rsidRPr="00E55696" w:rsidRDefault="00E2477C" w:rsidP="00EB1B5F">
            <w:pPr>
              <w:spacing w:line="260" w:lineRule="atLeast"/>
              <w:rPr>
                <w:rFonts w:eastAsia="Calibri"/>
                <w:b/>
                <w:color w:val="000000"/>
                <w:sz w:val="18"/>
                <w:szCs w:val="18"/>
                <w:lang w:eastAsia="en-GB"/>
              </w:rPr>
            </w:pPr>
            <w:r w:rsidRPr="00E55696">
              <w:rPr>
                <w:rFonts w:eastAsia="Calibri"/>
                <w:b/>
                <w:color w:val="000000"/>
                <w:sz w:val="18"/>
                <w:szCs w:val="18"/>
                <w:lang w:eastAsia="en-GB"/>
              </w:rPr>
              <w:t>Local emission (Elocal</w:t>
            </w:r>
            <w:r w:rsidRPr="00E55696">
              <w:rPr>
                <w:rFonts w:eastAsia="Calibri"/>
                <w:b/>
                <w:color w:val="000000"/>
                <w:sz w:val="18"/>
                <w:szCs w:val="18"/>
                <w:vertAlign w:val="subscript"/>
                <w:lang w:eastAsia="en-GB"/>
              </w:rPr>
              <w:t>compartment</w:t>
            </w:r>
            <w:r w:rsidRPr="00E55696">
              <w:rPr>
                <w:rFonts w:eastAsia="Calibri"/>
                <w:b/>
                <w:color w:val="000000"/>
                <w:sz w:val="18"/>
                <w:szCs w:val="18"/>
                <w:lang w:eastAsia="en-GB"/>
              </w:rPr>
              <w:t>) [kg/d]</w:t>
            </w:r>
          </w:p>
        </w:tc>
        <w:tc>
          <w:tcPr>
            <w:tcW w:w="3159"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7460A0F2" w14:textId="77777777" w:rsidR="00E2477C" w:rsidRPr="00E55696" w:rsidRDefault="00E2477C" w:rsidP="00EB1B5F">
            <w:pPr>
              <w:spacing w:line="260" w:lineRule="atLeast"/>
              <w:rPr>
                <w:rFonts w:eastAsia="Calibri"/>
                <w:b/>
                <w:color w:val="000000"/>
                <w:sz w:val="18"/>
                <w:szCs w:val="18"/>
                <w:lang w:eastAsia="en-GB"/>
              </w:rPr>
            </w:pPr>
            <w:r w:rsidRPr="00E55696">
              <w:rPr>
                <w:rFonts w:eastAsia="Calibri"/>
                <w:b/>
                <w:color w:val="000000"/>
                <w:sz w:val="18"/>
                <w:szCs w:val="18"/>
                <w:lang w:eastAsia="en-GB"/>
              </w:rPr>
              <w:t>Remarks</w:t>
            </w:r>
          </w:p>
        </w:tc>
      </w:tr>
      <w:tr w:rsidR="00E2477C" w:rsidRPr="00FD2055" w14:paraId="4D9DEF04" w14:textId="77777777" w:rsidTr="003E3E25">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0E1B218" w14:textId="77777777" w:rsidR="00E2477C" w:rsidRPr="00E55696" w:rsidRDefault="00E2477C" w:rsidP="00EB1B5F">
            <w:pPr>
              <w:rPr>
                <w:color w:val="000000"/>
                <w:sz w:val="18"/>
                <w:szCs w:val="18"/>
                <w:lang w:eastAsia="en-GB"/>
              </w:rPr>
            </w:pPr>
            <w:r w:rsidRPr="00E55696">
              <w:rPr>
                <w:color w:val="000000"/>
                <w:sz w:val="18"/>
                <w:szCs w:val="18"/>
                <w:lang w:eastAsia="en-GB"/>
              </w:rPr>
              <w:t>STP</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D7A29AB" w14:textId="4701B0AF" w:rsidR="00E2477C" w:rsidRPr="00E55696" w:rsidRDefault="00B6108D" w:rsidP="00EB1B5F">
            <w:pPr>
              <w:rPr>
                <w:color w:val="000000"/>
                <w:sz w:val="18"/>
                <w:szCs w:val="18"/>
                <w:lang w:eastAsia="en-GB"/>
              </w:rPr>
            </w:pPr>
            <w:r w:rsidRPr="00E55696">
              <w:rPr>
                <w:color w:val="000000"/>
                <w:sz w:val="18"/>
                <w:szCs w:val="18"/>
                <w:lang w:eastAsia="en-GB"/>
              </w:rPr>
              <w:t>11.</w:t>
            </w:r>
            <w:r w:rsidR="00281E9A" w:rsidRPr="00E55696">
              <w:rPr>
                <w:color w:val="000000"/>
                <w:sz w:val="18"/>
                <w:szCs w:val="18"/>
                <w:lang w:eastAsia="en-GB"/>
              </w:rPr>
              <w:t>25</w:t>
            </w:r>
            <w:r w:rsidR="00E2477C" w:rsidRPr="00E55696">
              <w:rPr>
                <w:color w:val="000000"/>
                <w:sz w:val="18"/>
                <w:szCs w:val="18"/>
                <w:lang w:eastAsia="en-GB"/>
              </w:rPr>
              <w:t>E+00</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9D74FD" w14:textId="685676EC" w:rsidR="00E2477C" w:rsidRPr="00D66385" w:rsidRDefault="00663428" w:rsidP="00EB1B5F">
            <w:pPr>
              <w:rPr>
                <w:color w:val="000000"/>
                <w:sz w:val="18"/>
                <w:szCs w:val="18"/>
                <w:lang w:eastAsia="en-GB"/>
              </w:rPr>
            </w:pPr>
            <w:r w:rsidRPr="00E55696">
              <w:rPr>
                <w:color w:val="000000"/>
                <w:sz w:val="18"/>
                <w:szCs w:val="18"/>
                <w:lang w:eastAsia="en-GB"/>
              </w:rPr>
              <w:t>/</w:t>
            </w:r>
          </w:p>
        </w:tc>
      </w:tr>
    </w:tbl>
    <w:p w14:paraId="5B4A0A5A" w14:textId="77777777" w:rsidR="00A0626E" w:rsidRDefault="00A0626E" w:rsidP="00A0626E">
      <w:pPr>
        <w:spacing w:before="0" w:after="160" w:line="259" w:lineRule="auto"/>
        <w:rPr>
          <w:rFonts w:eastAsia="Calibri"/>
          <w:highlight w:val="magenta"/>
          <w:lang w:eastAsia="en-US"/>
        </w:rPr>
      </w:pPr>
    </w:p>
    <w:p w14:paraId="427C0F9D" w14:textId="6D4346D1" w:rsidR="00A0626E" w:rsidRDefault="00A0626E" w:rsidP="00A0626E">
      <w:pPr>
        <w:pStyle w:val="Titre5"/>
      </w:pPr>
      <w:bookmarkStart w:id="321" w:name="_Toc93326601"/>
      <w:r>
        <w:t>Fate and distribution in exposed environmental compartments</w:t>
      </w:r>
      <w:bookmarkEnd w:id="321"/>
    </w:p>
    <w:p w14:paraId="15E17ECB" w14:textId="77777777" w:rsidR="0098647E" w:rsidRPr="009461FB" w:rsidRDefault="0098647E" w:rsidP="0098647E">
      <w:pPr>
        <w:pStyle w:val="Paragraphedeliste"/>
        <w:numPr>
          <w:ilvl w:val="0"/>
          <w:numId w:val="68"/>
        </w:numPr>
        <w:rPr>
          <w:b/>
        </w:rPr>
      </w:pPr>
      <w:r w:rsidRPr="009461FB">
        <w:rPr>
          <w:b/>
        </w:rPr>
        <w:t>FIRST AUTHORISATION – 2017 (BE CA)</w:t>
      </w:r>
    </w:p>
    <w:p w14:paraId="4900BF87" w14:textId="77777777" w:rsidR="0098647E" w:rsidRPr="0098647E" w:rsidRDefault="0098647E" w:rsidP="0098647E">
      <w:pPr>
        <w:rPr>
          <w:lang w:val="en-US" w:eastAsia="en-US"/>
        </w:rPr>
      </w:pPr>
    </w:p>
    <w:p w14:paraId="2C6FC99C" w14:textId="77777777" w:rsidR="00A0626E" w:rsidRPr="00DA2EA7" w:rsidRDefault="00A0626E" w:rsidP="00A0626E">
      <w:pPr>
        <w:pStyle w:val="Titre6"/>
        <w:rPr>
          <w:lang w:val="en-US"/>
        </w:rPr>
      </w:pPr>
      <w:r w:rsidRPr="00DA2EA7">
        <w:rPr>
          <w:lang w:val="en-US"/>
        </w:rPr>
        <w:t>Scenario 1:</w:t>
      </w:r>
    </w:p>
    <w:p w14:paraId="57963BC3" w14:textId="77777777" w:rsidR="00A0626E" w:rsidRDefault="00A0626E" w:rsidP="00A0626E">
      <w:pPr>
        <w:rPr>
          <w:rFonts w:eastAsia="Calibri"/>
          <w:lang w:eastAsia="en-US"/>
        </w:rPr>
      </w:pPr>
      <w:r>
        <w:rPr>
          <w:rFonts w:eastAsia="Calibri"/>
          <w:lang w:eastAsia="en-US"/>
        </w:rPr>
        <w:t>Applied product is removed from the body through showering or bathing. The wastewater from washing is then removed to the municipal waste water treatment plant, after which the effluent is emitted to the surface water where it can expose both fresh water and fresh water sediments.</w:t>
      </w:r>
    </w:p>
    <w:p w14:paraId="32E6E01F" w14:textId="77777777" w:rsidR="00B534E4" w:rsidRDefault="00A0626E" w:rsidP="00B534E4">
      <w:pPr>
        <w:rPr>
          <w:rFonts w:eastAsia="Calibri"/>
          <w:lang w:eastAsia="en-US"/>
        </w:rPr>
      </w:pPr>
      <w:r>
        <w:rPr>
          <w:rFonts w:eastAsia="Calibri"/>
          <w:lang w:eastAsia="en-US"/>
        </w:rPr>
        <w:t>Exposure to other compartments</w:t>
      </w:r>
      <w:r w:rsidR="00B534E4">
        <w:rPr>
          <w:rFonts w:eastAsia="Calibri"/>
          <w:lang w:eastAsia="en-US"/>
        </w:rPr>
        <w:t>, such as soil and groundwater,</w:t>
      </w:r>
      <w:r>
        <w:rPr>
          <w:rFonts w:eastAsia="Calibri"/>
          <w:lang w:eastAsia="en-US"/>
        </w:rPr>
        <w:t xml:space="preserve"> is not considered relevant.</w:t>
      </w:r>
      <w:r w:rsidR="00B534E4">
        <w:rPr>
          <w:rFonts w:eastAsia="Calibri"/>
          <w:lang w:eastAsia="en-US"/>
        </w:rPr>
        <w:t xml:space="preserve"> The soil could be exposed through sludge application, but following the STP-distribution detailed in the third table below, </w:t>
      </w:r>
      <w:r w:rsidR="00B534E4">
        <w:t>sorption to sewage sludge is unlikely since IR3535 is almost completely degraded.</w:t>
      </w:r>
    </w:p>
    <w:p w14:paraId="397F9CBB" w14:textId="25BC741C" w:rsidR="00A0626E" w:rsidRDefault="00A0626E" w:rsidP="00A0626E">
      <w:pPr>
        <w:rPr>
          <w:rFonts w:eastAsia="Calibri"/>
          <w:lang w:eastAsia="en-US"/>
        </w:rPr>
      </w:pPr>
    </w:p>
    <w:p w14:paraId="6FAC7332" w14:textId="77777777" w:rsidR="00A0626E" w:rsidRPr="00DA2EA7" w:rsidRDefault="00A0626E" w:rsidP="00A0626E">
      <w:pPr>
        <w:pStyle w:val="Titre6"/>
        <w:rPr>
          <w:lang w:val="en-US"/>
        </w:rPr>
      </w:pPr>
      <w:r w:rsidRPr="00DA2EA7">
        <w:rPr>
          <w:lang w:val="en-US"/>
        </w:rPr>
        <w:t>Scenario 2:</w:t>
      </w:r>
    </w:p>
    <w:p w14:paraId="45CC2705" w14:textId="77777777" w:rsidR="00A0626E" w:rsidRDefault="00A0626E" w:rsidP="00A0626E">
      <w:pPr>
        <w:rPr>
          <w:rFonts w:eastAsia="Calibri"/>
          <w:lang w:eastAsia="en-US"/>
        </w:rPr>
      </w:pPr>
      <w:r>
        <w:rPr>
          <w:rFonts w:eastAsia="Calibri"/>
          <w:lang w:eastAsia="en-US"/>
        </w:rPr>
        <w:t>Applied product is removed from the body directly to the surface water through swimming, where it can expose both fresh water and fresh water sediments.</w:t>
      </w:r>
    </w:p>
    <w:p w14:paraId="4401CD59" w14:textId="77777777" w:rsidR="00A0626E" w:rsidRDefault="00A0626E" w:rsidP="00A0626E">
      <w:pPr>
        <w:rPr>
          <w:rFonts w:eastAsia="Calibri"/>
          <w:lang w:eastAsia="en-US"/>
        </w:rPr>
      </w:pPr>
      <w:r>
        <w:rPr>
          <w:rFonts w:eastAsia="Calibri"/>
          <w:lang w:eastAsia="en-US"/>
        </w:rPr>
        <w:t>Exposure to other compartments is not considered relevant.</w:t>
      </w:r>
    </w:p>
    <w:p w14:paraId="142FA3B4" w14:textId="77777777" w:rsidR="00A0626E" w:rsidRPr="00FD2055" w:rsidRDefault="00A0626E" w:rsidP="00A0626E">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855"/>
        <w:gridCol w:w="1289"/>
        <w:gridCol w:w="855"/>
        <w:gridCol w:w="1139"/>
        <w:gridCol w:w="571"/>
        <w:gridCol w:w="569"/>
        <w:gridCol w:w="571"/>
        <w:gridCol w:w="1131"/>
        <w:gridCol w:w="1142"/>
      </w:tblGrid>
      <w:tr w:rsidR="00A0626E" w:rsidRPr="002C4887" w14:paraId="00E5AA68" w14:textId="77777777" w:rsidTr="00A0626E">
        <w:trPr>
          <w:trHeight w:val="333"/>
          <w:tblHeader/>
        </w:trPr>
        <w:tc>
          <w:tcPr>
            <w:tcW w:w="5000" w:type="pct"/>
            <w:gridSpan w:val="10"/>
            <w:shd w:val="clear" w:color="auto" w:fill="FFFFCC"/>
          </w:tcPr>
          <w:p w14:paraId="02A7F81A" w14:textId="77777777" w:rsidR="00A0626E" w:rsidRPr="002C4887" w:rsidRDefault="00A0626E" w:rsidP="00A0626E">
            <w:pPr>
              <w:pStyle w:val="Standaard-Tabellen"/>
              <w:jc w:val="center"/>
              <w:rPr>
                <w:rFonts w:eastAsia="Calibri"/>
                <w:b/>
                <w:color w:val="000000"/>
              </w:rPr>
            </w:pPr>
            <w:r w:rsidRPr="002C4887">
              <w:rPr>
                <w:rFonts w:eastAsia="Calibri"/>
                <w:b/>
              </w:rPr>
              <w:t>Identification of relevant receiving compartments based on the exposure pathway</w:t>
            </w:r>
          </w:p>
        </w:tc>
      </w:tr>
      <w:tr w:rsidR="00A0626E" w:rsidRPr="002C4887" w14:paraId="7D7A2FA7" w14:textId="77777777" w:rsidTr="00A0626E">
        <w:trPr>
          <w:tblHeader/>
        </w:trPr>
        <w:tc>
          <w:tcPr>
            <w:tcW w:w="681" w:type="pct"/>
            <w:shd w:val="clear" w:color="auto" w:fill="BFBFBF" w:themeFill="background1" w:themeFillShade="BF"/>
            <w:vAlign w:val="center"/>
          </w:tcPr>
          <w:p w14:paraId="05C70AAA" w14:textId="77777777" w:rsidR="00A0626E" w:rsidRPr="002C4887" w:rsidRDefault="00A0626E" w:rsidP="00A0626E">
            <w:pPr>
              <w:pStyle w:val="Standaard-Tabellen"/>
              <w:rPr>
                <w:rFonts w:eastAsia="Calibri"/>
                <w:b/>
                <w:color w:val="000000"/>
              </w:rPr>
            </w:pPr>
          </w:p>
        </w:tc>
        <w:tc>
          <w:tcPr>
            <w:tcW w:w="455" w:type="pct"/>
            <w:shd w:val="clear" w:color="auto" w:fill="BFBFBF" w:themeFill="background1" w:themeFillShade="BF"/>
            <w:tcMar>
              <w:top w:w="57" w:type="dxa"/>
              <w:left w:w="70" w:type="dxa"/>
              <w:bottom w:w="57" w:type="dxa"/>
              <w:right w:w="70" w:type="dxa"/>
            </w:tcMar>
            <w:vAlign w:val="center"/>
          </w:tcPr>
          <w:p w14:paraId="3FF0CCAE" w14:textId="77777777" w:rsidR="00A0626E" w:rsidRPr="002C4887" w:rsidRDefault="00A0626E" w:rsidP="00A0626E">
            <w:pPr>
              <w:pStyle w:val="Standaard-Tabellen"/>
              <w:rPr>
                <w:rFonts w:eastAsia="Calibri" w:cs="Arial"/>
                <w:b/>
                <w:color w:val="000000"/>
              </w:rPr>
            </w:pPr>
            <w:r w:rsidRPr="002C4887">
              <w:rPr>
                <w:rFonts w:eastAsia="Calibri" w:cs="Arial"/>
                <w:b/>
                <w:color w:val="000000"/>
              </w:rPr>
              <w:t>Fresh-water</w:t>
            </w:r>
          </w:p>
        </w:tc>
        <w:tc>
          <w:tcPr>
            <w:tcW w:w="682" w:type="pct"/>
            <w:shd w:val="clear" w:color="auto" w:fill="BFBFBF" w:themeFill="background1" w:themeFillShade="BF"/>
            <w:tcMar>
              <w:top w:w="57" w:type="dxa"/>
              <w:left w:w="70" w:type="dxa"/>
              <w:bottom w:w="57" w:type="dxa"/>
              <w:right w:w="70" w:type="dxa"/>
            </w:tcMar>
            <w:vAlign w:val="center"/>
          </w:tcPr>
          <w:p w14:paraId="13E90D61" w14:textId="77777777" w:rsidR="00A0626E" w:rsidRPr="002C4887" w:rsidRDefault="00A0626E" w:rsidP="00A0626E">
            <w:pPr>
              <w:pStyle w:val="Standaard-Tabellen"/>
              <w:rPr>
                <w:rFonts w:eastAsia="Calibri" w:cs="Arial"/>
                <w:b/>
                <w:color w:val="000000"/>
              </w:rPr>
            </w:pPr>
            <w:r w:rsidRPr="002C4887">
              <w:rPr>
                <w:rFonts w:eastAsia="Calibri" w:cs="Arial"/>
                <w:b/>
                <w:color w:val="000000"/>
              </w:rPr>
              <w:t>Freshwater sediment</w:t>
            </w:r>
          </w:p>
        </w:tc>
        <w:tc>
          <w:tcPr>
            <w:tcW w:w="455" w:type="pct"/>
            <w:shd w:val="clear" w:color="auto" w:fill="BFBFBF" w:themeFill="background1" w:themeFillShade="BF"/>
            <w:tcMar>
              <w:top w:w="57" w:type="dxa"/>
              <w:left w:w="70" w:type="dxa"/>
              <w:bottom w:w="57" w:type="dxa"/>
              <w:right w:w="70" w:type="dxa"/>
            </w:tcMar>
            <w:vAlign w:val="center"/>
          </w:tcPr>
          <w:p w14:paraId="6EB309F1" w14:textId="77777777" w:rsidR="00A0626E" w:rsidRPr="002C4887" w:rsidRDefault="00A0626E" w:rsidP="00A0626E">
            <w:pPr>
              <w:pStyle w:val="Standaard-Tabellen"/>
              <w:rPr>
                <w:rFonts w:eastAsia="Calibri" w:cs="Arial"/>
                <w:b/>
                <w:color w:val="000000"/>
              </w:rPr>
            </w:pPr>
            <w:r w:rsidRPr="002C4887">
              <w:rPr>
                <w:rFonts w:eastAsia="Calibri" w:cs="Arial"/>
                <w:b/>
                <w:color w:val="000000"/>
              </w:rPr>
              <w:t>Sea-water</w:t>
            </w:r>
          </w:p>
        </w:tc>
        <w:tc>
          <w:tcPr>
            <w:tcW w:w="606" w:type="pct"/>
            <w:shd w:val="clear" w:color="auto" w:fill="BFBFBF" w:themeFill="background1" w:themeFillShade="BF"/>
            <w:vAlign w:val="center"/>
          </w:tcPr>
          <w:p w14:paraId="65915C3B" w14:textId="77777777" w:rsidR="00A0626E" w:rsidRPr="002C4887" w:rsidRDefault="00A0626E" w:rsidP="00A0626E">
            <w:pPr>
              <w:pStyle w:val="Standaard-Tabellen"/>
              <w:rPr>
                <w:rFonts w:eastAsia="Calibri" w:cs="Arial"/>
                <w:b/>
                <w:color w:val="000000"/>
              </w:rPr>
            </w:pPr>
            <w:r w:rsidRPr="002C4887">
              <w:rPr>
                <w:rFonts w:eastAsia="Calibri" w:cs="Arial"/>
                <w:b/>
                <w:color w:val="000000"/>
              </w:rPr>
              <w:t>Seawater sediment</w:t>
            </w:r>
          </w:p>
        </w:tc>
        <w:tc>
          <w:tcPr>
            <w:tcW w:w="304" w:type="pct"/>
            <w:shd w:val="clear" w:color="auto" w:fill="BFBFBF" w:themeFill="background1" w:themeFillShade="BF"/>
            <w:vAlign w:val="center"/>
          </w:tcPr>
          <w:p w14:paraId="148C430A" w14:textId="77777777" w:rsidR="00A0626E" w:rsidRPr="002C4887" w:rsidRDefault="00A0626E" w:rsidP="00A0626E">
            <w:pPr>
              <w:pStyle w:val="Standaard-Tabellen"/>
              <w:rPr>
                <w:rFonts w:eastAsia="Calibri" w:cs="Arial"/>
                <w:b/>
                <w:color w:val="000000"/>
              </w:rPr>
            </w:pPr>
            <w:r w:rsidRPr="002C4887">
              <w:rPr>
                <w:rFonts w:eastAsia="Calibri" w:cs="Arial"/>
                <w:b/>
                <w:color w:val="000000"/>
              </w:rPr>
              <w:t>STP</w:t>
            </w:r>
          </w:p>
        </w:tc>
        <w:tc>
          <w:tcPr>
            <w:tcW w:w="303" w:type="pct"/>
            <w:shd w:val="clear" w:color="auto" w:fill="BFBFBF" w:themeFill="background1" w:themeFillShade="BF"/>
            <w:vAlign w:val="center"/>
          </w:tcPr>
          <w:p w14:paraId="63F496EB" w14:textId="77777777" w:rsidR="00A0626E" w:rsidRPr="002C4887" w:rsidRDefault="00A0626E" w:rsidP="00A0626E">
            <w:pPr>
              <w:pStyle w:val="Standaard-Tabellen"/>
              <w:rPr>
                <w:rFonts w:eastAsia="Calibri" w:cs="Arial"/>
                <w:b/>
                <w:color w:val="000000"/>
              </w:rPr>
            </w:pPr>
            <w:r w:rsidRPr="002C4887">
              <w:rPr>
                <w:rFonts w:eastAsia="Calibri" w:cs="Arial"/>
                <w:b/>
                <w:color w:val="000000"/>
              </w:rPr>
              <w:t>Air</w:t>
            </w:r>
          </w:p>
        </w:tc>
        <w:tc>
          <w:tcPr>
            <w:tcW w:w="304" w:type="pct"/>
            <w:shd w:val="clear" w:color="auto" w:fill="BFBFBF" w:themeFill="background1" w:themeFillShade="BF"/>
            <w:vAlign w:val="center"/>
          </w:tcPr>
          <w:p w14:paraId="394EAFBB" w14:textId="77777777" w:rsidR="00A0626E" w:rsidRPr="002C4887" w:rsidRDefault="00A0626E" w:rsidP="00A0626E">
            <w:pPr>
              <w:pStyle w:val="Standaard-Tabellen"/>
              <w:rPr>
                <w:rFonts w:eastAsia="Calibri"/>
                <w:b/>
                <w:color w:val="000000"/>
              </w:rPr>
            </w:pPr>
            <w:r w:rsidRPr="002C4887">
              <w:rPr>
                <w:rFonts w:eastAsia="Calibri"/>
                <w:b/>
                <w:color w:val="000000"/>
              </w:rPr>
              <w:t>Soil</w:t>
            </w:r>
          </w:p>
        </w:tc>
        <w:tc>
          <w:tcPr>
            <w:tcW w:w="602" w:type="pct"/>
            <w:shd w:val="clear" w:color="auto" w:fill="BFBFBF" w:themeFill="background1" w:themeFillShade="BF"/>
            <w:vAlign w:val="center"/>
          </w:tcPr>
          <w:p w14:paraId="1AB8642A" w14:textId="77777777" w:rsidR="00A0626E" w:rsidRPr="002C4887" w:rsidRDefault="00A0626E" w:rsidP="00A0626E">
            <w:pPr>
              <w:pStyle w:val="Standaard-Tabellen"/>
              <w:rPr>
                <w:rFonts w:eastAsia="Calibri"/>
                <w:b/>
                <w:color w:val="000000"/>
              </w:rPr>
            </w:pPr>
            <w:r w:rsidRPr="002C4887">
              <w:rPr>
                <w:rFonts w:eastAsia="Calibri"/>
                <w:b/>
                <w:color w:val="000000"/>
              </w:rPr>
              <w:t>Ground-water</w:t>
            </w:r>
          </w:p>
        </w:tc>
        <w:tc>
          <w:tcPr>
            <w:tcW w:w="607" w:type="pct"/>
            <w:shd w:val="clear" w:color="auto" w:fill="BFBFBF" w:themeFill="background1" w:themeFillShade="BF"/>
            <w:tcMar>
              <w:top w:w="57" w:type="dxa"/>
              <w:left w:w="70" w:type="dxa"/>
              <w:bottom w:w="57" w:type="dxa"/>
              <w:right w:w="70" w:type="dxa"/>
            </w:tcMar>
            <w:vAlign w:val="center"/>
          </w:tcPr>
          <w:p w14:paraId="2EE760D2" w14:textId="77777777" w:rsidR="00A0626E" w:rsidRPr="002C4887" w:rsidRDefault="00A0626E" w:rsidP="00A0626E">
            <w:pPr>
              <w:pStyle w:val="Standaard-Tabellen"/>
              <w:rPr>
                <w:rFonts w:eastAsia="Calibri"/>
                <w:b/>
                <w:color w:val="000000"/>
              </w:rPr>
            </w:pPr>
            <w:r w:rsidRPr="002C4887">
              <w:rPr>
                <w:rFonts w:eastAsia="Calibri"/>
                <w:b/>
                <w:color w:val="000000"/>
              </w:rPr>
              <w:t>Other</w:t>
            </w:r>
          </w:p>
        </w:tc>
      </w:tr>
      <w:tr w:rsidR="00A0626E" w:rsidRPr="00FD2055" w14:paraId="3CF88620" w14:textId="77777777" w:rsidTr="00A0626E">
        <w:trPr>
          <w:tblHeader/>
        </w:trPr>
        <w:tc>
          <w:tcPr>
            <w:tcW w:w="681" w:type="pct"/>
            <w:shd w:val="clear" w:color="auto" w:fill="auto"/>
            <w:tcMar>
              <w:top w:w="57" w:type="dxa"/>
              <w:left w:w="70" w:type="dxa"/>
              <w:bottom w:w="57" w:type="dxa"/>
              <w:right w:w="70" w:type="dxa"/>
            </w:tcMar>
            <w:vAlign w:val="center"/>
          </w:tcPr>
          <w:p w14:paraId="538311ED" w14:textId="77777777" w:rsidR="00A0626E" w:rsidRPr="00FD2055" w:rsidRDefault="00A0626E" w:rsidP="00A0626E">
            <w:pPr>
              <w:pStyle w:val="Standaard-Tabellen"/>
              <w:rPr>
                <w:rFonts w:eastAsia="Calibri"/>
                <w:color w:val="000000"/>
              </w:rPr>
            </w:pPr>
            <w:r w:rsidRPr="00FD2055">
              <w:rPr>
                <w:rFonts w:eastAsia="Calibri"/>
                <w:color w:val="000000"/>
              </w:rPr>
              <w:t>Scenario 1</w:t>
            </w:r>
          </w:p>
        </w:tc>
        <w:tc>
          <w:tcPr>
            <w:tcW w:w="455" w:type="pct"/>
            <w:shd w:val="clear" w:color="auto" w:fill="auto"/>
            <w:tcMar>
              <w:top w:w="57" w:type="dxa"/>
              <w:left w:w="70" w:type="dxa"/>
              <w:bottom w:w="57" w:type="dxa"/>
              <w:right w:w="70" w:type="dxa"/>
            </w:tcMar>
            <w:vAlign w:val="center"/>
          </w:tcPr>
          <w:p w14:paraId="66539F77" w14:textId="77777777" w:rsidR="00A0626E" w:rsidRPr="00FD2055" w:rsidRDefault="00A0626E" w:rsidP="00A0626E">
            <w:pPr>
              <w:pStyle w:val="Standaard-Tabellen"/>
              <w:rPr>
                <w:rFonts w:eastAsia="Calibri"/>
                <w:color w:val="000000"/>
              </w:rPr>
            </w:pPr>
            <w:r>
              <w:rPr>
                <w:rFonts w:eastAsia="Calibri"/>
                <w:color w:val="000000"/>
              </w:rPr>
              <w:t>yes</w:t>
            </w:r>
          </w:p>
        </w:tc>
        <w:tc>
          <w:tcPr>
            <w:tcW w:w="682" w:type="pct"/>
            <w:shd w:val="clear" w:color="auto" w:fill="auto"/>
            <w:tcMar>
              <w:top w:w="57" w:type="dxa"/>
              <w:left w:w="70" w:type="dxa"/>
              <w:bottom w:w="57" w:type="dxa"/>
              <w:right w:w="70" w:type="dxa"/>
            </w:tcMar>
            <w:vAlign w:val="center"/>
          </w:tcPr>
          <w:p w14:paraId="3119876D" w14:textId="77777777" w:rsidR="00A0626E" w:rsidRPr="00FD2055" w:rsidRDefault="00A0626E" w:rsidP="00A0626E">
            <w:pPr>
              <w:pStyle w:val="Standaard-Tabellen"/>
              <w:rPr>
                <w:rFonts w:eastAsia="Calibri"/>
                <w:color w:val="000000"/>
              </w:rPr>
            </w:pPr>
            <w:r>
              <w:rPr>
                <w:rFonts w:eastAsia="Calibri"/>
                <w:color w:val="000000"/>
              </w:rPr>
              <w:t>yes</w:t>
            </w:r>
          </w:p>
        </w:tc>
        <w:tc>
          <w:tcPr>
            <w:tcW w:w="455" w:type="pct"/>
            <w:shd w:val="clear" w:color="auto" w:fill="auto"/>
            <w:tcMar>
              <w:top w:w="57" w:type="dxa"/>
              <w:left w:w="70" w:type="dxa"/>
              <w:bottom w:w="57" w:type="dxa"/>
              <w:right w:w="70" w:type="dxa"/>
            </w:tcMar>
            <w:vAlign w:val="center"/>
          </w:tcPr>
          <w:p w14:paraId="3B6D295B" w14:textId="77777777" w:rsidR="00A0626E" w:rsidRPr="00FD2055" w:rsidRDefault="00A0626E" w:rsidP="00A0626E">
            <w:pPr>
              <w:pStyle w:val="Standaard-Tabellen"/>
              <w:rPr>
                <w:rFonts w:eastAsia="Calibri"/>
                <w:color w:val="000000"/>
              </w:rPr>
            </w:pPr>
            <w:r>
              <w:rPr>
                <w:rFonts w:eastAsia="Calibri"/>
                <w:color w:val="000000"/>
              </w:rPr>
              <w:t>no</w:t>
            </w:r>
          </w:p>
        </w:tc>
        <w:tc>
          <w:tcPr>
            <w:tcW w:w="606" w:type="pct"/>
            <w:shd w:val="clear" w:color="auto" w:fill="auto"/>
            <w:vAlign w:val="center"/>
          </w:tcPr>
          <w:p w14:paraId="65D849D8" w14:textId="77777777" w:rsidR="00A0626E" w:rsidRPr="00FD2055" w:rsidRDefault="00A0626E" w:rsidP="00A0626E">
            <w:pPr>
              <w:pStyle w:val="Standaard-Tabellen"/>
              <w:rPr>
                <w:rFonts w:eastAsia="Calibri"/>
                <w:color w:val="000000"/>
              </w:rPr>
            </w:pPr>
            <w:r>
              <w:rPr>
                <w:rFonts w:eastAsia="Calibri"/>
                <w:color w:val="000000"/>
              </w:rPr>
              <w:t>no</w:t>
            </w:r>
          </w:p>
        </w:tc>
        <w:tc>
          <w:tcPr>
            <w:tcW w:w="304" w:type="pct"/>
            <w:shd w:val="clear" w:color="auto" w:fill="auto"/>
            <w:vAlign w:val="center"/>
          </w:tcPr>
          <w:p w14:paraId="3595CFBE" w14:textId="77777777" w:rsidR="00A0626E" w:rsidRPr="00FD2055" w:rsidRDefault="00A0626E" w:rsidP="00A0626E">
            <w:pPr>
              <w:pStyle w:val="Standaard-Tabellen"/>
              <w:rPr>
                <w:rFonts w:eastAsia="Calibri"/>
                <w:color w:val="000000"/>
              </w:rPr>
            </w:pPr>
            <w:r>
              <w:rPr>
                <w:rFonts w:eastAsia="Calibri"/>
                <w:color w:val="000000"/>
              </w:rPr>
              <w:t>yes</w:t>
            </w:r>
          </w:p>
        </w:tc>
        <w:tc>
          <w:tcPr>
            <w:tcW w:w="303" w:type="pct"/>
            <w:shd w:val="clear" w:color="auto" w:fill="auto"/>
            <w:vAlign w:val="center"/>
          </w:tcPr>
          <w:p w14:paraId="4F4F718E" w14:textId="77777777" w:rsidR="00A0626E" w:rsidRPr="00FD2055" w:rsidRDefault="00A0626E" w:rsidP="00A0626E">
            <w:pPr>
              <w:pStyle w:val="Standaard-Tabellen"/>
              <w:rPr>
                <w:rFonts w:eastAsia="Calibri"/>
                <w:color w:val="000000"/>
              </w:rPr>
            </w:pPr>
            <w:r>
              <w:rPr>
                <w:rFonts w:eastAsia="Calibri"/>
                <w:color w:val="000000"/>
              </w:rPr>
              <w:t>no</w:t>
            </w:r>
          </w:p>
        </w:tc>
        <w:tc>
          <w:tcPr>
            <w:tcW w:w="304" w:type="pct"/>
          </w:tcPr>
          <w:p w14:paraId="35C44401" w14:textId="77777777" w:rsidR="00A0626E" w:rsidRPr="00FD2055" w:rsidRDefault="00A0626E" w:rsidP="00A0626E">
            <w:pPr>
              <w:pStyle w:val="Standaard-Tabellen"/>
              <w:rPr>
                <w:rFonts w:eastAsia="Calibri"/>
                <w:color w:val="000000"/>
              </w:rPr>
            </w:pPr>
            <w:r>
              <w:rPr>
                <w:rFonts w:eastAsia="Calibri"/>
                <w:color w:val="000000"/>
              </w:rPr>
              <w:t>no</w:t>
            </w:r>
          </w:p>
        </w:tc>
        <w:tc>
          <w:tcPr>
            <w:tcW w:w="602" w:type="pct"/>
          </w:tcPr>
          <w:p w14:paraId="4571B806" w14:textId="77777777" w:rsidR="00A0626E" w:rsidRPr="00FD2055" w:rsidRDefault="00A0626E" w:rsidP="00A0626E">
            <w:pPr>
              <w:pStyle w:val="Standaard-Tabellen"/>
              <w:rPr>
                <w:rFonts w:eastAsia="Calibri"/>
                <w:color w:val="000000"/>
              </w:rPr>
            </w:pPr>
            <w:r>
              <w:rPr>
                <w:rFonts w:eastAsia="Calibri"/>
                <w:color w:val="000000"/>
              </w:rPr>
              <w:t>no</w:t>
            </w:r>
          </w:p>
        </w:tc>
        <w:tc>
          <w:tcPr>
            <w:tcW w:w="607" w:type="pct"/>
            <w:shd w:val="clear" w:color="auto" w:fill="auto"/>
            <w:tcMar>
              <w:top w:w="57" w:type="dxa"/>
              <w:left w:w="70" w:type="dxa"/>
              <w:bottom w:w="57" w:type="dxa"/>
              <w:right w:w="70" w:type="dxa"/>
            </w:tcMar>
            <w:vAlign w:val="center"/>
          </w:tcPr>
          <w:p w14:paraId="36AD99F8" w14:textId="77777777" w:rsidR="00A0626E" w:rsidRPr="00FD2055" w:rsidRDefault="00A0626E" w:rsidP="00A0626E">
            <w:pPr>
              <w:pStyle w:val="Standaard-Tabellen"/>
              <w:rPr>
                <w:rFonts w:eastAsia="Calibri"/>
                <w:color w:val="000000"/>
              </w:rPr>
            </w:pPr>
            <w:r>
              <w:rPr>
                <w:rFonts w:eastAsia="Calibri"/>
                <w:color w:val="000000"/>
              </w:rPr>
              <w:t>no</w:t>
            </w:r>
          </w:p>
        </w:tc>
      </w:tr>
      <w:tr w:rsidR="00A0626E" w:rsidRPr="00FD2055" w14:paraId="3C244043" w14:textId="77777777" w:rsidTr="00A0626E">
        <w:trPr>
          <w:tblHeader/>
        </w:trPr>
        <w:tc>
          <w:tcPr>
            <w:tcW w:w="681" w:type="pct"/>
            <w:shd w:val="clear" w:color="auto" w:fill="auto"/>
            <w:tcMar>
              <w:top w:w="57" w:type="dxa"/>
              <w:left w:w="70" w:type="dxa"/>
              <w:bottom w:w="57" w:type="dxa"/>
              <w:right w:w="70" w:type="dxa"/>
            </w:tcMar>
            <w:vAlign w:val="center"/>
          </w:tcPr>
          <w:p w14:paraId="253E5AF5" w14:textId="77777777" w:rsidR="00A0626E" w:rsidRPr="00FD2055" w:rsidRDefault="00A0626E" w:rsidP="00A0626E">
            <w:pPr>
              <w:pStyle w:val="Standaard-Tabellen"/>
              <w:rPr>
                <w:rFonts w:eastAsia="Calibri"/>
                <w:color w:val="000000"/>
              </w:rPr>
            </w:pPr>
            <w:r w:rsidRPr="00FD2055">
              <w:rPr>
                <w:rFonts w:eastAsia="Calibri"/>
                <w:color w:val="000000"/>
              </w:rPr>
              <w:t xml:space="preserve">Scenario </w:t>
            </w:r>
            <w:r>
              <w:rPr>
                <w:rFonts w:eastAsia="Calibri"/>
                <w:color w:val="000000"/>
              </w:rPr>
              <w:t>2</w:t>
            </w:r>
          </w:p>
        </w:tc>
        <w:tc>
          <w:tcPr>
            <w:tcW w:w="455" w:type="pct"/>
            <w:shd w:val="clear" w:color="auto" w:fill="auto"/>
            <w:tcMar>
              <w:top w:w="57" w:type="dxa"/>
              <w:left w:w="70" w:type="dxa"/>
              <w:bottom w:w="57" w:type="dxa"/>
              <w:right w:w="70" w:type="dxa"/>
            </w:tcMar>
            <w:vAlign w:val="center"/>
          </w:tcPr>
          <w:p w14:paraId="643440F8" w14:textId="77777777" w:rsidR="00A0626E" w:rsidRPr="00FD2055" w:rsidRDefault="00A0626E" w:rsidP="00A0626E">
            <w:pPr>
              <w:pStyle w:val="Standaard-Tabellen"/>
              <w:rPr>
                <w:rFonts w:eastAsia="Calibri"/>
                <w:color w:val="000000"/>
              </w:rPr>
            </w:pPr>
            <w:r>
              <w:rPr>
                <w:rFonts w:eastAsia="Calibri"/>
                <w:color w:val="000000"/>
              </w:rPr>
              <w:t>yes</w:t>
            </w:r>
          </w:p>
        </w:tc>
        <w:tc>
          <w:tcPr>
            <w:tcW w:w="682" w:type="pct"/>
            <w:shd w:val="clear" w:color="auto" w:fill="auto"/>
            <w:tcMar>
              <w:top w:w="57" w:type="dxa"/>
              <w:left w:w="70" w:type="dxa"/>
              <w:bottom w:w="57" w:type="dxa"/>
              <w:right w:w="70" w:type="dxa"/>
            </w:tcMar>
            <w:vAlign w:val="center"/>
          </w:tcPr>
          <w:p w14:paraId="43AD4D60" w14:textId="77777777" w:rsidR="00A0626E" w:rsidRPr="00FD2055" w:rsidRDefault="00A0626E" w:rsidP="00A0626E">
            <w:pPr>
              <w:pStyle w:val="Standaard-Tabellen"/>
              <w:rPr>
                <w:rFonts w:eastAsia="Calibri"/>
                <w:color w:val="000000"/>
              </w:rPr>
            </w:pPr>
            <w:r>
              <w:rPr>
                <w:rFonts w:eastAsia="Calibri"/>
                <w:color w:val="000000"/>
              </w:rPr>
              <w:t>yes</w:t>
            </w:r>
          </w:p>
        </w:tc>
        <w:tc>
          <w:tcPr>
            <w:tcW w:w="455" w:type="pct"/>
            <w:shd w:val="clear" w:color="auto" w:fill="auto"/>
            <w:tcMar>
              <w:top w:w="57" w:type="dxa"/>
              <w:left w:w="70" w:type="dxa"/>
              <w:bottom w:w="57" w:type="dxa"/>
              <w:right w:w="70" w:type="dxa"/>
            </w:tcMar>
            <w:vAlign w:val="center"/>
          </w:tcPr>
          <w:p w14:paraId="6A7E2933" w14:textId="77777777" w:rsidR="00A0626E" w:rsidRPr="00FD2055" w:rsidRDefault="00A0626E" w:rsidP="00A0626E">
            <w:pPr>
              <w:pStyle w:val="Standaard-Tabellen"/>
              <w:rPr>
                <w:rFonts w:eastAsia="Calibri"/>
                <w:color w:val="000000"/>
              </w:rPr>
            </w:pPr>
            <w:r>
              <w:rPr>
                <w:rFonts w:eastAsia="Calibri"/>
                <w:color w:val="000000"/>
              </w:rPr>
              <w:t>no</w:t>
            </w:r>
          </w:p>
        </w:tc>
        <w:tc>
          <w:tcPr>
            <w:tcW w:w="606" w:type="pct"/>
            <w:shd w:val="clear" w:color="auto" w:fill="auto"/>
            <w:vAlign w:val="center"/>
          </w:tcPr>
          <w:p w14:paraId="04FF74C1" w14:textId="77777777" w:rsidR="00A0626E" w:rsidRPr="00FD2055" w:rsidRDefault="00A0626E" w:rsidP="00A0626E">
            <w:pPr>
              <w:pStyle w:val="Standaard-Tabellen"/>
              <w:rPr>
                <w:rFonts w:eastAsia="Calibri"/>
                <w:color w:val="000000"/>
              </w:rPr>
            </w:pPr>
            <w:r>
              <w:rPr>
                <w:rFonts w:eastAsia="Calibri"/>
                <w:color w:val="000000"/>
              </w:rPr>
              <w:t>no</w:t>
            </w:r>
          </w:p>
        </w:tc>
        <w:tc>
          <w:tcPr>
            <w:tcW w:w="304" w:type="pct"/>
            <w:shd w:val="clear" w:color="auto" w:fill="auto"/>
            <w:vAlign w:val="center"/>
          </w:tcPr>
          <w:p w14:paraId="572EC0D1" w14:textId="77777777" w:rsidR="00A0626E" w:rsidRPr="00FD2055" w:rsidRDefault="00A0626E" w:rsidP="00A0626E">
            <w:pPr>
              <w:pStyle w:val="Standaard-Tabellen"/>
              <w:rPr>
                <w:rFonts w:eastAsia="Calibri"/>
                <w:color w:val="000000"/>
              </w:rPr>
            </w:pPr>
            <w:r>
              <w:rPr>
                <w:rFonts w:eastAsia="Calibri"/>
                <w:color w:val="000000"/>
              </w:rPr>
              <w:t>no</w:t>
            </w:r>
          </w:p>
        </w:tc>
        <w:tc>
          <w:tcPr>
            <w:tcW w:w="303" w:type="pct"/>
            <w:shd w:val="clear" w:color="auto" w:fill="auto"/>
            <w:vAlign w:val="center"/>
          </w:tcPr>
          <w:p w14:paraId="37A7EE50" w14:textId="77777777" w:rsidR="00A0626E" w:rsidRPr="00FD2055" w:rsidRDefault="00A0626E" w:rsidP="00A0626E">
            <w:pPr>
              <w:pStyle w:val="Standaard-Tabellen"/>
              <w:rPr>
                <w:rFonts w:eastAsia="Calibri"/>
                <w:color w:val="000000"/>
              </w:rPr>
            </w:pPr>
            <w:r>
              <w:rPr>
                <w:rFonts w:eastAsia="Calibri"/>
                <w:color w:val="000000"/>
              </w:rPr>
              <w:t>no</w:t>
            </w:r>
          </w:p>
        </w:tc>
        <w:tc>
          <w:tcPr>
            <w:tcW w:w="304" w:type="pct"/>
          </w:tcPr>
          <w:p w14:paraId="406E4B7A" w14:textId="77777777" w:rsidR="00A0626E" w:rsidRPr="00FD2055" w:rsidRDefault="00A0626E" w:rsidP="00A0626E">
            <w:pPr>
              <w:pStyle w:val="Standaard-Tabellen"/>
              <w:rPr>
                <w:rFonts w:eastAsia="Calibri"/>
                <w:color w:val="000000"/>
              </w:rPr>
            </w:pPr>
            <w:r>
              <w:rPr>
                <w:rFonts w:eastAsia="Calibri"/>
                <w:color w:val="000000"/>
              </w:rPr>
              <w:t>no</w:t>
            </w:r>
          </w:p>
        </w:tc>
        <w:tc>
          <w:tcPr>
            <w:tcW w:w="602" w:type="pct"/>
          </w:tcPr>
          <w:p w14:paraId="62526E0C" w14:textId="77777777" w:rsidR="00A0626E" w:rsidRPr="00FD2055" w:rsidRDefault="00A0626E" w:rsidP="00A0626E">
            <w:pPr>
              <w:pStyle w:val="Standaard-Tabellen"/>
              <w:rPr>
                <w:rFonts w:eastAsia="Calibri"/>
                <w:color w:val="000000"/>
              </w:rPr>
            </w:pPr>
            <w:r>
              <w:rPr>
                <w:rFonts w:eastAsia="Calibri"/>
                <w:color w:val="000000"/>
              </w:rPr>
              <w:t>no</w:t>
            </w:r>
          </w:p>
        </w:tc>
        <w:tc>
          <w:tcPr>
            <w:tcW w:w="607" w:type="pct"/>
            <w:shd w:val="clear" w:color="auto" w:fill="auto"/>
            <w:tcMar>
              <w:top w:w="57" w:type="dxa"/>
              <w:left w:w="70" w:type="dxa"/>
              <w:bottom w:w="57" w:type="dxa"/>
              <w:right w:w="70" w:type="dxa"/>
            </w:tcMar>
            <w:vAlign w:val="center"/>
          </w:tcPr>
          <w:p w14:paraId="0F549D53" w14:textId="77777777" w:rsidR="00A0626E" w:rsidRPr="00FD2055" w:rsidRDefault="00A0626E" w:rsidP="00A0626E">
            <w:pPr>
              <w:pStyle w:val="Standaard-Tabellen"/>
              <w:rPr>
                <w:rFonts w:eastAsia="Calibri"/>
                <w:color w:val="000000"/>
              </w:rPr>
            </w:pPr>
            <w:r>
              <w:rPr>
                <w:rFonts w:eastAsia="Calibri"/>
                <w:color w:val="000000"/>
              </w:rPr>
              <w:t>no</w:t>
            </w:r>
          </w:p>
        </w:tc>
      </w:tr>
    </w:tbl>
    <w:p w14:paraId="55C20C47" w14:textId="7F793081" w:rsidR="00A0626E" w:rsidRDefault="00A0626E" w:rsidP="00A0626E">
      <w:pPr>
        <w:rPr>
          <w:rFonts w:eastAsia="Calibri"/>
          <w:lang w:eastAsia="en-US"/>
        </w:rPr>
      </w:pPr>
    </w:p>
    <w:p w14:paraId="0AA2BB51" w14:textId="77777777" w:rsidR="0098647E" w:rsidRPr="003E3E25" w:rsidRDefault="0098647E"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tbl>
      <w:tblPr>
        <w:tblW w:w="50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5"/>
        <w:gridCol w:w="855"/>
        <w:gridCol w:w="1281"/>
        <w:gridCol w:w="857"/>
        <w:gridCol w:w="1139"/>
        <w:gridCol w:w="572"/>
        <w:gridCol w:w="571"/>
        <w:gridCol w:w="572"/>
        <w:gridCol w:w="1132"/>
        <w:gridCol w:w="1143"/>
      </w:tblGrid>
      <w:tr w:rsidR="0024663E" w:rsidRPr="00532093" w14:paraId="2352F6ED" w14:textId="77777777" w:rsidTr="00DF65A8">
        <w:trPr>
          <w:trHeight w:val="333"/>
          <w:tblHeader/>
        </w:trPr>
        <w:tc>
          <w:tcPr>
            <w:tcW w:w="5000" w:type="pct"/>
            <w:gridSpan w:val="10"/>
            <w:shd w:val="clear" w:color="auto" w:fill="FFFFCC"/>
          </w:tcPr>
          <w:p w14:paraId="02D43DC9" w14:textId="77777777" w:rsidR="0024663E" w:rsidRPr="00532093" w:rsidRDefault="0024663E" w:rsidP="005752E1">
            <w:pPr>
              <w:widowControl w:val="0"/>
              <w:tabs>
                <w:tab w:val="center" w:pos="4536"/>
                <w:tab w:val="right" w:pos="9072"/>
              </w:tabs>
              <w:spacing w:line="260" w:lineRule="atLeast"/>
              <w:jc w:val="center"/>
              <w:rPr>
                <w:rFonts w:eastAsia="Calibri"/>
                <w:b/>
                <w:bCs/>
                <w:color w:val="000000"/>
                <w:sz w:val="18"/>
                <w:szCs w:val="18"/>
                <w:lang w:eastAsia="en-GB"/>
              </w:rPr>
            </w:pPr>
            <w:r w:rsidRPr="00532093">
              <w:rPr>
                <w:rFonts w:eastAsia="Calibri"/>
                <w:b/>
                <w:sz w:val="18"/>
                <w:szCs w:val="18"/>
                <w:lang w:eastAsia="en-US"/>
              </w:rPr>
              <w:t>Identification of relevant receiving compartments based on the exposure pathway</w:t>
            </w:r>
          </w:p>
        </w:tc>
      </w:tr>
      <w:tr w:rsidR="0024663E" w:rsidRPr="00532093" w14:paraId="6B843F4D" w14:textId="77777777" w:rsidTr="003E3E25">
        <w:trPr>
          <w:tblHeader/>
        </w:trPr>
        <w:tc>
          <w:tcPr>
            <w:tcW w:w="715" w:type="pct"/>
            <w:shd w:val="clear" w:color="auto" w:fill="auto"/>
            <w:vAlign w:val="center"/>
          </w:tcPr>
          <w:p w14:paraId="40D7B0B3" w14:textId="77777777" w:rsidR="0024663E" w:rsidRPr="00532093" w:rsidRDefault="0024663E" w:rsidP="005752E1">
            <w:pPr>
              <w:widowControl w:val="0"/>
              <w:spacing w:line="260" w:lineRule="atLeast"/>
              <w:jc w:val="center"/>
              <w:rPr>
                <w:rFonts w:eastAsia="Calibri"/>
                <w:bCs/>
                <w:color w:val="000000"/>
                <w:sz w:val="18"/>
                <w:szCs w:val="18"/>
                <w:lang w:eastAsia="en-GB"/>
              </w:rPr>
            </w:pPr>
          </w:p>
        </w:tc>
        <w:tc>
          <w:tcPr>
            <w:tcW w:w="451" w:type="pct"/>
            <w:shd w:val="clear" w:color="auto" w:fill="auto"/>
            <w:tcMar>
              <w:top w:w="57" w:type="dxa"/>
              <w:left w:w="70" w:type="dxa"/>
              <w:bottom w:w="57" w:type="dxa"/>
              <w:right w:w="70" w:type="dxa"/>
            </w:tcMar>
            <w:vAlign w:val="center"/>
          </w:tcPr>
          <w:p w14:paraId="2DA2A243" w14:textId="77777777" w:rsidR="0024663E" w:rsidRPr="00532093" w:rsidRDefault="0024663E" w:rsidP="005752E1">
            <w:pPr>
              <w:widowControl w:val="0"/>
              <w:spacing w:line="260" w:lineRule="atLeast"/>
              <w:jc w:val="center"/>
              <w:rPr>
                <w:rFonts w:eastAsia="Calibri" w:cs="Arial"/>
                <w:color w:val="000000"/>
                <w:sz w:val="18"/>
                <w:szCs w:val="18"/>
                <w:lang w:eastAsia="en-GB"/>
              </w:rPr>
            </w:pPr>
            <w:r w:rsidRPr="00532093">
              <w:rPr>
                <w:rFonts w:eastAsia="Calibri" w:cs="Arial"/>
                <w:color w:val="000000"/>
                <w:sz w:val="18"/>
                <w:szCs w:val="18"/>
                <w:lang w:eastAsia="en-GB"/>
              </w:rPr>
              <w:t>Fresh-water</w:t>
            </w:r>
          </w:p>
        </w:tc>
        <w:tc>
          <w:tcPr>
            <w:tcW w:w="676" w:type="pct"/>
            <w:shd w:val="clear" w:color="auto" w:fill="auto"/>
            <w:tcMar>
              <w:top w:w="57" w:type="dxa"/>
              <w:left w:w="70" w:type="dxa"/>
              <w:bottom w:w="57" w:type="dxa"/>
              <w:right w:w="70" w:type="dxa"/>
            </w:tcMar>
            <w:vAlign w:val="center"/>
          </w:tcPr>
          <w:p w14:paraId="5337B902" w14:textId="77777777" w:rsidR="0024663E" w:rsidRPr="00532093" w:rsidRDefault="0024663E" w:rsidP="005752E1">
            <w:pPr>
              <w:widowControl w:val="0"/>
              <w:spacing w:line="260" w:lineRule="atLeast"/>
              <w:jc w:val="center"/>
              <w:rPr>
                <w:rFonts w:eastAsia="Calibri" w:cs="Arial"/>
                <w:color w:val="000000"/>
                <w:sz w:val="18"/>
                <w:szCs w:val="18"/>
                <w:lang w:eastAsia="en-GB"/>
              </w:rPr>
            </w:pPr>
            <w:r w:rsidRPr="00532093">
              <w:rPr>
                <w:rFonts w:eastAsia="Calibri" w:cs="Arial"/>
                <w:color w:val="000000"/>
                <w:sz w:val="18"/>
                <w:szCs w:val="18"/>
                <w:lang w:eastAsia="en-GB"/>
              </w:rPr>
              <w:t>Freshwater sediment</w:t>
            </w:r>
          </w:p>
        </w:tc>
        <w:tc>
          <w:tcPr>
            <w:tcW w:w="452" w:type="pct"/>
            <w:shd w:val="clear" w:color="auto" w:fill="auto"/>
            <w:tcMar>
              <w:top w:w="57" w:type="dxa"/>
              <w:left w:w="70" w:type="dxa"/>
              <w:bottom w:w="57" w:type="dxa"/>
              <w:right w:w="70" w:type="dxa"/>
            </w:tcMar>
            <w:vAlign w:val="center"/>
          </w:tcPr>
          <w:p w14:paraId="1BC1654F" w14:textId="77777777" w:rsidR="0024663E" w:rsidRPr="00532093" w:rsidRDefault="0024663E" w:rsidP="005752E1">
            <w:pPr>
              <w:widowControl w:val="0"/>
              <w:spacing w:line="260" w:lineRule="atLeast"/>
              <w:jc w:val="center"/>
              <w:rPr>
                <w:rFonts w:eastAsia="Calibri" w:cs="Arial"/>
                <w:color w:val="000000"/>
                <w:sz w:val="18"/>
                <w:szCs w:val="18"/>
                <w:lang w:eastAsia="en-GB"/>
              </w:rPr>
            </w:pPr>
            <w:r w:rsidRPr="00532093">
              <w:rPr>
                <w:rFonts w:eastAsia="Calibri" w:cs="Arial"/>
                <w:color w:val="000000"/>
                <w:sz w:val="18"/>
                <w:szCs w:val="18"/>
                <w:lang w:eastAsia="en-GB"/>
              </w:rPr>
              <w:t>Sea-water</w:t>
            </w:r>
          </w:p>
        </w:tc>
        <w:tc>
          <w:tcPr>
            <w:tcW w:w="601" w:type="pct"/>
            <w:shd w:val="clear" w:color="auto" w:fill="auto"/>
            <w:vAlign w:val="center"/>
          </w:tcPr>
          <w:p w14:paraId="65584A89" w14:textId="77777777" w:rsidR="0024663E" w:rsidRPr="00532093" w:rsidRDefault="0024663E" w:rsidP="005752E1">
            <w:pPr>
              <w:widowControl w:val="0"/>
              <w:spacing w:line="260" w:lineRule="atLeast"/>
              <w:jc w:val="center"/>
              <w:rPr>
                <w:rFonts w:eastAsia="Calibri" w:cs="Arial"/>
                <w:color w:val="000000"/>
                <w:sz w:val="18"/>
                <w:szCs w:val="18"/>
                <w:lang w:eastAsia="en-GB"/>
              </w:rPr>
            </w:pPr>
            <w:r w:rsidRPr="00532093">
              <w:rPr>
                <w:rFonts w:eastAsia="Calibri" w:cs="Arial"/>
                <w:color w:val="000000"/>
                <w:sz w:val="18"/>
                <w:szCs w:val="18"/>
                <w:lang w:eastAsia="en-GB"/>
              </w:rPr>
              <w:t>Seawater sediment</w:t>
            </w:r>
          </w:p>
        </w:tc>
        <w:tc>
          <w:tcPr>
            <w:tcW w:w="302" w:type="pct"/>
            <w:shd w:val="clear" w:color="auto" w:fill="auto"/>
            <w:vAlign w:val="center"/>
          </w:tcPr>
          <w:p w14:paraId="07304483" w14:textId="77777777" w:rsidR="0024663E" w:rsidRPr="00532093" w:rsidRDefault="0024663E" w:rsidP="005752E1">
            <w:pPr>
              <w:widowControl w:val="0"/>
              <w:spacing w:line="260" w:lineRule="atLeast"/>
              <w:jc w:val="center"/>
              <w:rPr>
                <w:rFonts w:eastAsia="Calibri" w:cs="Arial"/>
                <w:color w:val="000000"/>
                <w:sz w:val="18"/>
                <w:szCs w:val="18"/>
                <w:lang w:eastAsia="en-GB"/>
              </w:rPr>
            </w:pPr>
            <w:r w:rsidRPr="00532093">
              <w:rPr>
                <w:rFonts w:eastAsia="Calibri" w:cs="Arial"/>
                <w:color w:val="000000"/>
                <w:sz w:val="18"/>
                <w:szCs w:val="18"/>
                <w:lang w:eastAsia="en-GB"/>
              </w:rPr>
              <w:t>STP</w:t>
            </w:r>
          </w:p>
        </w:tc>
        <w:tc>
          <w:tcPr>
            <w:tcW w:w="301" w:type="pct"/>
            <w:shd w:val="clear" w:color="auto" w:fill="auto"/>
            <w:vAlign w:val="center"/>
          </w:tcPr>
          <w:p w14:paraId="61C107CA" w14:textId="77777777" w:rsidR="0024663E" w:rsidRPr="00532093" w:rsidRDefault="0024663E" w:rsidP="005752E1">
            <w:pPr>
              <w:widowControl w:val="0"/>
              <w:spacing w:line="260" w:lineRule="atLeast"/>
              <w:jc w:val="center"/>
              <w:rPr>
                <w:rFonts w:eastAsia="Calibri" w:cs="Arial"/>
                <w:color w:val="000000"/>
                <w:sz w:val="18"/>
                <w:szCs w:val="18"/>
                <w:lang w:eastAsia="en-GB"/>
              </w:rPr>
            </w:pPr>
            <w:r w:rsidRPr="00532093">
              <w:rPr>
                <w:rFonts w:eastAsia="Calibri" w:cs="Arial"/>
                <w:color w:val="000000"/>
                <w:sz w:val="18"/>
                <w:szCs w:val="18"/>
                <w:lang w:eastAsia="en-GB"/>
              </w:rPr>
              <w:t>Air</w:t>
            </w:r>
          </w:p>
        </w:tc>
        <w:tc>
          <w:tcPr>
            <w:tcW w:w="302" w:type="pct"/>
            <w:shd w:val="clear" w:color="auto" w:fill="auto"/>
            <w:vAlign w:val="center"/>
          </w:tcPr>
          <w:p w14:paraId="4554C50C" w14:textId="77777777" w:rsidR="0024663E" w:rsidRPr="00532093" w:rsidRDefault="0024663E" w:rsidP="005752E1">
            <w:pPr>
              <w:widowControl w:val="0"/>
              <w:tabs>
                <w:tab w:val="center" w:pos="4536"/>
                <w:tab w:val="right" w:pos="9072"/>
              </w:tabs>
              <w:spacing w:line="260" w:lineRule="atLeast"/>
              <w:jc w:val="center"/>
              <w:rPr>
                <w:rFonts w:eastAsia="Calibri"/>
                <w:bCs/>
                <w:color w:val="000000"/>
                <w:sz w:val="18"/>
                <w:szCs w:val="18"/>
                <w:lang w:eastAsia="en-GB"/>
              </w:rPr>
            </w:pPr>
            <w:r w:rsidRPr="00532093">
              <w:rPr>
                <w:rFonts w:eastAsia="Calibri"/>
                <w:bCs/>
                <w:color w:val="000000"/>
                <w:sz w:val="18"/>
                <w:szCs w:val="18"/>
                <w:lang w:eastAsia="en-GB"/>
              </w:rPr>
              <w:t>Soil</w:t>
            </w:r>
          </w:p>
        </w:tc>
        <w:tc>
          <w:tcPr>
            <w:tcW w:w="597" w:type="pct"/>
            <w:shd w:val="clear" w:color="auto" w:fill="auto"/>
            <w:vAlign w:val="center"/>
          </w:tcPr>
          <w:p w14:paraId="60183014" w14:textId="77777777" w:rsidR="0024663E" w:rsidRPr="00532093" w:rsidRDefault="0024663E" w:rsidP="005752E1">
            <w:pPr>
              <w:widowControl w:val="0"/>
              <w:tabs>
                <w:tab w:val="center" w:pos="4536"/>
                <w:tab w:val="right" w:pos="9072"/>
              </w:tabs>
              <w:spacing w:line="260" w:lineRule="atLeast"/>
              <w:jc w:val="center"/>
              <w:rPr>
                <w:rFonts w:eastAsia="Calibri"/>
                <w:bCs/>
                <w:color w:val="000000"/>
                <w:sz w:val="18"/>
                <w:szCs w:val="18"/>
                <w:lang w:eastAsia="en-GB"/>
              </w:rPr>
            </w:pPr>
            <w:r w:rsidRPr="00532093">
              <w:rPr>
                <w:rFonts w:eastAsia="Calibri"/>
                <w:bCs/>
                <w:color w:val="000000"/>
                <w:sz w:val="18"/>
                <w:szCs w:val="18"/>
                <w:lang w:eastAsia="en-GB"/>
              </w:rPr>
              <w:t>Ground-water</w:t>
            </w:r>
          </w:p>
        </w:tc>
        <w:tc>
          <w:tcPr>
            <w:tcW w:w="603" w:type="pct"/>
            <w:shd w:val="clear" w:color="auto" w:fill="auto"/>
            <w:tcMar>
              <w:top w:w="57" w:type="dxa"/>
              <w:left w:w="70" w:type="dxa"/>
              <w:bottom w:w="57" w:type="dxa"/>
              <w:right w:w="70" w:type="dxa"/>
            </w:tcMar>
            <w:vAlign w:val="center"/>
          </w:tcPr>
          <w:p w14:paraId="1AF95D7D" w14:textId="77777777" w:rsidR="0024663E" w:rsidRPr="00532093" w:rsidRDefault="0024663E" w:rsidP="005752E1">
            <w:pPr>
              <w:widowControl w:val="0"/>
              <w:tabs>
                <w:tab w:val="center" w:pos="4536"/>
                <w:tab w:val="right" w:pos="9072"/>
              </w:tabs>
              <w:spacing w:line="260" w:lineRule="atLeast"/>
              <w:jc w:val="center"/>
              <w:rPr>
                <w:rFonts w:eastAsia="Calibri"/>
                <w:bCs/>
                <w:color w:val="000000"/>
                <w:sz w:val="18"/>
                <w:szCs w:val="18"/>
                <w:lang w:eastAsia="en-GB"/>
              </w:rPr>
            </w:pPr>
            <w:r w:rsidRPr="00532093">
              <w:rPr>
                <w:rFonts w:eastAsia="Calibri"/>
                <w:bCs/>
                <w:color w:val="000000"/>
                <w:sz w:val="18"/>
                <w:szCs w:val="18"/>
                <w:lang w:eastAsia="en-GB"/>
              </w:rPr>
              <w:t>Other</w:t>
            </w:r>
          </w:p>
        </w:tc>
      </w:tr>
      <w:tr w:rsidR="0024663E" w:rsidRPr="00532093" w14:paraId="71A54EC8" w14:textId="77777777" w:rsidTr="003E3E25">
        <w:trPr>
          <w:tblHeader/>
        </w:trPr>
        <w:tc>
          <w:tcPr>
            <w:tcW w:w="715" w:type="pct"/>
            <w:shd w:val="clear" w:color="auto" w:fill="auto"/>
            <w:tcMar>
              <w:top w:w="57" w:type="dxa"/>
              <w:left w:w="70" w:type="dxa"/>
              <w:bottom w:w="57" w:type="dxa"/>
              <w:right w:w="70" w:type="dxa"/>
            </w:tcMar>
            <w:vAlign w:val="center"/>
          </w:tcPr>
          <w:p w14:paraId="4B7D6455" w14:textId="6D3B8994"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Scenario 1b</w:t>
            </w:r>
          </w:p>
        </w:tc>
        <w:tc>
          <w:tcPr>
            <w:tcW w:w="451" w:type="pct"/>
            <w:shd w:val="clear" w:color="auto" w:fill="auto"/>
            <w:tcMar>
              <w:top w:w="57" w:type="dxa"/>
              <w:left w:w="70" w:type="dxa"/>
              <w:bottom w:w="57" w:type="dxa"/>
              <w:right w:w="70" w:type="dxa"/>
            </w:tcMar>
            <w:vAlign w:val="center"/>
          </w:tcPr>
          <w:p w14:paraId="247EF85B"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676" w:type="pct"/>
            <w:shd w:val="clear" w:color="auto" w:fill="auto"/>
            <w:tcMar>
              <w:top w:w="57" w:type="dxa"/>
              <w:left w:w="70" w:type="dxa"/>
              <w:bottom w:w="57" w:type="dxa"/>
              <w:right w:w="70" w:type="dxa"/>
            </w:tcMar>
            <w:vAlign w:val="center"/>
          </w:tcPr>
          <w:p w14:paraId="360A8EFB"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452" w:type="pct"/>
            <w:shd w:val="clear" w:color="auto" w:fill="auto"/>
            <w:tcMar>
              <w:top w:w="57" w:type="dxa"/>
              <w:left w:w="70" w:type="dxa"/>
              <w:bottom w:w="57" w:type="dxa"/>
              <w:right w:w="70" w:type="dxa"/>
            </w:tcMar>
            <w:vAlign w:val="center"/>
          </w:tcPr>
          <w:p w14:paraId="4E1BF771"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601" w:type="pct"/>
            <w:shd w:val="clear" w:color="auto" w:fill="auto"/>
            <w:vAlign w:val="center"/>
          </w:tcPr>
          <w:p w14:paraId="21F09619"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302" w:type="pct"/>
            <w:shd w:val="clear" w:color="auto" w:fill="auto"/>
            <w:vAlign w:val="center"/>
          </w:tcPr>
          <w:p w14:paraId="25BB1413"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301" w:type="pct"/>
            <w:shd w:val="clear" w:color="auto" w:fill="auto"/>
            <w:vAlign w:val="center"/>
          </w:tcPr>
          <w:p w14:paraId="14FDF253"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302" w:type="pct"/>
            <w:shd w:val="clear" w:color="auto" w:fill="auto"/>
          </w:tcPr>
          <w:p w14:paraId="6D461053"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597" w:type="pct"/>
            <w:shd w:val="clear" w:color="auto" w:fill="auto"/>
          </w:tcPr>
          <w:p w14:paraId="33ED2681"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603" w:type="pct"/>
            <w:shd w:val="clear" w:color="auto" w:fill="auto"/>
            <w:tcMar>
              <w:top w:w="57" w:type="dxa"/>
              <w:left w:w="70" w:type="dxa"/>
              <w:bottom w:w="57" w:type="dxa"/>
              <w:right w:w="70" w:type="dxa"/>
            </w:tcMar>
            <w:vAlign w:val="center"/>
          </w:tcPr>
          <w:p w14:paraId="2BEB0180"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r>
      <w:tr w:rsidR="0024663E" w:rsidRPr="00532093" w14:paraId="0C11A3E8" w14:textId="77777777" w:rsidTr="003E3E25">
        <w:trPr>
          <w:tblHeader/>
        </w:trPr>
        <w:tc>
          <w:tcPr>
            <w:tcW w:w="715" w:type="pct"/>
            <w:shd w:val="clear" w:color="auto" w:fill="auto"/>
            <w:tcMar>
              <w:top w:w="57" w:type="dxa"/>
              <w:left w:w="70" w:type="dxa"/>
              <w:bottom w:w="57" w:type="dxa"/>
              <w:right w:w="70" w:type="dxa"/>
            </w:tcMar>
            <w:vAlign w:val="center"/>
          </w:tcPr>
          <w:p w14:paraId="6DCC5334" w14:textId="58AF8D05"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Scenario 2b</w:t>
            </w:r>
          </w:p>
        </w:tc>
        <w:tc>
          <w:tcPr>
            <w:tcW w:w="451" w:type="pct"/>
            <w:shd w:val="clear" w:color="auto" w:fill="auto"/>
            <w:tcMar>
              <w:top w:w="57" w:type="dxa"/>
              <w:left w:w="70" w:type="dxa"/>
              <w:bottom w:w="57" w:type="dxa"/>
              <w:right w:w="70" w:type="dxa"/>
            </w:tcMar>
            <w:vAlign w:val="center"/>
          </w:tcPr>
          <w:p w14:paraId="52A0D82B"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676" w:type="pct"/>
            <w:shd w:val="clear" w:color="auto" w:fill="auto"/>
            <w:tcMar>
              <w:top w:w="57" w:type="dxa"/>
              <w:left w:w="70" w:type="dxa"/>
              <w:bottom w:w="57" w:type="dxa"/>
              <w:right w:w="70" w:type="dxa"/>
            </w:tcMar>
            <w:vAlign w:val="center"/>
          </w:tcPr>
          <w:p w14:paraId="7F91C135"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452" w:type="pct"/>
            <w:shd w:val="clear" w:color="auto" w:fill="auto"/>
            <w:tcMar>
              <w:top w:w="57" w:type="dxa"/>
              <w:left w:w="70" w:type="dxa"/>
              <w:bottom w:w="57" w:type="dxa"/>
              <w:right w:w="70" w:type="dxa"/>
            </w:tcMar>
            <w:vAlign w:val="center"/>
          </w:tcPr>
          <w:p w14:paraId="15AE1B6C"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601" w:type="pct"/>
            <w:shd w:val="clear" w:color="auto" w:fill="auto"/>
            <w:vAlign w:val="center"/>
          </w:tcPr>
          <w:p w14:paraId="535EB9CD"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302" w:type="pct"/>
            <w:shd w:val="clear" w:color="auto" w:fill="auto"/>
            <w:vAlign w:val="center"/>
          </w:tcPr>
          <w:p w14:paraId="740AD6D2"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301" w:type="pct"/>
            <w:shd w:val="clear" w:color="auto" w:fill="auto"/>
            <w:vAlign w:val="center"/>
          </w:tcPr>
          <w:p w14:paraId="5EE01EF6"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302" w:type="pct"/>
            <w:shd w:val="clear" w:color="auto" w:fill="auto"/>
          </w:tcPr>
          <w:p w14:paraId="5710BA21"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597" w:type="pct"/>
            <w:shd w:val="clear" w:color="auto" w:fill="auto"/>
          </w:tcPr>
          <w:p w14:paraId="37C15A02"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603" w:type="pct"/>
            <w:shd w:val="clear" w:color="auto" w:fill="auto"/>
            <w:tcMar>
              <w:top w:w="57" w:type="dxa"/>
              <w:left w:w="70" w:type="dxa"/>
              <w:bottom w:w="57" w:type="dxa"/>
              <w:right w:w="70" w:type="dxa"/>
            </w:tcMar>
            <w:vAlign w:val="center"/>
          </w:tcPr>
          <w:p w14:paraId="0FA6C649"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r>
      <w:tr w:rsidR="0024663E" w:rsidRPr="00532093" w14:paraId="3767C349" w14:textId="77777777" w:rsidTr="003E3E25">
        <w:trPr>
          <w:tblHeader/>
        </w:trPr>
        <w:tc>
          <w:tcPr>
            <w:tcW w:w="715" w:type="pct"/>
            <w:shd w:val="clear" w:color="auto" w:fill="auto"/>
            <w:tcMar>
              <w:top w:w="57" w:type="dxa"/>
              <w:left w:w="70" w:type="dxa"/>
              <w:bottom w:w="57" w:type="dxa"/>
              <w:right w:w="70" w:type="dxa"/>
            </w:tcMar>
            <w:vAlign w:val="center"/>
          </w:tcPr>
          <w:p w14:paraId="1BC9B667"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Scenario 3</w:t>
            </w:r>
          </w:p>
        </w:tc>
        <w:tc>
          <w:tcPr>
            <w:tcW w:w="451" w:type="pct"/>
            <w:shd w:val="clear" w:color="auto" w:fill="auto"/>
            <w:tcMar>
              <w:top w:w="57" w:type="dxa"/>
              <w:left w:w="70" w:type="dxa"/>
              <w:bottom w:w="57" w:type="dxa"/>
              <w:right w:w="70" w:type="dxa"/>
            </w:tcMar>
            <w:vAlign w:val="center"/>
          </w:tcPr>
          <w:p w14:paraId="24674CF6"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676" w:type="pct"/>
            <w:shd w:val="clear" w:color="auto" w:fill="auto"/>
            <w:tcMar>
              <w:top w:w="57" w:type="dxa"/>
              <w:left w:w="70" w:type="dxa"/>
              <w:bottom w:w="57" w:type="dxa"/>
              <w:right w:w="70" w:type="dxa"/>
            </w:tcMar>
            <w:vAlign w:val="center"/>
          </w:tcPr>
          <w:p w14:paraId="2A002E0B"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452" w:type="pct"/>
            <w:shd w:val="clear" w:color="auto" w:fill="auto"/>
            <w:tcMar>
              <w:top w:w="57" w:type="dxa"/>
              <w:left w:w="70" w:type="dxa"/>
              <w:bottom w:w="57" w:type="dxa"/>
              <w:right w:w="70" w:type="dxa"/>
            </w:tcMar>
            <w:vAlign w:val="center"/>
          </w:tcPr>
          <w:p w14:paraId="63F32A12"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601" w:type="pct"/>
            <w:shd w:val="clear" w:color="auto" w:fill="auto"/>
            <w:vAlign w:val="center"/>
          </w:tcPr>
          <w:p w14:paraId="02A1D8B9"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302" w:type="pct"/>
            <w:shd w:val="clear" w:color="auto" w:fill="auto"/>
            <w:vAlign w:val="center"/>
          </w:tcPr>
          <w:p w14:paraId="1603DF11"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301" w:type="pct"/>
            <w:shd w:val="clear" w:color="auto" w:fill="auto"/>
            <w:vAlign w:val="center"/>
          </w:tcPr>
          <w:p w14:paraId="2D9148F3"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302" w:type="pct"/>
            <w:shd w:val="clear" w:color="auto" w:fill="auto"/>
          </w:tcPr>
          <w:p w14:paraId="39A85E7B"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597" w:type="pct"/>
            <w:shd w:val="clear" w:color="auto" w:fill="auto"/>
          </w:tcPr>
          <w:p w14:paraId="0B3D641C"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603" w:type="pct"/>
            <w:shd w:val="clear" w:color="auto" w:fill="auto"/>
            <w:tcMar>
              <w:top w:w="57" w:type="dxa"/>
              <w:left w:w="70" w:type="dxa"/>
              <w:bottom w:w="57" w:type="dxa"/>
              <w:right w:w="70" w:type="dxa"/>
            </w:tcMar>
            <w:vAlign w:val="center"/>
          </w:tcPr>
          <w:p w14:paraId="4D364E54"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r>
      <w:tr w:rsidR="0024663E" w:rsidRPr="00532093" w14:paraId="06974980" w14:textId="77777777" w:rsidTr="003E3E25">
        <w:trPr>
          <w:tblHeader/>
        </w:trPr>
        <w:tc>
          <w:tcPr>
            <w:tcW w:w="715" w:type="pct"/>
            <w:shd w:val="clear" w:color="auto" w:fill="auto"/>
            <w:tcMar>
              <w:top w:w="57" w:type="dxa"/>
              <w:left w:w="70" w:type="dxa"/>
              <w:bottom w:w="57" w:type="dxa"/>
              <w:right w:w="70" w:type="dxa"/>
            </w:tcMar>
            <w:vAlign w:val="center"/>
          </w:tcPr>
          <w:p w14:paraId="22BB8809"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Scenario 4</w:t>
            </w:r>
          </w:p>
        </w:tc>
        <w:tc>
          <w:tcPr>
            <w:tcW w:w="451" w:type="pct"/>
            <w:shd w:val="clear" w:color="auto" w:fill="auto"/>
            <w:tcMar>
              <w:top w:w="57" w:type="dxa"/>
              <w:left w:w="70" w:type="dxa"/>
              <w:bottom w:w="57" w:type="dxa"/>
              <w:right w:w="70" w:type="dxa"/>
            </w:tcMar>
            <w:vAlign w:val="center"/>
          </w:tcPr>
          <w:p w14:paraId="0F5E83CF"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676" w:type="pct"/>
            <w:shd w:val="clear" w:color="auto" w:fill="auto"/>
            <w:tcMar>
              <w:top w:w="57" w:type="dxa"/>
              <w:left w:w="70" w:type="dxa"/>
              <w:bottom w:w="57" w:type="dxa"/>
              <w:right w:w="70" w:type="dxa"/>
            </w:tcMar>
            <w:vAlign w:val="center"/>
          </w:tcPr>
          <w:p w14:paraId="37F35B11"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452" w:type="pct"/>
            <w:shd w:val="clear" w:color="auto" w:fill="auto"/>
            <w:tcMar>
              <w:top w:w="57" w:type="dxa"/>
              <w:left w:w="70" w:type="dxa"/>
              <w:bottom w:w="57" w:type="dxa"/>
              <w:right w:w="70" w:type="dxa"/>
            </w:tcMar>
            <w:vAlign w:val="center"/>
          </w:tcPr>
          <w:p w14:paraId="0DF95DDE"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601" w:type="pct"/>
            <w:shd w:val="clear" w:color="auto" w:fill="auto"/>
            <w:vAlign w:val="center"/>
          </w:tcPr>
          <w:p w14:paraId="3292B416"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302" w:type="pct"/>
            <w:shd w:val="clear" w:color="auto" w:fill="auto"/>
            <w:vAlign w:val="center"/>
          </w:tcPr>
          <w:p w14:paraId="411390CD"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Yes</w:t>
            </w:r>
          </w:p>
        </w:tc>
        <w:tc>
          <w:tcPr>
            <w:tcW w:w="301" w:type="pct"/>
            <w:shd w:val="clear" w:color="auto" w:fill="auto"/>
            <w:vAlign w:val="center"/>
          </w:tcPr>
          <w:p w14:paraId="26A6D606"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302" w:type="pct"/>
            <w:shd w:val="clear" w:color="auto" w:fill="auto"/>
          </w:tcPr>
          <w:p w14:paraId="696D7DF1"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597" w:type="pct"/>
            <w:shd w:val="clear" w:color="auto" w:fill="auto"/>
          </w:tcPr>
          <w:p w14:paraId="2885779F"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c>
          <w:tcPr>
            <w:tcW w:w="603" w:type="pct"/>
            <w:shd w:val="clear" w:color="auto" w:fill="auto"/>
            <w:tcMar>
              <w:top w:w="57" w:type="dxa"/>
              <w:left w:w="70" w:type="dxa"/>
              <w:bottom w:w="57" w:type="dxa"/>
              <w:right w:w="70" w:type="dxa"/>
            </w:tcMar>
            <w:vAlign w:val="center"/>
          </w:tcPr>
          <w:p w14:paraId="234AC5E9" w14:textId="77777777" w:rsidR="0024663E" w:rsidRPr="00532093" w:rsidRDefault="0024663E" w:rsidP="005752E1">
            <w:pPr>
              <w:widowControl w:val="0"/>
              <w:tabs>
                <w:tab w:val="center" w:pos="4536"/>
                <w:tab w:val="right" w:pos="9072"/>
              </w:tabs>
              <w:spacing w:line="260" w:lineRule="atLeast"/>
              <w:rPr>
                <w:rFonts w:eastAsia="Calibri"/>
                <w:color w:val="000000"/>
                <w:sz w:val="18"/>
                <w:szCs w:val="18"/>
                <w:lang w:eastAsia="en-GB"/>
              </w:rPr>
            </w:pPr>
            <w:r w:rsidRPr="00532093">
              <w:rPr>
                <w:rFonts w:eastAsia="Calibri"/>
                <w:color w:val="000000"/>
                <w:sz w:val="18"/>
                <w:szCs w:val="18"/>
                <w:lang w:eastAsia="en-GB"/>
              </w:rPr>
              <w:t>No</w:t>
            </w:r>
          </w:p>
        </w:tc>
      </w:tr>
    </w:tbl>
    <w:p w14:paraId="18877DD4" w14:textId="4208DF46" w:rsidR="0024663E" w:rsidRDefault="0024663E" w:rsidP="00A0626E">
      <w:pPr>
        <w:rPr>
          <w:rFonts w:eastAsia="Calibri"/>
          <w:lang w:eastAsia="en-US"/>
        </w:rPr>
      </w:pPr>
    </w:p>
    <w:p w14:paraId="797244D9" w14:textId="77777777" w:rsidR="00AC23E9" w:rsidRDefault="00AC23E9" w:rsidP="00AC23E9">
      <w:pPr>
        <w:pStyle w:val="Paragraphedeliste"/>
        <w:rPr>
          <w:b/>
        </w:rPr>
      </w:pPr>
    </w:p>
    <w:p w14:paraId="644287D7" w14:textId="77777777" w:rsidR="00AC23E9" w:rsidRDefault="00AC23E9" w:rsidP="00AC23E9">
      <w:pPr>
        <w:pStyle w:val="Paragraphedeliste"/>
        <w:rPr>
          <w:b/>
        </w:rPr>
      </w:pPr>
    </w:p>
    <w:p w14:paraId="06B6E252" w14:textId="34DB8322" w:rsidR="00AC23E9" w:rsidRPr="009461FB" w:rsidRDefault="00AC23E9" w:rsidP="00AC23E9">
      <w:pPr>
        <w:pStyle w:val="Paragraphedeliste"/>
        <w:numPr>
          <w:ilvl w:val="0"/>
          <w:numId w:val="68"/>
        </w:numPr>
        <w:rPr>
          <w:b/>
        </w:rPr>
      </w:pPr>
      <w:r w:rsidRPr="009461FB">
        <w:rPr>
          <w:b/>
        </w:rPr>
        <w:t>FIRST AUTHORISATION – 2017 (BE CA)</w:t>
      </w:r>
    </w:p>
    <w:p w14:paraId="696A661B" w14:textId="77777777" w:rsidR="0024663E" w:rsidRPr="00FD2055" w:rsidRDefault="0024663E" w:rsidP="00A0626E">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505"/>
        <w:gridCol w:w="1273"/>
        <w:gridCol w:w="1153"/>
      </w:tblGrid>
      <w:tr w:rsidR="00A0626E" w:rsidRPr="00140213" w14:paraId="7A8CF7DE" w14:textId="77777777" w:rsidTr="00A0626E">
        <w:trPr>
          <w:trHeight w:val="313"/>
        </w:trPr>
        <w:tc>
          <w:tcPr>
            <w:tcW w:w="5000" w:type="pct"/>
            <w:gridSpan w:val="4"/>
            <w:shd w:val="clear" w:color="auto" w:fill="FFFFCC"/>
            <w:vAlign w:val="center"/>
          </w:tcPr>
          <w:p w14:paraId="105DD3A4" w14:textId="77777777" w:rsidR="00A0626E" w:rsidRPr="00140213" w:rsidRDefault="00A0626E" w:rsidP="00A0626E">
            <w:pPr>
              <w:pStyle w:val="Standaard-Tabellen"/>
              <w:jc w:val="center"/>
              <w:rPr>
                <w:rFonts w:eastAsia="Calibri"/>
                <w:b/>
              </w:rPr>
            </w:pPr>
            <w:r w:rsidRPr="00140213">
              <w:rPr>
                <w:rFonts w:eastAsia="Calibri"/>
                <w:b/>
              </w:rPr>
              <w:t>Input parameters (only set values) for calculating the fate and distribution in the environment</w:t>
            </w:r>
          </w:p>
        </w:tc>
      </w:tr>
      <w:tr w:rsidR="00A0626E" w:rsidRPr="00140213" w14:paraId="3BCB2CEA" w14:textId="77777777" w:rsidTr="00A0626E">
        <w:trPr>
          <w:trHeight w:val="313"/>
        </w:trPr>
        <w:tc>
          <w:tcPr>
            <w:tcW w:w="2378" w:type="pct"/>
            <w:shd w:val="clear" w:color="auto" w:fill="BFBFBF" w:themeFill="background1" w:themeFillShade="BF"/>
            <w:vAlign w:val="center"/>
          </w:tcPr>
          <w:p w14:paraId="0D0DEFD2" w14:textId="77777777" w:rsidR="00A0626E" w:rsidRPr="00140213" w:rsidRDefault="00A0626E" w:rsidP="00A0626E">
            <w:pPr>
              <w:pStyle w:val="Standaard-Tabellen"/>
              <w:rPr>
                <w:rFonts w:eastAsia="Calibri"/>
                <w:b/>
              </w:rPr>
            </w:pPr>
            <w:r w:rsidRPr="00140213">
              <w:rPr>
                <w:rFonts w:eastAsia="Calibri"/>
                <w:b/>
              </w:rPr>
              <w:t xml:space="preserve">Input </w:t>
            </w:r>
          </w:p>
        </w:tc>
        <w:tc>
          <w:tcPr>
            <w:tcW w:w="1332" w:type="pct"/>
            <w:shd w:val="clear" w:color="auto" w:fill="BFBFBF" w:themeFill="background1" w:themeFillShade="BF"/>
            <w:vAlign w:val="center"/>
          </w:tcPr>
          <w:p w14:paraId="6AB5FB9E" w14:textId="77777777" w:rsidR="00A0626E" w:rsidRPr="00140213" w:rsidRDefault="00A0626E" w:rsidP="00A0626E">
            <w:pPr>
              <w:pStyle w:val="Standaard-Tabellen"/>
              <w:rPr>
                <w:rFonts w:eastAsia="Calibri"/>
                <w:b/>
              </w:rPr>
            </w:pPr>
            <w:r w:rsidRPr="00140213">
              <w:rPr>
                <w:rFonts w:eastAsia="Calibri"/>
                <w:b/>
              </w:rPr>
              <w:t xml:space="preserve">Value </w:t>
            </w:r>
          </w:p>
        </w:tc>
        <w:tc>
          <w:tcPr>
            <w:tcW w:w="677" w:type="pct"/>
            <w:shd w:val="clear" w:color="auto" w:fill="BFBFBF" w:themeFill="background1" w:themeFillShade="BF"/>
            <w:vAlign w:val="center"/>
          </w:tcPr>
          <w:p w14:paraId="6282BC4E" w14:textId="77777777" w:rsidR="00A0626E" w:rsidRPr="00140213" w:rsidRDefault="00A0626E" w:rsidP="00A0626E">
            <w:pPr>
              <w:pStyle w:val="Standaard-Tabellen"/>
              <w:rPr>
                <w:rFonts w:eastAsia="Calibri"/>
                <w:b/>
              </w:rPr>
            </w:pPr>
            <w:r w:rsidRPr="00140213">
              <w:rPr>
                <w:rFonts w:eastAsia="Calibri"/>
                <w:b/>
              </w:rPr>
              <w:t>Unit</w:t>
            </w:r>
          </w:p>
        </w:tc>
        <w:tc>
          <w:tcPr>
            <w:tcW w:w="613" w:type="pct"/>
            <w:shd w:val="clear" w:color="auto" w:fill="BFBFBF" w:themeFill="background1" w:themeFillShade="BF"/>
            <w:vAlign w:val="center"/>
          </w:tcPr>
          <w:p w14:paraId="4C7EE95B" w14:textId="77777777" w:rsidR="00A0626E" w:rsidRPr="00140213" w:rsidRDefault="00A0626E" w:rsidP="00A0626E">
            <w:pPr>
              <w:pStyle w:val="Standaard-Tabellen"/>
              <w:rPr>
                <w:rFonts w:eastAsia="Calibri"/>
                <w:b/>
              </w:rPr>
            </w:pPr>
            <w:r w:rsidRPr="00140213">
              <w:rPr>
                <w:rFonts w:eastAsia="Calibri"/>
                <w:b/>
              </w:rPr>
              <w:t>Remarks</w:t>
            </w:r>
          </w:p>
        </w:tc>
      </w:tr>
      <w:tr w:rsidR="00A0626E" w:rsidRPr="00FD2055" w14:paraId="685BAA2E" w14:textId="77777777" w:rsidTr="00A0626E">
        <w:trPr>
          <w:trHeight w:val="75"/>
        </w:trPr>
        <w:tc>
          <w:tcPr>
            <w:tcW w:w="2378" w:type="pct"/>
            <w:shd w:val="clear" w:color="auto" w:fill="FFFFFF"/>
            <w:vAlign w:val="center"/>
          </w:tcPr>
          <w:p w14:paraId="7C86D336" w14:textId="77777777" w:rsidR="00A0626E" w:rsidRPr="00FD2055" w:rsidRDefault="00A0626E" w:rsidP="00A0626E">
            <w:pPr>
              <w:pStyle w:val="Standaard-Tabellen"/>
              <w:rPr>
                <w:rFonts w:eastAsia="Calibri"/>
              </w:rPr>
            </w:pPr>
            <w:r w:rsidRPr="00FD2055">
              <w:rPr>
                <w:rFonts w:eastAsia="Calibri"/>
              </w:rPr>
              <w:t>Molecular weight</w:t>
            </w:r>
          </w:p>
        </w:tc>
        <w:tc>
          <w:tcPr>
            <w:tcW w:w="1332" w:type="pct"/>
            <w:shd w:val="clear" w:color="auto" w:fill="FFFFFF"/>
            <w:vAlign w:val="center"/>
          </w:tcPr>
          <w:p w14:paraId="5B61C663" w14:textId="77777777" w:rsidR="00A0626E" w:rsidRPr="00FD2055" w:rsidRDefault="00A0626E" w:rsidP="00A0626E">
            <w:pPr>
              <w:pStyle w:val="Standaard-Tabellen"/>
              <w:rPr>
                <w:rFonts w:eastAsia="Calibri"/>
              </w:rPr>
            </w:pPr>
            <w:r>
              <w:rPr>
                <w:rFonts w:eastAsia="Calibri"/>
              </w:rPr>
              <w:t>215.29</w:t>
            </w:r>
          </w:p>
        </w:tc>
        <w:tc>
          <w:tcPr>
            <w:tcW w:w="677" w:type="pct"/>
            <w:shd w:val="clear" w:color="auto" w:fill="FFFFFF"/>
            <w:vAlign w:val="center"/>
          </w:tcPr>
          <w:p w14:paraId="5104A2E6" w14:textId="2DF0010F" w:rsidR="00A0626E" w:rsidRPr="00FD2055" w:rsidRDefault="00FC2389" w:rsidP="00A0626E">
            <w:pPr>
              <w:pStyle w:val="Standaard-Tabellen"/>
              <w:rPr>
                <w:rFonts w:eastAsia="Calibri"/>
              </w:rPr>
            </w:pPr>
            <w:r>
              <w:rPr>
                <w:rFonts w:eastAsia="Calibri"/>
              </w:rPr>
              <w:t>g/mol</w:t>
            </w:r>
          </w:p>
        </w:tc>
        <w:tc>
          <w:tcPr>
            <w:tcW w:w="613" w:type="pct"/>
            <w:shd w:val="clear" w:color="auto" w:fill="FFFFFF"/>
            <w:vAlign w:val="center"/>
          </w:tcPr>
          <w:p w14:paraId="39EA30B7" w14:textId="77777777" w:rsidR="00A0626E" w:rsidRPr="00FD2055" w:rsidRDefault="00A0626E" w:rsidP="00A0626E">
            <w:pPr>
              <w:pStyle w:val="Standaard-Tabellen"/>
              <w:rPr>
                <w:rFonts w:eastAsia="Calibri"/>
              </w:rPr>
            </w:pPr>
          </w:p>
        </w:tc>
      </w:tr>
      <w:tr w:rsidR="00A0626E" w:rsidRPr="00FD2055" w14:paraId="412DA013" w14:textId="77777777" w:rsidTr="00A0626E">
        <w:trPr>
          <w:trHeight w:val="75"/>
        </w:trPr>
        <w:tc>
          <w:tcPr>
            <w:tcW w:w="2378" w:type="pct"/>
            <w:shd w:val="clear" w:color="auto" w:fill="FFFFFF"/>
            <w:vAlign w:val="center"/>
          </w:tcPr>
          <w:p w14:paraId="1F9C8E6A" w14:textId="77777777" w:rsidR="00A0626E" w:rsidRPr="00FD2055" w:rsidRDefault="00A0626E" w:rsidP="00A0626E">
            <w:pPr>
              <w:pStyle w:val="Standaard-Tabellen"/>
              <w:rPr>
                <w:rFonts w:eastAsia="Calibri"/>
              </w:rPr>
            </w:pPr>
            <w:r w:rsidRPr="00FD2055">
              <w:rPr>
                <w:rFonts w:eastAsia="Calibri"/>
              </w:rPr>
              <w:t>Melting point</w:t>
            </w:r>
          </w:p>
        </w:tc>
        <w:tc>
          <w:tcPr>
            <w:tcW w:w="1332" w:type="pct"/>
            <w:shd w:val="clear" w:color="auto" w:fill="FFFFFF"/>
            <w:vAlign w:val="center"/>
          </w:tcPr>
          <w:p w14:paraId="54103AF8" w14:textId="77777777" w:rsidR="00A0626E" w:rsidRPr="00FD2055" w:rsidRDefault="00A0626E" w:rsidP="00A0626E">
            <w:pPr>
              <w:pStyle w:val="Standaard-Tabellen"/>
              <w:rPr>
                <w:rFonts w:eastAsia="Calibri"/>
              </w:rPr>
            </w:pPr>
            <w:r>
              <w:rPr>
                <w:rFonts w:eastAsia="Calibri"/>
              </w:rPr>
              <w:t>-90</w:t>
            </w:r>
          </w:p>
        </w:tc>
        <w:tc>
          <w:tcPr>
            <w:tcW w:w="677" w:type="pct"/>
            <w:shd w:val="clear" w:color="auto" w:fill="FFFFFF"/>
            <w:vAlign w:val="center"/>
          </w:tcPr>
          <w:p w14:paraId="0DB31A5B" w14:textId="77777777" w:rsidR="00A0626E" w:rsidRPr="00FD2055" w:rsidRDefault="00A0626E" w:rsidP="00A0626E">
            <w:pPr>
              <w:pStyle w:val="Standaard-Tabellen"/>
              <w:rPr>
                <w:rFonts w:eastAsia="Calibri"/>
              </w:rPr>
            </w:pPr>
            <w:r w:rsidRPr="00FD2055">
              <w:rPr>
                <w:rFonts w:eastAsia="Calibri"/>
              </w:rPr>
              <w:t>°C</w:t>
            </w:r>
          </w:p>
        </w:tc>
        <w:tc>
          <w:tcPr>
            <w:tcW w:w="613" w:type="pct"/>
            <w:shd w:val="clear" w:color="auto" w:fill="FFFFFF"/>
            <w:vAlign w:val="center"/>
          </w:tcPr>
          <w:p w14:paraId="2B06DBDE" w14:textId="77777777" w:rsidR="00A0626E" w:rsidRPr="00FD2055" w:rsidRDefault="00A0626E" w:rsidP="00A0626E">
            <w:pPr>
              <w:pStyle w:val="Standaard-Tabellen"/>
              <w:rPr>
                <w:rFonts w:eastAsia="Calibri"/>
              </w:rPr>
            </w:pPr>
          </w:p>
        </w:tc>
      </w:tr>
      <w:tr w:rsidR="00A0626E" w:rsidRPr="00FD2055" w14:paraId="4882AC7A" w14:textId="77777777" w:rsidTr="00A0626E">
        <w:trPr>
          <w:trHeight w:val="75"/>
        </w:trPr>
        <w:tc>
          <w:tcPr>
            <w:tcW w:w="2378" w:type="pct"/>
            <w:shd w:val="clear" w:color="auto" w:fill="FFFFFF"/>
            <w:vAlign w:val="center"/>
          </w:tcPr>
          <w:p w14:paraId="0E62DD3C" w14:textId="77777777" w:rsidR="00A0626E" w:rsidRPr="00FD2055" w:rsidRDefault="00A0626E" w:rsidP="00A0626E">
            <w:pPr>
              <w:pStyle w:val="Standaard-Tabellen"/>
              <w:rPr>
                <w:rFonts w:eastAsia="Calibri"/>
              </w:rPr>
            </w:pPr>
            <w:r w:rsidRPr="00FD2055">
              <w:rPr>
                <w:rFonts w:eastAsia="Calibri"/>
              </w:rPr>
              <w:t>Boiling point</w:t>
            </w:r>
          </w:p>
        </w:tc>
        <w:tc>
          <w:tcPr>
            <w:tcW w:w="1332" w:type="pct"/>
            <w:shd w:val="clear" w:color="auto" w:fill="FFFFFF"/>
            <w:vAlign w:val="center"/>
          </w:tcPr>
          <w:p w14:paraId="01CE0298" w14:textId="77777777" w:rsidR="00A0626E" w:rsidRPr="00FD2055" w:rsidRDefault="00A0626E" w:rsidP="00A0626E">
            <w:pPr>
              <w:pStyle w:val="Standaard-Tabellen"/>
              <w:rPr>
                <w:rFonts w:eastAsia="Calibri"/>
              </w:rPr>
            </w:pPr>
            <w:r>
              <w:rPr>
                <w:rFonts w:eastAsia="Calibri"/>
              </w:rPr>
              <w:t>300</w:t>
            </w:r>
          </w:p>
        </w:tc>
        <w:tc>
          <w:tcPr>
            <w:tcW w:w="677" w:type="pct"/>
            <w:shd w:val="clear" w:color="auto" w:fill="FFFFFF"/>
            <w:vAlign w:val="center"/>
          </w:tcPr>
          <w:p w14:paraId="574632BF" w14:textId="77777777" w:rsidR="00A0626E" w:rsidRPr="00FD2055" w:rsidRDefault="00A0626E" w:rsidP="00A0626E">
            <w:pPr>
              <w:pStyle w:val="Standaard-Tabellen"/>
              <w:rPr>
                <w:rFonts w:eastAsia="Calibri"/>
              </w:rPr>
            </w:pPr>
            <w:r w:rsidRPr="00FD2055">
              <w:rPr>
                <w:rFonts w:eastAsia="Calibri"/>
              </w:rPr>
              <w:t>°C</w:t>
            </w:r>
          </w:p>
        </w:tc>
        <w:tc>
          <w:tcPr>
            <w:tcW w:w="613" w:type="pct"/>
            <w:shd w:val="clear" w:color="auto" w:fill="FFFFFF"/>
            <w:vAlign w:val="center"/>
          </w:tcPr>
          <w:p w14:paraId="3B15A5B4" w14:textId="77777777" w:rsidR="00A0626E" w:rsidRPr="00FD2055" w:rsidRDefault="00A0626E" w:rsidP="00A0626E">
            <w:pPr>
              <w:pStyle w:val="Standaard-Tabellen"/>
              <w:rPr>
                <w:rFonts w:eastAsia="Calibri"/>
              </w:rPr>
            </w:pPr>
          </w:p>
        </w:tc>
      </w:tr>
      <w:tr w:rsidR="00A0626E" w:rsidRPr="00FD2055" w14:paraId="3B001A49" w14:textId="77777777" w:rsidTr="00A0626E">
        <w:trPr>
          <w:trHeight w:val="75"/>
        </w:trPr>
        <w:tc>
          <w:tcPr>
            <w:tcW w:w="2378" w:type="pct"/>
            <w:shd w:val="clear" w:color="auto" w:fill="FFFFFF"/>
            <w:vAlign w:val="center"/>
          </w:tcPr>
          <w:p w14:paraId="581FA61A" w14:textId="77777777" w:rsidR="00A0626E" w:rsidRPr="00FD2055" w:rsidRDefault="00A0626E" w:rsidP="00A0626E">
            <w:pPr>
              <w:pStyle w:val="Standaard-Tabellen"/>
              <w:rPr>
                <w:rFonts w:eastAsia="Calibri"/>
              </w:rPr>
            </w:pPr>
            <w:r w:rsidRPr="00FD2055">
              <w:rPr>
                <w:rFonts w:eastAsia="Calibri"/>
              </w:rPr>
              <w:t xml:space="preserve">Vapour pressure (at </w:t>
            </w:r>
            <w:r>
              <w:rPr>
                <w:rFonts w:eastAsia="Calibri"/>
              </w:rPr>
              <w:t>20 °</w:t>
            </w:r>
            <w:r w:rsidRPr="00FD2055">
              <w:rPr>
                <w:rFonts w:eastAsia="Calibri"/>
              </w:rPr>
              <w:t>C)</w:t>
            </w:r>
          </w:p>
        </w:tc>
        <w:tc>
          <w:tcPr>
            <w:tcW w:w="1332" w:type="pct"/>
            <w:shd w:val="clear" w:color="auto" w:fill="FFFFFF"/>
            <w:vAlign w:val="center"/>
          </w:tcPr>
          <w:p w14:paraId="51340EDB" w14:textId="77777777" w:rsidR="00A0626E" w:rsidRPr="00FD2055" w:rsidRDefault="00A0626E" w:rsidP="00A0626E">
            <w:pPr>
              <w:pStyle w:val="Standaard-Tabellen"/>
              <w:rPr>
                <w:rFonts w:eastAsia="Calibri"/>
              </w:rPr>
            </w:pPr>
            <w:r>
              <w:rPr>
                <w:rFonts w:eastAsia="Calibri"/>
              </w:rPr>
              <w:t>0.15</w:t>
            </w:r>
          </w:p>
        </w:tc>
        <w:tc>
          <w:tcPr>
            <w:tcW w:w="677" w:type="pct"/>
            <w:shd w:val="clear" w:color="auto" w:fill="FFFFFF"/>
            <w:vAlign w:val="center"/>
          </w:tcPr>
          <w:p w14:paraId="552AD879" w14:textId="77777777" w:rsidR="00A0626E" w:rsidRPr="00FD2055" w:rsidRDefault="00A0626E" w:rsidP="00A0626E">
            <w:pPr>
              <w:pStyle w:val="Standaard-Tabellen"/>
              <w:rPr>
                <w:rFonts w:eastAsia="Calibri"/>
              </w:rPr>
            </w:pPr>
            <w:r w:rsidRPr="00FD2055">
              <w:rPr>
                <w:rFonts w:eastAsia="Calibri"/>
              </w:rPr>
              <w:t>Pa</w:t>
            </w:r>
          </w:p>
        </w:tc>
        <w:tc>
          <w:tcPr>
            <w:tcW w:w="613" w:type="pct"/>
            <w:shd w:val="clear" w:color="auto" w:fill="FFFFFF"/>
            <w:vAlign w:val="center"/>
          </w:tcPr>
          <w:p w14:paraId="67BF8FE4" w14:textId="77777777" w:rsidR="00A0626E" w:rsidRPr="00FD2055" w:rsidRDefault="00A0626E" w:rsidP="00A0626E">
            <w:pPr>
              <w:pStyle w:val="Standaard-Tabellen"/>
              <w:rPr>
                <w:rFonts w:eastAsia="Calibri"/>
              </w:rPr>
            </w:pPr>
          </w:p>
        </w:tc>
      </w:tr>
      <w:tr w:rsidR="00A0626E" w:rsidRPr="00FD2055" w14:paraId="5FFC9116" w14:textId="77777777" w:rsidTr="00A0626E">
        <w:trPr>
          <w:trHeight w:val="75"/>
        </w:trPr>
        <w:tc>
          <w:tcPr>
            <w:tcW w:w="2378" w:type="pct"/>
            <w:shd w:val="clear" w:color="auto" w:fill="FFFFFF"/>
            <w:vAlign w:val="center"/>
          </w:tcPr>
          <w:p w14:paraId="0DFD310C" w14:textId="77777777" w:rsidR="00A0626E" w:rsidRPr="00FD2055" w:rsidRDefault="00A0626E" w:rsidP="00A0626E">
            <w:pPr>
              <w:pStyle w:val="Standaard-Tabellen"/>
              <w:rPr>
                <w:rFonts w:eastAsia="Calibri"/>
              </w:rPr>
            </w:pPr>
            <w:r w:rsidRPr="00FD2055">
              <w:rPr>
                <w:rFonts w:eastAsia="Calibri"/>
              </w:rPr>
              <w:t xml:space="preserve">Water solubility (at  </w:t>
            </w:r>
            <w:r>
              <w:rPr>
                <w:rFonts w:eastAsia="Calibri"/>
              </w:rPr>
              <w:t>20 </w:t>
            </w:r>
            <w:r w:rsidRPr="00FD2055">
              <w:rPr>
                <w:rFonts w:eastAsia="Calibri"/>
              </w:rPr>
              <w:t>°C)</w:t>
            </w:r>
          </w:p>
        </w:tc>
        <w:tc>
          <w:tcPr>
            <w:tcW w:w="1332" w:type="pct"/>
            <w:shd w:val="clear" w:color="auto" w:fill="FFFFFF"/>
            <w:vAlign w:val="center"/>
          </w:tcPr>
          <w:p w14:paraId="454F5A9F" w14:textId="77777777" w:rsidR="00A0626E" w:rsidRPr="00FD2055" w:rsidRDefault="00A0626E" w:rsidP="00A0626E">
            <w:pPr>
              <w:pStyle w:val="Standaard-Tabellen"/>
              <w:rPr>
                <w:rFonts w:eastAsia="Calibri"/>
              </w:rPr>
            </w:pPr>
            <w:r>
              <w:rPr>
                <w:rFonts w:eastAsia="Calibri"/>
              </w:rPr>
              <w:t>70 000</w:t>
            </w:r>
          </w:p>
        </w:tc>
        <w:tc>
          <w:tcPr>
            <w:tcW w:w="677" w:type="pct"/>
            <w:shd w:val="clear" w:color="auto" w:fill="FFFFFF"/>
            <w:vAlign w:val="center"/>
          </w:tcPr>
          <w:p w14:paraId="1054679F" w14:textId="77777777" w:rsidR="00A0626E" w:rsidRPr="00FD2055" w:rsidRDefault="00A0626E" w:rsidP="00A0626E">
            <w:pPr>
              <w:pStyle w:val="Standaard-Tabellen"/>
              <w:rPr>
                <w:rFonts w:eastAsia="Calibri"/>
              </w:rPr>
            </w:pPr>
            <w:r w:rsidRPr="00FD2055">
              <w:rPr>
                <w:rFonts w:eastAsia="Calibri"/>
              </w:rPr>
              <w:t>mg/l</w:t>
            </w:r>
          </w:p>
        </w:tc>
        <w:tc>
          <w:tcPr>
            <w:tcW w:w="613" w:type="pct"/>
            <w:shd w:val="clear" w:color="auto" w:fill="FFFFFF"/>
            <w:vAlign w:val="center"/>
          </w:tcPr>
          <w:p w14:paraId="1117FAC8" w14:textId="77777777" w:rsidR="00A0626E" w:rsidRPr="00FD2055" w:rsidRDefault="00A0626E" w:rsidP="00A0626E">
            <w:pPr>
              <w:pStyle w:val="Standaard-Tabellen"/>
              <w:rPr>
                <w:rFonts w:eastAsia="Calibri"/>
              </w:rPr>
            </w:pPr>
          </w:p>
        </w:tc>
      </w:tr>
      <w:tr w:rsidR="00A0626E" w:rsidRPr="00FD2055" w14:paraId="6D76A597" w14:textId="77777777" w:rsidTr="00A0626E">
        <w:trPr>
          <w:trHeight w:val="75"/>
        </w:trPr>
        <w:tc>
          <w:tcPr>
            <w:tcW w:w="2378" w:type="pct"/>
            <w:shd w:val="clear" w:color="auto" w:fill="FFFFFF"/>
            <w:vAlign w:val="center"/>
          </w:tcPr>
          <w:p w14:paraId="7756EF4D" w14:textId="77777777" w:rsidR="00A0626E" w:rsidRPr="00FD2055" w:rsidRDefault="00A0626E" w:rsidP="00A0626E">
            <w:pPr>
              <w:pStyle w:val="Standaard-Tabellen"/>
              <w:rPr>
                <w:rFonts w:eastAsia="Calibri"/>
                <w:lang w:val="fr-BE"/>
              </w:rPr>
            </w:pPr>
            <w:r w:rsidRPr="00FD2055">
              <w:rPr>
                <w:rFonts w:eastAsia="Calibri"/>
                <w:lang w:val="fr-BE"/>
              </w:rPr>
              <w:t>Log Octanol/water partition coefficient</w:t>
            </w:r>
          </w:p>
        </w:tc>
        <w:tc>
          <w:tcPr>
            <w:tcW w:w="1332" w:type="pct"/>
            <w:shd w:val="clear" w:color="auto" w:fill="FFFFFF"/>
            <w:vAlign w:val="center"/>
          </w:tcPr>
          <w:p w14:paraId="5D2755E8" w14:textId="77777777" w:rsidR="00A0626E" w:rsidRPr="002C4887" w:rsidRDefault="00A0626E" w:rsidP="00A0626E">
            <w:pPr>
              <w:pStyle w:val="Standaard-Tabellen"/>
              <w:rPr>
                <w:rFonts w:eastAsia="Calibri"/>
                <w:lang w:val="fr-BE"/>
              </w:rPr>
            </w:pPr>
            <w:r>
              <w:rPr>
                <w:rFonts w:eastAsia="Calibri"/>
                <w:lang w:val="fr-BE"/>
              </w:rPr>
              <w:t>1.7</w:t>
            </w:r>
          </w:p>
        </w:tc>
        <w:tc>
          <w:tcPr>
            <w:tcW w:w="677" w:type="pct"/>
            <w:shd w:val="clear" w:color="auto" w:fill="FFFFFF"/>
            <w:vAlign w:val="center"/>
          </w:tcPr>
          <w:p w14:paraId="491785B7" w14:textId="77777777" w:rsidR="00A0626E" w:rsidRPr="00FD2055" w:rsidRDefault="00A0626E" w:rsidP="00A0626E">
            <w:pPr>
              <w:pStyle w:val="Standaard-Tabellen"/>
              <w:rPr>
                <w:rFonts w:eastAsia="Calibri"/>
              </w:rPr>
            </w:pPr>
            <w:r w:rsidRPr="00FD2055">
              <w:rPr>
                <w:rFonts w:eastAsia="Calibri"/>
                <w:lang w:val="fr-BE"/>
              </w:rPr>
              <w:t>Log 10</w:t>
            </w:r>
          </w:p>
        </w:tc>
        <w:tc>
          <w:tcPr>
            <w:tcW w:w="613" w:type="pct"/>
            <w:shd w:val="clear" w:color="auto" w:fill="FFFFFF"/>
            <w:vAlign w:val="center"/>
          </w:tcPr>
          <w:p w14:paraId="26718E8E" w14:textId="77777777" w:rsidR="00A0626E" w:rsidRPr="00FD2055" w:rsidRDefault="00A0626E" w:rsidP="00A0626E">
            <w:pPr>
              <w:pStyle w:val="Standaard-Tabellen"/>
              <w:rPr>
                <w:rFonts w:eastAsia="Calibri"/>
              </w:rPr>
            </w:pPr>
          </w:p>
        </w:tc>
      </w:tr>
      <w:tr w:rsidR="00A0626E" w:rsidRPr="00FD2055" w14:paraId="5B420739" w14:textId="77777777" w:rsidTr="00A0626E">
        <w:trPr>
          <w:trHeight w:val="75"/>
        </w:trPr>
        <w:tc>
          <w:tcPr>
            <w:tcW w:w="2378" w:type="pct"/>
            <w:shd w:val="clear" w:color="auto" w:fill="FFFFFF"/>
            <w:vAlign w:val="center"/>
          </w:tcPr>
          <w:p w14:paraId="7BBB810C" w14:textId="77777777" w:rsidR="00A0626E" w:rsidRPr="00FD2055" w:rsidRDefault="00A0626E" w:rsidP="00A0626E">
            <w:pPr>
              <w:pStyle w:val="Standaard-Tabellen"/>
              <w:rPr>
                <w:rFonts w:eastAsia="Calibri"/>
              </w:rPr>
            </w:pPr>
            <w:r w:rsidRPr="00FD2055">
              <w:rPr>
                <w:rFonts w:eastAsia="Calibri"/>
              </w:rPr>
              <w:t>Organic carbon/water partition coefficient (Koc)</w:t>
            </w:r>
          </w:p>
        </w:tc>
        <w:tc>
          <w:tcPr>
            <w:tcW w:w="1332" w:type="pct"/>
            <w:shd w:val="clear" w:color="auto" w:fill="FFFFFF"/>
            <w:vAlign w:val="center"/>
          </w:tcPr>
          <w:p w14:paraId="6352987A" w14:textId="77777777" w:rsidR="00A0626E" w:rsidRPr="00FD2055" w:rsidRDefault="00A0626E" w:rsidP="00A0626E">
            <w:pPr>
              <w:pStyle w:val="Standaard-Tabellen"/>
              <w:rPr>
                <w:rFonts w:eastAsia="Calibri"/>
              </w:rPr>
            </w:pPr>
            <w:r>
              <w:rPr>
                <w:rFonts w:eastAsia="Calibri"/>
              </w:rPr>
              <w:t>475.25</w:t>
            </w:r>
          </w:p>
        </w:tc>
        <w:tc>
          <w:tcPr>
            <w:tcW w:w="677" w:type="pct"/>
            <w:shd w:val="clear" w:color="auto" w:fill="FFFFFF"/>
            <w:vAlign w:val="center"/>
          </w:tcPr>
          <w:p w14:paraId="72B0688B" w14:textId="77777777" w:rsidR="00A0626E" w:rsidRPr="00FD2055" w:rsidRDefault="00A0626E" w:rsidP="00A0626E">
            <w:pPr>
              <w:pStyle w:val="Standaard-Tabellen"/>
              <w:rPr>
                <w:rFonts w:eastAsia="Calibri"/>
              </w:rPr>
            </w:pPr>
            <w:r w:rsidRPr="00FD2055">
              <w:rPr>
                <w:rFonts w:eastAsia="Calibri"/>
              </w:rPr>
              <w:t>l/kg</w:t>
            </w:r>
          </w:p>
        </w:tc>
        <w:tc>
          <w:tcPr>
            <w:tcW w:w="613" w:type="pct"/>
            <w:shd w:val="clear" w:color="auto" w:fill="FFFFFF"/>
            <w:vAlign w:val="center"/>
          </w:tcPr>
          <w:p w14:paraId="74A78FBC" w14:textId="77777777" w:rsidR="00A0626E" w:rsidRPr="00FD2055" w:rsidRDefault="00A0626E" w:rsidP="00A0626E">
            <w:pPr>
              <w:pStyle w:val="Standaard-Tabellen"/>
              <w:rPr>
                <w:rFonts w:eastAsia="Calibri"/>
              </w:rPr>
            </w:pPr>
          </w:p>
        </w:tc>
      </w:tr>
      <w:tr w:rsidR="00A0626E" w:rsidRPr="00FD2055" w14:paraId="36E94830" w14:textId="77777777" w:rsidTr="00A0626E">
        <w:trPr>
          <w:trHeight w:val="93"/>
        </w:trPr>
        <w:tc>
          <w:tcPr>
            <w:tcW w:w="2378" w:type="pct"/>
            <w:shd w:val="clear" w:color="auto" w:fill="FFFFFF"/>
            <w:vAlign w:val="center"/>
          </w:tcPr>
          <w:p w14:paraId="0F1BED27" w14:textId="77777777" w:rsidR="00A0626E" w:rsidRPr="00FD2055" w:rsidRDefault="00A0626E" w:rsidP="00A0626E">
            <w:pPr>
              <w:pStyle w:val="Standaard-Tabellen"/>
              <w:rPr>
                <w:rFonts w:eastAsia="Calibri"/>
              </w:rPr>
            </w:pPr>
            <w:r w:rsidRPr="00FD2055">
              <w:rPr>
                <w:rFonts w:eastAsia="Calibri"/>
              </w:rPr>
              <w:t xml:space="preserve">Henry’s Law Constant (at </w:t>
            </w:r>
            <w:r>
              <w:rPr>
                <w:rFonts w:eastAsia="Calibri"/>
              </w:rPr>
              <w:t>20 °</w:t>
            </w:r>
            <w:r w:rsidRPr="00FD2055">
              <w:rPr>
                <w:rFonts w:eastAsia="Calibri"/>
              </w:rPr>
              <w:t>C</w:t>
            </w:r>
            <w:r>
              <w:rPr>
                <w:rFonts w:eastAsia="Calibri"/>
              </w:rPr>
              <w:t>)</w:t>
            </w:r>
          </w:p>
        </w:tc>
        <w:tc>
          <w:tcPr>
            <w:tcW w:w="1332" w:type="pct"/>
            <w:shd w:val="clear" w:color="auto" w:fill="FFFFFF"/>
            <w:vAlign w:val="center"/>
          </w:tcPr>
          <w:p w14:paraId="3D65A3AC" w14:textId="77777777" w:rsidR="00A0626E" w:rsidRPr="005F31FF" w:rsidRDefault="00A0626E" w:rsidP="00A0626E">
            <w:pPr>
              <w:pStyle w:val="Standaard-Tabellen"/>
              <w:rPr>
                <w:rFonts w:eastAsia="Calibri"/>
                <w:vertAlign w:val="superscript"/>
              </w:rPr>
            </w:pPr>
            <w:r>
              <w:rPr>
                <w:rFonts w:eastAsia="Calibri"/>
              </w:rPr>
              <w:t>4.613x10</w:t>
            </w:r>
            <w:r>
              <w:rPr>
                <w:rFonts w:eastAsia="Calibri"/>
                <w:vertAlign w:val="superscript"/>
              </w:rPr>
              <w:t>-4</w:t>
            </w:r>
          </w:p>
        </w:tc>
        <w:tc>
          <w:tcPr>
            <w:tcW w:w="677" w:type="pct"/>
            <w:shd w:val="clear" w:color="auto" w:fill="FFFFFF"/>
            <w:vAlign w:val="center"/>
          </w:tcPr>
          <w:p w14:paraId="7F44C14A" w14:textId="2E01CB2E" w:rsidR="00A0626E" w:rsidRPr="00FD2055" w:rsidRDefault="00A0626E" w:rsidP="004B70ED">
            <w:pPr>
              <w:pStyle w:val="Standaard-Tabellen"/>
              <w:rPr>
                <w:rFonts w:eastAsia="Calibri"/>
              </w:rPr>
            </w:pPr>
            <w:r w:rsidRPr="00FD2055">
              <w:rPr>
                <w:rFonts w:eastAsia="Calibri"/>
              </w:rPr>
              <w:t>Pa</w:t>
            </w:r>
            <w:r w:rsidR="00FC2389">
              <w:rPr>
                <w:rFonts w:eastAsia="Calibri"/>
              </w:rPr>
              <w:t>.</w:t>
            </w:r>
            <w:r w:rsidRPr="00FD2055">
              <w:rPr>
                <w:rFonts w:eastAsia="Calibri"/>
              </w:rPr>
              <w:t>m3/mol</w:t>
            </w:r>
          </w:p>
        </w:tc>
        <w:tc>
          <w:tcPr>
            <w:tcW w:w="613" w:type="pct"/>
            <w:shd w:val="clear" w:color="auto" w:fill="FFFFFF"/>
            <w:vAlign w:val="center"/>
          </w:tcPr>
          <w:p w14:paraId="0BB842D9" w14:textId="77777777" w:rsidR="00A0626E" w:rsidRPr="00FD2055" w:rsidRDefault="00A0626E" w:rsidP="00A0626E">
            <w:pPr>
              <w:pStyle w:val="Standaard-Tabellen"/>
              <w:rPr>
                <w:rFonts w:eastAsia="Calibri"/>
              </w:rPr>
            </w:pPr>
          </w:p>
        </w:tc>
      </w:tr>
      <w:tr w:rsidR="00A0626E" w:rsidRPr="00FD2055" w14:paraId="4987DCD2" w14:textId="77777777" w:rsidTr="00A0626E">
        <w:trPr>
          <w:trHeight w:val="75"/>
        </w:trPr>
        <w:tc>
          <w:tcPr>
            <w:tcW w:w="2378" w:type="pct"/>
            <w:shd w:val="clear" w:color="auto" w:fill="FFFFFF"/>
            <w:vAlign w:val="center"/>
          </w:tcPr>
          <w:p w14:paraId="2E832C9C" w14:textId="77777777" w:rsidR="00A0626E" w:rsidRPr="00FD2055" w:rsidRDefault="00A0626E" w:rsidP="00A0626E">
            <w:pPr>
              <w:pStyle w:val="Standaard-Tabellen"/>
              <w:rPr>
                <w:rFonts w:eastAsia="Calibri"/>
              </w:rPr>
            </w:pPr>
            <w:r w:rsidRPr="00FD2055">
              <w:rPr>
                <w:rFonts w:eastAsia="Calibri"/>
              </w:rPr>
              <w:t>Biodegradability</w:t>
            </w:r>
          </w:p>
        </w:tc>
        <w:tc>
          <w:tcPr>
            <w:tcW w:w="1332" w:type="pct"/>
            <w:shd w:val="clear" w:color="auto" w:fill="FFFFFF"/>
            <w:vAlign w:val="center"/>
          </w:tcPr>
          <w:p w14:paraId="795327F9" w14:textId="15DC7F20" w:rsidR="00A0626E" w:rsidRPr="005F31FF" w:rsidRDefault="00B534E4" w:rsidP="00A0626E">
            <w:pPr>
              <w:pStyle w:val="Standaard-Tabellen"/>
              <w:rPr>
                <w:rFonts w:eastAsia="Calibri"/>
              </w:rPr>
            </w:pPr>
            <w:r>
              <w:rPr>
                <w:rFonts w:eastAsia="Calibri"/>
              </w:rPr>
              <w:t>Not readily biodegradable</w:t>
            </w:r>
          </w:p>
        </w:tc>
        <w:tc>
          <w:tcPr>
            <w:tcW w:w="677" w:type="pct"/>
            <w:shd w:val="clear" w:color="auto" w:fill="FFFFFF"/>
            <w:vAlign w:val="center"/>
          </w:tcPr>
          <w:p w14:paraId="06316A5B" w14:textId="77777777" w:rsidR="00A0626E" w:rsidRPr="00FD2055" w:rsidRDefault="00A0626E" w:rsidP="00A0626E">
            <w:pPr>
              <w:pStyle w:val="Standaard-Tabellen"/>
              <w:rPr>
                <w:rFonts w:eastAsia="Calibri"/>
              </w:rPr>
            </w:pPr>
          </w:p>
        </w:tc>
        <w:tc>
          <w:tcPr>
            <w:tcW w:w="613" w:type="pct"/>
            <w:shd w:val="clear" w:color="auto" w:fill="FFFFFF"/>
            <w:vAlign w:val="center"/>
          </w:tcPr>
          <w:p w14:paraId="30C9D1F1" w14:textId="77777777" w:rsidR="00A0626E" w:rsidRPr="00FD2055" w:rsidRDefault="00A0626E" w:rsidP="00A0626E">
            <w:pPr>
              <w:pStyle w:val="Standaard-Tabellen"/>
              <w:rPr>
                <w:rFonts w:eastAsia="Calibri"/>
              </w:rPr>
            </w:pPr>
          </w:p>
        </w:tc>
      </w:tr>
    </w:tbl>
    <w:p w14:paraId="7C2F4F0F" w14:textId="77777777" w:rsidR="00A0626E" w:rsidRDefault="00A0626E" w:rsidP="00A0626E">
      <w:pPr>
        <w:rPr>
          <w:rFonts w:eastAsia="Calibri"/>
          <w:lang w:eastAsia="en-US"/>
        </w:rPr>
      </w:pPr>
    </w:p>
    <w:p w14:paraId="3DF8EC6F" w14:textId="77777777" w:rsidR="00A0626E" w:rsidRDefault="00A0626E" w:rsidP="00A0626E">
      <w:pPr>
        <w:rPr>
          <w:rFonts w:eastAsia="Calibri"/>
          <w:lang w:eastAsia="en-US"/>
        </w:rPr>
      </w:pPr>
      <w:r>
        <w:rPr>
          <w:rFonts w:eastAsia="Calibri"/>
          <w:lang w:eastAsia="en-US"/>
        </w:rPr>
        <w:t>In the CAR for IR3535, calculations according to EUSES are available for the distribution in the STP, which in this case is only relevant for scenario 1. As a worst-case assessment the distribution presented in the CAR is taken over for the assumption that there is no degradation. As a TIER 2 evaluation, 99% degradation in STP is taken into consideration.</w:t>
      </w:r>
    </w:p>
    <w:p w14:paraId="11932D14" w14:textId="77777777" w:rsidR="00A0626E" w:rsidRPr="00FD2055" w:rsidRDefault="00A0626E" w:rsidP="00A0626E">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1792"/>
        <w:gridCol w:w="1792"/>
        <w:gridCol w:w="1865"/>
        <w:gridCol w:w="1544"/>
      </w:tblGrid>
      <w:tr w:rsidR="00A0626E" w:rsidRPr="00140213" w14:paraId="4B837008" w14:textId="77777777" w:rsidTr="00A0626E">
        <w:trPr>
          <w:trHeight w:val="269"/>
        </w:trPr>
        <w:tc>
          <w:tcPr>
            <w:tcW w:w="5000" w:type="pct"/>
            <w:gridSpan w:val="5"/>
            <w:shd w:val="clear" w:color="auto" w:fill="FFFFCC"/>
            <w:vAlign w:val="center"/>
          </w:tcPr>
          <w:p w14:paraId="56350812" w14:textId="77777777" w:rsidR="00A0626E" w:rsidRPr="00140213" w:rsidRDefault="00A0626E" w:rsidP="00A0626E">
            <w:pPr>
              <w:pStyle w:val="Standaard-Tabellen"/>
              <w:jc w:val="center"/>
              <w:rPr>
                <w:rFonts w:eastAsia="Calibri"/>
                <w:b/>
              </w:rPr>
            </w:pPr>
            <w:r w:rsidRPr="00140213">
              <w:rPr>
                <w:rFonts w:eastAsia="Calibri"/>
                <w:b/>
              </w:rPr>
              <w:t>Calculated f</w:t>
            </w:r>
            <w:r>
              <w:rPr>
                <w:rFonts w:eastAsia="Calibri"/>
                <w:b/>
              </w:rPr>
              <w:t>ate and distribution in the STP</w:t>
            </w:r>
          </w:p>
        </w:tc>
      </w:tr>
      <w:tr w:rsidR="00A0626E" w:rsidRPr="00140213" w14:paraId="7EA88D7C" w14:textId="77777777" w:rsidTr="00A0626E">
        <w:trPr>
          <w:trHeight w:val="187"/>
        </w:trPr>
        <w:tc>
          <w:tcPr>
            <w:tcW w:w="1281" w:type="pct"/>
            <w:vMerge w:val="restart"/>
            <w:shd w:val="clear" w:color="auto" w:fill="BFBFBF" w:themeFill="background1" w:themeFillShade="BF"/>
            <w:vAlign w:val="center"/>
          </w:tcPr>
          <w:p w14:paraId="0C6DC66A" w14:textId="77777777" w:rsidR="00A0626E" w:rsidRPr="00140213" w:rsidRDefault="00A0626E" w:rsidP="00A0626E">
            <w:pPr>
              <w:pStyle w:val="Standaard-Tabellen"/>
              <w:rPr>
                <w:rFonts w:eastAsia="Calibri" w:cs="Arial"/>
                <w:b/>
                <w:color w:val="000000"/>
              </w:rPr>
            </w:pPr>
            <w:r w:rsidRPr="00140213">
              <w:rPr>
                <w:rFonts w:eastAsia="Calibri" w:cs="Arial"/>
                <w:b/>
                <w:color w:val="000000"/>
              </w:rPr>
              <w:t>Compartment</w:t>
            </w:r>
          </w:p>
        </w:tc>
        <w:tc>
          <w:tcPr>
            <w:tcW w:w="2898" w:type="pct"/>
            <w:gridSpan w:val="3"/>
            <w:shd w:val="clear" w:color="auto" w:fill="BFBFBF" w:themeFill="background1" w:themeFillShade="BF"/>
            <w:vAlign w:val="center"/>
          </w:tcPr>
          <w:p w14:paraId="6A618C60" w14:textId="77777777" w:rsidR="00A0626E" w:rsidRPr="00140213" w:rsidRDefault="00A0626E" w:rsidP="00A0626E">
            <w:pPr>
              <w:pStyle w:val="Standaard-Tabellen"/>
              <w:jc w:val="center"/>
              <w:rPr>
                <w:rFonts w:eastAsia="Calibri" w:cs="Arial"/>
                <w:b/>
                <w:color w:val="000000"/>
              </w:rPr>
            </w:pPr>
            <w:r w:rsidRPr="00140213">
              <w:rPr>
                <w:rFonts w:eastAsia="Calibri" w:cs="Arial"/>
                <w:b/>
                <w:color w:val="000000"/>
              </w:rPr>
              <w:t>Percentage [%]</w:t>
            </w:r>
          </w:p>
        </w:tc>
        <w:tc>
          <w:tcPr>
            <w:tcW w:w="821" w:type="pct"/>
            <w:vMerge w:val="restart"/>
            <w:shd w:val="clear" w:color="auto" w:fill="BFBFBF" w:themeFill="background1" w:themeFillShade="BF"/>
            <w:vAlign w:val="center"/>
          </w:tcPr>
          <w:p w14:paraId="3B531DBC" w14:textId="77777777" w:rsidR="00A0626E" w:rsidRPr="00140213" w:rsidRDefault="00A0626E" w:rsidP="00A0626E">
            <w:pPr>
              <w:pStyle w:val="Standaard-Tabellen"/>
              <w:rPr>
                <w:rFonts w:eastAsia="Calibri" w:cs="Arial"/>
                <w:b/>
                <w:color w:val="000000"/>
              </w:rPr>
            </w:pPr>
            <w:r>
              <w:rPr>
                <w:rFonts w:eastAsia="Calibri" w:cs="Arial"/>
                <w:b/>
                <w:color w:val="000000"/>
              </w:rPr>
              <w:t>Remarks</w:t>
            </w:r>
          </w:p>
        </w:tc>
      </w:tr>
      <w:tr w:rsidR="00A0626E" w:rsidRPr="00FD2055" w14:paraId="370191E2" w14:textId="77777777" w:rsidTr="00A0626E">
        <w:trPr>
          <w:trHeight w:val="97"/>
        </w:trPr>
        <w:tc>
          <w:tcPr>
            <w:tcW w:w="1281" w:type="pct"/>
            <w:vMerge/>
            <w:shd w:val="clear" w:color="auto" w:fill="FFFFFF"/>
          </w:tcPr>
          <w:p w14:paraId="2348C63C" w14:textId="77777777" w:rsidR="00A0626E" w:rsidRPr="00FD2055" w:rsidRDefault="00A0626E" w:rsidP="00A0626E">
            <w:pPr>
              <w:pStyle w:val="Standaard-Tabellen"/>
              <w:rPr>
                <w:rFonts w:eastAsia="Calibri" w:cs="Arial"/>
                <w:color w:val="000000"/>
              </w:rPr>
            </w:pPr>
          </w:p>
        </w:tc>
        <w:tc>
          <w:tcPr>
            <w:tcW w:w="953" w:type="pct"/>
            <w:shd w:val="clear" w:color="auto" w:fill="BFBFBF" w:themeFill="background1" w:themeFillShade="BF"/>
            <w:vAlign w:val="center"/>
          </w:tcPr>
          <w:p w14:paraId="39E9ACC3" w14:textId="77777777" w:rsidR="00A0626E" w:rsidRPr="00873FD6" w:rsidRDefault="00A0626E" w:rsidP="00A0626E">
            <w:pPr>
              <w:pStyle w:val="Standaard-Tabellen"/>
              <w:jc w:val="center"/>
              <w:rPr>
                <w:rFonts w:eastAsia="Calibri" w:cs="Arial"/>
                <w:b/>
                <w:color w:val="000000"/>
              </w:rPr>
            </w:pPr>
            <w:r w:rsidRPr="00873FD6">
              <w:rPr>
                <w:rFonts w:eastAsia="Calibri" w:cs="Arial"/>
                <w:b/>
                <w:color w:val="000000"/>
              </w:rPr>
              <w:t>Scenario 1</w:t>
            </w:r>
          </w:p>
          <w:p w14:paraId="54957AD2" w14:textId="77777777" w:rsidR="00A0626E" w:rsidRPr="00873FD6" w:rsidRDefault="00A0626E" w:rsidP="00A0626E">
            <w:pPr>
              <w:pStyle w:val="Standaard-Tabellen"/>
              <w:jc w:val="center"/>
              <w:rPr>
                <w:rFonts w:eastAsia="Calibri" w:cs="Arial"/>
                <w:b/>
                <w:color w:val="000000"/>
              </w:rPr>
            </w:pPr>
            <w:r w:rsidRPr="00873FD6">
              <w:rPr>
                <w:rFonts w:eastAsia="Calibri" w:cs="Arial"/>
                <w:b/>
                <w:color w:val="000000"/>
              </w:rPr>
              <w:t>TIER 1</w:t>
            </w:r>
          </w:p>
        </w:tc>
        <w:tc>
          <w:tcPr>
            <w:tcW w:w="953" w:type="pct"/>
            <w:shd w:val="clear" w:color="auto" w:fill="BFBFBF" w:themeFill="background1" w:themeFillShade="BF"/>
            <w:vAlign w:val="center"/>
          </w:tcPr>
          <w:p w14:paraId="0595BD28" w14:textId="77777777" w:rsidR="00A0626E" w:rsidRPr="00873FD6" w:rsidRDefault="00A0626E" w:rsidP="00A0626E">
            <w:pPr>
              <w:pStyle w:val="Standaard-Tabellen"/>
              <w:jc w:val="center"/>
              <w:rPr>
                <w:rFonts w:eastAsia="Calibri" w:cs="Arial"/>
                <w:b/>
                <w:color w:val="000000"/>
              </w:rPr>
            </w:pPr>
            <w:r w:rsidRPr="00873FD6">
              <w:rPr>
                <w:rFonts w:eastAsia="Calibri" w:cs="Arial"/>
                <w:b/>
                <w:color w:val="000000"/>
              </w:rPr>
              <w:t>Scenario 1</w:t>
            </w:r>
          </w:p>
          <w:p w14:paraId="5C866C77" w14:textId="77777777" w:rsidR="00A0626E" w:rsidRPr="00873FD6" w:rsidRDefault="00A0626E" w:rsidP="00A0626E">
            <w:pPr>
              <w:pStyle w:val="Standaard-Tabellen"/>
              <w:jc w:val="center"/>
              <w:rPr>
                <w:rFonts w:eastAsia="Calibri" w:cs="Arial"/>
                <w:b/>
                <w:color w:val="000000"/>
              </w:rPr>
            </w:pPr>
            <w:r w:rsidRPr="00873FD6">
              <w:rPr>
                <w:rFonts w:eastAsia="Calibri" w:cs="Arial"/>
                <w:b/>
                <w:color w:val="000000"/>
              </w:rPr>
              <w:t>TIER 2</w:t>
            </w:r>
          </w:p>
        </w:tc>
        <w:tc>
          <w:tcPr>
            <w:tcW w:w="992" w:type="pct"/>
            <w:shd w:val="clear" w:color="auto" w:fill="BFBFBF" w:themeFill="background1" w:themeFillShade="BF"/>
            <w:vAlign w:val="center"/>
          </w:tcPr>
          <w:p w14:paraId="2BFBEF44" w14:textId="77777777" w:rsidR="00A0626E" w:rsidRPr="00873FD6" w:rsidRDefault="00A0626E" w:rsidP="00A0626E">
            <w:pPr>
              <w:pStyle w:val="Standaard-Tabellen"/>
              <w:jc w:val="center"/>
              <w:rPr>
                <w:rFonts w:eastAsia="Calibri" w:cs="Arial"/>
                <w:b/>
                <w:color w:val="000000"/>
              </w:rPr>
            </w:pPr>
            <w:r w:rsidRPr="00873FD6">
              <w:rPr>
                <w:rFonts w:eastAsia="Calibri" w:cs="Arial"/>
                <w:b/>
                <w:color w:val="000000"/>
              </w:rPr>
              <w:t>Scenario 2</w:t>
            </w:r>
          </w:p>
        </w:tc>
        <w:tc>
          <w:tcPr>
            <w:tcW w:w="821" w:type="pct"/>
            <w:vMerge/>
            <w:shd w:val="clear" w:color="auto" w:fill="FFFFFF"/>
          </w:tcPr>
          <w:p w14:paraId="7B16DBF7" w14:textId="77777777" w:rsidR="00A0626E" w:rsidRPr="00FD2055" w:rsidRDefault="00A0626E" w:rsidP="00A0626E">
            <w:pPr>
              <w:pStyle w:val="Standaard-Tabellen"/>
              <w:rPr>
                <w:rFonts w:eastAsia="Calibri" w:cs="Arial"/>
                <w:color w:val="000000"/>
              </w:rPr>
            </w:pPr>
          </w:p>
        </w:tc>
      </w:tr>
      <w:tr w:rsidR="00A0626E" w:rsidRPr="00FD2055" w14:paraId="1811BC39" w14:textId="77777777" w:rsidTr="00A0626E">
        <w:trPr>
          <w:trHeight w:val="75"/>
        </w:trPr>
        <w:tc>
          <w:tcPr>
            <w:tcW w:w="1281" w:type="pct"/>
            <w:shd w:val="clear" w:color="auto" w:fill="FFFFFF"/>
          </w:tcPr>
          <w:p w14:paraId="52466E61" w14:textId="77777777" w:rsidR="00A0626E" w:rsidRPr="00FD2055" w:rsidRDefault="00A0626E" w:rsidP="00A0626E">
            <w:pPr>
              <w:pStyle w:val="Standaard-Tabellen"/>
              <w:rPr>
                <w:rFonts w:eastAsia="Calibri" w:cs="Arial"/>
                <w:color w:val="000000"/>
              </w:rPr>
            </w:pPr>
            <w:r w:rsidRPr="00FD2055">
              <w:rPr>
                <w:rFonts w:eastAsia="Calibri" w:cs="Arial"/>
                <w:color w:val="000000"/>
              </w:rPr>
              <w:t>Air</w:t>
            </w:r>
          </w:p>
        </w:tc>
        <w:tc>
          <w:tcPr>
            <w:tcW w:w="953" w:type="pct"/>
            <w:shd w:val="clear" w:color="auto" w:fill="FFFFFF"/>
          </w:tcPr>
          <w:p w14:paraId="730572ED" w14:textId="4705B92E" w:rsidR="00A0626E" w:rsidRPr="00FD2055" w:rsidRDefault="00B534E4" w:rsidP="00A0626E">
            <w:pPr>
              <w:pStyle w:val="Standaard-Tabellen"/>
              <w:rPr>
                <w:rFonts w:eastAsia="Calibri" w:cs="Arial"/>
                <w:color w:val="000000"/>
              </w:rPr>
            </w:pPr>
            <w:r>
              <w:rPr>
                <w:rFonts w:eastAsia="Calibri" w:cs="Arial"/>
                <w:color w:val="000000"/>
              </w:rPr>
              <w:t>0</w:t>
            </w:r>
          </w:p>
        </w:tc>
        <w:tc>
          <w:tcPr>
            <w:tcW w:w="953" w:type="pct"/>
            <w:shd w:val="clear" w:color="auto" w:fill="FFFFFF"/>
          </w:tcPr>
          <w:p w14:paraId="3316D952" w14:textId="77777777" w:rsidR="00A0626E" w:rsidRPr="00FD2055" w:rsidRDefault="00A0626E" w:rsidP="00A0626E">
            <w:pPr>
              <w:pStyle w:val="Standaard-Tabellen"/>
              <w:rPr>
                <w:rFonts w:eastAsia="Calibri" w:cs="Arial"/>
                <w:color w:val="000000"/>
              </w:rPr>
            </w:pPr>
            <w:r>
              <w:rPr>
                <w:rFonts w:eastAsia="Calibri" w:cs="Arial"/>
                <w:color w:val="000000"/>
              </w:rPr>
              <w:t>0</w:t>
            </w:r>
          </w:p>
        </w:tc>
        <w:tc>
          <w:tcPr>
            <w:tcW w:w="992" w:type="pct"/>
            <w:vMerge w:val="restart"/>
            <w:shd w:val="clear" w:color="auto" w:fill="FFFFFF"/>
            <w:vAlign w:val="center"/>
          </w:tcPr>
          <w:p w14:paraId="0E9BF5EF" w14:textId="77777777" w:rsidR="00A0626E" w:rsidRPr="00FD2055" w:rsidRDefault="00A0626E" w:rsidP="00A0626E">
            <w:pPr>
              <w:pStyle w:val="Standaard-Tabellen"/>
              <w:rPr>
                <w:rFonts w:eastAsia="Calibri" w:cs="Arial"/>
                <w:color w:val="000000"/>
              </w:rPr>
            </w:pPr>
            <w:r>
              <w:rPr>
                <w:rFonts w:eastAsia="Calibri" w:cs="Arial"/>
                <w:color w:val="000000"/>
              </w:rPr>
              <w:t>Not relevant</w:t>
            </w:r>
          </w:p>
        </w:tc>
        <w:tc>
          <w:tcPr>
            <w:tcW w:w="821" w:type="pct"/>
            <w:shd w:val="clear" w:color="auto" w:fill="FFFFFF"/>
          </w:tcPr>
          <w:p w14:paraId="10368ED2" w14:textId="77777777" w:rsidR="00A0626E" w:rsidRPr="00FD2055" w:rsidRDefault="00A0626E" w:rsidP="00A0626E">
            <w:pPr>
              <w:pStyle w:val="Standaard-Tabellen"/>
              <w:rPr>
                <w:rFonts w:eastAsia="Calibri" w:cs="Arial"/>
                <w:color w:val="000000"/>
              </w:rPr>
            </w:pPr>
          </w:p>
        </w:tc>
      </w:tr>
      <w:tr w:rsidR="00A0626E" w:rsidRPr="00FD2055" w14:paraId="3D1EF93C" w14:textId="77777777" w:rsidTr="00A0626E">
        <w:trPr>
          <w:trHeight w:val="75"/>
        </w:trPr>
        <w:tc>
          <w:tcPr>
            <w:tcW w:w="1281" w:type="pct"/>
            <w:shd w:val="clear" w:color="auto" w:fill="FFFFFF"/>
          </w:tcPr>
          <w:p w14:paraId="7B6E9771" w14:textId="77777777" w:rsidR="00A0626E" w:rsidRPr="00FD2055" w:rsidRDefault="00A0626E" w:rsidP="00A0626E">
            <w:pPr>
              <w:pStyle w:val="Standaard-Tabellen"/>
              <w:rPr>
                <w:rFonts w:eastAsia="Calibri" w:cs="Arial"/>
                <w:color w:val="000000"/>
              </w:rPr>
            </w:pPr>
            <w:r w:rsidRPr="00FD2055">
              <w:rPr>
                <w:rFonts w:eastAsia="Calibri" w:cs="Arial"/>
                <w:color w:val="000000"/>
              </w:rPr>
              <w:t>Water</w:t>
            </w:r>
          </w:p>
        </w:tc>
        <w:tc>
          <w:tcPr>
            <w:tcW w:w="953" w:type="pct"/>
            <w:shd w:val="clear" w:color="auto" w:fill="FFFFFF"/>
          </w:tcPr>
          <w:p w14:paraId="5CB4C7DB" w14:textId="77777777" w:rsidR="00A0626E" w:rsidRPr="00FD2055" w:rsidRDefault="00A0626E" w:rsidP="00A0626E">
            <w:pPr>
              <w:pStyle w:val="Standaard-Tabellen"/>
              <w:rPr>
                <w:rFonts w:eastAsia="Calibri" w:cs="Arial"/>
                <w:color w:val="000000"/>
              </w:rPr>
            </w:pPr>
            <w:r>
              <w:rPr>
                <w:rFonts w:eastAsia="Calibri" w:cs="Arial"/>
                <w:color w:val="000000"/>
              </w:rPr>
              <w:t>99</w:t>
            </w:r>
          </w:p>
        </w:tc>
        <w:tc>
          <w:tcPr>
            <w:tcW w:w="953" w:type="pct"/>
            <w:shd w:val="clear" w:color="auto" w:fill="FFFFFF"/>
          </w:tcPr>
          <w:p w14:paraId="1E63F580" w14:textId="77777777" w:rsidR="00A0626E" w:rsidRPr="00FD2055" w:rsidRDefault="00A0626E" w:rsidP="00A0626E">
            <w:pPr>
              <w:pStyle w:val="Standaard-Tabellen"/>
              <w:rPr>
                <w:rFonts w:eastAsia="Calibri" w:cs="Arial"/>
                <w:color w:val="000000"/>
              </w:rPr>
            </w:pPr>
            <w:r>
              <w:rPr>
                <w:rFonts w:eastAsia="Calibri" w:cs="Arial"/>
                <w:color w:val="000000"/>
              </w:rPr>
              <w:t>1</w:t>
            </w:r>
          </w:p>
        </w:tc>
        <w:tc>
          <w:tcPr>
            <w:tcW w:w="992" w:type="pct"/>
            <w:vMerge/>
            <w:shd w:val="clear" w:color="auto" w:fill="FFFFFF"/>
          </w:tcPr>
          <w:p w14:paraId="7BCDFA46" w14:textId="77777777" w:rsidR="00A0626E" w:rsidRPr="00FD2055" w:rsidRDefault="00A0626E" w:rsidP="00A0626E">
            <w:pPr>
              <w:pStyle w:val="Standaard-Tabellen"/>
              <w:rPr>
                <w:rFonts w:eastAsia="Calibri" w:cs="Arial"/>
                <w:color w:val="000000"/>
              </w:rPr>
            </w:pPr>
          </w:p>
        </w:tc>
        <w:tc>
          <w:tcPr>
            <w:tcW w:w="821" w:type="pct"/>
            <w:shd w:val="clear" w:color="auto" w:fill="FFFFFF"/>
          </w:tcPr>
          <w:p w14:paraId="28075A46" w14:textId="77777777" w:rsidR="00A0626E" w:rsidRPr="00FD2055" w:rsidRDefault="00A0626E" w:rsidP="00A0626E">
            <w:pPr>
              <w:pStyle w:val="Standaard-Tabellen"/>
              <w:rPr>
                <w:rFonts w:eastAsia="Calibri" w:cs="Arial"/>
                <w:color w:val="000000"/>
              </w:rPr>
            </w:pPr>
          </w:p>
        </w:tc>
      </w:tr>
      <w:tr w:rsidR="00A0626E" w:rsidRPr="00FD2055" w14:paraId="44E35EEE" w14:textId="77777777" w:rsidTr="00A0626E">
        <w:trPr>
          <w:trHeight w:val="75"/>
        </w:trPr>
        <w:tc>
          <w:tcPr>
            <w:tcW w:w="1281" w:type="pct"/>
            <w:shd w:val="clear" w:color="auto" w:fill="FFFFFF"/>
          </w:tcPr>
          <w:p w14:paraId="684C4969" w14:textId="77777777" w:rsidR="00A0626E" w:rsidRPr="00FD2055" w:rsidRDefault="00A0626E" w:rsidP="00A0626E">
            <w:pPr>
              <w:pStyle w:val="Standaard-Tabellen"/>
              <w:rPr>
                <w:rFonts w:eastAsia="Calibri" w:cs="Arial"/>
                <w:color w:val="000000"/>
              </w:rPr>
            </w:pPr>
            <w:r w:rsidRPr="00FD2055">
              <w:rPr>
                <w:rFonts w:eastAsia="Calibri" w:cs="Arial"/>
                <w:color w:val="000000"/>
              </w:rPr>
              <w:t>Sludge</w:t>
            </w:r>
          </w:p>
        </w:tc>
        <w:tc>
          <w:tcPr>
            <w:tcW w:w="953" w:type="pct"/>
            <w:shd w:val="clear" w:color="auto" w:fill="FFFFFF"/>
          </w:tcPr>
          <w:p w14:paraId="51A94072" w14:textId="77777777" w:rsidR="00A0626E" w:rsidRPr="00FD2055" w:rsidRDefault="00A0626E" w:rsidP="00A0626E">
            <w:pPr>
              <w:pStyle w:val="Standaard-Tabellen"/>
              <w:rPr>
                <w:rFonts w:eastAsia="Calibri" w:cs="Arial"/>
                <w:color w:val="000000"/>
              </w:rPr>
            </w:pPr>
            <w:r>
              <w:rPr>
                <w:rFonts w:eastAsia="Calibri" w:cs="Arial"/>
                <w:color w:val="000000"/>
              </w:rPr>
              <w:t>1</w:t>
            </w:r>
          </w:p>
        </w:tc>
        <w:tc>
          <w:tcPr>
            <w:tcW w:w="953" w:type="pct"/>
            <w:shd w:val="clear" w:color="auto" w:fill="FFFFFF"/>
          </w:tcPr>
          <w:p w14:paraId="651A468E" w14:textId="77777777" w:rsidR="00A0626E" w:rsidRPr="00FD2055" w:rsidRDefault="00A0626E" w:rsidP="00A0626E">
            <w:pPr>
              <w:pStyle w:val="Standaard-Tabellen"/>
              <w:rPr>
                <w:rFonts w:eastAsia="Calibri" w:cs="Arial"/>
                <w:color w:val="000000"/>
              </w:rPr>
            </w:pPr>
            <w:r>
              <w:rPr>
                <w:rFonts w:eastAsia="Calibri" w:cs="Arial"/>
                <w:color w:val="000000"/>
              </w:rPr>
              <w:t>0</w:t>
            </w:r>
          </w:p>
        </w:tc>
        <w:tc>
          <w:tcPr>
            <w:tcW w:w="992" w:type="pct"/>
            <w:vMerge/>
            <w:shd w:val="clear" w:color="auto" w:fill="FFFFFF"/>
          </w:tcPr>
          <w:p w14:paraId="3C119A11" w14:textId="77777777" w:rsidR="00A0626E" w:rsidRPr="00FD2055" w:rsidRDefault="00A0626E" w:rsidP="00A0626E">
            <w:pPr>
              <w:pStyle w:val="Standaard-Tabellen"/>
              <w:rPr>
                <w:rFonts w:eastAsia="Calibri" w:cs="Arial"/>
                <w:color w:val="000000"/>
              </w:rPr>
            </w:pPr>
          </w:p>
        </w:tc>
        <w:tc>
          <w:tcPr>
            <w:tcW w:w="821" w:type="pct"/>
            <w:shd w:val="clear" w:color="auto" w:fill="FFFFFF"/>
          </w:tcPr>
          <w:p w14:paraId="0A5047E9" w14:textId="77777777" w:rsidR="00A0626E" w:rsidRPr="00FD2055" w:rsidRDefault="00A0626E" w:rsidP="00A0626E">
            <w:pPr>
              <w:pStyle w:val="Standaard-Tabellen"/>
              <w:rPr>
                <w:rFonts w:eastAsia="Calibri" w:cs="Arial"/>
                <w:color w:val="000000"/>
              </w:rPr>
            </w:pPr>
          </w:p>
        </w:tc>
      </w:tr>
      <w:tr w:rsidR="00A0626E" w:rsidRPr="00FD2055" w14:paraId="1986676B" w14:textId="77777777" w:rsidTr="00A0626E">
        <w:trPr>
          <w:trHeight w:val="75"/>
        </w:trPr>
        <w:tc>
          <w:tcPr>
            <w:tcW w:w="1281" w:type="pct"/>
            <w:shd w:val="clear" w:color="auto" w:fill="FFFFFF"/>
          </w:tcPr>
          <w:p w14:paraId="61BDAD85" w14:textId="77777777" w:rsidR="00A0626E" w:rsidRPr="00FD2055" w:rsidRDefault="00A0626E" w:rsidP="00A0626E">
            <w:pPr>
              <w:pStyle w:val="Standaard-Tabellen"/>
              <w:rPr>
                <w:rFonts w:eastAsia="Calibri" w:cs="Arial"/>
                <w:color w:val="000000"/>
              </w:rPr>
            </w:pPr>
            <w:r w:rsidRPr="00FD2055">
              <w:rPr>
                <w:rFonts w:eastAsia="Calibri" w:cs="Arial"/>
                <w:color w:val="000000"/>
              </w:rPr>
              <w:t>Degraded in STP</w:t>
            </w:r>
          </w:p>
        </w:tc>
        <w:tc>
          <w:tcPr>
            <w:tcW w:w="953" w:type="pct"/>
            <w:shd w:val="clear" w:color="auto" w:fill="FFFFFF"/>
          </w:tcPr>
          <w:p w14:paraId="44B6B815" w14:textId="419DE949" w:rsidR="00A0626E" w:rsidRPr="00FD2055" w:rsidRDefault="00B534E4" w:rsidP="00A0626E">
            <w:pPr>
              <w:pStyle w:val="Standaard-Tabellen"/>
              <w:rPr>
                <w:rFonts w:eastAsia="Calibri" w:cs="Arial"/>
                <w:color w:val="000000"/>
              </w:rPr>
            </w:pPr>
            <w:r>
              <w:rPr>
                <w:rFonts w:eastAsia="Calibri" w:cs="Arial"/>
                <w:color w:val="000000"/>
              </w:rPr>
              <w:t>0</w:t>
            </w:r>
          </w:p>
        </w:tc>
        <w:tc>
          <w:tcPr>
            <w:tcW w:w="953" w:type="pct"/>
            <w:shd w:val="clear" w:color="auto" w:fill="FFFFFF"/>
          </w:tcPr>
          <w:p w14:paraId="30C0E5A1" w14:textId="77777777" w:rsidR="00A0626E" w:rsidRPr="00FD2055" w:rsidRDefault="00A0626E" w:rsidP="00A0626E">
            <w:pPr>
              <w:pStyle w:val="Standaard-Tabellen"/>
              <w:rPr>
                <w:rFonts w:eastAsia="Calibri" w:cs="Arial"/>
                <w:color w:val="000000"/>
              </w:rPr>
            </w:pPr>
            <w:r>
              <w:rPr>
                <w:rFonts w:eastAsia="Calibri" w:cs="Arial"/>
                <w:color w:val="000000"/>
              </w:rPr>
              <w:t>99</w:t>
            </w:r>
          </w:p>
        </w:tc>
        <w:tc>
          <w:tcPr>
            <w:tcW w:w="992" w:type="pct"/>
            <w:vMerge/>
            <w:shd w:val="clear" w:color="auto" w:fill="FFFFFF"/>
          </w:tcPr>
          <w:p w14:paraId="73362FD2" w14:textId="77777777" w:rsidR="00A0626E" w:rsidRPr="00FD2055" w:rsidRDefault="00A0626E" w:rsidP="00A0626E">
            <w:pPr>
              <w:pStyle w:val="Standaard-Tabellen"/>
              <w:rPr>
                <w:rFonts w:eastAsia="Calibri" w:cs="Arial"/>
                <w:color w:val="000000"/>
              </w:rPr>
            </w:pPr>
          </w:p>
        </w:tc>
        <w:tc>
          <w:tcPr>
            <w:tcW w:w="821" w:type="pct"/>
            <w:shd w:val="clear" w:color="auto" w:fill="FFFFFF"/>
          </w:tcPr>
          <w:p w14:paraId="00D57F6F" w14:textId="77777777" w:rsidR="00A0626E" w:rsidRPr="00FD2055" w:rsidRDefault="00A0626E" w:rsidP="00A0626E">
            <w:pPr>
              <w:pStyle w:val="Standaard-Tabellen"/>
              <w:rPr>
                <w:rFonts w:eastAsia="Calibri" w:cs="Arial"/>
                <w:color w:val="000000"/>
              </w:rPr>
            </w:pPr>
          </w:p>
        </w:tc>
      </w:tr>
    </w:tbl>
    <w:p w14:paraId="1E4A28BB" w14:textId="45949491" w:rsidR="0024663E" w:rsidRDefault="0024663E" w:rsidP="00A0626E">
      <w:pPr>
        <w:spacing w:before="0" w:after="160" w:line="259" w:lineRule="auto"/>
        <w:rPr>
          <w:rFonts w:eastAsia="Calibri"/>
          <w:lang w:eastAsia="en-US"/>
        </w:rPr>
      </w:pPr>
    </w:p>
    <w:p w14:paraId="464ABAAA" w14:textId="77777777" w:rsidR="00AC23E9" w:rsidRPr="003E3E25" w:rsidRDefault="00AC23E9"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39"/>
        <w:gridCol w:w="2409"/>
        <w:gridCol w:w="1843"/>
      </w:tblGrid>
      <w:tr w:rsidR="0024663E" w:rsidRPr="00532093" w14:paraId="0902DAE8" w14:textId="77777777" w:rsidTr="00532093">
        <w:trPr>
          <w:trHeight w:val="269"/>
        </w:trPr>
        <w:tc>
          <w:tcPr>
            <w:tcW w:w="9101" w:type="dxa"/>
            <w:gridSpan w:val="4"/>
            <w:shd w:val="clear" w:color="auto" w:fill="FFFFCC"/>
            <w:vAlign w:val="center"/>
          </w:tcPr>
          <w:p w14:paraId="678589C3" w14:textId="25492245" w:rsidR="0024663E" w:rsidRPr="00532093" w:rsidRDefault="0024663E" w:rsidP="00BC3250">
            <w:pPr>
              <w:keepNext/>
              <w:autoSpaceDE w:val="0"/>
              <w:autoSpaceDN w:val="0"/>
              <w:adjustRightInd w:val="0"/>
              <w:spacing w:line="260" w:lineRule="atLeast"/>
              <w:jc w:val="center"/>
              <w:rPr>
                <w:rFonts w:eastAsia="Calibri" w:cs="Arial"/>
                <w:b/>
                <w:color w:val="000000"/>
                <w:sz w:val="18"/>
                <w:szCs w:val="18"/>
                <w:highlight w:val="lightGray"/>
                <w:lang w:eastAsia="en-GB"/>
              </w:rPr>
            </w:pPr>
            <w:r w:rsidRPr="00532093">
              <w:rPr>
                <w:rFonts w:eastAsia="Calibri"/>
                <w:b/>
                <w:sz w:val="18"/>
                <w:szCs w:val="18"/>
                <w:lang w:eastAsia="en-US"/>
              </w:rPr>
              <w:t xml:space="preserve">Calculated fate and distribution in the STP </w:t>
            </w:r>
          </w:p>
        </w:tc>
      </w:tr>
      <w:tr w:rsidR="0024663E" w:rsidRPr="00532093" w14:paraId="5A31929E" w14:textId="77777777" w:rsidTr="003E3E25">
        <w:trPr>
          <w:trHeight w:val="123"/>
        </w:trPr>
        <w:tc>
          <w:tcPr>
            <w:tcW w:w="2410" w:type="dxa"/>
            <w:vMerge w:val="restart"/>
            <w:shd w:val="clear" w:color="auto" w:fill="auto"/>
            <w:vAlign w:val="center"/>
          </w:tcPr>
          <w:p w14:paraId="4D949A52" w14:textId="77777777" w:rsidR="0024663E" w:rsidRPr="00532093" w:rsidRDefault="0024663E" w:rsidP="005752E1">
            <w:pPr>
              <w:autoSpaceDE w:val="0"/>
              <w:autoSpaceDN w:val="0"/>
              <w:adjustRightInd w:val="0"/>
              <w:spacing w:line="260" w:lineRule="atLeast"/>
              <w:jc w:val="center"/>
              <w:rPr>
                <w:rFonts w:eastAsia="Calibri" w:cs="Arial"/>
                <w:color w:val="000000"/>
                <w:sz w:val="18"/>
                <w:szCs w:val="18"/>
                <w:lang w:eastAsia="en-GB"/>
              </w:rPr>
            </w:pPr>
            <w:r w:rsidRPr="00532093">
              <w:rPr>
                <w:rFonts w:eastAsia="Calibri" w:cs="Arial"/>
                <w:bCs/>
                <w:color w:val="000000"/>
                <w:sz w:val="18"/>
                <w:szCs w:val="18"/>
                <w:lang w:eastAsia="en-GB"/>
              </w:rPr>
              <w:t>Compartment</w:t>
            </w:r>
          </w:p>
        </w:tc>
        <w:tc>
          <w:tcPr>
            <w:tcW w:w="4848" w:type="dxa"/>
            <w:gridSpan w:val="2"/>
            <w:shd w:val="clear" w:color="auto" w:fill="auto"/>
            <w:vAlign w:val="center"/>
          </w:tcPr>
          <w:p w14:paraId="58F123CA" w14:textId="53D2CE2B" w:rsidR="0024663E" w:rsidRPr="00532093" w:rsidRDefault="0024663E" w:rsidP="005752E1">
            <w:pPr>
              <w:autoSpaceDE w:val="0"/>
              <w:autoSpaceDN w:val="0"/>
              <w:adjustRightInd w:val="0"/>
              <w:spacing w:line="260" w:lineRule="atLeast"/>
              <w:jc w:val="center"/>
              <w:rPr>
                <w:rFonts w:eastAsia="Calibri" w:cs="Arial"/>
                <w:bCs/>
                <w:color w:val="000000"/>
                <w:sz w:val="18"/>
                <w:szCs w:val="18"/>
                <w:lang w:eastAsia="en-GB"/>
              </w:rPr>
            </w:pPr>
            <w:r w:rsidRPr="00532093">
              <w:rPr>
                <w:rFonts w:eastAsia="Calibri" w:cs="Arial"/>
                <w:bCs/>
                <w:color w:val="000000"/>
                <w:sz w:val="18"/>
                <w:szCs w:val="18"/>
                <w:lang w:eastAsia="en-GB"/>
              </w:rPr>
              <w:t>Percentage [%]</w:t>
            </w:r>
            <w:r w:rsidR="00BC3250" w:rsidRPr="00532093">
              <w:rPr>
                <w:rFonts w:eastAsia="Calibri" w:cs="Arial"/>
                <w:bCs/>
                <w:color w:val="000000"/>
                <w:sz w:val="18"/>
                <w:szCs w:val="18"/>
                <w:lang w:eastAsia="en-GB"/>
              </w:rPr>
              <w:t xml:space="preserve"> – TIER 2 from the CAR only</w:t>
            </w:r>
          </w:p>
        </w:tc>
        <w:tc>
          <w:tcPr>
            <w:tcW w:w="1843" w:type="dxa"/>
            <w:vMerge w:val="restart"/>
            <w:shd w:val="clear" w:color="auto" w:fill="auto"/>
            <w:vAlign w:val="center"/>
          </w:tcPr>
          <w:p w14:paraId="35F6DAB8" w14:textId="77777777" w:rsidR="0024663E" w:rsidRPr="00532093" w:rsidRDefault="0024663E" w:rsidP="005752E1">
            <w:pPr>
              <w:autoSpaceDE w:val="0"/>
              <w:autoSpaceDN w:val="0"/>
              <w:adjustRightInd w:val="0"/>
              <w:spacing w:line="260" w:lineRule="atLeast"/>
              <w:jc w:val="center"/>
              <w:rPr>
                <w:rFonts w:eastAsia="Calibri" w:cs="Arial"/>
                <w:color w:val="000000"/>
                <w:sz w:val="18"/>
                <w:szCs w:val="18"/>
                <w:lang w:eastAsia="en-GB"/>
              </w:rPr>
            </w:pPr>
            <w:r w:rsidRPr="00532093">
              <w:rPr>
                <w:rFonts w:eastAsia="Calibri" w:cs="Arial"/>
                <w:bCs/>
                <w:color w:val="000000"/>
                <w:sz w:val="18"/>
                <w:szCs w:val="18"/>
                <w:lang w:eastAsia="en-GB"/>
              </w:rPr>
              <w:t>Remarks</w:t>
            </w:r>
          </w:p>
        </w:tc>
      </w:tr>
      <w:tr w:rsidR="0024663E" w:rsidRPr="00532093" w14:paraId="399E7224" w14:textId="77777777" w:rsidTr="003E3E25">
        <w:trPr>
          <w:trHeight w:val="172"/>
        </w:trPr>
        <w:tc>
          <w:tcPr>
            <w:tcW w:w="2410" w:type="dxa"/>
            <w:vMerge/>
            <w:shd w:val="clear" w:color="auto" w:fill="auto"/>
          </w:tcPr>
          <w:p w14:paraId="3AD2A611" w14:textId="77777777" w:rsidR="0024663E" w:rsidRPr="00532093" w:rsidRDefault="0024663E" w:rsidP="005752E1">
            <w:pPr>
              <w:autoSpaceDE w:val="0"/>
              <w:autoSpaceDN w:val="0"/>
              <w:adjustRightInd w:val="0"/>
              <w:spacing w:line="260" w:lineRule="atLeast"/>
              <w:rPr>
                <w:rFonts w:eastAsia="Calibri" w:cs="Arial"/>
                <w:bCs/>
                <w:color w:val="000000"/>
                <w:sz w:val="18"/>
                <w:szCs w:val="18"/>
                <w:lang w:eastAsia="en-GB"/>
              </w:rPr>
            </w:pPr>
          </w:p>
        </w:tc>
        <w:tc>
          <w:tcPr>
            <w:tcW w:w="2439" w:type="dxa"/>
            <w:shd w:val="clear" w:color="auto" w:fill="auto"/>
            <w:vAlign w:val="center"/>
          </w:tcPr>
          <w:p w14:paraId="23E7D22A" w14:textId="7F256207" w:rsidR="0024663E" w:rsidRPr="00532093" w:rsidRDefault="0024663E" w:rsidP="002247C6">
            <w:pPr>
              <w:autoSpaceDE w:val="0"/>
              <w:autoSpaceDN w:val="0"/>
              <w:adjustRightInd w:val="0"/>
              <w:spacing w:line="260" w:lineRule="atLeast"/>
              <w:jc w:val="center"/>
              <w:rPr>
                <w:rFonts w:eastAsia="Calibri" w:cs="Arial"/>
                <w:bCs/>
                <w:color w:val="000000"/>
                <w:sz w:val="18"/>
                <w:szCs w:val="18"/>
                <w:lang w:eastAsia="en-GB"/>
              </w:rPr>
            </w:pPr>
            <w:r w:rsidRPr="00532093">
              <w:rPr>
                <w:rFonts w:eastAsia="Calibri" w:cs="Arial"/>
                <w:bCs/>
                <w:color w:val="000000"/>
                <w:sz w:val="18"/>
                <w:szCs w:val="18"/>
                <w:lang w:eastAsia="en-GB"/>
              </w:rPr>
              <w:t>Scenario 1b</w:t>
            </w:r>
            <w:r w:rsidR="002247C6" w:rsidRPr="00532093">
              <w:rPr>
                <w:rFonts w:eastAsia="Calibri" w:cs="Arial"/>
                <w:bCs/>
                <w:color w:val="000000"/>
                <w:sz w:val="18"/>
                <w:szCs w:val="18"/>
                <w:lang w:eastAsia="en-GB"/>
              </w:rPr>
              <w:t xml:space="preserve"> , 3 &amp; 4</w:t>
            </w:r>
          </w:p>
        </w:tc>
        <w:tc>
          <w:tcPr>
            <w:tcW w:w="2409" w:type="dxa"/>
            <w:shd w:val="clear" w:color="auto" w:fill="auto"/>
            <w:vAlign w:val="center"/>
          </w:tcPr>
          <w:p w14:paraId="0F764D15" w14:textId="3B15C812" w:rsidR="0024663E" w:rsidRPr="00532093" w:rsidRDefault="0024663E" w:rsidP="005752E1">
            <w:pPr>
              <w:autoSpaceDE w:val="0"/>
              <w:autoSpaceDN w:val="0"/>
              <w:adjustRightInd w:val="0"/>
              <w:spacing w:line="260" w:lineRule="atLeast"/>
              <w:jc w:val="center"/>
              <w:rPr>
                <w:rFonts w:eastAsia="Calibri" w:cs="Arial"/>
                <w:bCs/>
                <w:color w:val="000000"/>
                <w:sz w:val="18"/>
                <w:szCs w:val="18"/>
                <w:lang w:eastAsia="en-GB"/>
              </w:rPr>
            </w:pPr>
            <w:r w:rsidRPr="00532093">
              <w:rPr>
                <w:rFonts w:eastAsia="Calibri" w:cs="Arial"/>
                <w:bCs/>
                <w:color w:val="000000"/>
                <w:sz w:val="18"/>
                <w:szCs w:val="18"/>
                <w:lang w:eastAsia="en-GB"/>
              </w:rPr>
              <w:t>Scenario 2b</w:t>
            </w:r>
          </w:p>
        </w:tc>
        <w:tc>
          <w:tcPr>
            <w:tcW w:w="1843" w:type="dxa"/>
            <w:vMerge/>
            <w:shd w:val="clear" w:color="auto" w:fill="auto"/>
          </w:tcPr>
          <w:p w14:paraId="4877DE78" w14:textId="77777777" w:rsidR="0024663E" w:rsidRPr="00532093" w:rsidRDefault="0024663E" w:rsidP="005752E1">
            <w:pPr>
              <w:autoSpaceDE w:val="0"/>
              <w:autoSpaceDN w:val="0"/>
              <w:adjustRightInd w:val="0"/>
              <w:spacing w:line="260" w:lineRule="atLeast"/>
              <w:rPr>
                <w:rFonts w:eastAsia="Calibri" w:cs="Arial"/>
                <w:bCs/>
                <w:color w:val="000000"/>
                <w:sz w:val="18"/>
                <w:szCs w:val="18"/>
                <w:lang w:eastAsia="en-GB"/>
              </w:rPr>
            </w:pPr>
          </w:p>
        </w:tc>
      </w:tr>
      <w:tr w:rsidR="0024663E" w:rsidRPr="00532093" w14:paraId="1AA3565F" w14:textId="77777777" w:rsidTr="003E3E25">
        <w:trPr>
          <w:trHeight w:val="75"/>
        </w:trPr>
        <w:tc>
          <w:tcPr>
            <w:tcW w:w="2410" w:type="dxa"/>
            <w:shd w:val="clear" w:color="auto" w:fill="auto"/>
          </w:tcPr>
          <w:p w14:paraId="0E8DB309"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Air</w:t>
            </w:r>
          </w:p>
        </w:tc>
        <w:tc>
          <w:tcPr>
            <w:tcW w:w="2439" w:type="dxa"/>
            <w:shd w:val="clear" w:color="auto" w:fill="auto"/>
          </w:tcPr>
          <w:p w14:paraId="6D1A1F95"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0</w:t>
            </w:r>
          </w:p>
        </w:tc>
        <w:tc>
          <w:tcPr>
            <w:tcW w:w="2409" w:type="dxa"/>
            <w:vMerge w:val="restart"/>
            <w:shd w:val="clear" w:color="auto" w:fill="auto"/>
          </w:tcPr>
          <w:p w14:paraId="1E3A83A1"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Not relevant</w:t>
            </w:r>
          </w:p>
        </w:tc>
        <w:tc>
          <w:tcPr>
            <w:tcW w:w="1843" w:type="dxa"/>
            <w:shd w:val="clear" w:color="auto" w:fill="auto"/>
          </w:tcPr>
          <w:p w14:paraId="45D86B90"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p>
        </w:tc>
      </w:tr>
      <w:tr w:rsidR="0024663E" w:rsidRPr="00532093" w14:paraId="13D72BC1" w14:textId="77777777" w:rsidTr="003E3E25">
        <w:trPr>
          <w:trHeight w:val="75"/>
        </w:trPr>
        <w:tc>
          <w:tcPr>
            <w:tcW w:w="2410" w:type="dxa"/>
            <w:shd w:val="clear" w:color="auto" w:fill="auto"/>
          </w:tcPr>
          <w:p w14:paraId="073532F0"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Water</w:t>
            </w:r>
          </w:p>
        </w:tc>
        <w:tc>
          <w:tcPr>
            <w:tcW w:w="2439" w:type="dxa"/>
            <w:shd w:val="clear" w:color="auto" w:fill="auto"/>
          </w:tcPr>
          <w:p w14:paraId="1EEFCC0D"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1</w:t>
            </w:r>
          </w:p>
        </w:tc>
        <w:tc>
          <w:tcPr>
            <w:tcW w:w="2409" w:type="dxa"/>
            <w:vMerge/>
            <w:shd w:val="clear" w:color="auto" w:fill="auto"/>
          </w:tcPr>
          <w:p w14:paraId="7073BE4D"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p>
        </w:tc>
        <w:tc>
          <w:tcPr>
            <w:tcW w:w="1843" w:type="dxa"/>
            <w:shd w:val="clear" w:color="auto" w:fill="auto"/>
          </w:tcPr>
          <w:p w14:paraId="235876ED"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p>
        </w:tc>
      </w:tr>
      <w:tr w:rsidR="0024663E" w:rsidRPr="00532093" w14:paraId="627A3E66" w14:textId="77777777" w:rsidTr="003E3E25">
        <w:trPr>
          <w:trHeight w:val="75"/>
        </w:trPr>
        <w:tc>
          <w:tcPr>
            <w:tcW w:w="2410" w:type="dxa"/>
            <w:shd w:val="clear" w:color="auto" w:fill="auto"/>
          </w:tcPr>
          <w:p w14:paraId="40B653CB"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Sludge</w:t>
            </w:r>
          </w:p>
        </w:tc>
        <w:tc>
          <w:tcPr>
            <w:tcW w:w="2439" w:type="dxa"/>
            <w:shd w:val="clear" w:color="auto" w:fill="auto"/>
          </w:tcPr>
          <w:p w14:paraId="2DB973EE"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0</w:t>
            </w:r>
          </w:p>
        </w:tc>
        <w:tc>
          <w:tcPr>
            <w:tcW w:w="2409" w:type="dxa"/>
            <w:vMerge/>
            <w:shd w:val="clear" w:color="auto" w:fill="auto"/>
          </w:tcPr>
          <w:p w14:paraId="3EA13B7E"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p>
        </w:tc>
        <w:tc>
          <w:tcPr>
            <w:tcW w:w="1843" w:type="dxa"/>
            <w:shd w:val="clear" w:color="auto" w:fill="auto"/>
          </w:tcPr>
          <w:p w14:paraId="4A7415EF"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p>
        </w:tc>
      </w:tr>
      <w:tr w:rsidR="0024663E" w:rsidRPr="00532093" w14:paraId="60FF76D1" w14:textId="77777777" w:rsidTr="003E3E25">
        <w:trPr>
          <w:trHeight w:val="70"/>
        </w:trPr>
        <w:tc>
          <w:tcPr>
            <w:tcW w:w="2410" w:type="dxa"/>
            <w:shd w:val="clear" w:color="auto" w:fill="auto"/>
          </w:tcPr>
          <w:p w14:paraId="06B8C153"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Degraded in STP</w:t>
            </w:r>
          </w:p>
        </w:tc>
        <w:tc>
          <w:tcPr>
            <w:tcW w:w="2439" w:type="dxa"/>
            <w:shd w:val="clear" w:color="auto" w:fill="auto"/>
          </w:tcPr>
          <w:p w14:paraId="78DD40B3"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99</w:t>
            </w:r>
          </w:p>
        </w:tc>
        <w:tc>
          <w:tcPr>
            <w:tcW w:w="2409" w:type="dxa"/>
            <w:vMerge/>
            <w:shd w:val="clear" w:color="auto" w:fill="auto"/>
          </w:tcPr>
          <w:p w14:paraId="5B081208"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p>
        </w:tc>
        <w:tc>
          <w:tcPr>
            <w:tcW w:w="1843" w:type="dxa"/>
            <w:shd w:val="clear" w:color="auto" w:fill="auto"/>
          </w:tcPr>
          <w:p w14:paraId="5FA8923F" w14:textId="77777777" w:rsidR="0024663E" w:rsidRPr="00532093" w:rsidRDefault="0024663E" w:rsidP="005752E1">
            <w:pPr>
              <w:autoSpaceDE w:val="0"/>
              <w:autoSpaceDN w:val="0"/>
              <w:adjustRightInd w:val="0"/>
              <w:spacing w:line="260" w:lineRule="atLeast"/>
              <w:rPr>
                <w:rFonts w:eastAsia="Calibri" w:cs="Arial"/>
                <w:color w:val="000000"/>
                <w:sz w:val="18"/>
                <w:szCs w:val="18"/>
                <w:lang w:eastAsia="en-GB"/>
              </w:rPr>
            </w:pPr>
          </w:p>
        </w:tc>
      </w:tr>
    </w:tbl>
    <w:p w14:paraId="59BBD3B2" w14:textId="27D3FE11" w:rsidR="00A0626E" w:rsidRDefault="00A0626E" w:rsidP="00A0626E">
      <w:pPr>
        <w:spacing w:before="0" w:after="160" w:line="259" w:lineRule="auto"/>
        <w:rPr>
          <w:rFonts w:eastAsia="Calibri"/>
          <w:lang w:eastAsia="en-US"/>
        </w:rPr>
      </w:pPr>
    </w:p>
    <w:p w14:paraId="15B54CC0" w14:textId="36244995" w:rsidR="00A0626E" w:rsidRDefault="00A0626E" w:rsidP="00A0626E">
      <w:pPr>
        <w:pStyle w:val="Titre5"/>
      </w:pPr>
      <w:bookmarkStart w:id="322" w:name="_Toc389729116"/>
      <w:bookmarkStart w:id="323" w:name="_Toc403472801"/>
      <w:bookmarkStart w:id="324" w:name="_Toc93326602"/>
      <w:r w:rsidRPr="00FD2055">
        <w:t>Calculated PEC values</w:t>
      </w:r>
      <w:bookmarkEnd w:id="322"/>
      <w:bookmarkEnd w:id="323"/>
      <w:bookmarkEnd w:id="324"/>
    </w:p>
    <w:p w14:paraId="218419AC" w14:textId="77777777" w:rsidR="00AC23E9" w:rsidRPr="009461FB" w:rsidRDefault="00AC23E9" w:rsidP="00AC23E9">
      <w:pPr>
        <w:pStyle w:val="Paragraphedeliste"/>
        <w:numPr>
          <w:ilvl w:val="0"/>
          <w:numId w:val="68"/>
        </w:numPr>
        <w:rPr>
          <w:b/>
        </w:rPr>
      </w:pPr>
      <w:r w:rsidRPr="009461FB">
        <w:rPr>
          <w:b/>
        </w:rPr>
        <w:t>FIRST AUTHORISATION – 2017 (BE CA)</w:t>
      </w:r>
    </w:p>
    <w:p w14:paraId="2927B584" w14:textId="77777777" w:rsidR="00AC23E9" w:rsidRPr="00AC23E9" w:rsidRDefault="00AC23E9" w:rsidP="00AC23E9">
      <w:pPr>
        <w:rPr>
          <w:lang w:val="en-US" w:eastAsia="en-US"/>
        </w:rPr>
      </w:pPr>
    </w:p>
    <w:p w14:paraId="674E299B" w14:textId="77777777" w:rsidR="00A0626E" w:rsidRDefault="00A0626E" w:rsidP="00A0626E">
      <w:pPr>
        <w:rPr>
          <w:rFonts w:eastAsia="Calibri"/>
          <w:lang w:eastAsia="en-US"/>
        </w:rPr>
      </w:pPr>
      <w:r>
        <w:rPr>
          <w:rFonts w:eastAsia="Calibri"/>
          <w:lang w:eastAsia="en-US"/>
        </w:rPr>
        <w:t>Neither for scenario 1, nor for scenario 2, calculations were made for the sediment, since the PNEC</w:t>
      </w:r>
      <w:r>
        <w:rPr>
          <w:rFonts w:eastAsia="Calibri"/>
          <w:vertAlign w:val="subscript"/>
          <w:lang w:eastAsia="en-US"/>
        </w:rPr>
        <w:t>sediment</w:t>
      </w:r>
      <w:r>
        <w:rPr>
          <w:rFonts w:eastAsia="Calibri"/>
          <w:lang w:eastAsia="en-US"/>
        </w:rPr>
        <w:t xml:space="preserve"> was determined through the EPM-method. This means that the risk assessment for water is applicable for the sediment as well.</w:t>
      </w:r>
    </w:p>
    <w:p w14:paraId="3C9F0091" w14:textId="77777777" w:rsidR="00A0626E" w:rsidRDefault="00A0626E" w:rsidP="00A0626E">
      <w:pPr>
        <w:rPr>
          <w:rFonts w:eastAsia="Calibri"/>
          <w:lang w:eastAsia="en-US"/>
        </w:rPr>
      </w:pPr>
    </w:p>
    <w:p w14:paraId="3AE58BAD" w14:textId="77777777" w:rsidR="00A0626E" w:rsidRDefault="00A0626E" w:rsidP="00A0626E">
      <w:pPr>
        <w:rPr>
          <w:rFonts w:eastAsia="Calibri"/>
          <w:lang w:eastAsia="en-US"/>
        </w:rPr>
      </w:pPr>
      <w:r>
        <w:rPr>
          <w:rFonts w:eastAsia="Calibri"/>
          <w:lang w:eastAsia="en-US"/>
        </w:rPr>
        <w:t>As mentioned before, for the scenario 2, possible degradation in surface water is not taken into account as a worst-case evaluation.</w:t>
      </w:r>
    </w:p>
    <w:p w14:paraId="132C2CE3" w14:textId="77777777" w:rsidR="00A0626E" w:rsidRPr="00873FD6" w:rsidRDefault="00A0626E" w:rsidP="00A0626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880"/>
        <w:gridCol w:w="1880"/>
        <w:gridCol w:w="3212"/>
      </w:tblGrid>
      <w:tr w:rsidR="00A0626E" w:rsidRPr="00140213" w14:paraId="6C4F4A40" w14:textId="77777777" w:rsidTr="00A0626E">
        <w:trPr>
          <w:trHeight w:val="249"/>
        </w:trPr>
        <w:tc>
          <w:tcPr>
            <w:tcW w:w="5000" w:type="pct"/>
            <w:gridSpan w:val="4"/>
            <w:tcBorders>
              <w:top w:val="single" w:sz="4" w:space="0" w:color="auto"/>
              <w:left w:val="single" w:sz="4" w:space="0" w:color="auto"/>
              <w:bottom w:val="single" w:sz="4" w:space="0" w:color="auto"/>
            </w:tcBorders>
            <w:shd w:val="clear" w:color="auto" w:fill="FFFFCC"/>
          </w:tcPr>
          <w:p w14:paraId="20C2CD6B" w14:textId="77777777" w:rsidR="00A0626E" w:rsidRPr="00140213" w:rsidRDefault="00A0626E" w:rsidP="00A0626E">
            <w:pPr>
              <w:pStyle w:val="Standaard-Tabellen"/>
              <w:jc w:val="center"/>
              <w:rPr>
                <w:rFonts w:eastAsia="Calibri"/>
                <w:b/>
                <w:color w:val="000000"/>
              </w:rPr>
            </w:pPr>
            <w:r w:rsidRPr="00140213">
              <w:rPr>
                <w:rFonts w:eastAsia="Calibri"/>
                <w:b/>
              </w:rPr>
              <w:t>Summary table on calculated PEC values</w:t>
            </w:r>
          </w:p>
        </w:tc>
      </w:tr>
      <w:tr w:rsidR="00A0626E" w:rsidRPr="00FD2055" w14:paraId="141AEF80" w14:textId="77777777" w:rsidTr="00A0626E">
        <w:trPr>
          <w:trHeight w:val="249"/>
        </w:trPr>
        <w:tc>
          <w:tcPr>
            <w:tcW w:w="1292" w:type="pct"/>
            <w:vMerge w:val="restart"/>
            <w:shd w:val="clear" w:color="auto" w:fill="FFFFFF"/>
            <w:vAlign w:val="center"/>
          </w:tcPr>
          <w:p w14:paraId="38E064EC" w14:textId="77777777" w:rsidR="00A0626E" w:rsidRPr="00FD2055" w:rsidRDefault="00A0626E" w:rsidP="00A0626E">
            <w:pPr>
              <w:pStyle w:val="Standaard-Tabellen"/>
              <w:rPr>
                <w:rFonts w:eastAsia="Calibri"/>
              </w:rPr>
            </w:pPr>
          </w:p>
        </w:tc>
        <w:tc>
          <w:tcPr>
            <w:tcW w:w="1000" w:type="pct"/>
            <w:vMerge w:val="restart"/>
            <w:shd w:val="clear" w:color="auto" w:fill="FFFFFF" w:themeFill="background1"/>
          </w:tcPr>
          <w:p w14:paraId="138C8C53" w14:textId="77777777" w:rsidR="00A0626E" w:rsidRPr="00140213" w:rsidRDefault="00A0626E" w:rsidP="00A0626E">
            <w:pPr>
              <w:pStyle w:val="Standaard-Tabellen"/>
              <w:jc w:val="center"/>
              <w:rPr>
                <w:rFonts w:eastAsia="Calibri"/>
                <w:b/>
                <w:color w:val="000000"/>
              </w:rPr>
            </w:pPr>
          </w:p>
        </w:tc>
        <w:tc>
          <w:tcPr>
            <w:tcW w:w="1000" w:type="pct"/>
            <w:shd w:val="clear" w:color="auto" w:fill="BFBFBF" w:themeFill="background1" w:themeFillShade="BF"/>
            <w:vAlign w:val="center"/>
          </w:tcPr>
          <w:p w14:paraId="11F016C9" w14:textId="77777777" w:rsidR="00A0626E" w:rsidRPr="00140213" w:rsidRDefault="00A0626E" w:rsidP="00A0626E">
            <w:pPr>
              <w:pStyle w:val="Standaard-Tabellen"/>
              <w:jc w:val="center"/>
              <w:rPr>
                <w:rFonts w:eastAsia="Calibri"/>
                <w:b/>
                <w:color w:val="000000"/>
                <w:sz w:val="16"/>
                <w:szCs w:val="16"/>
              </w:rPr>
            </w:pPr>
            <w:r w:rsidRPr="00140213">
              <w:rPr>
                <w:rFonts w:eastAsia="Calibri"/>
                <w:b/>
                <w:color w:val="000000"/>
              </w:rPr>
              <w:t>PEC</w:t>
            </w:r>
            <w:r w:rsidRPr="00140213">
              <w:rPr>
                <w:rFonts w:eastAsia="Calibri"/>
                <w:b/>
                <w:color w:val="000000"/>
                <w:vertAlign w:val="subscript"/>
              </w:rPr>
              <w:t>STP</w:t>
            </w:r>
          </w:p>
        </w:tc>
        <w:tc>
          <w:tcPr>
            <w:tcW w:w="1708" w:type="pct"/>
            <w:shd w:val="clear" w:color="auto" w:fill="BFBFBF" w:themeFill="background1" w:themeFillShade="BF"/>
            <w:vAlign w:val="center"/>
          </w:tcPr>
          <w:p w14:paraId="42A6CD33" w14:textId="77777777" w:rsidR="00A0626E" w:rsidRPr="00140213" w:rsidRDefault="00A0626E" w:rsidP="00A0626E">
            <w:pPr>
              <w:pStyle w:val="Standaard-Tabellen"/>
              <w:jc w:val="center"/>
              <w:rPr>
                <w:rFonts w:eastAsia="Calibri"/>
                <w:b/>
                <w:color w:val="000000"/>
              </w:rPr>
            </w:pPr>
            <w:r w:rsidRPr="00140213">
              <w:rPr>
                <w:rFonts w:eastAsia="Calibri"/>
                <w:b/>
              </w:rPr>
              <w:t>PEC</w:t>
            </w:r>
            <w:r w:rsidRPr="00140213">
              <w:rPr>
                <w:rFonts w:eastAsia="Calibri"/>
                <w:b/>
                <w:vertAlign w:val="subscript"/>
              </w:rPr>
              <w:t>water</w:t>
            </w:r>
          </w:p>
        </w:tc>
      </w:tr>
      <w:tr w:rsidR="00A0626E" w:rsidRPr="00FD2055" w14:paraId="15EE8DDB" w14:textId="77777777" w:rsidTr="00A0626E">
        <w:trPr>
          <w:trHeight w:val="249"/>
        </w:trPr>
        <w:tc>
          <w:tcPr>
            <w:tcW w:w="1292" w:type="pct"/>
            <w:vMerge/>
            <w:shd w:val="clear" w:color="auto" w:fill="FFFFFF"/>
            <w:vAlign w:val="center"/>
          </w:tcPr>
          <w:p w14:paraId="6862D066" w14:textId="77777777" w:rsidR="00A0626E" w:rsidRPr="00FD2055" w:rsidRDefault="00A0626E" w:rsidP="00A0626E">
            <w:pPr>
              <w:pStyle w:val="Standaard-Tabellen"/>
              <w:rPr>
                <w:rFonts w:eastAsia="Calibri"/>
              </w:rPr>
            </w:pPr>
          </w:p>
        </w:tc>
        <w:tc>
          <w:tcPr>
            <w:tcW w:w="1000" w:type="pct"/>
            <w:vMerge/>
            <w:shd w:val="clear" w:color="auto" w:fill="FFFFFF" w:themeFill="background1"/>
          </w:tcPr>
          <w:p w14:paraId="31E1BD29" w14:textId="77777777" w:rsidR="00A0626E" w:rsidRPr="00FD2055" w:rsidRDefault="00A0626E" w:rsidP="00A0626E">
            <w:pPr>
              <w:pStyle w:val="Standaard-Tabellen"/>
              <w:jc w:val="center"/>
              <w:rPr>
                <w:rFonts w:eastAsia="Calibri"/>
                <w:color w:val="000000"/>
                <w:sz w:val="16"/>
                <w:szCs w:val="16"/>
              </w:rPr>
            </w:pPr>
          </w:p>
        </w:tc>
        <w:tc>
          <w:tcPr>
            <w:tcW w:w="1000" w:type="pct"/>
            <w:shd w:val="clear" w:color="auto" w:fill="BFBFBF" w:themeFill="background1" w:themeFillShade="BF"/>
          </w:tcPr>
          <w:p w14:paraId="3C229B25" w14:textId="6B2C348F" w:rsidR="00A0626E" w:rsidRPr="00FD2055" w:rsidRDefault="00A0626E" w:rsidP="00B534E4">
            <w:pPr>
              <w:pStyle w:val="Standaard-Tabellen"/>
              <w:jc w:val="center"/>
              <w:rPr>
                <w:rFonts w:eastAsia="Calibri"/>
                <w:color w:val="000000"/>
              </w:rPr>
            </w:pPr>
            <w:r w:rsidRPr="00FD2055">
              <w:rPr>
                <w:rFonts w:eastAsia="Calibri"/>
                <w:color w:val="000000"/>
                <w:sz w:val="16"/>
                <w:szCs w:val="16"/>
              </w:rPr>
              <w:t>[mg/</w:t>
            </w:r>
            <w:r w:rsidR="00B534E4">
              <w:rPr>
                <w:rFonts w:eastAsia="Calibri"/>
                <w:color w:val="000000"/>
                <w:sz w:val="16"/>
                <w:szCs w:val="16"/>
              </w:rPr>
              <w:t>l</w:t>
            </w:r>
            <w:r w:rsidRPr="00FD2055">
              <w:rPr>
                <w:rFonts w:eastAsia="Calibri"/>
                <w:color w:val="000000"/>
                <w:sz w:val="16"/>
                <w:szCs w:val="16"/>
              </w:rPr>
              <w:t>]</w:t>
            </w:r>
          </w:p>
        </w:tc>
        <w:tc>
          <w:tcPr>
            <w:tcW w:w="1708" w:type="pct"/>
            <w:shd w:val="clear" w:color="auto" w:fill="BFBFBF" w:themeFill="background1" w:themeFillShade="BF"/>
            <w:vAlign w:val="center"/>
          </w:tcPr>
          <w:p w14:paraId="16A6BEB3" w14:textId="77777777" w:rsidR="00A0626E" w:rsidRPr="00FD2055" w:rsidRDefault="00A0626E" w:rsidP="00A0626E">
            <w:pPr>
              <w:pStyle w:val="Standaard-Tabellen"/>
              <w:jc w:val="center"/>
              <w:rPr>
                <w:rFonts w:eastAsia="Calibri"/>
                <w:color w:val="000000"/>
                <w:sz w:val="16"/>
                <w:szCs w:val="16"/>
              </w:rPr>
            </w:pPr>
            <w:r w:rsidRPr="00FD2055">
              <w:rPr>
                <w:rFonts w:eastAsia="Calibri"/>
                <w:color w:val="000000"/>
                <w:sz w:val="16"/>
                <w:szCs w:val="16"/>
              </w:rPr>
              <w:t>[mg/l]</w:t>
            </w:r>
          </w:p>
        </w:tc>
      </w:tr>
      <w:tr w:rsidR="00A0626E" w:rsidRPr="00FD2055" w14:paraId="2087E2A4" w14:textId="77777777" w:rsidTr="00A0626E">
        <w:trPr>
          <w:trHeight w:val="75"/>
        </w:trPr>
        <w:tc>
          <w:tcPr>
            <w:tcW w:w="1292" w:type="pct"/>
            <w:vMerge w:val="restart"/>
            <w:shd w:val="clear" w:color="auto" w:fill="FFFFFF"/>
          </w:tcPr>
          <w:p w14:paraId="7BC4C034" w14:textId="77777777" w:rsidR="00A0626E" w:rsidRPr="002F3EED" w:rsidRDefault="00A0626E" w:rsidP="00A0626E">
            <w:pPr>
              <w:pStyle w:val="Standaard-Tabellen"/>
              <w:rPr>
                <w:rFonts w:eastAsia="Calibri"/>
                <w:b/>
              </w:rPr>
            </w:pPr>
            <w:r w:rsidRPr="002F3EED">
              <w:rPr>
                <w:rFonts w:eastAsia="Calibri"/>
                <w:b/>
              </w:rPr>
              <w:t>Scenario 1</w:t>
            </w:r>
          </w:p>
        </w:tc>
        <w:tc>
          <w:tcPr>
            <w:tcW w:w="1000" w:type="pct"/>
            <w:shd w:val="clear" w:color="auto" w:fill="FFFFFF"/>
          </w:tcPr>
          <w:p w14:paraId="460E8D31" w14:textId="77777777" w:rsidR="00A0626E" w:rsidRDefault="00A0626E" w:rsidP="00A0626E">
            <w:pPr>
              <w:pStyle w:val="Standaard-Tabellen"/>
              <w:rPr>
                <w:rFonts w:eastAsia="Calibri"/>
                <w:color w:val="000000"/>
              </w:rPr>
            </w:pPr>
            <w:r>
              <w:rPr>
                <w:rFonts w:eastAsia="Calibri"/>
                <w:color w:val="000000"/>
              </w:rPr>
              <w:t>TIER 1</w:t>
            </w:r>
          </w:p>
        </w:tc>
        <w:tc>
          <w:tcPr>
            <w:tcW w:w="1000" w:type="pct"/>
            <w:shd w:val="clear" w:color="auto" w:fill="FFFFFF"/>
          </w:tcPr>
          <w:p w14:paraId="374B65D8" w14:textId="77777777" w:rsidR="00A0626E" w:rsidRPr="00A83715" w:rsidRDefault="00A83715" w:rsidP="00A0626E">
            <w:pPr>
              <w:pStyle w:val="Standaard-Tabellen"/>
              <w:rPr>
                <w:rFonts w:eastAsia="Calibri"/>
                <w:color w:val="000000"/>
                <w:vertAlign w:val="superscript"/>
              </w:rPr>
            </w:pPr>
            <w:r>
              <w:rPr>
                <w:rFonts w:eastAsia="Calibri"/>
                <w:color w:val="000000"/>
              </w:rPr>
              <w:t>6.59x10</w:t>
            </w:r>
            <w:r>
              <w:rPr>
                <w:rFonts w:eastAsia="Calibri"/>
                <w:color w:val="000000"/>
                <w:vertAlign w:val="superscript"/>
              </w:rPr>
              <w:t>-2</w:t>
            </w:r>
          </w:p>
        </w:tc>
        <w:tc>
          <w:tcPr>
            <w:tcW w:w="1708" w:type="pct"/>
            <w:shd w:val="clear" w:color="auto" w:fill="FFFFFF"/>
          </w:tcPr>
          <w:p w14:paraId="628EEF86" w14:textId="77777777" w:rsidR="00A0626E" w:rsidRPr="00A83715" w:rsidRDefault="00A83715" w:rsidP="00A0626E">
            <w:pPr>
              <w:pStyle w:val="Standaard-Tabellen"/>
              <w:rPr>
                <w:rFonts w:eastAsia="Calibri"/>
                <w:color w:val="000000"/>
                <w:vertAlign w:val="superscript"/>
              </w:rPr>
            </w:pPr>
            <w:r>
              <w:rPr>
                <w:rFonts w:eastAsia="Calibri"/>
                <w:color w:val="000000"/>
              </w:rPr>
              <w:t>6.59x10</w:t>
            </w:r>
            <w:r>
              <w:rPr>
                <w:rFonts w:eastAsia="Calibri"/>
                <w:color w:val="000000"/>
                <w:vertAlign w:val="superscript"/>
              </w:rPr>
              <w:t>-3</w:t>
            </w:r>
          </w:p>
        </w:tc>
      </w:tr>
      <w:tr w:rsidR="00A0626E" w:rsidRPr="00FD2055" w14:paraId="7B230D98" w14:textId="77777777" w:rsidTr="00A0626E">
        <w:trPr>
          <w:trHeight w:val="75"/>
        </w:trPr>
        <w:tc>
          <w:tcPr>
            <w:tcW w:w="1292" w:type="pct"/>
            <w:vMerge/>
            <w:shd w:val="clear" w:color="auto" w:fill="FFFFFF"/>
          </w:tcPr>
          <w:p w14:paraId="180E63D4" w14:textId="77777777" w:rsidR="00A0626E" w:rsidRPr="002F3EED" w:rsidRDefault="00A0626E" w:rsidP="00A0626E">
            <w:pPr>
              <w:pStyle w:val="Standaard-Tabellen"/>
              <w:rPr>
                <w:rFonts w:eastAsia="Calibri"/>
                <w:b/>
              </w:rPr>
            </w:pPr>
          </w:p>
        </w:tc>
        <w:tc>
          <w:tcPr>
            <w:tcW w:w="1000" w:type="pct"/>
            <w:shd w:val="clear" w:color="auto" w:fill="FFFFFF"/>
          </w:tcPr>
          <w:p w14:paraId="7B1882F8" w14:textId="77777777" w:rsidR="00A0626E" w:rsidRDefault="00A0626E" w:rsidP="00A0626E">
            <w:pPr>
              <w:pStyle w:val="Standaard-Tabellen"/>
              <w:rPr>
                <w:rFonts w:eastAsia="Calibri"/>
              </w:rPr>
            </w:pPr>
            <w:r>
              <w:rPr>
                <w:rFonts w:eastAsia="Calibri"/>
              </w:rPr>
              <w:t>TIER</w:t>
            </w:r>
            <w:r w:rsidR="00A83715">
              <w:rPr>
                <w:rFonts w:eastAsia="Calibri"/>
              </w:rPr>
              <w:t xml:space="preserve"> 2</w:t>
            </w:r>
          </w:p>
        </w:tc>
        <w:tc>
          <w:tcPr>
            <w:tcW w:w="1000" w:type="pct"/>
            <w:shd w:val="clear" w:color="auto" w:fill="FFFFFF"/>
          </w:tcPr>
          <w:p w14:paraId="766564D1" w14:textId="77777777" w:rsidR="00A0626E" w:rsidRPr="00A83715" w:rsidRDefault="00A83715" w:rsidP="00A0626E">
            <w:pPr>
              <w:pStyle w:val="Standaard-Tabellen"/>
              <w:rPr>
                <w:rFonts w:eastAsia="Calibri"/>
                <w:vertAlign w:val="superscript"/>
              </w:rPr>
            </w:pPr>
            <w:r>
              <w:rPr>
                <w:rFonts w:eastAsia="Calibri"/>
              </w:rPr>
              <w:t>6.66x10</w:t>
            </w:r>
            <w:r>
              <w:rPr>
                <w:rFonts w:eastAsia="Calibri"/>
                <w:vertAlign w:val="superscript"/>
              </w:rPr>
              <w:t>-4</w:t>
            </w:r>
          </w:p>
        </w:tc>
        <w:tc>
          <w:tcPr>
            <w:tcW w:w="1708" w:type="pct"/>
            <w:shd w:val="clear" w:color="auto" w:fill="FFFFFF"/>
          </w:tcPr>
          <w:p w14:paraId="2AD9A887" w14:textId="77777777" w:rsidR="00A0626E" w:rsidRPr="00A83715" w:rsidRDefault="00A83715" w:rsidP="00A0626E">
            <w:pPr>
              <w:pStyle w:val="Standaard-Tabellen"/>
              <w:rPr>
                <w:rFonts w:eastAsia="Calibri"/>
                <w:color w:val="000000"/>
                <w:vertAlign w:val="superscript"/>
              </w:rPr>
            </w:pPr>
            <w:r>
              <w:rPr>
                <w:rFonts w:eastAsia="Calibri"/>
                <w:color w:val="000000"/>
              </w:rPr>
              <w:t>6.66x10</w:t>
            </w:r>
            <w:r>
              <w:rPr>
                <w:rFonts w:eastAsia="Calibri"/>
                <w:color w:val="000000"/>
                <w:vertAlign w:val="superscript"/>
              </w:rPr>
              <w:t>-5</w:t>
            </w:r>
          </w:p>
        </w:tc>
      </w:tr>
      <w:tr w:rsidR="00A0626E" w:rsidRPr="00FD2055" w14:paraId="7ECAF9CB" w14:textId="77777777" w:rsidTr="00A0626E">
        <w:trPr>
          <w:trHeight w:val="75"/>
        </w:trPr>
        <w:tc>
          <w:tcPr>
            <w:tcW w:w="1292" w:type="pct"/>
            <w:vMerge w:val="restart"/>
            <w:shd w:val="clear" w:color="auto" w:fill="FFFFFF"/>
          </w:tcPr>
          <w:p w14:paraId="0ACD7629" w14:textId="77777777" w:rsidR="00A0626E" w:rsidRPr="002F3EED" w:rsidRDefault="00A0626E" w:rsidP="00A0626E">
            <w:pPr>
              <w:pStyle w:val="Standaard-Tabellen"/>
              <w:rPr>
                <w:rFonts w:eastAsia="Calibri"/>
                <w:b/>
              </w:rPr>
            </w:pPr>
            <w:r w:rsidRPr="002F3EED">
              <w:rPr>
                <w:rFonts w:eastAsia="Calibri"/>
                <w:b/>
              </w:rPr>
              <w:t>Scenario 2</w:t>
            </w:r>
          </w:p>
        </w:tc>
        <w:tc>
          <w:tcPr>
            <w:tcW w:w="1000" w:type="pct"/>
            <w:shd w:val="clear" w:color="auto" w:fill="FFFFFF"/>
          </w:tcPr>
          <w:p w14:paraId="073AB2C7" w14:textId="77777777" w:rsidR="00A0626E" w:rsidRPr="00FD2055" w:rsidRDefault="00A0626E" w:rsidP="00A0626E">
            <w:pPr>
              <w:pStyle w:val="Standaard-Tabellen"/>
              <w:rPr>
                <w:rFonts w:eastAsia="Calibri"/>
              </w:rPr>
            </w:pPr>
            <w:r>
              <w:rPr>
                <w:rFonts w:eastAsia="Calibri"/>
              </w:rPr>
              <w:t>Day 1</w:t>
            </w:r>
          </w:p>
        </w:tc>
        <w:tc>
          <w:tcPr>
            <w:tcW w:w="1000" w:type="pct"/>
            <w:shd w:val="clear" w:color="auto" w:fill="FFFFFF"/>
          </w:tcPr>
          <w:p w14:paraId="71E93263" w14:textId="77777777" w:rsidR="00A0626E" w:rsidRPr="00FD2055" w:rsidRDefault="00A0626E" w:rsidP="00A0626E">
            <w:pPr>
              <w:pStyle w:val="Standaard-Tabellen"/>
              <w:rPr>
                <w:rFonts w:eastAsia="Calibri"/>
              </w:rPr>
            </w:pPr>
            <w:r>
              <w:rPr>
                <w:rFonts w:eastAsia="Calibri"/>
              </w:rPr>
              <w:t>n/a</w:t>
            </w:r>
          </w:p>
        </w:tc>
        <w:tc>
          <w:tcPr>
            <w:tcW w:w="1708" w:type="pct"/>
            <w:shd w:val="clear" w:color="auto" w:fill="FFFFFF"/>
          </w:tcPr>
          <w:p w14:paraId="1A3F05B7" w14:textId="19E93994" w:rsidR="00A0626E" w:rsidRPr="00A83715" w:rsidRDefault="00150D1E" w:rsidP="00B534E4">
            <w:pPr>
              <w:pStyle w:val="Standaard-Tabellen"/>
              <w:rPr>
                <w:rFonts w:eastAsia="Calibri"/>
                <w:color w:val="000000"/>
                <w:vertAlign w:val="superscript"/>
              </w:rPr>
            </w:pPr>
            <w:r>
              <w:rPr>
                <w:rFonts w:eastAsia="Calibri"/>
                <w:color w:val="000000"/>
              </w:rPr>
              <w:t>4.59</w:t>
            </w:r>
            <w:r w:rsidR="00A83715">
              <w:rPr>
                <w:rFonts w:eastAsia="Calibri"/>
                <w:color w:val="000000"/>
              </w:rPr>
              <w:t>x10</w:t>
            </w:r>
            <w:r w:rsidR="00A83715">
              <w:rPr>
                <w:rFonts w:eastAsia="Calibri"/>
                <w:color w:val="000000"/>
                <w:vertAlign w:val="superscript"/>
              </w:rPr>
              <w:t>-</w:t>
            </w:r>
            <w:r w:rsidR="00B534E4">
              <w:rPr>
                <w:rFonts w:eastAsia="Calibri"/>
                <w:color w:val="000000"/>
                <w:vertAlign w:val="superscript"/>
              </w:rPr>
              <w:t>5</w:t>
            </w:r>
          </w:p>
        </w:tc>
      </w:tr>
      <w:tr w:rsidR="00A0626E" w:rsidRPr="00FD2055" w14:paraId="22D9CADC" w14:textId="77777777" w:rsidTr="00A0626E">
        <w:trPr>
          <w:trHeight w:val="75"/>
        </w:trPr>
        <w:tc>
          <w:tcPr>
            <w:tcW w:w="1292" w:type="pct"/>
            <w:vMerge/>
            <w:shd w:val="clear" w:color="auto" w:fill="FFFFFF"/>
          </w:tcPr>
          <w:p w14:paraId="4BDDE96A" w14:textId="77777777" w:rsidR="00A0626E" w:rsidRDefault="00A0626E" w:rsidP="00A0626E">
            <w:pPr>
              <w:pStyle w:val="Standaard-Tabellen"/>
              <w:rPr>
                <w:rFonts w:eastAsia="Calibri"/>
              </w:rPr>
            </w:pPr>
          </w:p>
        </w:tc>
        <w:tc>
          <w:tcPr>
            <w:tcW w:w="1000" w:type="pct"/>
            <w:shd w:val="clear" w:color="auto" w:fill="FFFFFF"/>
          </w:tcPr>
          <w:p w14:paraId="1B506D57" w14:textId="77777777" w:rsidR="00A0626E" w:rsidRDefault="00A0626E" w:rsidP="00A0626E">
            <w:pPr>
              <w:pStyle w:val="Standaard-Tabellen"/>
              <w:rPr>
                <w:rFonts w:eastAsia="Calibri"/>
              </w:rPr>
            </w:pPr>
            <w:r>
              <w:rPr>
                <w:rFonts w:eastAsia="Calibri"/>
              </w:rPr>
              <w:t>Day 91</w:t>
            </w:r>
          </w:p>
        </w:tc>
        <w:tc>
          <w:tcPr>
            <w:tcW w:w="1000" w:type="pct"/>
            <w:shd w:val="clear" w:color="auto" w:fill="FFFFFF"/>
          </w:tcPr>
          <w:p w14:paraId="777F504F" w14:textId="77777777" w:rsidR="00A0626E" w:rsidRPr="00FD2055" w:rsidRDefault="00A0626E" w:rsidP="00A0626E">
            <w:pPr>
              <w:pStyle w:val="Standaard-Tabellen"/>
              <w:rPr>
                <w:rFonts w:eastAsia="Calibri"/>
              </w:rPr>
            </w:pPr>
            <w:r>
              <w:rPr>
                <w:rFonts w:eastAsia="Calibri"/>
              </w:rPr>
              <w:t>n/a</w:t>
            </w:r>
          </w:p>
        </w:tc>
        <w:tc>
          <w:tcPr>
            <w:tcW w:w="1708" w:type="pct"/>
            <w:shd w:val="clear" w:color="auto" w:fill="FFFFFF"/>
          </w:tcPr>
          <w:p w14:paraId="6A38DF42" w14:textId="23529E56" w:rsidR="00A0626E" w:rsidRPr="00A83715" w:rsidRDefault="00150D1E" w:rsidP="00B534E4">
            <w:pPr>
              <w:pStyle w:val="Standaard-Tabellen"/>
              <w:rPr>
                <w:rFonts w:eastAsia="Calibri"/>
                <w:color w:val="000000"/>
                <w:vertAlign w:val="superscript"/>
              </w:rPr>
            </w:pPr>
            <w:r>
              <w:rPr>
                <w:rFonts w:eastAsia="Calibri"/>
                <w:color w:val="000000"/>
              </w:rPr>
              <w:t>4.18</w:t>
            </w:r>
            <w:r w:rsidR="00A83715">
              <w:rPr>
                <w:rFonts w:eastAsia="Calibri"/>
                <w:color w:val="000000"/>
              </w:rPr>
              <w:t>x10</w:t>
            </w:r>
            <w:r w:rsidR="00A83715">
              <w:rPr>
                <w:rFonts w:eastAsia="Calibri"/>
                <w:color w:val="000000"/>
                <w:vertAlign w:val="superscript"/>
              </w:rPr>
              <w:t>-</w:t>
            </w:r>
            <w:r w:rsidR="00B534E4">
              <w:rPr>
                <w:rFonts w:eastAsia="Calibri"/>
                <w:color w:val="000000"/>
                <w:vertAlign w:val="superscript"/>
              </w:rPr>
              <w:t>3</w:t>
            </w:r>
          </w:p>
        </w:tc>
      </w:tr>
    </w:tbl>
    <w:p w14:paraId="18481245" w14:textId="1B7C8DB2" w:rsidR="00A0626E" w:rsidRDefault="00A0626E" w:rsidP="00A0626E">
      <w:pPr>
        <w:spacing w:line="260" w:lineRule="atLeast"/>
        <w:jc w:val="both"/>
        <w:rPr>
          <w:rFonts w:eastAsia="Calibri"/>
          <w:lang w:eastAsia="en-US"/>
        </w:rPr>
      </w:pPr>
    </w:p>
    <w:p w14:paraId="44017025" w14:textId="77777777" w:rsidR="0098647E" w:rsidRPr="003E3E25" w:rsidRDefault="0098647E" w:rsidP="003E3E25">
      <w:pPr>
        <w:pStyle w:val="Paragraphedeliste"/>
        <w:keepNext/>
        <w:numPr>
          <w:ilvl w:val="0"/>
          <w:numId w:val="36"/>
        </w:numPr>
        <w:kinsoku w:val="0"/>
        <w:overflowPunct w:val="0"/>
        <w:autoSpaceDE w:val="0"/>
        <w:autoSpaceDN w:val="0"/>
        <w:adjustRightInd w:val="0"/>
        <w:spacing w:before="292" w:after="0" w:line="290" w:lineRule="exact"/>
        <w:ind w:right="215"/>
        <w:jc w:val="both"/>
        <w:textAlignment w:val="baseline"/>
        <w:rPr>
          <w:rFonts w:eastAsia="Calibri"/>
          <w:b/>
          <w:lang w:eastAsia="en-US"/>
        </w:rPr>
      </w:pPr>
      <w:r w:rsidRPr="003E3E25">
        <w:rPr>
          <w:rFonts w:eastAsia="Calibri"/>
          <w:b/>
          <w:lang w:eastAsia="en-US"/>
        </w:rPr>
        <w:t>MAJOR CHANGE FOR SPRAY REPULSIF IR200 – 2019 (FR 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2127"/>
        <w:gridCol w:w="2129"/>
        <w:gridCol w:w="1677"/>
        <w:gridCol w:w="1683"/>
      </w:tblGrid>
      <w:tr w:rsidR="0016516D" w:rsidRPr="00532093" w14:paraId="0A8CE8A1" w14:textId="77777777" w:rsidTr="0016516D">
        <w:trPr>
          <w:trHeight w:val="249"/>
        </w:trPr>
        <w:tc>
          <w:tcPr>
            <w:tcW w:w="5000" w:type="pct"/>
            <w:gridSpan w:val="5"/>
            <w:tcBorders>
              <w:top w:val="single" w:sz="4" w:space="0" w:color="auto"/>
              <w:left w:val="single" w:sz="4" w:space="0" w:color="auto"/>
              <w:bottom w:val="single" w:sz="4" w:space="0" w:color="auto"/>
            </w:tcBorders>
            <w:shd w:val="clear" w:color="auto" w:fill="FFFFCC"/>
          </w:tcPr>
          <w:p w14:paraId="28159F86" w14:textId="77777777" w:rsidR="0016516D" w:rsidRPr="00532093" w:rsidRDefault="0016516D" w:rsidP="005752E1">
            <w:pPr>
              <w:autoSpaceDE w:val="0"/>
              <w:autoSpaceDN w:val="0"/>
              <w:adjustRightInd w:val="0"/>
              <w:spacing w:line="260" w:lineRule="atLeast"/>
              <w:jc w:val="center"/>
              <w:rPr>
                <w:rFonts w:eastAsia="Calibri" w:cs="Arial"/>
                <w:b/>
                <w:bCs/>
                <w:sz w:val="18"/>
                <w:szCs w:val="18"/>
                <w:highlight w:val="lightGray"/>
                <w:lang w:eastAsia="en-GB"/>
              </w:rPr>
            </w:pPr>
          </w:p>
          <w:p w14:paraId="6A8850B4" w14:textId="30A0E8F4" w:rsidR="0016516D" w:rsidRPr="00532093" w:rsidRDefault="0016516D" w:rsidP="005752E1">
            <w:pPr>
              <w:autoSpaceDE w:val="0"/>
              <w:autoSpaceDN w:val="0"/>
              <w:adjustRightInd w:val="0"/>
              <w:spacing w:line="260" w:lineRule="atLeast"/>
              <w:jc w:val="center"/>
              <w:rPr>
                <w:rFonts w:eastAsia="Calibri" w:cs="Arial"/>
                <w:color w:val="000000"/>
                <w:sz w:val="18"/>
                <w:szCs w:val="18"/>
                <w:highlight w:val="lightGray"/>
                <w:lang w:eastAsia="en-GB"/>
              </w:rPr>
            </w:pPr>
            <w:r w:rsidRPr="00532093">
              <w:rPr>
                <w:rFonts w:eastAsia="Calibri" w:cs="Arial"/>
                <w:b/>
                <w:bCs/>
                <w:sz w:val="18"/>
                <w:szCs w:val="18"/>
                <w:lang w:eastAsia="en-GB"/>
              </w:rPr>
              <w:t>Summary table on calculated PEC values</w:t>
            </w:r>
          </w:p>
        </w:tc>
      </w:tr>
      <w:tr w:rsidR="0016516D" w:rsidRPr="00532093" w14:paraId="628677E3" w14:textId="77777777" w:rsidTr="003E3E25">
        <w:trPr>
          <w:trHeight w:val="249"/>
        </w:trPr>
        <w:tc>
          <w:tcPr>
            <w:tcW w:w="950" w:type="pct"/>
            <w:vMerge w:val="restart"/>
            <w:shd w:val="clear" w:color="auto" w:fill="auto"/>
            <w:vAlign w:val="center"/>
          </w:tcPr>
          <w:p w14:paraId="5AC516CB" w14:textId="77777777" w:rsidR="0016516D" w:rsidRPr="00532093" w:rsidRDefault="0016516D" w:rsidP="005752E1">
            <w:pPr>
              <w:spacing w:line="276" w:lineRule="auto"/>
              <w:jc w:val="center"/>
              <w:rPr>
                <w:rFonts w:eastAsia="Calibri" w:cs="Arial"/>
                <w:sz w:val="18"/>
                <w:szCs w:val="18"/>
                <w:lang w:eastAsia="en-GB"/>
              </w:rPr>
            </w:pPr>
          </w:p>
        </w:tc>
        <w:tc>
          <w:tcPr>
            <w:tcW w:w="1131" w:type="pct"/>
            <w:vMerge w:val="restart"/>
            <w:shd w:val="clear" w:color="auto" w:fill="auto"/>
          </w:tcPr>
          <w:p w14:paraId="19088487" w14:textId="77777777" w:rsidR="0016516D" w:rsidRPr="00532093" w:rsidRDefault="0016516D" w:rsidP="005752E1">
            <w:pPr>
              <w:autoSpaceDE w:val="0"/>
              <w:autoSpaceDN w:val="0"/>
              <w:adjustRightInd w:val="0"/>
              <w:spacing w:line="260" w:lineRule="atLeast"/>
              <w:jc w:val="center"/>
              <w:rPr>
                <w:rFonts w:eastAsia="Calibri" w:cs="Arial"/>
                <w:b/>
                <w:bCs/>
                <w:color w:val="000000"/>
                <w:sz w:val="18"/>
                <w:szCs w:val="18"/>
                <w:lang w:eastAsia="en-GB"/>
              </w:rPr>
            </w:pPr>
          </w:p>
          <w:p w14:paraId="66A2FF92" w14:textId="4BD46AFC" w:rsidR="0016516D" w:rsidRPr="00532093" w:rsidRDefault="0016516D" w:rsidP="005752E1">
            <w:pPr>
              <w:autoSpaceDE w:val="0"/>
              <w:autoSpaceDN w:val="0"/>
              <w:adjustRightInd w:val="0"/>
              <w:spacing w:line="260" w:lineRule="atLeast"/>
              <w:jc w:val="center"/>
              <w:rPr>
                <w:rFonts w:eastAsia="Calibri" w:cs="Arial"/>
                <w:b/>
                <w:bCs/>
                <w:color w:val="000000"/>
                <w:sz w:val="18"/>
                <w:szCs w:val="18"/>
                <w:lang w:eastAsia="en-GB"/>
              </w:rPr>
            </w:pPr>
          </w:p>
        </w:tc>
        <w:tc>
          <w:tcPr>
            <w:tcW w:w="1132" w:type="pct"/>
            <w:shd w:val="clear" w:color="auto" w:fill="auto"/>
            <w:vAlign w:val="center"/>
          </w:tcPr>
          <w:p w14:paraId="56084D53" w14:textId="44AE1D33" w:rsidR="0016516D" w:rsidRPr="00532093" w:rsidRDefault="0016516D" w:rsidP="005752E1">
            <w:pPr>
              <w:autoSpaceDE w:val="0"/>
              <w:autoSpaceDN w:val="0"/>
              <w:adjustRightInd w:val="0"/>
              <w:spacing w:line="260" w:lineRule="atLeast"/>
              <w:jc w:val="center"/>
              <w:rPr>
                <w:rFonts w:eastAsia="Calibri" w:cs="Arial"/>
                <w:bCs/>
                <w:color w:val="000000"/>
                <w:sz w:val="18"/>
                <w:szCs w:val="18"/>
                <w:lang w:eastAsia="en-GB"/>
              </w:rPr>
            </w:pPr>
            <w:r w:rsidRPr="00532093">
              <w:rPr>
                <w:rFonts w:eastAsia="Calibri" w:cs="Arial"/>
                <w:b/>
                <w:bCs/>
                <w:color w:val="000000"/>
                <w:sz w:val="18"/>
                <w:szCs w:val="18"/>
                <w:lang w:eastAsia="en-GB"/>
              </w:rPr>
              <w:t>PEC</w:t>
            </w:r>
            <w:r w:rsidRPr="00532093">
              <w:rPr>
                <w:rFonts w:eastAsia="Calibri" w:cs="Arial"/>
                <w:b/>
                <w:bCs/>
                <w:color w:val="000000"/>
                <w:sz w:val="18"/>
                <w:szCs w:val="18"/>
                <w:vertAlign w:val="subscript"/>
                <w:lang w:eastAsia="en-GB"/>
              </w:rPr>
              <w:t>STP</w:t>
            </w:r>
          </w:p>
        </w:tc>
        <w:tc>
          <w:tcPr>
            <w:tcW w:w="892" w:type="pct"/>
            <w:shd w:val="clear" w:color="auto" w:fill="auto"/>
            <w:vAlign w:val="center"/>
          </w:tcPr>
          <w:p w14:paraId="178B525B" w14:textId="77777777" w:rsidR="0016516D" w:rsidRPr="00532093" w:rsidRDefault="0016516D" w:rsidP="005752E1">
            <w:pPr>
              <w:spacing w:line="276" w:lineRule="auto"/>
              <w:jc w:val="center"/>
              <w:rPr>
                <w:rFonts w:eastAsia="Calibri" w:cs="Arial"/>
                <w:sz w:val="18"/>
                <w:szCs w:val="18"/>
                <w:lang w:eastAsia="en-GB"/>
              </w:rPr>
            </w:pPr>
            <w:r w:rsidRPr="00532093">
              <w:rPr>
                <w:rFonts w:eastAsia="Calibri" w:cs="Arial"/>
                <w:b/>
                <w:bCs/>
                <w:sz w:val="18"/>
                <w:szCs w:val="18"/>
                <w:lang w:eastAsia="en-GB"/>
              </w:rPr>
              <w:t>PEC</w:t>
            </w:r>
            <w:r w:rsidRPr="00532093">
              <w:rPr>
                <w:rFonts w:eastAsia="Calibri" w:cs="Arial"/>
                <w:b/>
                <w:bCs/>
                <w:sz w:val="18"/>
                <w:szCs w:val="18"/>
                <w:vertAlign w:val="subscript"/>
                <w:lang w:eastAsia="en-GB"/>
              </w:rPr>
              <w:t>water</w:t>
            </w:r>
          </w:p>
        </w:tc>
        <w:tc>
          <w:tcPr>
            <w:tcW w:w="895" w:type="pct"/>
            <w:shd w:val="clear" w:color="auto" w:fill="auto"/>
            <w:vAlign w:val="center"/>
          </w:tcPr>
          <w:p w14:paraId="56E3216F" w14:textId="77777777" w:rsidR="0016516D" w:rsidRPr="00532093" w:rsidRDefault="0016516D" w:rsidP="005752E1">
            <w:pPr>
              <w:spacing w:line="276" w:lineRule="auto"/>
              <w:jc w:val="center"/>
              <w:rPr>
                <w:rFonts w:eastAsia="Calibri" w:cs="Arial"/>
                <w:color w:val="000000"/>
                <w:sz w:val="18"/>
                <w:szCs w:val="18"/>
                <w:lang w:eastAsia="en-GB"/>
              </w:rPr>
            </w:pPr>
            <w:r w:rsidRPr="00532093">
              <w:rPr>
                <w:rFonts w:eastAsia="Calibri" w:cs="Arial"/>
                <w:b/>
                <w:sz w:val="18"/>
                <w:szCs w:val="18"/>
                <w:lang w:eastAsia="en-GB"/>
              </w:rPr>
              <w:t>PEC</w:t>
            </w:r>
            <w:r w:rsidRPr="00532093">
              <w:rPr>
                <w:rFonts w:eastAsia="Calibri" w:cs="Arial"/>
                <w:b/>
                <w:sz w:val="18"/>
                <w:szCs w:val="18"/>
                <w:vertAlign w:val="subscript"/>
                <w:lang w:eastAsia="en-GB"/>
              </w:rPr>
              <w:t>sed</w:t>
            </w:r>
          </w:p>
        </w:tc>
      </w:tr>
      <w:tr w:rsidR="0016516D" w:rsidRPr="00532093" w14:paraId="0A9687A2" w14:textId="77777777" w:rsidTr="003E3E25">
        <w:trPr>
          <w:trHeight w:val="70"/>
        </w:trPr>
        <w:tc>
          <w:tcPr>
            <w:tcW w:w="950" w:type="pct"/>
            <w:vMerge/>
            <w:shd w:val="clear" w:color="auto" w:fill="auto"/>
            <w:vAlign w:val="center"/>
          </w:tcPr>
          <w:p w14:paraId="5BB23420" w14:textId="77777777" w:rsidR="0016516D" w:rsidRPr="00532093" w:rsidRDefault="0016516D" w:rsidP="005752E1">
            <w:pPr>
              <w:spacing w:line="276" w:lineRule="auto"/>
              <w:jc w:val="center"/>
              <w:rPr>
                <w:rFonts w:eastAsia="Calibri" w:cs="Arial"/>
                <w:b/>
                <w:bCs/>
                <w:sz w:val="18"/>
                <w:szCs w:val="18"/>
                <w:lang w:eastAsia="en-GB"/>
              </w:rPr>
            </w:pPr>
          </w:p>
        </w:tc>
        <w:tc>
          <w:tcPr>
            <w:tcW w:w="1131" w:type="pct"/>
            <w:vMerge/>
            <w:shd w:val="clear" w:color="auto" w:fill="auto"/>
          </w:tcPr>
          <w:p w14:paraId="3CCCA611" w14:textId="726AAD7C" w:rsidR="0016516D" w:rsidRPr="00532093" w:rsidRDefault="0016516D" w:rsidP="005752E1">
            <w:pPr>
              <w:autoSpaceDE w:val="0"/>
              <w:autoSpaceDN w:val="0"/>
              <w:adjustRightInd w:val="0"/>
              <w:spacing w:line="260" w:lineRule="atLeast"/>
              <w:jc w:val="center"/>
              <w:rPr>
                <w:rFonts w:eastAsia="Calibri" w:cs="Arial"/>
                <w:bCs/>
                <w:color w:val="000000"/>
                <w:sz w:val="18"/>
                <w:szCs w:val="18"/>
                <w:lang w:eastAsia="en-GB"/>
              </w:rPr>
            </w:pPr>
          </w:p>
        </w:tc>
        <w:tc>
          <w:tcPr>
            <w:tcW w:w="1132" w:type="pct"/>
            <w:shd w:val="clear" w:color="auto" w:fill="auto"/>
          </w:tcPr>
          <w:p w14:paraId="5E86A8B5" w14:textId="58973B59" w:rsidR="0016516D" w:rsidRPr="00532093" w:rsidRDefault="0016516D" w:rsidP="005752E1">
            <w:pPr>
              <w:autoSpaceDE w:val="0"/>
              <w:autoSpaceDN w:val="0"/>
              <w:adjustRightInd w:val="0"/>
              <w:spacing w:line="260" w:lineRule="atLeast"/>
              <w:jc w:val="center"/>
              <w:rPr>
                <w:rFonts w:eastAsia="Calibri" w:cs="Arial"/>
                <w:color w:val="000000"/>
                <w:sz w:val="18"/>
                <w:szCs w:val="18"/>
                <w:lang w:eastAsia="en-GB"/>
              </w:rPr>
            </w:pPr>
            <w:r w:rsidRPr="00532093">
              <w:rPr>
                <w:rFonts w:eastAsia="Calibri" w:cs="Arial"/>
                <w:bCs/>
                <w:color w:val="000000"/>
                <w:sz w:val="18"/>
                <w:szCs w:val="18"/>
                <w:lang w:eastAsia="en-GB"/>
              </w:rPr>
              <w:t>[mg/l]</w:t>
            </w:r>
          </w:p>
        </w:tc>
        <w:tc>
          <w:tcPr>
            <w:tcW w:w="892" w:type="pct"/>
            <w:shd w:val="clear" w:color="auto" w:fill="auto"/>
            <w:vAlign w:val="center"/>
          </w:tcPr>
          <w:p w14:paraId="6F0315F9" w14:textId="77777777" w:rsidR="0016516D" w:rsidRPr="00532093" w:rsidRDefault="0016516D" w:rsidP="005752E1">
            <w:pPr>
              <w:autoSpaceDE w:val="0"/>
              <w:autoSpaceDN w:val="0"/>
              <w:adjustRightInd w:val="0"/>
              <w:spacing w:line="260" w:lineRule="atLeast"/>
              <w:jc w:val="center"/>
              <w:rPr>
                <w:rFonts w:eastAsia="Calibri" w:cs="Arial"/>
                <w:bCs/>
                <w:color w:val="000000"/>
                <w:sz w:val="18"/>
                <w:szCs w:val="18"/>
                <w:lang w:eastAsia="en-GB"/>
              </w:rPr>
            </w:pPr>
            <w:r w:rsidRPr="00532093">
              <w:rPr>
                <w:rFonts w:eastAsia="Calibri" w:cs="Arial"/>
                <w:bCs/>
                <w:color w:val="000000"/>
                <w:sz w:val="18"/>
                <w:szCs w:val="18"/>
                <w:lang w:eastAsia="en-GB"/>
              </w:rPr>
              <w:t>[mg/l]</w:t>
            </w:r>
          </w:p>
        </w:tc>
        <w:tc>
          <w:tcPr>
            <w:tcW w:w="895" w:type="pct"/>
            <w:shd w:val="clear" w:color="auto" w:fill="auto"/>
            <w:vAlign w:val="center"/>
          </w:tcPr>
          <w:p w14:paraId="646ED2B6" w14:textId="77777777" w:rsidR="0016516D" w:rsidRPr="00532093" w:rsidRDefault="0016516D" w:rsidP="005752E1">
            <w:pPr>
              <w:autoSpaceDE w:val="0"/>
              <w:autoSpaceDN w:val="0"/>
              <w:adjustRightInd w:val="0"/>
              <w:spacing w:line="260" w:lineRule="atLeast"/>
              <w:jc w:val="center"/>
              <w:rPr>
                <w:rFonts w:eastAsia="Calibri" w:cs="Arial"/>
                <w:bCs/>
                <w:color w:val="000000"/>
                <w:sz w:val="18"/>
                <w:szCs w:val="18"/>
                <w:lang w:eastAsia="en-GB"/>
              </w:rPr>
            </w:pPr>
            <w:r w:rsidRPr="00532093">
              <w:rPr>
                <w:rFonts w:eastAsia="Calibri" w:cs="Arial"/>
                <w:bCs/>
                <w:color w:val="000000"/>
                <w:sz w:val="18"/>
                <w:szCs w:val="18"/>
                <w:lang w:eastAsia="en-GB"/>
              </w:rPr>
              <w:t>[mg/kg</w:t>
            </w:r>
            <w:r w:rsidRPr="00532093">
              <w:rPr>
                <w:rFonts w:eastAsia="Calibri" w:cs="Arial"/>
                <w:bCs/>
                <w:color w:val="000000"/>
                <w:sz w:val="18"/>
                <w:szCs w:val="18"/>
                <w:vertAlign w:val="subscript"/>
                <w:lang w:eastAsia="en-GB"/>
              </w:rPr>
              <w:t>wwt</w:t>
            </w:r>
            <w:r w:rsidRPr="00532093">
              <w:rPr>
                <w:rFonts w:eastAsia="Calibri" w:cs="Arial"/>
                <w:bCs/>
                <w:color w:val="000000"/>
                <w:sz w:val="18"/>
                <w:szCs w:val="18"/>
                <w:lang w:eastAsia="en-GB"/>
              </w:rPr>
              <w:t>]</w:t>
            </w:r>
          </w:p>
        </w:tc>
      </w:tr>
      <w:tr w:rsidR="001E3887" w:rsidRPr="00532093" w14:paraId="582177D8" w14:textId="77777777" w:rsidTr="003E3E25">
        <w:trPr>
          <w:trHeight w:val="391"/>
        </w:trPr>
        <w:tc>
          <w:tcPr>
            <w:tcW w:w="950" w:type="pct"/>
            <w:shd w:val="clear" w:color="auto" w:fill="auto"/>
          </w:tcPr>
          <w:p w14:paraId="4BDDFA76" w14:textId="4FF5BC86" w:rsidR="001E3887" w:rsidRPr="00532093" w:rsidRDefault="001E3887" w:rsidP="0016516D">
            <w:pPr>
              <w:spacing w:line="276" w:lineRule="auto"/>
              <w:rPr>
                <w:rFonts w:eastAsia="Calibri" w:cs="Arial"/>
                <w:sz w:val="18"/>
                <w:szCs w:val="18"/>
                <w:lang w:eastAsia="en-GB"/>
              </w:rPr>
            </w:pPr>
            <w:r w:rsidRPr="00532093">
              <w:rPr>
                <w:rFonts w:eastAsia="Calibri" w:cs="Arial"/>
                <w:sz w:val="18"/>
                <w:szCs w:val="18"/>
                <w:lang w:eastAsia="en-GB"/>
              </w:rPr>
              <w:t>Scenario 1b</w:t>
            </w:r>
          </w:p>
        </w:tc>
        <w:tc>
          <w:tcPr>
            <w:tcW w:w="1131" w:type="pct"/>
            <w:shd w:val="clear" w:color="auto" w:fill="auto"/>
          </w:tcPr>
          <w:p w14:paraId="14BA5B92" w14:textId="758A1EEA" w:rsidR="001E3887" w:rsidRPr="00532093" w:rsidRDefault="001E3887" w:rsidP="006A4448">
            <w:pPr>
              <w:autoSpaceDE w:val="0"/>
              <w:autoSpaceDN w:val="0"/>
              <w:adjustRightInd w:val="0"/>
              <w:spacing w:line="260" w:lineRule="atLeast"/>
              <w:rPr>
                <w:rFonts w:eastAsia="Calibri" w:cs="Arial"/>
                <w:color w:val="000000"/>
                <w:sz w:val="18"/>
                <w:szCs w:val="18"/>
                <w:lang w:eastAsia="en-GB"/>
              </w:rPr>
            </w:pPr>
            <w:r w:rsidRPr="00532093">
              <w:rPr>
                <w:rFonts w:eastAsia="Calibri"/>
                <w:sz w:val="18"/>
                <w:szCs w:val="18"/>
              </w:rPr>
              <w:t>TIER 2</w:t>
            </w:r>
          </w:p>
        </w:tc>
        <w:tc>
          <w:tcPr>
            <w:tcW w:w="1132" w:type="pct"/>
            <w:shd w:val="clear" w:color="auto" w:fill="auto"/>
          </w:tcPr>
          <w:p w14:paraId="1DDE6BF1" w14:textId="143AEE8C" w:rsidR="001E3887" w:rsidRPr="00532093" w:rsidRDefault="001E3887" w:rsidP="006A4448">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2.9</w:t>
            </w:r>
            <w:r w:rsidR="00281E9A" w:rsidRPr="00532093">
              <w:rPr>
                <w:rFonts w:eastAsia="Calibri" w:cs="Arial"/>
                <w:color w:val="000000"/>
                <w:sz w:val="18"/>
                <w:szCs w:val="18"/>
                <w:lang w:eastAsia="en-GB"/>
              </w:rPr>
              <w:t>2</w:t>
            </w:r>
            <w:r w:rsidRPr="00532093">
              <w:rPr>
                <w:rFonts w:eastAsia="Calibri" w:cs="Arial"/>
                <w:color w:val="000000"/>
                <w:sz w:val="18"/>
                <w:szCs w:val="18"/>
                <w:lang w:eastAsia="en-GB"/>
              </w:rPr>
              <w:t>E-02</w:t>
            </w:r>
          </w:p>
        </w:tc>
        <w:tc>
          <w:tcPr>
            <w:tcW w:w="892" w:type="pct"/>
            <w:shd w:val="clear" w:color="auto" w:fill="auto"/>
          </w:tcPr>
          <w:p w14:paraId="78DFC5AD" w14:textId="3F5AB4C7" w:rsidR="001E3887" w:rsidRPr="00532093" w:rsidRDefault="001E3887" w:rsidP="006A4448">
            <w:pPr>
              <w:spacing w:line="276" w:lineRule="auto"/>
              <w:rPr>
                <w:rFonts w:eastAsia="Calibri" w:cs="Arial"/>
                <w:sz w:val="18"/>
                <w:szCs w:val="18"/>
                <w:lang w:eastAsia="en-GB"/>
              </w:rPr>
            </w:pPr>
            <w:r w:rsidRPr="00532093">
              <w:rPr>
                <w:rFonts w:eastAsia="Calibri" w:cs="Arial"/>
                <w:sz w:val="18"/>
                <w:szCs w:val="18"/>
                <w:lang w:eastAsia="en-GB"/>
              </w:rPr>
              <w:t>2.9</w:t>
            </w:r>
            <w:r w:rsidR="00281E9A" w:rsidRPr="00532093">
              <w:rPr>
                <w:rFonts w:eastAsia="Calibri" w:cs="Arial"/>
                <w:sz w:val="18"/>
                <w:szCs w:val="18"/>
                <w:lang w:eastAsia="en-GB"/>
              </w:rPr>
              <w:t>2</w:t>
            </w:r>
            <w:r w:rsidRPr="00532093">
              <w:rPr>
                <w:rFonts w:eastAsia="Calibri" w:cs="Arial"/>
                <w:sz w:val="18"/>
                <w:szCs w:val="18"/>
                <w:lang w:eastAsia="en-GB"/>
              </w:rPr>
              <w:t>E-03</w:t>
            </w:r>
          </w:p>
        </w:tc>
        <w:tc>
          <w:tcPr>
            <w:tcW w:w="895" w:type="pct"/>
            <w:shd w:val="clear" w:color="auto" w:fill="auto"/>
          </w:tcPr>
          <w:p w14:paraId="3BAF88D7" w14:textId="7943AA28" w:rsidR="001E3887" w:rsidRPr="00532093" w:rsidRDefault="001E3887" w:rsidP="006A4448">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3.2</w:t>
            </w:r>
            <w:r w:rsidR="00C97E9C" w:rsidRPr="00532093">
              <w:rPr>
                <w:rFonts w:eastAsia="Calibri" w:cs="Arial"/>
                <w:color w:val="000000"/>
                <w:sz w:val="18"/>
                <w:szCs w:val="18"/>
                <w:lang w:eastAsia="en-GB"/>
              </w:rPr>
              <w:t>4</w:t>
            </w:r>
            <w:r w:rsidRPr="00532093">
              <w:rPr>
                <w:rFonts w:eastAsia="Calibri" w:cs="Arial"/>
                <w:color w:val="000000"/>
                <w:sz w:val="18"/>
                <w:szCs w:val="18"/>
                <w:lang w:eastAsia="en-GB"/>
              </w:rPr>
              <w:t>E-02</w:t>
            </w:r>
          </w:p>
        </w:tc>
      </w:tr>
      <w:tr w:rsidR="001E3887" w:rsidRPr="00532093" w14:paraId="733440A9" w14:textId="77777777" w:rsidTr="003E3E25">
        <w:trPr>
          <w:trHeight w:val="126"/>
        </w:trPr>
        <w:tc>
          <w:tcPr>
            <w:tcW w:w="950" w:type="pct"/>
            <w:shd w:val="clear" w:color="auto" w:fill="auto"/>
          </w:tcPr>
          <w:p w14:paraId="16FF8E36" w14:textId="1D5656A7" w:rsidR="001E3887" w:rsidRPr="00532093" w:rsidRDefault="001E3887" w:rsidP="006A4448">
            <w:pPr>
              <w:spacing w:line="276" w:lineRule="auto"/>
              <w:rPr>
                <w:rFonts w:eastAsia="Calibri" w:cs="Arial"/>
                <w:sz w:val="18"/>
                <w:szCs w:val="18"/>
                <w:lang w:eastAsia="en-GB"/>
              </w:rPr>
            </w:pPr>
            <w:r w:rsidRPr="00532093">
              <w:rPr>
                <w:rFonts w:eastAsia="Calibri" w:cs="Arial"/>
                <w:sz w:val="18"/>
                <w:szCs w:val="18"/>
                <w:lang w:eastAsia="en-GB"/>
              </w:rPr>
              <w:t>Scenario 2b</w:t>
            </w:r>
          </w:p>
        </w:tc>
        <w:tc>
          <w:tcPr>
            <w:tcW w:w="1131" w:type="pct"/>
            <w:shd w:val="clear" w:color="auto" w:fill="auto"/>
          </w:tcPr>
          <w:p w14:paraId="46A10164" w14:textId="4EA935B0" w:rsidR="001E3887" w:rsidRPr="00532093" w:rsidRDefault="001E3887" w:rsidP="006A4448">
            <w:pPr>
              <w:spacing w:line="276" w:lineRule="auto"/>
              <w:rPr>
                <w:rFonts w:eastAsia="Calibri" w:cs="Arial"/>
                <w:sz w:val="18"/>
                <w:szCs w:val="18"/>
                <w:lang w:eastAsia="en-GB"/>
              </w:rPr>
            </w:pPr>
            <w:r w:rsidRPr="00532093">
              <w:rPr>
                <w:rFonts w:eastAsia="Calibri"/>
                <w:sz w:val="18"/>
                <w:szCs w:val="18"/>
              </w:rPr>
              <w:t>Day 91</w:t>
            </w:r>
            <w:r w:rsidR="00C97E9C" w:rsidRPr="00532093">
              <w:rPr>
                <w:rFonts w:eastAsia="Calibri"/>
                <w:sz w:val="18"/>
                <w:szCs w:val="18"/>
              </w:rPr>
              <w:t>*</w:t>
            </w:r>
          </w:p>
        </w:tc>
        <w:tc>
          <w:tcPr>
            <w:tcW w:w="1132" w:type="pct"/>
            <w:shd w:val="clear" w:color="auto" w:fill="auto"/>
          </w:tcPr>
          <w:p w14:paraId="64FF60F1" w14:textId="14C046F9" w:rsidR="001E3887" w:rsidRPr="00532093" w:rsidRDefault="001E3887" w:rsidP="006A4448">
            <w:pPr>
              <w:spacing w:line="276" w:lineRule="auto"/>
              <w:rPr>
                <w:rFonts w:eastAsia="Calibri" w:cs="Arial"/>
                <w:sz w:val="18"/>
                <w:szCs w:val="18"/>
                <w:lang w:eastAsia="en-GB"/>
              </w:rPr>
            </w:pPr>
            <w:r w:rsidRPr="00532093">
              <w:rPr>
                <w:rFonts w:eastAsia="Calibri" w:cs="Arial"/>
                <w:sz w:val="18"/>
                <w:szCs w:val="18"/>
                <w:lang w:eastAsia="en-GB"/>
              </w:rPr>
              <w:t>Not relevant</w:t>
            </w:r>
          </w:p>
        </w:tc>
        <w:tc>
          <w:tcPr>
            <w:tcW w:w="892" w:type="pct"/>
            <w:shd w:val="clear" w:color="auto" w:fill="auto"/>
          </w:tcPr>
          <w:p w14:paraId="3436E7A6" w14:textId="2D7D3F58" w:rsidR="001E3887" w:rsidRPr="00532093" w:rsidRDefault="00845001" w:rsidP="006A4448">
            <w:pPr>
              <w:spacing w:line="276" w:lineRule="auto"/>
              <w:rPr>
                <w:rFonts w:eastAsia="Calibri" w:cs="Arial"/>
                <w:sz w:val="18"/>
                <w:szCs w:val="18"/>
                <w:lang w:eastAsia="en-GB"/>
              </w:rPr>
            </w:pPr>
            <w:r w:rsidRPr="00532093">
              <w:rPr>
                <w:rFonts w:eastAsia="Calibri" w:cs="Arial"/>
                <w:sz w:val="18"/>
                <w:szCs w:val="18"/>
                <w:lang w:eastAsia="en-GB"/>
              </w:rPr>
              <w:t>4.1</w:t>
            </w:r>
            <w:r w:rsidR="00281E9A" w:rsidRPr="00532093">
              <w:rPr>
                <w:rFonts w:eastAsia="Calibri" w:cs="Arial"/>
                <w:sz w:val="18"/>
                <w:szCs w:val="18"/>
                <w:lang w:eastAsia="en-GB"/>
              </w:rPr>
              <w:t>4</w:t>
            </w:r>
            <w:r w:rsidR="001E3887" w:rsidRPr="00532093">
              <w:rPr>
                <w:rFonts w:eastAsia="Calibri" w:cs="Arial"/>
                <w:sz w:val="18"/>
                <w:szCs w:val="18"/>
                <w:lang w:eastAsia="en-GB"/>
              </w:rPr>
              <w:t>E-02</w:t>
            </w:r>
          </w:p>
        </w:tc>
        <w:tc>
          <w:tcPr>
            <w:tcW w:w="895" w:type="pct"/>
            <w:shd w:val="clear" w:color="auto" w:fill="auto"/>
          </w:tcPr>
          <w:p w14:paraId="3961ACF0" w14:textId="556EBDD9" w:rsidR="001E3887" w:rsidRPr="00532093" w:rsidRDefault="00845001" w:rsidP="006A4448">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4.6</w:t>
            </w:r>
            <w:r w:rsidR="00281E9A" w:rsidRPr="00532093">
              <w:rPr>
                <w:rFonts w:eastAsia="Calibri" w:cs="Arial"/>
                <w:color w:val="000000"/>
                <w:sz w:val="18"/>
                <w:szCs w:val="18"/>
                <w:lang w:eastAsia="en-GB"/>
              </w:rPr>
              <w:t>0</w:t>
            </w:r>
            <w:r w:rsidR="001E3887" w:rsidRPr="00532093">
              <w:rPr>
                <w:rFonts w:eastAsia="Calibri" w:cs="Arial"/>
                <w:color w:val="000000"/>
                <w:sz w:val="18"/>
                <w:szCs w:val="18"/>
                <w:lang w:eastAsia="en-GB"/>
              </w:rPr>
              <w:t>E-01</w:t>
            </w:r>
          </w:p>
        </w:tc>
      </w:tr>
      <w:tr w:rsidR="001E3887" w:rsidRPr="00532093" w14:paraId="687D991F" w14:textId="77777777" w:rsidTr="003E3E25">
        <w:trPr>
          <w:trHeight w:val="295"/>
        </w:trPr>
        <w:tc>
          <w:tcPr>
            <w:tcW w:w="950" w:type="pct"/>
            <w:shd w:val="clear" w:color="auto" w:fill="auto"/>
          </w:tcPr>
          <w:p w14:paraId="36A18C8E" w14:textId="26D7FFB8" w:rsidR="001E3887" w:rsidRPr="00532093" w:rsidRDefault="001E3887" w:rsidP="006A4448">
            <w:pPr>
              <w:spacing w:line="276" w:lineRule="auto"/>
              <w:rPr>
                <w:rFonts w:eastAsia="Calibri" w:cs="Arial"/>
                <w:sz w:val="18"/>
                <w:szCs w:val="18"/>
                <w:lang w:eastAsia="en-GB"/>
              </w:rPr>
            </w:pPr>
            <w:r w:rsidRPr="00532093">
              <w:rPr>
                <w:rFonts w:eastAsia="Calibri" w:cs="Arial"/>
                <w:sz w:val="18"/>
                <w:szCs w:val="18"/>
                <w:lang w:eastAsia="en-GB"/>
              </w:rPr>
              <w:t>Scenario 3</w:t>
            </w:r>
          </w:p>
        </w:tc>
        <w:tc>
          <w:tcPr>
            <w:tcW w:w="1131" w:type="pct"/>
            <w:shd w:val="clear" w:color="auto" w:fill="auto"/>
          </w:tcPr>
          <w:p w14:paraId="106048EB" w14:textId="43B585DB" w:rsidR="001E3887" w:rsidRPr="00532093" w:rsidRDefault="001E3887" w:rsidP="006A4448">
            <w:pPr>
              <w:spacing w:line="276" w:lineRule="auto"/>
              <w:rPr>
                <w:rFonts w:eastAsia="Calibri" w:cs="Arial"/>
                <w:sz w:val="18"/>
                <w:szCs w:val="18"/>
                <w:lang w:eastAsia="en-GB"/>
              </w:rPr>
            </w:pPr>
            <w:r w:rsidRPr="00532093">
              <w:rPr>
                <w:rFonts w:eastAsia="Calibri"/>
                <w:sz w:val="18"/>
                <w:szCs w:val="18"/>
              </w:rPr>
              <w:t>TIER 2</w:t>
            </w:r>
          </w:p>
        </w:tc>
        <w:tc>
          <w:tcPr>
            <w:tcW w:w="1132" w:type="pct"/>
            <w:shd w:val="clear" w:color="auto" w:fill="auto"/>
          </w:tcPr>
          <w:p w14:paraId="6E99F27C" w14:textId="12A888D6" w:rsidR="001E3887" w:rsidRPr="00532093" w:rsidRDefault="00294ECB" w:rsidP="006A4448">
            <w:pPr>
              <w:spacing w:line="276" w:lineRule="auto"/>
              <w:rPr>
                <w:rFonts w:eastAsia="Calibri" w:cs="Arial"/>
                <w:sz w:val="18"/>
                <w:szCs w:val="18"/>
                <w:lang w:eastAsia="en-GB"/>
              </w:rPr>
            </w:pPr>
            <w:r w:rsidRPr="00532093">
              <w:rPr>
                <w:rFonts w:eastAsia="Calibri" w:cs="Arial"/>
                <w:sz w:val="18"/>
                <w:szCs w:val="18"/>
                <w:lang w:eastAsia="en-GB"/>
              </w:rPr>
              <w:t>1.5</w:t>
            </w:r>
            <w:r w:rsidR="00281E9A" w:rsidRPr="00532093">
              <w:rPr>
                <w:rFonts w:eastAsia="Calibri" w:cs="Arial"/>
                <w:sz w:val="18"/>
                <w:szCs w:val="18"/>
                <w:lang w:eastAsia="en-GB"/>
              </w:rPr>
              <w:t>2</w:t>
            </w:r>
            <w:r w:rsidR="001E3887" w:rsidRPr="00532093">
              <w:rPr>
                <w:rFonts w:eastAsia="Calibri" w:cs="Arial"/>
                <w:sz w:val="18"/>
                <w:szCs w:val="18"/>
                <w:lang w:eastAsia="en-GB"/>
              </w:rPr>
              <w:t>E-02</w:t>
            </w:r>
          </w:p>
        </w:tc>
        <w:tc>
          <w:tcPr>
            <w:tcW w:w="892" w:type="pct"/>
            <w:shd w:val="clear" w:color="auto" w:fill="auto"/>
          </w:tcPr>
          <w:p w14:paraId="22F86327" w14:textId="7556E3B4" w:rsidR="001E3887" w:rsidRPr="00532093" w:rsidRDefault="00294ECB" w:rsidP="006A4448">
            <w:pPr>
              <w:spacing w:line="276" w:lineRule="auto"/>
              <w:rPr>
                <w:rFonts w:eastAsia="Calibri" w:cs="Arial"/>
                <w:sz w:val="18"/>
                <w:szCs w:val="18"/>
                <w:lang w:eastAsia="en-GB"/>
              </w:rPr>
            </w:pPr>
            <w:r w:rsidRPr="00532093">
              <w:rPr>
                <w:rFonts w:eastAsia="Calibri" w:cs="Arial"/>
                <w:sz w:val="18"/>
                <w:szCs w:val="18"/>
                <w:lang w:eastAsia="en-GB"/>
              </w:rPr>
              <w:t>1.5</w:t>
            </w:r>
            <w:r w:rsidR="00281E9A" w:rsidRPr="00532093">
              <w:rPr>
                <w:rFonts w:eastAsia="Calibri" w:cs="Arial"/>
                <w:sz w:val="18"/>
                <w:szCs w:val="18"/>
                <w:lang w:eastAsia="en-GB"/>
              </w:rPr>
              <w:t>2</w:t>
            </w:r>
            <w:r w:rsidR="001E3887" w:rsidRPr="00532093">
              <w:rPr>
                <w:rFonts w:eastAsia="Calibri" w:cs="Arial"/>
                <w:sz w:val="18"/>
                <w:szCs w:val="18"/>
                <w:lang w:eastAsia="en-GB"/>
              </w:rPr>
              <w:t>E-03</w:t>
            </w:r>
          </w:p>
        </w:tc>
        <w:tc>
          <w:tcPr>
            <w:tcW w:w="895" w:type="pct"/>
            <w:shd w:val="clear" w:color="auto" w:fill="auto"/>
          </w:tcPr>
          <w:p w14:paraId="2E009C6C" w14:textId="30D53861" w:rsidR="001E3887" w:rsidRPr="00532093" w:rsidRDefault="00294ECB" w:rsidP="006A4448">
            <w:pPr>
              <w:autoSpaceDE w:val="0"/>
              <w:autoSpaceDN w:val="0"/>
              <w:adjustRightInd w:val="0"/>
              <w:spacing w:line="260" w:lineRule="atLeast"/>
              <w:rPr>
                <w:rFonts w:eastAsia="Calibri" w:cs="Arial"/>
                <w:color w:val="000000"/>
                <w:sz w:val="18"/>
                <w:szCs w:val="18"/>
                <w:lang w:eastAsia="en-GB"/>
              </w:rPr>
            </w:pPr>
            <w:r w:rsidRPr="00532093">
              <w:rPr>
                <w:rFonts w:eastAsia="Calibri" w:cs="Arial"/>
                <w:color w:val="000000"/>
                <w:sz w:val="18"/>
                <w:szCs w:val="18"/>
                <w:lang w:eastAsia="en-GB"/>
              </w:rPr>
              <w:t>1.</w:t>
            </w:r>
            <w:r w:rsidR="00C97E9C" w:rsidRPr="00532093">
              <w:rPr>
                <w:rFonts w:eastAsia="Calibri" w:cs="Arial"/>
                <w:color w:val="000000"/>
                <w:sz w:val="18"/>
                <w:szCs w:val="18"/>
                <w:lang w:eastAsia="en-GB"/>
              </w:rPr>
              <w:t>68</w:t>
            </w:r>
            <w:r w:rsidR="001E3887" w:rsidRPr="00532093">
              <w:rPr>
                <w:rFonts w:eastAsia="Calibri" w:cs="Arial"/>
                <w:color w:val="000000"/>
                <w:sz w:val="18"/>
                <w:szCs w:val="18"/>
                <w:lang w:eastAsia="en-GB"/>
              </w:rPr>
              <w:t>E-02</w:t>
            </w:r>
          </w:p>
        </w:tc>
      </w:tr>
      <w:tr w:rsidR="001E3887" w:rsidRPr="00532093" w14:paraId="53A3EF5D" w14:textId="77777777" w:rsidTr="003E3E25">
        <w:trPr>
          <w:trHeight w:val="362"/>
        </w:trPr>
        <w:tc>
          <w:tcPr>
            <w:tcW w:w="950" w:type="pct"/>
            <w:shd w:val="clear" w:color="auto" w:fill="auto"/>
          </w:tcPr>
          <w:p w14:paraId="35683BD0" w14:textId="66F2CA0A" w:rsidR="001E3887" w:rsidRPr="00532093" w:rsidRDefault="001E3887" w:rsidP="006A4448">
            <w:pPr>
              <w:spacing w:line="276" w:lineRule="auto"/>
              <w:rPr>
                <w:rFonts w:eastAsia="Calibri" w:cs="Arial"/>
                <w:sz w:val="18"/>
                <w:szCs w:val="18"/>
                <w:lang w:eastAsia="en-GB"/>
              </w:rPr>
            </w:pPr>
            <w:r w:rsidRPr="00532093">
              <w:rPr>
                <w:rFonts w:eastAsia="Calibri" w:cs="Arial"/>
                <w:sz w:val="18"/>
                <w:szCs w:val="18"/>
                <w:lang w:eastAsia="en-GB"/>
              </w:rPr>
              <w:t>Scenario 4</w:t>
            </w:r>
          </w:p>
        </w:tc>
        <w:tc>
          <w:tcPr>
            <w:tcW w:w="1131" w:type="pct"/>
            <w:shd w:val="clear" w:color="auto" w:fill="auto"/>
          </w:tcPr>
          <w:p w14:paraId="2DDD3210" w14:textId="53FF4736" w:rsidR="001E3887" w:rsidRPr="00532093" w:rsidRDefault="001E3887" w:rsidP="006A4448">
            <w:pPr>
              <w:spacing w:line="276" w:lineRule="auto"/>
              <w:rPr>
                <w:rFonts w:eastAsia="Calibri" w:cs="Arial"/>
                <w:sz w:val="18"/>
                <w:szCs w:val="18"/>
                <w:lang w:eastAsia="en-GB"/>
              </w:rPr>
            </w:pPr>
            <w:r w:rsidRPr="00532093">
              <w:rPr>
                <w:rFonts w:eastAsia="Calibri"/>
                <w:sz w:val="18"/>
                <w:szCs w:val="18"/>
              </w:rPr>
              <w:t>TIER 2</w:t>
            </w:r>
          </w:p>
        </w:tc>
        <w:tc>
          <w:tcPr>
            <w:tcW w:w="1132" w:type="pct"/>
            <w:shd w:val="clear" w:color="auto" w:fill="auto"/>
          </w:tcPr>
          <w:p w14:paraId="7ACB7692" w14:textId="055AB12E" w:rsidR="001E3887" w:rsidRPr="00532093" w:rsidRDefault="00964BBF" w:rsidP="006A4448">
            <w:pPr>
              <w:spacing w:line="276" w:lineRule="auto"/>
              <w:rPr>
                <w:rFonts w:eastAsia="Calibri" w:cs="Arial"/>
                <w:sz w:val="18"/>
                <w:szCs w:val="18"/>
                <w:lang w:eastAsia="en-GB"/>
              </w:rPr>
            </w:pPr>
            <w:r w:rsidRPr="00532093">
              <w:rPr>
                <w:rFonts w:eastAsia="Calibri" w:cs="Arial"/>
                <w:sz w:val="18"/>
                <w:szCs w:val="18"/>
                <w:lang w:eastAsia="en-GB"/>
              </w:rPr>
              <w:t>5.6</w:t>
            </w:r>
            <w:r w:rsidR="00281E9A" w:rsidRPr="00532093">
              <w:rPr>
                <w:rFonts w:eastAsia="Calibri" w:cs="Arial"/>
                <w:sz w:val="18"/>
                <w:szCs w:val="18"/>
                <w:lang w:eastAsia="en-GB"/>
              </w:rPr>
              <w:t>3</w:t>
            </w:r>
            <w:r w:rsidR="001E3887" w:rsidRPr="00532093">
              <w:rPr>
                <w:rFonts w:eastAsia="Calibri" w:cs="Arial"/>
                <w:sz w:val="18"/>
                <w:szCs w:val="18"/>
                <w:lang w:eastAsia="en-GB"/>
              </w:rPr>
              <w:t>E-02</w:t>
            </w:r>
          </w:p>
        </w:tc>
        <w:tc>
          <w:tcPr>
            <w:tcW w:w="892" w:type="pct"/>
            <w:shd w:val="clear" w:color="auto" w:fill="auto"/>
          </w:tcPr>
          <w:p w14:paraId="6A90C156" w14:textId="4B5EB822" w:rsidR="001E3887" w:rsidRPr="00532093" w:rsidRDefault="00964BBF" w:rsidP="006A4448">
            <w:pPr>
              <w:spacing w:line="276" w:lineRule="auto"/>
              <w:rPr>
                <w:rFonts w:eastAsia="Calibri" w:cs="Arial"/>
                <w:sz w:val="18"/>
                <w:szCs w:val="18"/>
                <w:lang w:eastAsia="en-GB"/>
              </w:rPr>
            </w:pPr>
            <w:r w:rsidRPr="00532093">
              <w:rPr>
                <w:rFonts w:eastAsia="Calibri" w:cs="Arial"/>
                <w:sz w:val="18"/>
                <w:szCs w:val="18"/>
                <w:lang w:eastAsia="en-GB"/>
              </w:rPr>
              <w:t>5.6</w:t>
            </w:r>
            <w:r w:rsidR="00C97E9C" w:rsidRPr="00532093">
              <w:rPr>
                <w:rFonts w:eastAsia="Calibri" w:cs="Arial"/>
                <w:sz w:val="18"/>
                <w:szCs w:val="18"/>
                <w:lang w:eastAsia="en-GB"/>
              </w:rPr>
              <w:t>2</w:t>
            </w:r>
            <w:r w:rsidR="001E3887" w:rsidRPr="00532093">
              <w:rPr>
                <w:rFonts w:eastAsia="Calibri" w:cs="Arial"/>
                <w:sz w:val="18"/>
                <w:szCs w:val="18"/>
                <w:lang w:eastAsia="en-GB"/>
              </w:rPr>
              <w:t>E-03</w:t>
            </w:r>
          </w:p>
        </w:tc>
        <w:tc>
          <w:tcPr>
            <w:tcW w:w="895" w:type="pct"/>
            <w:shd w:val="clear" w:color="auto" w:fill="auto"/>
          </w:tcPr>
          <w:p w14:paraId="4E55FBA6" w14:textId="01ED766C" w:rsidR="001E3887" w:rsidRPr="00532093" w:rsidRDefault="00964BBF" w:rsidP="006A4448">
            <w:pPr>
              <w:autoSpaceDE w:val="0"/>
              <w:autoSpaceDN w:val="0"/>
              <w:adjustRightInd w:val="0"/>
              <w:spacing w:line="260" w:lineRule="atLeast"/>
              <w:rPr>
                <w:rFonts w:eastAsia="Calibri" w:cs="Arial"/>
                <w:color w:val="000000"/>
                <w:sz w:val="18"/>
                <w:szCs w:val="18"/>
                <w:lang w:eastAsia="en-GB"/>
              </w:rPr>
            </w:pPr>
            <w:r w:rsidRPr="00532093">
              <w:rPr>
                <w:rFonts w:eastAsia="Calibri" w:cs="Arial"/>
                <w:sz w:val="18"/>
                <w:szCs w:val="18"/>
                <w:lang w:eastAsia="en-GB"/>
              </w:rPr>
              <w:t>6.</w:t>
            </w:r>
            <w:r w:rsidR="00281E9A" w:rsidRPr="00532093">
              <w:rPr>
                <w:rFonts w:eastAsia="Calibri" w:cs="Arial"/>
                <w:sz w:val="18"/>
                <w:szCs w:val="18"/>
                <w:lang w:eastAsia="en-GB"/>
              </w:rPr>
              <w:t>25</w:t>
            </w:r>
            <w:r w:rsidR="001E3887" w:rsidRPr="00532093">
              <w:rPr>
                <w:rFonts w:eastAsia="Calibri" w:cs="Arial"/>
                <w:sz w:val="18"/>
                <w:szCs w:val="18"/>
                <w:lang w:eastAsia="en-GB"/>
              </w:rPr>
              <w:t>E-02</w:t>
            </w:r>
          </w:p>
        </w:tc>
      </w:tr>
    </w:tbl>
    <w:p w14:paraId="608C1499" w14:textId="7A03BD51" w:rsidR="0024663E" w:rsidRPr="00C97E9C" w:rsidRDefault="00C97E9C" w:rsidP="00C97E9C">
      <w:pPr>
        <w:spacing w:line="260" w:lineRule="atLeast"/>
        <w:jc w:val="both"/>
        <w:rPr>
          <w:rFonts w:eastAsia="Calibri"/>
          <w:lang w:eastAsia="en-US"/>
        </w:rPr>
      </w:pPr>
      <w:r w:rsidRPr="003E3E25">
        <w:rPr>
          <w:rFonts w:eastAsia="Calibri"/>
          <w:lang w:eastAsia="en-US"/>
        </w:rPr>
        <w:t>*</w:t>
      </w:r>
      <w:r w:rsidRPr="003E3E25">
        <w:rPr>
          <w:rFonts w:eastAsia="Calibri"/>
          <w:i/>
          <w:lang w:eastAsia="en-US"/>
        </w:rPr>
        <w:t>Calculated with dt50</w:t>
      </w:r>
      <w:r w:rsidRPr="003E3E25">
        <w:rPr>
          <w:rFonts w:eastAsia="Calibri"/>
          <w:i/>
          <w:vertAlign w:val="subscript"/>
          <w:lang w:eastAsia="en-US"/>
        </w:rPr>
        <w:t>surface,water</w:t>
      </w:r>
      <w:r w:rsidRPr="003E3E25">
        <w:rPr>
          <w:rFonts w:eastAsia="Calibri"/>
          <w:i/>
          <w:lang w:eastAsia="en-US"/>
        </w:rPr>
        <w:t>=299,64 days.</w:t>
      </w:r>
    </w:p>
    <w:p w14:paraId="1FF1AB53" w14:textId="77777777" w:rsidR="00A0626E" w:rsidRPr="00FD2055" w:rsidRDefault="00A0626E" w:rsidP="00A0626E">
      <w:pPr>
        <w:pStyle w:val="Titre5"/>
      </w:pPr>
      <w:bookmarkStart w:id="325" w:name="_Toc377651047"/>
      <w:bookmarkStart w:id="326" w:name="_Toc389729117"/>
      <w:bookmarkStart w:id="327" w:name="_Toc403472802"/>
      <w:bookmarkStart w:id="328" w:name="_Toc93326603"/>
      <w:r w:rsidRPr="00FD2055">
        <w:t>Primary and secondary poisoning</w:t>
      </w:r>
      <w:bookmarkEnd w:id="325"/>
      <w:bookmarkEnd w:id="326"/>
      <w:bookmarkEnd w:id="327"/>
      <w:bookmarkEnd w:id="328"/>
    </w:p>
    <w:p w14:paraId="154642DB" w14:textId="77777777" w:rsidR="00A0626E" w:rsidRPr="00FD2055" w:rsidRDefault="00A0626E" w:rsidP="00A0626E">
      <w:pPr>
        <w:spacing w:line="260" w:lineRule="atLeast"/>
        <w:rPr>
          <w:rFonts w:eastAsia="Calibri"/>
          <w:lang w:eastAsia="en-US"/>
        </w:rPr>
      </w:pPr>
    </w:p>
    <w:p w14:paraId="437F8BC6" w14:textId="77777777" w:rsidR="00A0626E" w:rsidRPr="00140213" w:rsidRDefault="00A0626E" w:rsidP="00D471B6">
      <w:pPr>
        <w:pStyle w:val="Titre6"/>
        <w:numPr>
          <w:ilvl w:val="0"/>
          <w:numId w:val="7"/>
        </w:numPr>
        <w:rPr>
          <w:lang w:val="en-US"/>
        </w:rPr>
      </w:pPr>
      <w:r w:rsidRPr="00140213">
        <w:rPr>
          <w:lang w:val="en-US"/>
        </w:rPr>
        <w:t xml:space="preserve">Primary poisoning </w:t>
      </w:r>
    </w:p>
    <w:p w14:paraId="0F21F7F6" w14:textId="77777777" w:rsidR="00A0626E" w:rsidRPr="002F3EED" w:rsidRDefault="00A0626E" w:rsidP="00A0626E">
      <w:pPr>
        <w:rPr>
          <w:rFonts w:eastAsia="Calibri"/>
          <w:lang w:val="en-US" w:eastAsia="en-US"/>
        </w:rPr>
      </w:pPr>
      <w:r w:rsidRPr="002F3EED">
        <w:rPr>
          <w:rFonts w:eastAsia="Calibri"/>
          <w:lang w:val="en-US" w:eastAsia="en-US"/>
        </w:rPr>
        <w:t>Not applicable, since this product is a repellent and has no intention of killing.</w:t>
      </w:r>
    </w:p>
    <w:p w14:paraId="2532415B" w14:textId="77777777" w:rsidR="00A0626E" w:rsidRPr="002F3EED" w:rsidRDefault="00A0626E" w:rsidP="00A0626E">
      <w:pPr>
        <w:rPr>
          <w:lang w:val="en-US" w:eastAsia="en-US"/>
        </w:rPr>
      </w:pPr>
    </w:p>
    <w:p w14:paraId="14020140" w14:textId="77777777" w:rsidR="00A0626E" w:rsidRPr="00FD2055" w:rsidRDefault="00A0626E" w:rsidP="00D471B6">
      <w:pPr>
        <w:pStyle w:val="Titre6"/>
        <w:numPr>
          <w:ilvl w:val="0"/>
          <w:numId w:val="7"/>
        </w:numPr>
      </w:pPr>
      <w:r w:rsidRPr="00FD2055">
        <w:t>Secondary poisoning</w:t>
      </w:r>
    </w:p>
    <w:p w14:paraId="2BF6A8C7" w14:textId="77777777" w:rsidR="00A0626E" w:rsidRPr="002F3EED" w:rsidRDefault="00A0626E" w:rsidP="00A0626E">
      <w:pPr>
        <w:rPr>
          <w:rFonts w:eastAsia="Calibri"/>
          <w:lang w:val="en-US" w:eastAsia="en-US"/>
        </w:rPr>
      </w:pPr>
      <w:r w:rsidRPr="002F3EED">
        <w:rPr>
          <w:rFonts w:eastAsia="Calibri"/>
          <w:lang w:val="en-US" w:eastAsia="en-US"/>
        </w:rPr>
        <w:t xml:space="preserve">Not relevant, since </w:t>
      </w:r>
      <w:r>
        <w:rPr>
          <w:rFonts w:eastAsia="Calibri"/>
          <w:lang w:val="en-US" w:eastAsia="en-US"/>
        </w:rPr>
        <w:t xml:space="preserve">no </w:t>
      </w:r>
      <w:r w:rsidRPr="002F3EED">
        <w:rPr>
          <w:rFonts w:eastAsia="Calibri"/>
          <w:lang w:val="en-US" w:eastAsia="en-US"/>
        </w:rPr>
        <w:t xml:space="preserve">bioaccumulation </w:t>
      </w:r>
      <w:r>
        <w:rPr>
          <w:rFonts w:eastAsia="Calibri"/>
          <w:lang w:val="en-US" w:eastAsia="en-US"/>
        </w:rPr>
        <w:t xml:space="preserve">is </w:t>
      </w:r>
      <w:r w:rsidRPr="002F3EED">
        <w:rPr>
          <w:rFonts w:eastAsia="Calibri"/>
          <w:lang w:val="en-US" w:eastAsia="en-US"/>
        </w:rPr>
        <w:t>expected.</w:t>
      </w:r>
    </w:p>
    <w:p w14:paraId="30B59A6F" w14:textId="77777777" w:rsidR="00A0626E" w:rsidRPr="002F3EED" w:rsidRDefault="00A0626E" w:rsidP="00A0626E">
      <w:pPr>
        <w:rPr>
          <w:rFonts w:eastAsia="Calibri"/>
          <w:lang w:val="en-US" w:eastAsia="en-US"/>
        </w:rPr>
      </w:pPr>
    </w:p>
    <w:p w14:paraId="41F25A62" w14:textId="77777777" w:rsidR="00A0626E" w:rsidRDefault="00A0626E" w:rsidP="00A0626E">
      <w:pPr>
        <w:rPr>
          <w:lang w:eastAsia="en-US"/>
        </w:rPr>
      </w:pPr>
    </w:p>
    <w:p w14:paraId="09823513" w14:textId="77777777" w:rsidR="00C442A7" w:rsidRDefault="00C442A7" w:rsidP="00C442A7">
      <w:pPr>
        <w:rPr>
          <w:lang w:eastAsia="en-US"/>
        </w:rPr>
      </w:pPr>
    </w:p>
    <w:p w14:paraId="633ADAB7" w14:textId="77777777" w:rsidR="00140213" w:rsidRDefault="00140213">
      <w:pPr>
        <w:spacing w:before="0" w:after="160" w:line="259" w:lineRule="auto"/>
        <w:rPr>
          <w:lang w:eastAsia="en-US"/>
        </w:rPr>
      </w:pPr>
      <w:r>
        <w:rPr>
          <w:lang w:eastAsia="en-US"/>
        </w:rPr>
        <w:br w:type="page"/>
      </w:r>
    </w:p>
    <w:p w14:paraId="63E57CE3" w14:textId="77777777" w:rsidR="00140213" w:rsidRDefault="00E94ED0" w:rsidP="00E94ED0">
      <w:pPr>
        <w:pStyle w:val="Titre4"/>
      </w:pPr>
      <w:bookmarkStart w:id="329" w:name="_Toc93326604"/>
      <w:r>
        <w:t>Risk characterisation</w:t>
      </w:r>
      <w:bookmarkEnd w:id="329"/>
    </w:p>
    <w:p w14:paraId="75F50B92" w14:textId="58E42AA9" w:rsidR="00E94ED0" w:rsidRDefault="00E94ED0" w:rsidP="00D471B6">
      <w:pPr>
        <w:pStyle w:val="Titre5"/>
        <w:numPr>
          <w:ilvl w:val="0"/>
          <w:numId w:val="8"/>
        </w:numPr>
      </w:pPr>
      <w:bookmarkStart w:id="330" w:name="_Toc93326605"/>
      <w:r>
        <w:t>Atmosphere</w:t>
      </w:r>
      <w:bookmarkEnd w:id="330"/>
    </w:p>
    <w:p w14:paraId="20ECD58C" w14:textId="77777777" w:rsidR="001024E3" w:rsidRPr="009461FB" w:rsidRDefault="001024E3" w:rsidP="001024E3">
      <w:pPr>
        <w:pStyle w:val="Paragraphedeliste"/>
        <w:numPr>
          <w:ilvl w:val="0"/>
          <w:numId w:val="68"/>
        </w:numPr>
        <w:rPr>
          <w:b/>
        </w:rPr>
      </w:pPr>
      <w:r w:rsidRPr="009461FB">
        <w:rPr>
          <w:b/>
        </w:rPr>
        <w:t>FIRST AUTHORISATION – 2017 (BE CA)</w:t>
      </w:r>
    </w:p>
    <w:p w14:paraId="4445735B" w14:textId="77777777" w:rsidR="001024E3" w:rsidRPr="001024E3" w:rsidRDefault="001024E3" w:rsidP="001024E3">
      <w:pPr>
        <w:rPr>
          <w:lang w:val="en-US" w:eastAsia="en-US"/>
        </w:rPr>
      </w:pPr>
    </w:p>
    <w:p w14:paraId="54C9CA96" w14:textId="77777777" w:rsidR="0036179B" w:rsidRDefault="0036179B" w:rsidP="0036179B">
      <w:pPr>
        <w:rPr>
          <w:rFonts w:eastAsia="Calibri"/>
          <w:lang w:eastAsia="en-US"/>
        </w:rPr>
      </w:pPr>
      <w:bookmarkStart w:id="331" w:name="_Toc377651051"/>
      <w:bookmarkStart w:id="332" w:name="_Toc389729120"/>
      <w:bookmarkStart w:id="333" w:name="_Toc403472804"/>
      <w:r w:rsidRPr="00FD2055">
        <w:rPr>
          <w:rFonts w:eastAsia="Calibri"/>
          <w:u w:val="single"/>
          <w:lang w:eastAsia="en-US"/>
        </w:rPr>
        <w:t>Conclusion</w:t>
      </w:r>
      <w:r w:rsidRPr="00FD2055">
        <w:rPr>
          <w:rFonts w:eastAsia="Calibri"/>
          <w:lang w:eastAsia="en-US"/>
        </w:rPr>
        <w:t xml:space="preserve">: </w:t>
      </w:r>
    </w:p>
    <w:p w14:paraId="5C6DC1B8" w14:textId="77777777" w:rsidR="0036179B" w:rsidRPr="00FD2055" w:rsidRDefault="0036179B" w:rsidP="0036179B">
      <w:pPr>
        <w:rPr>
          <w:rFonts w:eastAsia="Calibri"/>
          <w:lang w:eastAsia="en-US"/>
        </w:rPr>
      </w:pPr>
      <w:r>
        <w:rPr>
          <w:rFonts w:eastAsia="Calibri"/>
        </w:rPr>
        <w:t>Only negligible exposure to the atmosphere is expected and no threat to the atmosphere is expected.</w:t>
      </w:r>
    </w:p>
    <w:p w14:paraId="79AD98E4" w14:textId="4A6A3BB9" w:rsidR="00E94ED0" w:rsidRDefault="00E94ED0" w:rsidP="00E94ED0">
      <w:pPr>
        <w:pStyle w:val="Titre5"/>
      </w:pPr>
      <w:bookmarkStart w:id="334" w:name="_Toc93326606"/>
      <w:r w:rsidRPr="00FD2055">
        <w:t>Sewage treatment plant (STP</w:t>
      </w:r>
      <w:bookmarkEnd w:id="331"/>
      <w:r w:rsidRPr="00FD2055">
        <w:t>)</w:t>
      </w:r>
      <w:bookmarkEnd w:id="332"/>
      <w:bookmarkEnd w:id="333"/>
      <w:bookmarkEnd w:id="334"/>
      <w:r w:rsidRPr="00FD2055">
        <w:t xml:space="preserve"> </w:t>
      </w:r>
    </w:p>
    <w:p w14:paraId="4D139845" w14:textId="77777777" w:rsidR="001024E3" w:rsidRPr="009461FB" w:rsidRDefault="001024E3" w:rsidP="001024E3">
      <w:pPr>
        <w:pStyle w:val="Paragraphedeliste"/>
        <w:numPr>
          <w:ilvl w:val="0"/>
          <w:numId w:val="68"/>
        </w:numPr>
        <w:rPr>
          <w:b/>
        </w:rPr>
      </w:pPr>
      <w:r w:rsidRPr="009461FB">
        <w:rPr>
          <w:b/>
        </w:rPr>
        <w:t>FIRST AUTHORISATION – 2017 (BE CA)</w:t>
      </w:r>
    </w:p>
    <w:p w14:paraId="68820C9C" w14:textId="77777777" w:rsidR="001024E3" w:rsidRPr="001024E3" w:rsidRDefault="001024E3" w:rsidP="001024E3">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1632"/>
        <w:gridCol w:w="5540"/>
      </w:tblGrid>
      <w:tr w:rsidR="0036179B" w:rsidRPr="00E94ED0" w14:paraId="1422D229" w14:textId="77777777" w:rsidTr="00854FF9">
        <w:trPr>
          <w:trHeight w:val="249"/>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Pr>
          <w:p w14:paraId="13CF55FF" w14:textId="77777777" w:rsidR="0036179B" w:rsidRPr="00E94ED0" w:rsidRDefault="0036179B" w:rsidP="00854FF9">
            <w:pPr>
              <w:pStyle w:val="Standaard-Tabellen"/>
              <w:jc w:val="center"/>
              <w:rPr>
                <w:rFonts w:eastAsia="Calibri"/>
                <w:b/>
              </w:rPr>
            </w:pPr>
            <w:bookmarkStart w:id="335" w:name="_Toc377651052"/>
            <w:bookmarkStart w:id="336" w:name="_Toc389729121"/>
            <w:bookmarkStart w:id="337" w:name="_Toc403472805"/>
            <w:r w:rsidRPr="00E94ED0">
              <w:rPr>
                <w:rFonts w:eastAsia="Calibri"/>
                <w:b/>
              </w:rPr>
              <w:t>Summary table on calculated PEC/PNEC values</w:t>
            </w:r>
          </w:p>
        </w:tc>
      </w:tr>
      <w:tr w:rsidR="0036179B" w:rsidRPr="00E94ED0" w14:paraId="29A3E136" w14:textId="77777777" w:rsidTr="00854FF9">
        <w:trPr>
          <w:trHeight w:val="471"/>
        </w:trPr>
        <w:tc>
          <w:tcPr>
            <w:tcW w:w="1186" w:type="pct"/>
            <w:shd w:val="clear" w:color="auto" w:fill="BFBFBF" w:themeFill="background1" w:themeFillShade="BF"/>
            <w:vAlign w:val="center"/>
          </w:tcPr>
          <w:p w14:paraId="16E51D0E" w14:textId="77777777" w:rsidR="0036179B" w:rsidRPr="00D66385" w:rsidRDefault="0036179B" w:rsidP="00854FF9">
            <w:pPr>
              <w:pStyle w:val="Standaard-Tabellen"/>
              <w:jc w:val="center"/>
              <w:rPr>
                <w:rFonts w:eastAsia="Calibri"/>
                <w:b/>
              </w:rPr>
            </w:pPr>
          </w:p>
        </w:tc>
        <w:tc>
          <w:tcPr>
            <w:tcW w:w="868" w:type="pct"/>
            <w:shd w:val="clear" w:color="auto" w:fill="BFBFBF" w:themeFill="background1" w:themeFillShade="BF"/>
          </w:tcPr>
          <w:p w14:paraId="6E98515D" w14:textId="77777777" w:rsidR="0036179B" w:rsidRPr="00D66385" w:rsidRDefault="0036179B" w:rsidP="00854FF9">
            <w:pPr>
              <w:pStyle w:val="Standaard-Tabellen"/>
              <w:jc w:val="center"/>
              <w:rPr>
                <w:rFonts w:eastAsia="Calibri"/>
                <w:b/>
              </w:rPr>
            </w:pPr>
          </w:p>
        </w:tc>
        <w:tc>
          <w:tcPr>
            <w:tcW w:w="2946" w:type="pct"/>
            <w:shd w:val="clear" w:color="auto" w:fill="BFBFBF" w:themeFill="background1" w:themeFillShade="BF"/>
            <w:vAlign w:val="center"/>
          </w:tcPr>
          <w:p w14:paraId="64764E3A" w14:textId="77777777" w:rsidR="0036179B" w:rsidRPr="00E55696" w:rsidRDefault="0036179B" w:rsidP="00854FF9">
            <w:pPr>
              <w:pStyle w:val="Standaard-Tabellen"/>
              <w:jc w:val="center"/>
              <w:rPr>
                <w:rFonts w:eastAsia="Calibri"/>
                <w:b/>
              </w:rPr>
            </w:pPr>
            <w:r w:rsidRPr="00571EBF">
              <w:rPr>
                <w:rFonts w:eastAsia="Calibri"/>
                <w:b/>
              </w:rPr>
              <w:t>PEC/PNEC</w:t>
            </w:r>
            <w:r w:rsidRPr="00571EBF">
              <w:rPr>
                <w:rFonts w:eastAsia="Calibri"/>
                <w:b/>
                <w:vertAlign w:val="subscript"/>
              </w:rPr>
              <w:t>STP</w:t>
            </w:r>
          </w:p>
        </w:tc>
      </w:tr>
      <w:tr w:rsidR="0036179B" w:rsidRPr="00FD2055" w14:paraId="12C00966" w14:textId="77777777" w:rsidTr="00854FF9">
        <w:trPr>
          <w:trHeight w:val="75"/>
        </w:trPr>
        <w:tc>
          <w:tcPr>
            <w:tcW w:w="1186" w:type="pct"/>
            <w:vMerge w:val="restart"/>
            <w:shd w:val="clear" w:color="auto" w:fill="FFFFFF"/>
          </w:tcPr>
          <w:p w14:paraId="0F039BCD" w14:textId="77777777" w:rsidR="0036179B" w:rsidRPr="00FD2055" w:rsidRDefault="0036179B" w:rsidP="00854FF9">
            <w:pPr>
              <w:pStyle w:val="Standaard-Tabellen"/>
              <w:rPr>
                <w:rFonts w:eastAsia="Calibri"/>
              </w:rPr>
            </w:pPr>
            <w:r>
              <w:rPr>
                <w:rFonts w:eastAsia="Calibri"/>
              </w:rPr>
              <w:t>Scenario 1</w:t>
            </w:r>
          </w:p>
        </w:tc>
        <w:tc>
          <w:tcPr>
            <w:tcW w:w="868" w:type="pct"/>
            <w:shd w:val="clear" w:color="auto" w:fill="FFFFFF"/>
          </w:tcPr>
          <w:p w14:paraId="187CD061" w14:textId="77777777" w:rsidR="0036179B" w:rsidRPr="00FD2055" w:rsidRDefault="0036179B" w:rsidP="00854FF9">
            <w:pPr>
              <w:pStyle w:val="Standaard-Tabellen"/>
              <w:rPr>
                <w:rFonts w:eastAsia="Calibri"/>
              </w:rPr>
            </w:pPr>
            <w:r>
              <w:rPr>
                <w:rFonts w:eastAsia="Calibri"/>
              </w:rPr>
              <w:t>TIER 1</w:t>
            </w:r>
          </w:p>
        </w:tc>
        <w:tc>
          <w:tcPr>
            <w:tcW w:w="2946" w:type="pct"/>
            <w:shd w:val="clear" w:color="auto" w:fill="FFFFFF"/>
          </w:tcPr>
          <w:p w14:paraId="0752E8F7" w14:textId="77777777" w:rsidR="0036179B" w:rsidRPr="0036179B" w:rsidRDefault="0036179B" w:rsidP="0036179B">
            <w:pPr>
              <w:pStyle w:val="Standaard-Tabellen"/>
              <w:rPr>
                <w:rFonts w:eastAsia="Calibri"/>
                <w:b/>
                <w:vertAlign w:val="superscript"/>
              </w:rPr>
            </w:pPr>
            <w:r>
              <w:rPr>
                <w:rFonts w:eastAsia="Calibri"/>
              </w:rPr>
              <w:t>(6.59x10</w:t>
            </w:r>
            <w:r>
              <w:rPr>
                <w:rFonts w:eastAsia="Calibri"/>
                <w:vertAlign w:val="superscript"/>
              </w:rPr>
              <w:t>-2</w:t>
            </w:r>
            <w:r>
              <w:rPr>
                <w:rFonts w:eastAsia="Calibri"/>
              </w:rPr>
              <w:t xml:space="preserve">/100) = </w:t>
            </w:r>
            <w:r>
              <w:rPr>
                <w:rFonts w:eastAsia="Calibri"/>
                <w:b/>
              </w:rPr>
              <w:t>6.59x10</w:t>
            </w:r>
            <w:r>
              <w:rPr>
                <w:rFonts w:eastAsia="Calibri"/>
                <w:b/>
                <w:vertAlign w:val="superscript"/>
              </w:rPr>
              <w:t>-4</w:t>
            </w:r>
          </w:p>
        </w:tc>
      </w:tr>
      <w:tr w:rsidR="0036179B" w:rsidRPr="00FD2055" w14:paraId="2D574606" w14:textId="77777777" w:rsidTr="00854FF9">
        <w:trPr>
          <w:trHeight w:val="75"/>
        </w:trPr>
        <w:tc>
          <w:tcPr>
            <w:tcW w:w="1186" w:type="pct"/>
            <w:vMerge/>
            <w:shd w:val="clear" w:color="auto" w:fill="FFFFFF"/>
          </w:tcPr>
          <w:p w14:paraId="6C355456" w14:textId="77777777" w:rsidR="0036179B" w:rsidRPr="00FD2055" w:rsidRDefault="0036179B" w:rsidP="00854FF9">
            <w:pPr>
              <w:pStyle w:val="Standaard-Tabellen"/>
              <w:rPr>
                <w:rFonts w:eastAsia="Calibri"/>
              </w:rPr>
            </w:pPr>
          </w:p>
        </w:tc>
        <w:tc>
          <w:tcPr>
            <w:tcW w:w="868" w:type="pct"/>
            <w:shd w:val="clear" w:color="auto" w:fill="FFFFFF"/>
          </w:tcPr>
          <w:p w14:paraId="54F14F9E" w14:textId="77777777" w:rsidR="0036179B" w:rsidRPr="00FD2055" w:rsidRDefault="0036179B" w:rsidP="00854FF9">
            <w:pPr>
              <w:pStyle w:val="Standaard-Tabellen"/>
              <w:rPr>
                <w:rFonts w:eastAsia="Calibri"/>
              </w:rPr>
            </w:pPr>
            <w:r>
              <w:rPr>
                <w:rFonts w:eastAsia="Calibri"/>
              </w:rPr>
              <w:t>TIER 2</w:t>
            </w:r>
          </w:p>
        </w:tc>
        <w:tc>
          <w:tcPr>
            <w:tcW w:w="2946" w:type="pct"/>
            <w:shd w:val="clear" w:color="auto" w:fill="FFFFFF"/>
          </w:tcPr>
          <w:p w14:paraId="48883B49" w14:textId="77777777" w:rsidR="0036179B" w:rsidRPr="00BD5A49" w:rsidRDefault="0036179B" w:rsidP="0036179B">
            <w:pPr>
              <w:pStyle w:val="Standaard-Tabellen"/>
              <w:rPr>
                <w:rFonts w:eastAsia="Calibri"/>
                <w:b/>
                <w:vertAlign w:val="superscript"/>
              </w:rPr>
            </w:pPr>
            <w:r>
              <w:rPr>
                <w:rFonts w:eastAsia="Calibri"/>
              </w:rPr>
              <w:t>(6.66x10</w:t>
            </w:r>
            <w:r>
              <w:rPr>
                <w:rFonts w:eastAsia="Calibri"/>
                <w:vertAlign w:val="superscript"/>
              </w:rPr>
              <w:t>-4</w:t>
            </w:r>
            <w:r>
              <w:rPr>
                <w:rFonts w:eastAsia="Calibri"/>
              </w:rPr>
              <w:t xml:space="preserve">/100) = </w:t>
            </w:r>
            <w:r>
              <w:rPr>
                <w:rFonts w:eastAsia="Calibri"/>
                <w:b/>
              </w:rPr>
              <w:t>6.66x10</w:t>
            </w:r>
            <w:r>
              <w:rPr>
                <w:rFonts w:eastAsia="Calibri"/>
                <w:b/>
                <w:vertAlign w:val="superscript"/>
              </w:rPr>
              <w:t>-6</w:t>
            </w:r>
          </w:p>
        </w:tc>
      </w:tr>
      <w:tr w:rsidR="0036179B" w:rsidRPr="00FD2055" w14:paraId="164C542C" w14:textId="77777777" w:rsidTr="00854FF9">
        <w:trPr>
          <w:trHeight w:val="75"/>
        </w:trPr>
        <w:tc>
          <w:tcPr>
            <w:tcW w:w="1186" w:type="pct"/>
            <w:vMerge w:val="restart"/>
            <w:shd w:val="clear" w:color="auto" w:fill="FFFFFF"/>
          </w:tcPr>
          <w:p w14:paraId="08261A3E" w14:textId="77777777" w:rsidR="0036179B" w:rsidRPr="00FD2055" w:rsidRDefault="0036179B" w:rsidP="00854FF9">
            <w:pPr>
              <w:pStyle w:val="Standaard-Tabellen"/>
              <w:rPr>
                <w:rFonts w:eastAsia="Calibri"/>
              </w:rPr>
            </w:pPr>
            <w:r>
              <w:rPr>
                <w:rFonts w:eastAsia="Calibri"/>
              </w:rPr>
              <w:t>Scenario 2</w:t>
            </w:r>
          </w:p>
        </w:tc>
        <w:tc>
          <w:tcPr>
            <w:tcW w:w="868" w:type="pct"/>
            <w:shd w:val="clear" w:color="auto" w:fill="FFFFFF"/>
          </w:tcPr>
          <w:p w14:paraId="38C969A2" w14:textId="77777777" w:rsidR="0036179B" w:rsidRDefault="0036179B" w:rsidP="00854FF9">
            <w:pPr>
              <w:pStyle w:val="Standaard-Tabellen"/>
              <w:rPr>
                <w:rFonts w:eastAsia="Calibri"/>
              </w:rPr>
            </w:pPr>
            <w:r>
              <w:rPr>
                <w:rFonts w:eastAsia="Calibri"/>
              </w:rPr>
              <w:t>Day 1</w:t>
            </w:r>
          </w:p>
        </w:tc>
        <w:tc>
          <w:tcPr>
            <w:tcW w:w="2946" w:type="pct"/>
            <w:shd w:val="clear" w:color="auto" w:fill="FFFFFF"/>
          </w:tcPr>
          <w:p w14:paraId="21E62CAB" w14:textId="77777777" w:rsidR="0036179B" w:rsidRPr="00BD5A49" w:rsidRDefault="0036179B" w:rsidP="00854FF9">
            <w:pPr>
              <w:pStyle w:val="Standaard-Tabellen"/>
              <w:rPr>
                <w:rFonts w:eastAsia="Calibri"/>
                <w:b/>
              </w:rPr>
            </w:pPr>
            <w:r>
              <w:rPr>
                <w:rFonts w:eastAsia="Calibri"/>
                <w:b/>
              </w:rPr>
              <w:t>Not relevant</w:t>
            </w:r>
          </w:p>
        </w:tc>
      </w:tr>
      <w:tr w:rsidR="0036179B" w:rsidRPr="00FD2055" w14:paraId="349B2B1E" w14:textId="77777777" w:rsidTr="00854FF9">
        <w:trPr>
          <w:trHeight w:val="75"/>
        </w:trPr>
        <w:tc>
          <w:tcPr>
            <w:tcW w:w="1186" w:type="pct"/>
            <w:vMerge/>
            <w:shd w:val="clear" w:color="auto" w:fill="FFFFFF"/>
          </w:tcPr>
          <w:p w14:paraId="0945CA5E" w14:textId="77777777" w:rsidR="0036179B" w:rsidRDefault="0036179B" w:rsidP="00854FF9">
            <w:pPr>
              <w:pStyle w:val="Standaard-Tabellen"/>
              <w:rPr>
                <w:rFonts w:eastAsia="Calibri"/>
              </w:rPr>
            </w:pPr>
          </w:p>
        </w:tc>
        <w:tc>
          <w:tcPr>
            <w:tcW w:w="868" w:type="pct"/>
            <w:shd w:val="clear" w:color="auto" w:fill="FFFFFF"/>
          </w:tcPr>
          <w:p w14:paraId="55713C55" w14:textId="77777777" w:rsidR="0036179B" w:rsidRDefault="0036179B" w:rsidP="00854FF9">
            <w:pPr>
              <w:pStyle w:val="Standaard-Tabellen"/>
              <w:rPr>
                <w:rFonts w:eastAsia="Calibri"/>
              </w:rPr>
            </w:pPr>
            <w:r>
              <w:rPr>
                <w:rFonts w:eastAsia="Calibri"/>
              </w:rPr>
              <w:t>Day 91</w:t>
            </w:r>
          </w:p>
        </w:tc>
        <w:tc>
          <w:tcPr>
            <w:tcW w:w="2946" w:type="pct"/>
            <w:shd w:val="clear" w:color="auto" w:fill="FFFFFF"/>
          </w:tcPr>
          <w:p w14:paraId="74246DF4" w14:textId="77777777" w:rsidR="0036179B" w:rsidRPr="00BD5A49" w:rsidRDefault="0036179B" w:rsidP="00854FF9">
            <w:pPr>
              <w:pStyle w:val="Standaard-Tabellen"/>
              <w:rPr>
                <w:rFonts w:eastAsia="Calibri"/>
                <w:b/>
              </w:rPr>
            </w:pPr>
            <w:r>
              <w:rPr>
                <w:rFonts w:eastAsia="Calibri"/>
                <w:b/>
              </w:rPr>
              <w:t>Not relevant</w:t>
            </w:r>
          </w:p>
        </w:tc>
      </w:tr>
    </w:tbl>
    <w:p w14:paraId="3FD1F2F1" w14:textId="77777777" w:rsidR="0036179B" w:rsidRPr="00FD2055" w:rsidRDefault="0036179B" w:rsidP="0036179B">
      <w:pPr>
        <w:rPr>
          <w:rFonts w:eastAsia="Calibri"/>
          <w:lang w:eastAsia="en-US"/>
        </w:rPr>
      </w:pPr>
    </w:p>
    <w:p w14:paraId="7461E79B" w14:textId="77777777" w:rsidR="0036179B" w:rsidRDefault="0036179B" w:rsidP="0036179B">
      <w:pPr>
        <w:rPr>
          <w:rFonts w:eastAsia="Calibri"/>
          <w:lang w:eastAsia="en-US"/>
        </w:rPr>
      </w:pPr>
      <w:r w:rsidRPr="00FD2055">
        <w:rPr>
          <w:rFonts w:eastAsia="Calibri"/>
          <w:u w:val="single"/>
          <w:lang w:eastAsia="en-US"/>
        </w:rPr>
        <w:t>Conclusion</w:t>
      </w:r>
      <w:r w:rsidRPr="00FD2055">
        <w:rPr>
          <w:rFonts w:eastAsia="Calibri"/>
          <w:lang w:eastAsia="en-US"/>
        </w:rPr>
        <w:t xml:space="preserve">: </w:t>
      </w:r>
    </w:p>
    <w:p w14:paraId="6AFF2043" w14:textId="1F81D336" w:rsidR="0036179B" w:rsidRDefault="0036179B" w:rsidP="0036179B">
      <w:pPr>
        <w:rPr>
          <w:rFonts w:eastAsia="Calibri"/>
          <w:lang w:eastAsia="en-US"/>
        </w:rPr>
      </w:pPr>
      <w:r>
        <w:rPr>
          <w:rFonts w:eastAsia="Calibri"/>
          <w:lang w:eastAsia="en-US"/>
        </w:rPr>
        <w:t>No adverse effect for the STP is expected</w:t>
      </w:r>
    </w:p>
    <w:p w14:paraId="529070AB" w14:textId="253F0019" w:rsidR="00F05B29" w:rsidRDefault="00F05B29" w:rsidP="0036179B">
      <w:pPr>
        <w:rPr>
          <w:rFonts w:eastAsia="Calibri"/>
          <w:lang w:eastAsia="en-US"/>
        </w:rPr>
      </w:pPr>
    </w:p>
    <w:p w14:paraId="31B8FBC0" w14:textId="1ADE0367" w:rsidR="00F05B29" w:rsidRPr="003E3E25" w:rsidRDefault="00F05B29" w:rsidP="00DF65A8">
      <w:pPr>
        <w:pStyle w:val="Commentaire"/>
        <w:numPr>
          <w:ilvl w:val="0"/>
          <w:numId w:val="36"/>
        </w:numPr>
        <w:rPr>
          <w:b/>
        </w:rPr>
      </w:pPr>
      <w:r w:rsidRPr="003E3E25">
        <w:rPr>
          <w:b/>
        </w:rPr>
        <w:t>Major change for SPRAY REPULSIF IR200 - 2019</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60"/>
        <w:gridCol w:w="5528"/>
      </w:tblGrid>
      <w:tr w:rsidR="00F05B29" w:rsidRPr="00532093" w14:paraId="03CD920B" w14:textId="77777777" w:rsidTr="000B62C7">
        <w:trPr>
          <w:trHeight w:val="235"/>
        </w:trPr>
        <w:tc>
          <w:tcPr>
            <w:tcW w:w="9356" w:type="dxa"/>
            <w:gridSpan w:val="3"/>
            <w:tcBorders>
              <w:top w:val="single" w:sz="4" w:space="0" w:color="auto"/>
              <w:left w:val="single" w:sz="4" w:space="0" w:color="auto"/>
              <w:bottom w:val="single" w:sz="4" w:space="0" w:color="auto"/>
              <w:right w:val="single" w:sz="4" w:space="0" w:color="auto"/>
            </w:tcBorders>
            <w:shd w:val="clear" w:color="auto" w:fill="FFFFCC"/>
          </w:tcPr>
          <w:p w14:paraId="209EB68A" w14:textId="6E5D9D2F" w:rsidR="00F05B29" w:rsidRPr="00532093" w:rsidRDefault="00F05B29" w:rsidP="005752E1">
            <w:pPr>
              <w:spacing w:line="260" w:lineRule="atLeast"/>
              <w:jc w:val="center"/>
              <w:rPr>
                <w:rFonts w:eastAsia="Calibri" w:cs="Arial"/>
                <w:b/>
                <w:bCs/>
                <w:color w:val="000000"/>
                <w:sz w:val="18"/>
                <w:szCs w:val="18"/>
                <w:highlight w:val="lightGray"/>
                <w:lang w:eastAsia="en-GB"/>
              </w:rPr>
            </w:pPr>
            <w:r w:rsidRPr="00532093">
              <w:rPr>
                <w:rFonts w:eastAsia="Calibri" w:cs="Arial"/>
                <w:b/>
                <w:bCs/>
                <w:color w:val="000000"/>
                <w:sz w:val="18"/>
                <w:szCs w:val="18"/>
                <w:lang w:eastAsia="en-GB"/>
              </w:rPr>
              <w:t>Summary table on calculated PEC/PNEC values</w:t>
            </w:r>
          </w:p>
        </w:tc>
      </w:tr>
      <w:tr w:rsidR="00F05B29" w:rsidRPr="00532093" w14:paraId="1DCBAB88" w14:textId="77777777" w:rsidTr="003E3E25">
        <w:trPr>
          <w:trHeight w:val="64"/>
        </w:trPr>
        <w:tc>
          <w:tcPr>
            <w:tcW w:w="2268" w:type="dxa"/>
            <w:shd w:val="clear" w:color="auto" w:fill="auto"/>
            <w:vAlign w:val="center"/>
          </w:tcPr>
          <w:p w14:paraId="00687589" w14:textId="77777777" w:rsidR="00F05B29" w:rsidRPr="00532093" w:rsidRDefault="00F05B29" w:rsidP="005752E1">
            <w:pPr>
              <w:spacing w:line="260" w:lineRule="atLeast"/>
              <w:jc w:val="center"/>
              <w:rPr>
                <w:rFonts w:eastAsia="Calibri" w:cs="Arial"/>
                <w:color w:val="000000"/>
                <w:sz w:val="18"/>
                <w:szCs w:val="18"/>
                <w:lang w:eastAsia="en-GB"/>
              </w:rPr>
            </w:pPr>
          </w:p>
        </w:tc>
        <w:tc>
          <w:tcPr>
            <w:tcW w:w="1560" w:type="dxa"/>
            <w:shd w:val="clear" w:color="auto" w:fill="auto"/>
          </w:tcPr>
          <w:p w14:paraId="71A5E8CA" w14:textId="77777777" w:rsidR="00F05B29" w:rsidRPr="00532093" w:rsidRDefault="00F05B29" w:rsidP="005752E1">
            <w:pPr>
              <w:spacing w:line="260" w:lineRule="atLeast"/>
              <w:jc w:val="center"/>
              <w:rPr>
                <w:rFonts w:eastAsia="Calibri" w:cs="Arial"/>
                <w:b/>
                <w:bCs/>
                <w:color w:val="000000"/>
                <w:sz w:val="18"/>
                <w:szCs w:val="18"/>
                <w:lang w:eastAsia="en-GB"/>
              </w:rPr>
            </w:pPr>
          </w:p>
        </w:tc>
        <w:tc>
          <w:tcPr>
            <w:tcW w:w="5528" w:type="dxa"/>
            <w:shd w:val="clear" w:color="auto" w:fill="auto"/>
            <w:vAlign w:val="center"/>
          </w:tcPr>
          <w:p w14:paraId="4271AB76" w14:textId="4F685C33" w:rsidR="00F05B29" w:rsidRPr="00532093" w:rsidRDefault="00F05B29" w:rsidP="005752E1">
            <w:pPr>
              <w:spacing w:line="260" w:lineRule="atLeast"/>
              <w:jc w:val="center"/>
              <w:rPr>
                <w:rFonts w:eastAsia="Calibri" w:cs="Arial"/>
                <w:color w:val="000000"/>
                <w:sz w:val="18"/>
                <w:szCs w:val="18"/>
                <w:lang w:eastAsia="en-GB"/>
              </w:rPr>
            </w:pPr>
            <w:r w:rsidRPr="00532093">
              <w:rPr>
                <w:rFonts w:eastAsia="Calibri" w:cs="Arial"/>
                <w:b/>
                <w:bCs/>
                <w:color w:val="000000"/>
                <w:sz w:val="18"/>
                <w:szCs w:val="18"/>
                <w:lang w:eastAsia="en-GB"/>
              </w:rPr>
              <w:t>PEC/PNEC</w:t>
            </w:r>
            <w:r w:rsidRPr="00532093">
              <w:rPr>
                <w:rFonts w:eastAsia="Calibri" w:cs="Arial"/>
                <w:b/>
                <w:bCs/>
                <w:color w:val="000000"/>
                <w:sz w:val="18"/>
                <w:szCs w:val="18"/>
                <w:vertAlign w:val="subscript"/>
                <w:lang w:eastAsia="en-GB"/>
              </w:rPr>
              <w:t>STP</w:t>
            </w:r>
          </w:p>
        </w:tc>
      </w:tr>
      <w:tr w:rsidR="00D22C2A" w:rsidRPr="00532093" w14:paraId="195F4F7D" w14:textId="77777777" w:rsidTr="003E3E25">
        <w:trPr>
          <w:trHeight w:val="70"/>
        </w:trPr>
        <w:tc>
          <w:tcPr>
            <w:tcW w:w="2268" w:type="dxa"/>
            <w:shd w:val="clear" w:color="auto" w:fill="auto"/>
          </w:tcPr>
          <w:p w14:paraId="29804438" w14:textId="41556174" w:rsidR="00D22C2A" w:rsidRPr="00532093" w:rsidRDefault="00D22C2A" w:rsidP="00F05B29">
            <w:pPr>
              <w:spacing w:line="260" w:lineRule="atLeast"/>
              <w:rPr>
                <w:rFonts w:eastAsia="Calibri" w:cs="Arial"/>
                <w:sz w:val="18"/>
                <w:szCs w:val="18"/>
                <w:lang w:eastAsia="en-GB"/>
              </w:rPr>
            </w:pPr>
            <w:r w:rsidRPr="00532093">
              <w:rPr>
                <w:rFonts w:eastAsia="Calibri" w:cs="Arial"/>
                <w:sz w:val="18"/>
                <w:szCs w:val="18"/>
                <w:lang w:eastAsia="en-GB"/>
              </w:rPr>
              <w:t>Scenario 1b</w:t>
            </w:r>
          </w:p>
        </w:tc>
        <w:tc>
          <w:tcPr>
            <w:tcW w:w="1560" w:type="dxa"/>
            <w:shd w:val="clear" w:color="auto" w:fill="auto"/>
          </w:tcPr>
          <w:p w14:paraId="357C470D" w14:textId="0D0A5F6A" w:rsidR="00D22C2A" w:rsidRPr="00532093" w:rsidRDefault="00D22C2A" w:rsidP="00F05B29">
            <w:pPr>
              <w:spacing w:line="260" w:lineRule="atLeast"/>
              <w:rPr>
                <w:rFonts w:eastAsia="Calibri" w:cs="Arial"/>
                <w:sz w:val="18"/>
                <w:szCs w:val="18"/>
                <w:lang w:eastAsia="en-GB"/>
              </w:rPr>
            </w:pPr>
            <w:r w:rsidRPr="00532093">
              <w:rPr>
                <w:rFonts w:eastAsia="Calibri"/>
                <w:sz w:val="18"/>
                <w:szCs w:val="18"/>
              </w:rPr>
              <w:t>TIER 2</w:t>
            </w:r>
          </w:p>
        </w:tc>
        <w:tc>
          <w:tcPr>
            <w:tcW w:w="5528" w:type="dxa"/>
            <w:shd w:val="clear" w:color="auto" w:fill="auto"/>
          </w:tcPr>
          <w:p w14:paraId="38C5DA95" w14:textId="08CC3CB3" w:rsidR="00D22C2A" w:rsidRPr="00532093" w:rsidRDefault="00D22C2A" w:rsidP="00F05B29">
            <w:pPr>
              <w:spacing w:line="260" w:lineRule="atLeast"/>
              <w:rPr>
                <w:rFonts w:eastAsia="Calibri" w:cs="Arial"/>
                <w:sz w:val="18"/>
                <w:szCs w:val="18"/>
                <w:lang w:eastAsia="en-GB"/>
              </w:rPr>
            </w:pPr>
            <w:r w:rsidRPr="00532093">
              <w:rPr>
                <w:rFonts w:eastAsia="Calibri" w:cs="Arial"/>
                <w:sz w:val="18"/>
                <w:szCs w:val="18"/>
                <w:lang w:eastAsia="en-GB"/>
              </w:rPr>
              <w:t>2.9</w:t>
            </w:r>
            <w:r w:rsidR="00281E9A" w:rsidRPr="00532093">
              <w:rPr>
                <w:rFonts w:eastAsia="Calibri" w:cs="Arial"/>
                <w:sz w:val="18"/>
                <w:szCs w:val="18"/>
                <w:lang w:eastAsia="en-GB"/>
              </w:rPr>
              <w:t>2</w:t>
            </w:r>
            <w:r w:rsidRPr="00532093">
              <w:rPr>
                <w:rFonts w:eastAsia="Calibri" w:cs="Arial"/>
                <w:sz w:val="18"/>
                <w:szCs w:val="18"/>
                <w:lang w:eastAsia="en-GB"/>
              </w:rPr>
              <w:t xml:space="preserve">E-02/100 = </w:t>
            </w:r>
            <w:r w:rsidRPr="00532093">
              <w:rPr>
                <w:rFonts w:eastAsia="Calibri" w:cs="Arial"/>
                <w:b/>
                <w:sz w:val="18"/>
                <w:szCs w:val="18"/>
                <w:lang w:eastAsia="en-GB"/>
              </w:rPr>
              <w:t>2.9</w:t>
            </w:r>
            <w:r w:rsidR="00281E9A" w:rsidRPr="00532093">
              <w:rPr>
                <w:rFonts w:eastAsia="Calibri" w:cs="Arial"/>
                <w:b/>
                <w:sz w:val="18"/>
                <w:szCs w:val="18"/>
                <w:lang w:eastAsia="en-GB"/>
              </w:rPr>
              <w:t>2</w:t>
            </w:r>
            <w:r w:rsidRPr="00532093">
              <w:rPr>
                <w:rFonts w:eastAsia="Calibri" w:cs="Arial"/>
                <w:b/>
                <w:sz w:val="18"/>
                <w:szCs w:val="18"/>
                <w:lang w:eastAsia="en-GB"/>
              </w:rPr>
              <w:t>E-04</w:t>
            </w:r>
          </w:p>
        </w:tc>
      </w:tr>
      <w:tr w:rsidR="00D22C2A" w:rsidRPr="00532093" w14:paraId="3BD6EEE9" w14:textId="77777777" w:rsidTr="003E3E25">
        <w:trPr>
          <w:trHeight w:val="101"/>
        </w:trPr>
        <w:tc>
          <w:tcPr>
            <w:tcW w:w="2268" w:type="dxa"/>
            <w:shd w:val="clear" w:color="auto" w:fill="auto"/>
          </w:tcPr>
          <w:p w14:paraId="78791B37" w14:textId="7E5FE4ED" w:rsidR="00D22C2A" w:rsidRPr="00532093" w:rsidRDefault="00D22C2A" w:rsidP="00F05B29">
            <w:pPr>
              <w:spacing w:line="260" w:lineRule="atLeast"/>
              <w:rPr>
                <w:rFonts w:eastAsia="Calibri" w:cs="Arial"/>
                <w:sz w:val="18"/>
                <w:szCs w:val="18"/>
                <w:lang w:eastAsia="en-GB"/>
              </w:rPr>
            </w:pPr>
            <w:r w:rsidRPr="00532093">
              <w:rPr>
                <w:rFonts w:eastAsia="Calibri" w:cs="Arial"/>
                <w:sz w:val="18"/>
                <w:szCs w:val="18"/>
                <w:lang w:eastAsia="en-GB"/>
              </w:rPr>
              <w:t>Scenario 2b</w:t>
            </w:r>
          </w:p>
        </w:tc>
        <w:tc>
          <w:tcPr>
            <w:tcW w:w="1560" w:type="dxa"/>
            <w:shd w:val="clear" w:color="auto" w:fill="auto"/>
          </w:tcPr>
          <w:p w14:paraId="2C393F6C" w14:textId="79395516" w:rsidR="00D22C2A" w:rsidRPr="00532093" w:rsidRDefault="00D22C2A" w:rsidP="00F05B29">
            <w:pPr>
              <w:spacing w:line="260" w:lineRule="atLeast"/>
              <w:rPr>
                <w:rFonts w:eastAsia="Calibri" w:cs="Arial"/>
                <w:sz w:val="18"/>
                <w:szCs w:val="18"/>
                <w:lang w:eastAsia="en-GB"/>
              </w:rPr>
            </w:pPr>
            <w:r w:rsidRPr="00532093">
              <w:rPr>
                <w:rFonts w:eastAsia="Calibri"/>
                <w:sz w:val="18"/>
                <w:szCs w:val="18"/>
              </w:rPr>
              <w:t>Day 91</w:t>
            </w:r>
          </w:p>
        </w:tc>
        <w:tc>
          <w:tcPr>
            <w:tcW w:w="5528" w:type="dxa"/>
            <w:shd w:val="clear" w:color="auto" w:fill="auto"/>
          </w:tcPr>
          <w:p w14:paraId="5915FEA5" w14:textId="08F924F6" w:rsidR="00D22C2A" w:rsidRPr="00532093" w:rsidRDefault="00D22C2A" w:rsidP="00F05B29">
            <w:pPr>
              <w:spacing w:line="260" w:lineRule="atLeast"/>
              <w:rPr>
                <w:rFonts w:eastAsia="Calibri" w:cs="Arial"/>
                <w:sz w:val="18"/>
                <w:szCs w:val="18"/>
                <w:lang w:eastAsia="en-GB"/>
              </w:rPr>
            </w:pPr>
            <w:r w:rsidRPr="00532093">
              <w:rPr>
                <w:rFonts w:eastAsia="Calibri" w:cs="Arial"/>
                <w:sz w:val="18"/>
                <w:szCs w:val="18"/>
                <w:lang w:eastAsia="en-GB"/>
              </w:rPr>
              <w:t>Not relevant</w:t>
            </w:r>
          </w:p>
        </w:tc>
      </w:tr>
      <w:tr w:rsidR="00D22C2A" w:rsidRPr="00532093" w14:paraId="5D6C15AF" w14:textId="77777777" w:rsidTr="003E3E25">
        <w:trPr>
          <w:trHeight w:val="147"/>
        </w:trPr>
        <w:tc>
          <w:tcPr>
            <w:tcW w:w="2268" w:type="dxa"/>
            <w:shd w:val="clear" w:color="auto" w:fill="auto"/>
          </w:tcPr>
          <w:p w14:paraId="3F983ADC" w14:textId="77777777" w:rsidR="00D22C2A" w:rsidRPr="00532093" w:rsidRDefault="00D22C2A" w:rsidP="00F05B29">
            <w:pPr>
              <w:spacing w:line="260" w:lineRule="atLeast"/>
              <w:rPr>
                <w:rFonts w:eastAsia="Calibri" w:cs="Arial"/>
                <w:sz w:val="18"/>
                <w:szCs w:val="18"/>
                <w:lang w:eastAsia="en-GB"/>
              </w:rPr>
            </w:pPr>
            <w:r w:rsidRPr="00532093">
              <w:rPr>
                <w:rFonts w:eastAsia="Calibri" w:cs="Arial"/>
                <w:sz w:val="18"/>
                <w:szCs w:val="18"/>
                <w:lang w:eastAsia="en-GB"/>
              </w:rPr>
              <w:t>Scenario 3</w:t>
            </w:r>
          </w:p>
        </w:tc>
        <w:tc>
          <w:tcPr>
            <w:tcW w:w="1560" w:type="dxa"/>
            <w:shd w:val="clear" w:color="auto" w:fill="auto"/>
          </w:tcPr>
          <w:p w14:paraId="7A8480F7" w14:textId="3DE600B1" w:rsidR="00D22C2A" w:rsidRPr="00532093" w:rsidRDefault="00D22C2A" w:rsidP="00F05B29">
            <w:pPr>
              <w:spacing w:line="260" w:lineRule="atLeast"/>
              <w:rPr>
                <w:rFonts w:eastAsia="Calibri" w:cs="Arial"/>
                <w:sz w:val="18"/>
                <w:szCs w:val="18"/>
                <w:lang w:eastAsia="en-GB"/>
              </w:rPr>
            </w:pPr>
            <w:r w:rsidRPr="00532093">
              <w:rPr>
                <w:rFonts w:eastAsia="Calibri"/>
                <w:sz w:val="18"/>
                <w:szCs w:val="18"/>
              </w:rPr>
              <w:t>TIER 2</w:t>
            </w:r>
          </w:p>
        </w:tc>
        <w:tc>
          <w:tcPr>
            <w:tcW w:w="5528" w:type="dxa"/>
            <w:shd w:val="clear" w:color="auto" w:fill="auto"/>
          </w:tcPr>
          <w:p w14:paraId="4E16D812" w14:textId="0DD51273" w:rsidR="00D22C2A" w:rsidRPr="00532093" w:rsidRDefault="00977022" w:rsidP="00F05B29">
            <w:pPr>
              <w:spacing w:line="260" w:lineRule="atLeast"/>
              <w:rPr>
                <w:rFonts w:eastAsia="Calibri" w:cs="Arial"/>
                <w:sz w:val="18"/>
                <w:szCs w:val="18"/>
                <w:lang w:eastAsia="en-GB"/>
              </w:rPr>
            </w:pPr>
            <w:r w:rsidRPr="00532093">
              <w:rPr>
                <w:rFonts w:eastAsia="Calibri" w:cs="Arial"/>
                <w:b/>
                <w:sz w:val="18"/>
                <w:szCs w:val="18"/>
                <w:lang w:eastAsia="en-GB"/>
              </w:rPr>
              <w:t>1.5</w:t>
            </w:r>
            <w:r w:rsidR="00281E9A" w:rsidRPr="00532093">
              <w:rPr>
                <w:rFonts w:eastAsia="Calibri" w:cs="Arial"/>
                <w:b/>
                <w:sz w:val="18"/>
                <w:szCs w:val="18"/>
                <w:lang w:eastAsia="en-GB"/>
              </w:rPr>
              <w:t>2</w:t>
            </w:r>
            <w:r w:rsidR="00D22C2A" w:rsidRPr="00532093">
              <w:rPr>
                <w:rFonts w:eastAsia="Calibri" w:cs="Arial"/>
                <w:b/>
                <w:sz w:val="18"/>
                <w:szCs w:val="18"/>
                <w:lang w:eastAsia="en-GB"/>
              </w:rPr>
              <w:t>E-02</w:t>
            </w:r>
            <w:r w:rsidR="00D22C2A" w:rsidRPr="00532093">
              <w:rPr>
                <w:rFonts w:eastAsia="Calibri" w:cs="Arial"/>
                <w:sz w:val="18"/>
                <w:szCs w:val="18"/>
                <w:lang w:eastAsia="en-GB"/>
              </w:rPr>
              <w:t xml:space="preserve">/ 100 = </w:t>
            </w:r>
            <w:r w:rsidR="00D22C2A" w:rsidRPr="00532093">
              <w:rPr>
                <w:rFonts w:eastAsia="Calibri" w:cs="Arial"/>
                <w:b/>
                <w:sz w:val="18"/>
                <w:szCs w:val="18"/>
                <w:lang w:eastAsia="en-GB"/>
              </w:rPr>
              <w:t>1.</w:t>
            </w:r>
            <w:r w:rsidRPr="00532093">
              <w:rPr>
                <w:rFonts w:eastAsia="Calibri" w:cs="Arial"/>
                <w:b/>
                <w:sz w:val="18"/>
                <w:szCs w:val="18"/>
                <w:lang w:eastAsia="en-GB"/>
              </w:rPr>
              <w:t>5</w:t>
            </w:r>
            <w:r w:rsidR="00281E9A" w:rsidRPr="00532093">
              <w:rPr>
                <w:rFonts w:eastAsia="Calibri" w:cs="Arial"/>
                <w:b/>
                <w:sz w:val="18"/>
                <w:szCs w:val="18"/>
                <w:lang w:eastAsia="en-GB"/>
              </w:rPr>
              <w:t>2</w:t>
            </w:r>
            <w:r w:rsidR="00D22C2A" w:rsidRPr="00532093">
              <w:rPr>
                <w:rFonts w:eastAsia="Calibri" w:cs="Arial"/>
                <w:b/>
                <w:sz w:val="18"/>
                <w:szCs w:val="18"/>
                <w:lang w:eastAsia="en-GB"/>
              </w:rPr>
              <w:t>E-04</w:t>
            </w:r>
          </w:p>
        </w:tc>
      </w:tr>
      <w:tr w:rsidR="00D22C2A" w:rsidRPr="00532093" w14:paraId="2E847856" w14:textId="77777777" w:rsidTr="003E3E25">
        <w:trPr>
          <w:trHeight w:val="214"/>
        </w:trPr>
        <w:tc>
          <w:tcPr>
            <w:tcW w:w="2268" w:type="dxa"/>
            <w:shd w:val="clear" w:color="auto" w:fill="auto"/>
          </w:tcPr>
          <w:p w14:paraId="1688D10A" w14:textId="77777777" w:rsidR="00D22C2A" w:rsidRPr="00532093" w:rsidRDefault="00D22C2A" w:rsidP="00ED0AFE">
            <w:pPr>
              <w:spacing w:line="260" w:lineRule="atLeast"/>
              <w:rPr>
                <w:rFonts w:eastAsia="Calibri" w:cs="Arial"/>
                <w:sz w:val="18"/>
                <w:szCs w:val="18"/>
                <w:lang w:eastAsia="en-GB"/>
              </w:rPr>
            </w:pPr>
            <w:r w:rsidRPr="00532093">
              <w:rPr>
                <w:rFonts w:eastAsia="Calibri" w:cs="Arial"/>
                <w:sz w:val="18"/>
                <w:szCs w:val="18"/>
                <w:lang w:eastAsia="en-GB"/>
              </w:rPr>
              <w:t>Scenario 4</w:t>
            </w:r>
          </w:p>
        </w:tc>
        <w:tc>
          <w:tcPr>
            <w:tcW w:w="1560" w:type="dxa"/>
            <w:shd w:val="clear" w:color="auto" w:fill="auto"/>
          </w:tcPr>
          <w:p w14:paraId="5D85D58B" w14:textId="6C0997D7" w:rsidR="00D22C2A" w:rsidRPr="00532093" w:rsidRDefault="00D22C2A" w:rsidP="00ED0AFE">
            <w:pPr>
              <w:spacing w:line="260" w:lineRule="atLeast"/>
              <w:rPr>
                <w:rFonts w:eastAsia="Calibri" w:cs="Arial"/>
                <w:sz w:val="18"/>
                <w:szCs w:val="18"/>
                <w:lang w:eastAsia="en-GB"/>
              </w:rPr>
            </w:pPr>
            <w:r w:rsidRPr="00532093">
              <w:rPr>
                <w:rFonts w:eastAsia="Calibri"/>
                <w:sz w:val="18"/>
                <w:szCs w:val="18"/>
              </w:rPr>
              <w:t>TIER 2</w:t>
            </w:r>
          </w:p>
        </w:tc>
        <w:tc>
          <w:tcPr>
            <w:tcW w:w="5528" w:type="dxa"/>
            <w:shd w:val="clear" w:color="auto" w:fill="auto"/>
          </w:tcPr>
          <w:p w14:paraId="19C826C8" w14:textId="10BB34C8" w:rsidR="00D22C2A" w:rsidRPr="00532093" w:rsidRDefault="00964BBF" w:rsidP="00ED0AFE">
            <w:pPr>
              <w:spacing w:line="260" w:lineRule="atLeast"/>
              <w:rPr>
                <w:rFonts w:eastAsia="Calibri" w:cs="Arial"/>
                <w:sz w:val="18"/>
                <w:szCs w:val="18"/>
                <w:lang w:eastAsia="en-GB"/>
              </w:rPr>
            </w:pPr>
            <w:r w:rsidRPr="00532093">
              <w:rPr>
                <w:rFonts w:eastAsia="Calibri" w:cs="Arial"/>
                <w:b/>
                <w:sz w:val="18"/>
                <w:szCs w:val="18"/>
                <w:lang w:eastAsia="en-GB"/>
              </w:rPr>
              <w:t>5.6</w:t>
            </w:r>
            <w:r w:rsidR="00281E9A" w:rsidRPr="00532093">
              <w:rPr>
                <w:rFonts w:eastAsia="Calibri" w:cs="Arial"/>
                <w:b/>
                <w:sz w:val="18"/>
                <w:szCs w:val="18"/>
                <w:lang w:eastAsia="en-GB"/>
              </w:rPr>
              <w:t>3</w:t>
            </w:r>
            <w:r w:rsidR="00D22C2A" w:rsidRPr="00532093">
              <w:rPr>
                <w:rFonts w:eastAsia="Calibri" w:cs="Arial"/>
                <w:b/>
                <w:sz w:val="18"/>
                <w:szCs w:val="18"/>
                <w:lang w:eastAsia="en-GB"/>
              </w:rPr>
              <w:t>E-02</w:t>
            </w:r>
            <w:r w:rsidR="00D22C2A" w:rsidRPr="00532093">
              <w:rPr>
                <w:rFonts w:eastAsia="Calibri" w:cs="Arial"/>
                <w:sz w:val="18"/>
                <w:szCs w:val="18"/>
                <w:lang w:eastAsia="en-GB"/>
              </w:rPr>
              <w:t xml:space="preserve">/ 100 = </w:t>
            </w:r>
            <w:r w:rsidRPr="00532093">
              <w:rPr>
                <w:rFonts w:eastAsia="Calibri" w:cs="Arial"/>
                <w:b/>
                <w:sz w:val="18"/>
                <w:szCs w:val="18"/>
                <w:lang w:eastAsia="en-GB"/>
              </w:rPr>
              <w:t>5.6</w:t>
            </w:r>
            <w:r w:rsidR="00281E9A" w:rsidRPr="00532093">
              <w:rPr>
                <w:rFonts w:eastAsia="Calibri" w:cs="Arial"/>
                <w:b/>
                <w:sz w:val="18"/>
                <w:szCs w:val="18"/>
                <w:lang w:eastAsia="en-GB"/>
              </w:rPr>
              <w:t>3</w:t>
            </w:r>
            <w:r w:rsidR="00D22C2A" w:rsidRPr="00532093">
              <w:rPr>
                <w:rFonts w:eastAsia="Calibri" w:cs="Arial"/>
                <w:b/>
                <w:sz w:val="18"/>
                <w:szCs w:val="18"/>
                <w:lang w:eastAsia="en-GB"/>
              </w:rPr>
              <w:t>E-04</w:t>
            </w:r>
          </w:p>
        </w:tc>
      </w:tr>
    </w:tbl>
    <w:p w14:paraId="2B093F21" w14:textId="77777777" w:rsidR="00F05B29" w:rsidRPr="00FD2055" w:rsidRDefault="00F05B29" w:rsidP="00F05B29">
      <w:pPr>
        <w:spacing w:line="260" w:lineRule="atLeast"/>
        <w:rPr>
          <w:rFonts w:eastAsia="Calibri"/>
          <w:lang w:eastAsia="en-US"/>
        </w:rPr>
      </w:pPr>
    </w:p>
    <w:p w14:paraId="7CF387C2" w14:textId="51A28B85" w:rsidR="00F05B29" w:rsidRPr="00DF65A8" w:rsidRDefault="00F05B29" w:rsidP="00DF65A8">
      <w:pPr>
        <w:spacing w:line="276" w:lineRule="auto"/>
        <w:ind w:left="142"/>
        <w:rPr>
          <w:rFonts w:ascii="Times New Roman" w:eastAsia="Calibri" w:hAnsi="Times New Roman"/>
          <w:i/>
          <w:lang w:eastAsia="en-US"/>
        </w:rPr>
      </w:pPr>
      <w:r w:rsidRPr="003E3E25">
        <w:rPr>
          <w:rFonts w:eastAsia="Calibri"/>
          <w:u w:val="single"/>
          <w:lang w:eastAsia="en-US"/>
        </w:rPr>
        <w:t>Conclusion</w:t>
      </w:r>
      <w:r w:rsidRPr="003E3E25">
        <w:rPr>
          <w:rFonts w:eastAsia="Calibri"/>
          <w:lang w:eastAsia="en-US"/>
        </w:rPr>
        <w:t>: No risk is identified for the sewage treatment plant.</w:t>
      </w:r>
    </w:p>
    <w:p w14:paraId="5885AD63" w14:textId="79D50511" w:rsidR="00E94ED0" w:rsidRDefault="00E94ED0" w:rsidP="00E94ED0">
      <w:pPr>
        <w:pStyle w:val="Titre5"/>
      </w:pPr>
      <w:bookmarkStart w:id="338" w:name="_Toc93326607"/>
      <w:r w:rsidRPr="00FD2055">
        <w:t>Aquatic compartment</w:t>
      </w:r>
      <w:bookmarkEnd w:id="335"/>
      <w:bookmarkEnd w:id="336"/>
      <w:bookmarkEnd w:id="337"/>
      <w:bookmarkEnd w:id="338"/>
    </w:p>
    <w:p w14:paraId="388E9BD8" w14:textId="77777777" w:rsidR="00AC23E9" w:rsidRPr="009461FB" w:rsidRDefault="00AC23E9" w:rsidP="00AC23E9">
      <w:pPr>
        <w:pStyle w:val="Paragraphedeliste"/>
        <w:numPr>
          <w:ilvl w:val="0"/>
          <w:numId w:val="68"/>
        </w:numPr>
        <w:rPr>
          <w:b/>
        </w:rPr>
      </w:pPr>
      <w:r w:rsidRPr="009461FB">
        <w:rPr>
          <w:b/>
        </w:rPr>
        <w:t>FIRST AUTHORISATION – 2017 (BE CA)</w:t>
      </w:r>
    </w:p>
    <w:p w14:paraId="7C304F24" w14:textId="77777777" w:rsidR="00AC23E9" w:rsidRPr="00AC23E9" w:rsidRDefault="00AC23E9" w:rsidP="00AC23E9">
      <w:pPr>
        <w:rPr>
          <w:lang w:val="en-US" w:eastAsia="en-US"/>
        </w:rPr>
      </w:pPr>
    </w:p>
    <w:p w14:paraId="1B59A355" w14:textId="77777777" w:rsidR="0036179B" w:rsidRDefault="0036179B" w:rsidP="0036179B">
      <w:pPr>
        <w:rPr>
          <w:rFonts w:eastAsia="Calibri"/>
          <w:lang w:eastAsia="en-US"/>
        </w:rPr>
      </w:pPr>
      <w:bookmarkStart w:id="339" w:name="_Toc389729122"/>
      <w:bookmarkStart w:id="340" w:name="_Toc403472806"/>
      <w:bookmarkStart w:id="341" w:name="_Toc377651053"/>
      <w:r>
        <w:rPr>
          <w:rFonts w:eastAsia="Calibri"/>
          <w:lang w:eastAsia="en-US"/>
        </w:rPr>
        <w:t>Neither for scenario 1, nor for scenario 2, calculations were made for the sediment, since the PNEC</w:t>
      </w:r>
      <w:r>
        <w:rPr>
          <w:rFonts w:eastAsia="Calibri"/>
          <w:vertAlign w:val="subscript"/>
          <w:lang w:eastAsia="en-US"/>
        </w:rPr>
        <w:t>sediment</w:t>
      </w:r>
      <w:r>
        <w:rPr>
          <w:rFonts w:eastAsia="Calibri"/>
          <w:lang w:eastAsia="en-US"/>
        </w:rPr>
        <w:t xml:space="preserve"> was determined through the EPM-method. This means that the risk assessment for water is applicable for the sediment as well.</w:t>
      </w:r>
    </w:p>
    <w:p w14:paraId="58DBAABA" w14:textId="77777777" w:rsidR="0036179B" w:rsidRDefault="0036179B" w:rsidP="0036179B">
      <w:pPr>
        <w:rPr>
          <w:rFonts w:eastAsia="Calibri"/>
          <w:lang w:eastAsia="en-US"/>
        </w:rPr>
      </w:pPr>
      <w:r>
        <w:rPr>
          <w:rFonts w:eastAsia="Calibri"/>
          <w:lang w:eastAsia="en-US"/>
        </w:rPr>
        <w:t>For the scenario 2, possible degradation in surface water is not taken into account as a worst-case evaluation.</w:t>
      </w:r>
    </w:p>
    <w:p w14:paraId="7E3179E8" w14:textId="77777777" w:rsidR="0036179B" w:rsidRPr="00BD5A49" w:rsidRDefault="0036179B" w:rsidP="0036179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1651"/>
        <w:gridCol w:w="5498"/>
      </w:tblGrid>
      <w:tr w:rsidR="0036179B" w:rsidRPr="00E94ED0" w14:paraId="75A1B1A6" w14:textId="77777777" w:rsidTr="00854FF9">
        <w:trPr>
          <w:trHeight w:val="249"/>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Pr>
          <w:p w14:paraId="4B1EBF67" w14:textId="77777777" w:rsidR="0036179B" w:rsidRPr="00E94ED0" w:rsidRDefault="0036179B" w:rsidP="00854FF9">
            <w:pPr>
              <w:pStyle w:val="Standaard-Tabellen"/>
              <w:jc w:val="center"/>
              <w:rPr>
                <w:rFonts w:eastAsia="Calibri"/>
                <w:b/>
              </w:rPr>
            </w:pPr>
            <w:r w:rsidRPr="00E94ED0">
              <w:rPr>
                <w:rFonts w:eastAsia="Calibri"/>
                <w:b/>
              </w:rPr>
              <w:t>Summary table on calculated PEC/PNEC values</w:t>
            </w:r>
          </w:p>
        </w:tc>
      </w:tr>
      <w:tr w:rsidR="0036179B" w:rsidRPr="00E94ED0" w14:paraId="48A9E4EE" w14:textId="77777777" w:rsidTr="00854FF9">
        <w:trPr>
          <w:trHeight w:val="473"/>
        </w:trPr>
        <w:tc>
          <w:tcPr>
            <w:tcW w:w="1198" w:type="pct"/>
            <w:shd w:val="clear" w:color="auto" w:fill="BFBFBF" w:themeFill="background1" w:themeFillShade="BF"/>
            <w:vAlign w:val="center"/>
          </w:tcPr>
          <w:p w14:paraId="57292856" w14:textId="77777777" w:rsidR="0036179B" w:rsidRPr="00D66385" w:rsidRDefault="0036179B" w:rsidP="00854FF9">
            <w:pPr>
              <w:pStyle w:val="Standaard-Tabellen"/>
              <w:jc w:val="center"/>
              <w:rPr>
                <w:rFonts w:eastAsia="Calibri"/>
                <w:b/>
              </w:rPr>
            </w:pPr>
          </w:p>
        </w:tc>
        <w:tc>
          <w:tcPr>
            <w:tcW w:w="878" w:type="pct"/>
            <w:shd w:val="clear" w:color="auto" w:fill="BFBFBF" w:themeFill="background1" w:themeFillShade="BF"/>
          </w:tcPr>
          <w:p w14:paraId="60FD4EF8" w14:textId="77777777" w:rsidR="0036179B" w:rsidRPr="00D66385" w:rsidRDefault="0036179B" w:rsidP="00854FF9">
            <w:pPr>
              <w:pStyle w:val="Standaard-Tabellen"/>
              <w:jc w:val="center"/>
              <w:rPr>
                <w:rFonts w:eastAsia="Calibri"/>
                <w:b/>
              </w:rPr>
            </w:pPr>
          </w:p>
        </w:tc>
        <w:tc>
          <w:tcPr>
            <w:tcW w:w="2924" w:type="pct"/>
            <w:shd w:val="clear" w:color="auto" w:fill="BFBFBF" w:themeFill="background1" w:themeFillShade="BF"/>
            <w:vAlign w:val="center"/>
          </w:tcPr>
          <w:p w14:paraId="70CB773A" w14:textId="77777777" w:rsidR="0036179B" w:rsidRPr="00E55696" w:rsidRDefault="0036179B" w:rsidP="00854FF9">
            <w:pPr>
              <w:pStyle w:val="Standaard-Tabellen"/>
              <w:jc w:val="center"/>
              <w:rPr>
                <w:rFonts w:eastAsia="Calibri"/>
                <w:b/>
              </w:rPr>
            </w:pPr>
            <w:r w:rsidRPr="00571EBF">
              <w:rPr>
                <w:rFonts w:eastAsia="Calibri"/>
                <w:b/>
              </w:rPr>
              <w:t>PEC/PNEC</w:t>
            </w:r>
            <w:r w:rsidRPr="00571EBF">
              <w:rPr>
                <w:rFonts w:eastAsia="Calibri"/>
                <w:b/>
                <w:vertAlign w:val="subscript"/>
              </w:rPr>
              <w:t>water</w:t>
            </w:r>
          </w:p>
        </w:tc>
      </w:tr>
      <w:tr w:rsidR="0036179B" w:rsidRPr="00FD2055" w14:paraId="06983BE4" w14:textId="77777777" w:rsidTr="00854FF9">
        <w:trPr>
          <w:trHeight w:val="75"/>
        </w:trPr>
        <w:tc>
          <w:tcPr>
            <w:tcW w:w="1198" w:type="pct"/>
            <w:vMerge w:val="restart"/>
            <w:shd w:val="clear" w:color="auto" w:fill="FFFFFF"/>
          </w:tcPr>
          <w:p w14:paraId="38C057DA" w14:textId="77777777" w:rsidR="0036179B" w:rsidRPr="00FD2055" w:rsidRDefault="0036179B" w:rsidP="00854FF9">
            <w:pPr>
              <w:pStyle w:val="Standaard-Tabellen"/>
              <w:rPr>
                <w:rFonts w:eastAsia="Calibri"/>
              </w:rPr>
            </w:pPr>
            <w:r w:rsidRPr="00FD2055">
              <w:rPr>
                <w:rFonts w:eastAsia="Calibri"/>
              </w:rPr>
              <w:t>Scenario 1</w:t>
            </w:r>
          </w:p>
        </w:tc>
        <w:tc>
          <w:tcPr>
            <w:tcW w:w="878" w:type="pct"/>
            <w:shd w:val="clear" w:color="auto" w:fill="FFFFFF"/>
          </w:tcPr>
          <w:p w14:paraId="45F7146C" w14:textId="77777777" w:rsidR="0036179B" w:rsidRPr="00FD2055" w:rsidRDefault="0036179B" w:rsidP="00854FF9">
            <w:pPr>
              <w:pStyle w:val="Standaard-Tabellen"/>
              <w:rPr>
                <w:rFonts w:eastAsia="Calibri"/>
              </w:rPr>
            </w:pPr>
            <w:r>
              <w:rPr>
                <w:rFonts w:eastAsia="Calibri"/>
              </w:rPr>
              <w:t>TIER 1</w:t>
            </w:r>
          </w:p>
        </w:tc>
        <w:tc>
          <w:tcPr>
            <w:tcW w:w="2924" w:type="pct"/>
            <w:shd w:val="clear" w:color="auto" w:fill="FFFFFF"/>
            <w:vAlign w:val="center"/>
          </w:tcPr>
          <w:p w14:paraId="32D73EFD" w14:textId="77777777" w:rsidR="0036179B" w:rsidRPr="0036179B" w:rsidRDefault="0036179B" w:rsidP="0036179B">
            <w:pPr>
              <w:pStyle w:val="Standaard-Tabellen"/>
              <w:rPr>
                <w:rFonts w:eastAsia="Calibri"/>
                <w:vertAlign w:val="superscript"/>
              </w:rPr>
            </w:pPr>
            <w:r>
              <w:rPr>
                <w:rFonts w:eastAsia="Calibri"/>
              </w:rPr>
              <w:t>(6.59x10</w:t>
            </w:r>
            <w:r>
              <w:rPr>
                <w:rFonts w:eastAsia="Calibri"/>
                <w:vertAlign w:val="superscript"/>
              </w:rPr>
              <w:t>-3</w:t>
            </w:r>
            <w:r>
              <w:rPr>
                <w:rFonts w:eastAsia="Calibri"/>
              </w:rPr>
              <w:t xml:space="preserve">/0.1) = </w:t>
            </w:r>
            <w:r w:rsidRPr="0036179B">
              <w:rPr>
                <w:rFonts w:eastAsia="Calibri"/>
                <w:b/>
              </w:rPr>
              <w:t>6.59x10</w:t>
            </w:r>
            <w:r w:rsidRPr="0036179B">
              <w:rPr>
                <w:rFonts w:eastAsia="Calibri"/>
                <w:b/>
                <w:vertAlign w:val="superscript"/>
              </w:rPr>
              <w:t>-2</w:t>
            </w:r>
          </w:p>
        </w:tc>
      </w:tr>
      <w:tr w:rsidR="0036179B" w:rsidRPr="00FD2055" w14:paraId="16192130" w14:textId="77777777" w:rsidTr="00854FF9">
        <w:trPr>
          <w:trHeight w:val="75"/>
        </w:trPr>
        <w:tc>
          <w:tcPr>
            <w:tcW w:w="1198" w:type="pct"/>
            <w:vMerge/>
            <w:shd w:val="clear" w:color="auto" w:fill="FFFFFF"/>
          </w:tcPr>
          <w:p w14:paraId="193E545A" w14:textId="77777777" w:rsidR="0036179B" w:rsidRPr="00FD2055" w:rsidRDefault="0036179B" w:rsidP="00854FF9">
            <w:pPr>
              <w:pStyle w:val="Standaard-Tabellen"/>
              <w:rPr>
                <w:rFonts w:eastAsia="Calibri"/>
              </w:rPr>
            </w:pPr>
          </w:p>
        </w:tc>
        <w:tc>
          <w:tcPr>
            <w:tcW w:w="878" w:type="pct"/>
            <w:shd w:val="clear" w:color="auto" w:fill="FFFFFF"/>
          </w:tcPr>
          <w:p w14:paraId="0736AEDB" w14:textId="77777777" w:rsidR="0036179B" w:rsidRPr="00FD2055" w:rsidRDefault="0036179B" w:rsidP="00854FF9">
            <w:pPr>
              <w:pStyle w:val="Standaard-Tabellen"/>
              <w:rPr>
                <w:rFonts w:eastAsia="Calibri"/>
              </w:rPr>
            </w:pPr>
            <w:r>
              <w:rPr>
                <w:rFonts w:eastAsia="Calibri"/>
              </w:rPr>
              <w:t>TIER 2</w:t>
            </w:r>
          </w:p>
        </w:tc>
        <w:tc>
          <w:tcPr>
            <w:tcW w:w="2924" w:type="pct"/>
            <w:shd w:val="clear" w:color="auto" w:fill="FFFFFF"/>
            <w:vAlign w:val="center"/>
          </w:tcPr>
          <w:p w14:paraId="57DEB6D6" w14:textId="77777777" w:rsidR="0036179B" w:rsidRPr="00BD5A49" w:rsidRDefault="0036179B" w:rsidP="0036179B">
            <w:pPr>
              <w:pStyle w:val="Standaard-Tabellen"/>
              <w:rPr>
                <w:rFonts w:eastAsia="Calibri"/>
                <w:vertAlign w:val="superscript"/>
              </w:rPr>
            </w:pPr>
            <w:r>
              <w:rPr>
                <w:rFonts w:eastAsia="Calibri"/>
              </w:rPr>
              <w:t>(6.66x10</w:t>
            </w:r>
            <w:r>
              <w:rPr>
                <w:rFonts w:eastAsia="Calibri"/>
                <w:vertAlign w:val="superscript"/>
              </w:rPr>
              <w:t>-5</w:t>
            </w:r>
            <w:r>
              <w:rPr>
                <w:rFonts w:eastAsia="Calibri"/>
              </w:rPr>
              <w:t xml:space="preserve">/0.1) = </w:t>
            </w:r>
            <w:r w:rsidRPr="00150D1E">
              <w:rPr>
                <w:rFonts w:eastAsia="Calibri"/>
                <w:b/>
              </w:rPr>
              <w:t>6.66x10</w:t>
            </w:r>
            <w:r>
              <w:rPr>
                <w:rFonts w:eastAsia="Calibri"/>
                <w:b/>
                <w:vertAlign w:val="superscript"/>
              </w:rPr>
              <w:t>-4</w:t>
            </w:r>
          </w:p>
        </w:tc>
      </w:tr>
      <w:tr w:rsidR="0036179B" w:rsidRPr="00FD2055" w14:paraId="5AA915A6" w14:textId="77777777" w:rsidTr="00854FF9">
        <w:trPr>
          <w:trHeight w:val="75"/>
        </w:trPr>
        <w:tc>
          <w:tcPr>
            <w:tcW w:w="1198" w:type="pct"/>
            <w:vMerge w:val="restart"/>
            <w:shd w:val="clear" w:color="auto" w:fill="FFFFFF"/>
          </w:tcPr>
          <w:p w14:paraId="5D1AE210" w14:textId="77777777" w:rsidR="0036179B" w:rsidRPr="00FD2055" w:rsidRDefault="0036179B" w:rsidP="00854FF9">
            <w:pPr>
              <w:pStyle w:val="Standaard-Tabellen"/>
              <w:rPr>
                <w:rFonts w:eastAsia="Calibri"/>
              </w:rPr>
            </w:pPr>
            <w:r>
              <w:rPr>
                <w:rFonts w:eastAsia="Calibri"/>
              </w:rPr>
              <w:t>Scenario 2</w:t>
            </w:r>
          </w:p>
        </w:tc>
        <w:tc>
          <w:tcPr>
            <w:tcW w:w="878" w:type="pct"/>
            <w:shd w:val="clear" w:color="auto" w:fill="FFFFFF"/>
          </w:tcPr>
          <w:p w14:paraId="6B5F5F6B" w14:textId="77777777" w:rsidR="0036179B" w:rsidRDefault="0036179B" w:rsidP="00854FF9">
            <w:pPr>
              <w:pStyle w:val="Standaard-Tabellen"/>
              <w:rPr>
                <w:rFonts w:eastAsia="Calibri"/>
              </w:rPr>
            </w:pPr>
            <w:r>
              <w:rPr>
                <w:rFonts w:eastAsia="Calibri"/>
              </w:rPr>
              <w:t>Day 1</w:t>
            </w:r>
          </w:p>
        </w:tc>
        <w:tc>
          <w:tcPr>
            <w:tcW w:w="2924" w:type="pct"/>
            <w:shd w:val="clear" w:color="auto" w:fill="FFFFFF"/>
          </w:tcPr>
          <w:p w14:paraId="44DC8362" w14:textId="33910C3B" w:rsidR="0036179B" w:rsidRPr="00BD5A49" w:rsidRDefault="0036179B" w:rsidP="00B534E4">
            <w:pPr>
              <w:pStyle w:val="Standaard-Tabellen"/>
              <w:rPr>
                <w:rFonts w:eastAsia="Calibri"/>
                <w:vertAlign w:val="superscript"/>
              </w:rPr>
            </w:pPr>
            <w:r>
              <w:rPr>
                <w:rFonts w:eastAsia="Calibri" w:cs="Arial"/>
                <w:color w:val="000000"/>
                <w:szCs w:val="18"/>
              </w:rPr>
              <w:t>(</w:t>
            </w:r>
            <w:r w:rsidR="00150D1E">
              <w:rPr>
                <w:rFonts w:eastAsia="Calibri" w:cs="Arial"/>
                <w:color w:val="000000"/>
                <w:szCs w:val="18"/>
              </w:rPr>
              <w:t>4.59</w:t>
            </w:r>
            <w:r>
              <w:rPr>
                <w:rFonts w:eastAsia="Calibri" w:cs="Arial"/>
                <w:color w:val="000000"/>
                <w:szCs w:val="18"/>
              </w:rPr>
              <w:t>x10</w:t>
            </w:r>
            <w:r>
              <w:rPr>
                <w:rFonts w:eastAsia="Calibri" w:cs="Arial"/>
                <w:color w:val="000000"/>
                <w:szCs w:val="18"/>
                <w:vertAlign w:val="superscript"/>
              </w:rPr>
              <w:t>-9</w:t>
            </w:r>
            <w:r>
              <w:rPr>
                <w:rFonts w:eastAsia="Calibri" w:cs="Arial"/>
                <w:color w:val="000000"/>
                <w:szCs w:val="18"/>
              </w:rPr>
              <w:t xml:space="preserve">/0.1) = </w:t>
            </w:r>
            <w:r w:rsidR="00150D1E">
              <w:rPr>
                <w:rFonts w:eastAsia="Calibri" w:cs="Arial"/>
                <w:b/>
                <w:color w:val="000000"/>
                <w:szCs w:val="18"/>
              </w:rPr>
              <w:t>4.59</w:t>
            </w:r>
            <w:r>
              <w:rPr>
                <w:rFonts w:eastAsia="Calibri" w:cs="Arial"/>
                <w:b/>
                <w:color w:val="000000"/>
                <w:szCs w:val="18"/>
              </w:rPr>
              <w:t>x10</w:t>
            </w:r>
            <w:r>
              <w:rPr>
                <w:rFonts w:eastAsia="Calibri" w:cs="Arial"/>
                <w:b/>
                <w:color w:val="000000"/>
                <w:szCs w:val="18"/>
                <w:vertAlign w:val="superscript"/>
              </w:rPr>
              <w:t>-</w:t>
            </w:r>
            <w:r w:rsidR="00B534E4">
              <w:rPr>
                <w:rFonts w:eastAsia="Calibri" w:cs="Arial"/>
                <w:b/>
                <w:color w:val="000000"/>
                <w:szCs w:val="18"/>
                <w:vertAlign w:val="superscript"/>
              </w:rPr>
              <w:t>4</w:t>
            </w:r>
          </w:p>
        </w:tc>
      </w:tr>
      <w:tr w:rsidR="0036179B" w:rsidRPr="00FD2055" w14:paraId="549C1CD1" w14:textId="77777777" w:rsidTr="00854FF9">
        <w:trPr>
          <w:trHeight w:val="75"/>
        </w:trPr>
        <w:tc>
          <w:tcPr>
            <w:tcW w:w="1198" w:type="pct"/>
            <w:vMerge/>
            <w:shd w:val="clear" w:color="auto" w:fill="FFFFFF"/>
          </w:tcPr>
          <w:p w14:paraId="23B07359" w14:textId="77777777" w:rsidR="0036179B" w:rsidRDefault="0036179B" w:rsidP="00854FF9">
            <w:pPr>
              <w:pStyle w:val="Standaard-Tabellen"/>
              <w:rPr>
                <w:rFonts w:eastAsia="Calibri"/>
              </w:rPr>
            </w:pPr>
          </w:p>
        </w:tc>
        <w:tc>
          <w:tcPr>
            <w:tcW w:w="878" w:type="pct"/>
            <w:shd w:val="clear" w:color="auto" w:fill="FFFFFF"/>
          </w:tcPr>
          <w:p w14:paraId="4345E257" w14:textId="77777777" w:rsidR="0036179B" w:rsidRDefault="0036179B" w:rsidP="00854FF9">
            <w:pPr>
              <w:pStyle w:val="Standaard-Tabellen"/>
              <w:rPr>
                <w:rFonts w:eastAsia="Calibri"/>
              </w:rPr>
            </w:pPr>
            <w:r>
              <w:rPr>
                <w:rFonts w:eastAsia="Calibri"/>
              </w:rPr>
              <w:t>Day 91</w:t>
            </w:r>
          </w:p>
        </w:tc>
        <w:tc>
          <w:tcPr>
            <w:tcW w:w="2924" w:type="pct"/>
            <w:shd w:val="clear" w:color="auto" w:fill="FFFFFF"/>
          </w:tcPr>
          <w:p w14:paraId="6B09089B" w14:textId="5E8EF5BE" w:rsidR="0036179B" w:rsidRPr="00BD5A49" w:rsidRDefault="00150D1E" w:rsidP="00B534E4">
            <w:pPr>
              <w:pStyle w:val="Standaard-Tabellen"/>
              <w:rPr>
                <w:rFonts w:eastAsia="Calibri"/>
                <w:vertAlign w:val="superscript"/>
              </w:rPr>
            </w:pPr>
            <w:r>
              <w:rPr>
                <w:rFonts w:eastAsia="Calibri" w:cs="Arial"/>
                <w:color w:val="000000"/>
                <w:szCs w:val="18"/>
              </w:rPr>
              <w:t xml:space="preserve">(4.18 </w:t>
            </w:r>
            <w:r w:rsidR="0036179B">
              <w:rPr>
                <w:rFonts w:eastAsia="Calibri" w:cs="Arial"/>
                <w:color w:val="000000"/>
                <w:szCs w:val="18"/>
              </w:rPr>
              <w:t>x10</w:t>
            </w:r>
            <w:r w:rsidR="0036179B">
              <w:rPr>
                <w:rFonts w:eastAsia="Calibri" w:cs="Arial"/>
                <w:color w:val="000000"/>
                <w:szCs w:val="18"/>
                <w:vertAlign w:val="superscript"/>
              </w:rPr>
              <w:t>-7</w:t>
            </w:r>
            <w:r w:rsidR="0036179B">
              <w:rPr>
                <w:rFonts w:eastAsia="Calibri" w:cs="Arial"/>
                <w:color w:val="000000"/>
                <w:szCs w:val="18"/>
              </w:rPr>
              <w:t xml:space="preserve">/0.1) = </w:t>
            </w:r>
            <w:r>
              <w:rPr>
                <w:rFonts w:eastAsia="Calibri" w:cs="Arial"/>
                <w:b/>
                <w:color w:val="000000"/>
                <w:szCs w:val="18"/>
              </w:rPr>
              <w:t>4.18</w:t>
            </w:r>
            <w:r w:rsidR="0036179B">
              <w:rPr>
                <w:rFonts w:eastAsia="Calibri" w:cs="Arial"/>
                <w:b/>
                <w:color w:val="000000"/>
                <w:szCs w:val="18"/>
              </w:rPr>
              <w:t>x10</w:t>
            </w:r>
            <w:r w:rsidR="0036179B">
              <w:rPr>
                <w:rFonts w:eastAsia="Calibri" w:cs="Arial"/>
                <w:b/>
                <w:color w:val="000000"/>
                <w:szCs w:val="18"/>
                <w:vertAlign w:val="superscript"/>
              </w:rPr>
              <w:t>-</w:t>
            </w:r>
            <w:r w:rsidR="00B534E4">
              <w:rPr>
                <w:rFonts w:eastAsia="Calibri" w:cs="Arial"/>
                <w:b/>
                <w:color w:val="000000"/>
                <w:szCs w:val="18"/>
                <w:vertAlign w:val="superscript"/>
              </w:rPr>
              <w:t>2</w:t>
            </w:r>
          </w:p>
        </w:tc>
      </w:tr>
    </w:tbl>
    <w:p w14:paraId="040A572B" w14:textId="77777777" w:rsidR="0036179B" w:rsidRDefault="0036179B" w:rsidP="0036179B">
      <w:pPr>
        <w:spacing w:line="276" w:lineRule="auto"/>
        <w:ind w:left="142"/>
        <w:rPr>
          <w:rFonts w:eastAsia="Calibri"/>
          <w:lang w:eastAsia="en-US"/>
        </w:rPr>
      </w:pPr>
    </w:p>
    <w:p w14:paraId="1BBECCEA" w14:textId="77777777" w:rsidR="0036179B" w:rsidRDefault="0036179B" w:rsidP="0036179B">
      <w:pPr>
        <w:rPr>
          <w:rFonts w:eastAsia="Calibri"/>
        </w:rPr>
      </w:pPr>
      <w:r>
        <w:rPr>
          <w:rFonts w:eastAsia="Calibri"/>
          <w:u w:val="single"/>
          <w:lang w:eastAsia="en-US"/>
        </w:rPr>
        <w:t>Conclusion</w:t>
      </w:r>
      <w:r>
        <w:rPr>
          <w:rFonts w:eastAsia="Calibri"/>
        </w:rPr>
        <w:t xml:space="preserve">: </w:t>
      </w:r>
    </w:p>
    <w:p w14:paraId="01C7DAA5" w14:textId="102BE358" w:rsidR="0036179B" w:rsidRDefault="0036179B" w:rsidP="0036179B">
      <w:pPr>
        <w:rPr>
          <w:rFonts w:eastAsia="Calibri"/>
        </w:rPr>
      </w:pPr>
      <w:r>
        <w:rPr>
          <w:rFonts w:eastAsia="Calibri"/>
        </w:rPr>
        <w:t>No adverse effect for the aquatic compartment is expected</w:t>
      </w:r>
    </w:p>
    <w:p w14:paraId="588E4D0F" w14:textId="77777777" w:rsidR="00EE0880" w:rsidRDefault="00EE0880" w:rsidP="00EE0880">
      <w:pPr>
        <w:rPr>
          <w:rFonts w:eastAsia="Calibri"/>
          <w:lang w:eastAsia="en-US"/>
        </w:rPr>
      </w:pPr>
    </w:p>
    <w:p w14:paraId="662F28D7" w14:textId="77777777" w:rsidR="00EE0880" w:rsidRPr="003E3E25" w:rsidRDefault="00EE0880" w:rsidP="00DF65A8">
      <w:pPr>
        <w:pStyle w:val="Commentaire"/>
        <w:numPr>
          <w:ilvl w:val="0"/>
          <w:numId w:val="36"/>
        </w:numPr>
        <w:rPr>
          <w:b/>
        </w:rPr>
      </w:pPr>
      <w:r w:rsidRPr="003E3E25">
        <w:rPr>
          <w:b/>
        </w:rPr>
        <w:t>Major change for SPRAY REPULSIF IR200 - 2019</w:t>
      </w:r>
    </w:p>
    <w:tbl>
      <w:tblPr>
        <w:tblW w:w="9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313"/>
        <w:gridCol w:w="3581"/>
        <w:gridCol w:w="3583"/>
      </w:tblGrid>
      <w:tr w:rsidR="00EE0880" w:rsidRPr="00532093" w14:paraId="114B0C11" w14:textId="5AFFE589" w:rsidTr="00DD748B">
        <w:trPr>
          <w:trHeight w:val="226"/>
        </w:trPr>
        <w:tc>
          <w:tcPr>
            <w:tcW w:w="9949" w:type="dxa"/>
            <w:gridSpan w:val="4"/>
            <w:tcBorders>
              <w:top w:val="single" w:sz="4" w:space="0" w:color="auto"/>
              <w:left w:val="single" w:sz="4" w:space="0" w:color="auto"/>
              <w:bottom w:val="single" w:sz="4" w:space="0" w:color="auto"/>
              <w:right w:val="single" w:sz="4" w:space="0" w:color="auto"/>
            </w:tcBorders>
            <w:shd w:val="clear" w:color="auto" w:fill="FFFFCC"/>
          </w:tcPr>
          <w:p w14:paraId="2615AF4F" w14:textId="304353C6" w:rsidR="00EE0880" w:rsidRPr="00532093" w:rsidRDefault="00EE0880" w:rsidP="000B62C7">
            <w:pPr>
              <w:autoSpaceDE w:val="0"/>
              <w:autoSpaceDN w:val="0"/>
              <w:adjustRightInd w:val="0"/>
              <w:spacing w:line="260" w:lineRule="atLeast"/>
              <w:jc w:val="center"/>
              <w:rPr>
                <w:rFonts w:eastAsia="Calibri"/>
                <w:b/>
                <w:sz w:val="18"/>
                <w:szCs w:val="18"/>
                <w:lang w:eastAsia="en-US"/>
              </w:rPr>
            </w:pPr>
            <w:r w:rsidRPr="00532093">
              <w:rPr>
                <w:rFonts w:eastAsia="Calibri"/>
                <w:b/>
                <w:sz w:val="18"/>
                <w:szCs w:val="18"/>
                <w:shd w:val="clear" w:color="auto" w:fill="F7FBD1"/>
                <w:lang w:eastAsia="en-US"/>
              </w:rPr>
              <w:t>Summary table on calculated PEC/PNEC values</w:t>
            </w:r>
          </w:p>
        </w:tc>
      </w:tr>
      <w:tr w:rsidR="00EE0880" w:rsidRPr="00532093" w14:paraId="151FDFF7" w14:textId="28F32AD0" w:rsidTr="003E3E25">
        <w:trPr>
          <w:trHeight w:val="430"/>
        </w:trPr>
        <w:tc>
          <w:tcPr>
            <w:tcW w:w="1472" w:type="dxa"/>
            <w:shd w:val="clear" w:color="auto" w:fill="auto"/>
            <w:vAlign w:val="center"/>
          </w:tcPr>
          <w:p w14:paraId="071AB415" w14:textId="77777777" w:rsidR="00EE0880" w:rsidRPr="00532093" w:rsidRDefault="00EE0880" w:rsidP="00EE0880">
            <w:pPr>
              <w:spacing w:line="260" w:lineRule="atLeast"/>
              <w:jc w:val="center"/>
              <w:rPr>
                <w:rFonts w:eastAsia="Calibri" w:cs="Arial"/>
                <w:color w:val="000000"/>
                <w:sz w:val="18"/>
                <w:szCs w:val="18"/>
                <w:lang w:eastAsia="en-GB"/>
              </w:rPr>
            </w:pPr>
          </w:p>
        </w:tc>
        <w:tc>
          <w:tcPr>
            <w:tcW w:w="1313" w:type="dxa"/>
            <w:shd w:val="clear" w:color="auto" w:fill="auto"/>
          </w:tcPr>
          <w:p w14:paraId="267B3D2E" w14:textId="77777777" w:rsidR="00EE0880" w:rsidRPr="00532093" w:rsidRDefault="00EE0880" w:rsidP="00EE0880">
            <w:pPr>
              <w:spacing w:line="260" w:lineRule="atLeast"/>
              <w:jc w:val="center"/>
              <w:rPr>
                <w:rFonts w:eastAsia="Calibri" w:cs="Arial"/>
                <w:b/>
                <w:bCs/>
                <w:color w:val="000000"/>
                <w:sz w:val="18"/>
                <w:szCs w:val="18"/>
                <w:lang w:eastAsia="en-GB"/>
              </w:rPr>
            </w:pPr>
          </w:p>
        </w:tc>
        <w:tc>
          <w:tcPr>
            <w:tcW w:w="3581" w:type="dxa"/>
            <w:shd w:val="clear" w:color="auto" w:fill="auto"/>
            <w:vAlign w:val="center"/>
          </w:tcPr>
          <w:p w14:paraId="60E6E659" w14:textId="0653AC6C" w:rsidR="00EE0880" w:rsidRPr="00532093" w:rsidRDefault="00EE0880" w:rsidP="00EE0880">
            <w:pPr>
              <w:spacing w:line="260" w:lineRule="atLeast"/>
              <w:jc w:val="center"/>
              <w:rPr>
                <w:rFonts w:eastAsia="Calibri" w:cs="Arial"/>
                <w:color w:val="000000"/>
                <w:sz w:val="18"/>
                <w:szCs w:val="18"/>
                <w:lang w:eastAsia="en-GB"/>
              </w:rPr>
            </w:pPr>
            <w:r w:rsidRPr="00532093">
              <w:rPr>
                <w:rFonts w:eastAsia="Calibri" w:cs="Arial"/>
                <w:b/>
                <w:bCs/>
                <w:color w:val="000000"/>
                <w:sz w:val="18"/>
                <w:szCs w:val="18"/>
                <w:lang w:eastAsia="en-GB"/>
              </w:rPr>
              <w:t>PEC/PNEC</w:t>
            </w:r>
            <w:r w:rsidRPr="00532093">
              <w:rPr>
                <w:rFonts w:eastAsia="Calibri" w:cs="Arial"/>
                <w:b/>
                <w:bCs/>
                <w:color w:val="000000"/>
                <w:sz w:val="18"/>
                <w:szCs w:val="18"/>
                <w:vertAlign w:val="subscript"/>
                <w:lang w:eastAsia="en-GB"/>
              </w:rPr>
              <w:t>water</w:t>
            </w:r>
          </w:p>
        </w:tc>
        <w:tc>
          <w:tcPr>
            <w:tcW w:w="3583" w:type="dxa"/>
            <w:shd w:val="clear" w:color="auto" w:fill="auto"/>
            <w:vAlign w:val="center"/>
          </w:tcPr>
          <w:p w14:paraId="13BE417C" w14:textId="530A54D2" w:rsidR="00EE0880" w:rsidRPr="00532093" w:rsidRDefault="00EE0880" w:rsidP="00EE0880">
            <w:pPr>
              <w:spacing w:line="260" w:lineRule="atLeast"/>
              <w:jc w:val="center"/>
              <w:rPr>
                <w:rFonts w:eastAsia="Calibri" w:cs="Arial"/>
                <w:b/>
                <w:bCs/>
                <w:color w:val="000000"/>
                <w:sz w:val="18"/>
                <w:szCs w:val="18"/>
                <w:lang w:eastAsia="en-GB"/>
              </w:rPr>
            </w:pPr>
            <w:r w:rsidRPr="00532093">
              <w:rPr>
                <w:rFonts w:eastAsia="Calibri" w:cs="Arial"/>
                <w:b/>
                <w:color w:val="000000"/>
                <w:sz w:val="18"/>
                <w:szCs w:val="18"/>
                <w:lang w:eastAsia="en-GB"/>
              </w:rPr>
              <w:t>PEC/PNEC</w:t>
            </w:r>
            <w:r w:rsidRPr="00532093">
              <w:rPr>
                <w:rFonts w:eastAsia="Calibri" w:cs="Arial"/>
                <w:b/>
                <w:color w:val="000000"/>
                <w:sz w:val="18"/>
                <w:szCs w:val="18"/>
                <w:vertAlign w:val="subscript"/>
                <w:lang w:eastAsia="en-GB"/>
              </w:rPr>
              <w:t>sed</w:t>
            </w:r>
          </w:p>
        </w:tc>
      </w:tr>
      <w:tr w:rsidR="00773964" w:rsidRPr="00532093" w14:paraId="4D9DC70A" w14:textId="04E2F64F" w:rsidTr="003E3E25">
        <w:trPr>
          <w:trHeight w:val="247"/>
        </w:trPr>
        <w:tc>
          <w:tcPr>
            <w:tcW w:w="1472" w:type="dxa"/>
            <w:shd w:val="clear" w:color="auto" w:fill="auto"/>
          </w:tcPr>
          <w:p w14:paraId="02DFD556" w14:textId="0FA082FA" w:rsidR="00773964" w:rsidRPr="00532093" w:rsidRDefault="00773964" w:rsidP="007616F6">
            <w:pPr>
              <w:spacing w:line="260" w:lineRule="atLeast"/>
              <w:rPr>
                <w:rFonts w:eastAsia="Calibri" w:cs="Arial"/>
                <w:color w:val="000000"/>
                <w:sz w:val="18"/>
                <w:szCs w:val="18"/>
                <w:lang w:eastAsia="en-GB"/>
              </w:rPr>
            </w:pPr>
            <w:r w:rsidRPr="00532093">
              <w:rPr>
                <w:rFonts w:eastAsia="Calibri" w:cs="Arial"/>
                <w:color w:val="000000"/>
                <w:sz w:val="18"/>
                <w:szCs w:val="18"/>
                <w:lang w:eastAsia="en-GB"/>
              </w:rPr>
              <w:t>Scenario 1b</w:t>
            </w:r>
          </w:p>
        </w:tc>
        <w:tc>
          <w:tcPr>
            <w:tcW w:w="1313" w:type="dxa"/>
            <w:shd w:val="clear" w:color="auto" w:fill="auto"/>
          </w:tcPr>
          <w:p w14:paraId="6007E61C" w14:textId="27147A6A" w:rsidR="00773964" w:rsidRPr="00532093" w:rsidRDefault="00773964" w:rsidP="007616F6">
            <w:pPr>
              <w:spacing w:line="260" w:lineRule="atLeast"/>
              <w:rPr>
                <w:rFonts w:eastAsia="Calibri" w:cs="Arial"/>
                <w:color w:val="000000"/>
                <w:sz w:val="18"/>
                <w:szCs w:val="18"/>
                <w:lang w:eastAsia="en-GB"/>
              </w:rPr>
            </w:pPr>
            <w:r w:rsidRPr="00532093">
              <w:rPr>
                <w:rFonts w:eastAsia="Calibri"/>
                <w:sz w:val="18"/>
                <w:szCs w:val="18"/>
              </w:rPr>
              <w:t>TIER 2</w:t>
            </w:r>
          </w:p>
        </w:tc>
        <w:tc>
          <w:tcPr>
            <w:tcW w:w="3581" w:type="dxa"/>
            <w:shd w:val="clear" w:color="auto" w:fill="auto"/>
            <w:vAlign w:val="center"/>
          </w:tcPr>
          <w:p w14:paraId="2A139DE9" w14:textId="75415153" w:rsidR="00773964" w:rsidRPr="00532093" w:rsidRDefault="00773964" w:rsidP="007616F6">
            <w:pPr>
              <w:spacing w:line="260" w:lineRule="atLeast"/>
              <w:rPr>
                <w:rFonts w:eastAsia="Calibri" w:cs="Arial"/>
                <w:sz w:val="18"/>
                <w:szCs w:val="18"/>
                <w:lang w:eastAsia="en-GB"/>
              </w:rPr>
            </w:pPr>
            <w:r w:rsidRPr="00532093">
              <w:rPr>
                <w:rFonts w:eastAsia="Calibri" w:cs="Arial"/>
                <w:sz w:val="18"/>
                <w:szCs w:val="18"/>
                <w:lang w:eastAsia="en-GB"/>
              </w:rPr>
              <w:t>2.9</w:t>
            </w:r>
            <w:r w:rsidR="00281E9A" w:rsidRPr="00532093">
              <w:rPr>
                <w:rFonts w:eastAsia="Calibri" w:cs="Arial"/>
                <w:sz w:val="18"/>
                <w:szCs w:val="18"/>
                <w:lang w:eastAsia="en-GB"/>
              </w:rPr>
              <w:t>2</w:t>
            </w:r>
            <w:r w:rsidRPr="00532093">
              <w:rPr>
                <w:rFonts w:eastAsia="Calibri" w:cs="Arial"/>
                <w:sz w:val="18"/>
                <w:szCs w:val="18"/>
                <w:lang w:eastAsia="en-GB"/>
              </w:rPr>
              <w:t xml:space="preserve">E-03 / 0.1 = </w:t>
            </w:r>
            <w:r w:rsidRPr="00532093">
              <w:rPr>
                <w:rFonts w:eastAsia="Calibri" w:cs="Arial"/>
                <w:b/>
                <w:sz w:val="18"/>
                <w:szCs w:val="18"/>
                <w:lang w:eastAsia="en-GB"/>
              </w:rPr>
              <w:t>2.9</w:t>
            </w:r>
            <w:r w:rsidR="00281E9A" w:rsidRPr="00532093">
              <w:rPr>
                <w:rFonts w:eastAsia="Calibri" w:cs="Arial"/>
                <w:b/>
                <w:sz w:val="18"/>
                <w:szCs w:val="18"/>
                <w:lang w:eastAsia="en-GB"/>
              </w:rPr>
              <w:t>2</w:t>
            </w:r>
            <w:r w:rsidRPr="00532093">
              <w:rPr>
                <w:rFonts w:eastAsia="Calibri" w:cs="Arial"/>
                <w:b/>
                <w:sz w:val="18"/>
                <w:szCs w:val="18"/>
                <w:lang w:eastAsia="en-GB"/>
              </w:rPr>
              <w:t>E-02</w:t>
            </w:r>
          </w:p>
        </w:tc>
        <w:tc>
          <w:tcPr>
            <w:tcW w:w="3583" w:type="dxa"/>
            <w:shd w:val="clear" w:color="auto" w:fill="auto"/>
            <w:vAlign w:val="center"/>
          </w:tcPr>
          <w:p w14:paraId="120FFA63" w14:textId="20C27A07" w:rsidR="00773964" w:rsidRPr="00532093" w:rsidRDefault="00773964" w:rsidP="007616F6">
            <w:pPr>
              <w:spacing w:line="260" w:lineRule="atLeast"/>
              <w:rPr>
                <w:rFonts w:eastAsia="Calibri" w:cs="Arial"/>
                <w:sz w:val="18"/>
                <w:szCs w:val="18"/>
                <w:lang w:eastAsia="en-GB"/>
              </w:rPr>
            </w:pPr>
            <w:r w:rsidRPr="00532093">
              <w:rPr>
                <w:rFonts w:eastAsia="Calibri" w:cs="Arial"/>
                <w:sz w:val="18"/>
                <w:szCs w:val="18"/>
                <w:lang w:eastAsia="en-GB"/>
              </w:rPr>
              <w:t>3.2</w:t>
            </w:r>
            <w:r w:rsidR="00C97E9C" w:rsidRPr="00532093">
              <w:rPr>
                <w:rFonts w:eastAsia="Calibri" w:cs="Arial"/>
                <w:sz w:val="18"/>
                <w:szCs w:val="18"/>
                <w:lang w:eastAsia="en-GB"/>
              </w:rPr>
              <w:t>4</w:t>
            </w:r>
            <w:r w:rsidRPr="00532093">
              <w:rPr>
                <w:rFonts w:eastAsia="Calibri" w:cs="Arial"/>
                <w:sz w:val="18"/>
                <w:szCs w:val="18"/>
                <w:lang w:eastAsia="en-GB"/>
              </w:rPr>
              <w:t xml:space="preserve">E-02 / 1.11 = </w:t>
            </w:r>
            <w:r w:rsidRPr="00532093">
              <w:rPr>
                <w:rFonts w:eastAsia="Calibri" w:cs="Arial"/>
                <w:b/>
                <w:sz w:val="18"/>
                <w:szCs w:val="18"/>
                <w:lang w:eastAsia="en-GB"/>
              </w:rPr>
              <w:t>2.9</w:t>
            </w:r>
            <w:r w:rsidR="00A71F39" w:rsidRPr="00532093">
              <w:rPr>
                <w:rFonts w:eastAsia="Calibri" w:cs="Arial"/>
                <w:b/>
                <w:sz w:val="18"/>
                <w:szCs w:val="18"/>
                <w:lang w:eastAsia="en-GB"/>
              </w:rPr>
              <w:t>2</w:t>
            </w:r>
            <w:r w:rsidRPr="00532093">
              <w:rPr>
                <w:rFonts w:eastAsia="Calibri" w:cs="Arial"/>
                <w:b/>
                <w:sz w:val="18"/>
                <w:szCs w:val="18"/>
                <w:lang w:eastAsia="en-GB"/>
              </w:rPr>
              <w:t>E-02</w:t>
            </w:r>
          </w:p>
        </w:tc>
      </w:tr>
      <w:tr w:rsidR="00773964" w:rsidRPr="00532093" w14:paraId="35D4FB68" w14:textId="38670DC1" w:rsidTr="003E3E25">
        <w:trPr>
          <w:trHeight w:val="70"/>
        </w:trPr>
        <w:tc>
          <w:tcPr>
            <w:tcW w:w="1472" w:type="dxa"/>
            <w:shd w:val="clear" w:color="auto" w:fill="auto"/>
          </w:tcPr>
          <w:p w14:paraId="6F4D8696" w14:textId="29B48877" w:rsidR="00773964" w:rsidRPr="00532093" w:rsidRDefault="00773964" w:rsidP="007616F6">
            <w:pPr>
              <w:spacing w:line="260" w:lineRule="atLeast"/>
              <w:rPr>
                <w:rFonts w:eastAsia="Calibri" w:cs="Arial"/>
                <w:color w:val="000000"/>
                <w:sz w:val="18"/>
                <w:szCs w:val="18"/>
                <w:lang w:eastAsia="en-GB"/>
              </w:rPr>
            </w:pPr>
            <w:r w:rsidRPr="00532093">
              <w:rPr>
                <w:rFonts w:eastAsia="Calibri" w:cs="Arial"/>
                <w:color w:val="000000"/>
                <w:sz w:val="18"/>
                <w:szCs w:val="18"/>
                <w:lang w:eastAsia="en-GB"/>
              </w:rPr>
              <w:t>Scenario 2b</w:t>
            </w:r>
          </w:p>
        </w:tc>
        <w:tc>
          <w:tcPr>
            <w:tcW w:w="1313" w:type="dxa"/>
            <w:shd w:val="clear" w:color="auto" w:fill="auto"/>
          </w:tcPr>
          <w:p w14:paraId="0C311FDB" w14:textId="5DD0A558" w:rsidR="00773964" w:rsidRPr="00532093" w:rsidRDefault="00773964" w:rsidP="007616F6">
            <w:pPr>
              <w:spacing w:line="260" w:lineRule="atLeast"/>
              <w:rPr>
                <w:rFonts w:eastAsia="Calibri" w:cs="Arial"/>
                <w:color w:val="000000"/>
                <w:sz w:val="18"/>
                <w:szCs w:val="18"/>
                <w:lang w:eastAsia="en-GB"/>
              </w:rPr>
            </w:pPr>
            <w:r w:rsidRPr="00532093">
              <w:rPr>
                <w:rFonts w:eastAsia="Calibri"/>
                <w:sz w:val="18"/>
                <w:szCs w:val="18"/>
              </w:rPr>
              <w:t>Day 91</w:t>
            </w:r>
          </w:p>
        </w:tc>
        <w:tc>
          <w:tcPr>
            <w:tcW w:w="3581" w:type="dxa"/>
            <w:shd w:val="clear" w:color="auto" w:fill="auto"/>
            <w:vAlign w:val="center"/>
          </w:tcPr>
          <w:p w14:paraId="539FD5AC" w14:textId="7A33C481" w:rsidR="00773964" w:rsidRPr="00532093" w:rsidRDefault="00845001" w:rsidP="007616F6">
            <w:pPr>
              <w:spacing w:line="260" w:lineRule="atLeast"/>
              <w:rPr>
                <w:rFonts w:eastAsia="Calibri" w:cs="Arial"/>
                <w:sz w:val="18"/>
                <w:szCs w:val="18"/>
                <w:lang w:eastAsia="en-GB"/>
              </w:rPr>
            </w:pPr>
            <w:r w:rsidRPr="00532093">
              <w:rPr>
                <w:rFonts w:eastAsia="Calibri" w:cs="Arial"/>
                <w:sz w:val="18"/>
                <w:szCs w:val="18"/>
                <w:lang w:eastAsia="en-GB"/>
              </w:rPr>
              <w:t>4.1</w:t>
            </w:r>
            <w:r w:rsidR="00A71F39" w:rsidRPr="00532093">
              <w:rPr>
                <w:rFonts w:eastAsia="Calibri" w:cs="Arial"/>
                <w:sz w:val="18"/>
                <w:szCs w:val="18"/>
                <w:lang w:eastAsia="en-GB"/>
              </w:rPr>
              <w:t>4</w:t>
            </w:r>
            <w:r w:rsidR="00773964" w:rsidRPr="00532093">
              <w:rPr>
                <w:rFonts w:eastAsia="Calibri" w:cs="Arial"/>
                <w:sz w:val="18"/>
                <w:szCs w:val="18"/>
                <w:lang w:eastAsia="en-GB"/>
              </w:rPr>
              <w:t xml:space="preserve">E-02 / 0.1 = </w:t>
            </w:r>
            <w:r w:rsidRPr="00532093">
              <w:rPr>
                <w:rFonts w:eastAsia="Calibri" w:cs="Arial"/>
                <w:b/>
                <w:sz w:val="18"/>
                <w:szCs w:val="18"/>
                <w:lang w:eastAsia="en-GB"/>
              </w:rPr>
              <w:t>4.1</w:t>
            </w:r>
            <w:r w:rsidR="00A71F39" w:rsidRPr="00532093">
              <w:rPr>
                <w:rFonts w:eastAsia="Calibri" w:cs="Arial"/>
                <w:b/>
                <w:sz w:val="18"/>
                <w:szCs w:val="18"/>
                <w:lang w:eastAsia="en-GB"/>
              </w:rPr>
              <w:t>4</w:t>
            </w:r>
            <w:r w:rsidR="00773964" w:rsidRPr="00532093">
              <w:rPr>
                <w:rFonts w:eastAsia="Calibri" w:cs="Arial"/>
                <w:b/>
                <w:sz w:val="18"/>
                <w:szCs w:val="18"/>
                <w:lang w:eastAsia="en-GB"/>
              </w:rPr>
              <w:t>E-01</w:t>
            </w:r>
          </w:p>
        </w:tc>
        <w:tc>
          <w:tcPr>
            <w:tcW w:w="3583" w:type="dxa"/>
            <w:shd w:val="clear" w:color="auto" w:fill="auto"/>
            <w:vAlign w:val="center"/>
          </w:tcPr>
          <w:p w14:paraId="6487651A" w14:textId="30198F04" w:rsidR="00773964" w:rsidRPr="00532093" w:rsidRDefault="00845001" w:rsidP="007616F6">
            <w:pPr>
              <w:spacing w:line="260" w:lineRule="atLeast"/>
              <w:rPr>
                <w:rFonts w:eastAsia="Calibri" w:cs="Arial"/>
                <w:sz w:val="18"/>
                <w:szCs w:val="18"/>
                <w:lang w:eastAsia="en-GB"/>
              </w:rPr>
            </w:pPr>
            <w:r w:rsidRPr="00532093">
              <w:rPr>
                <w:rFonts w:eastAsia="Calibri" w:cs="Arial"/>
                <w:sz w:val="18"/>
                <w:szCs w:val="18"/>
                <w:lang w:eastAsia="en-GB"/>
              </w:rPr>
              <w:t>4.6</w:t>
            </w:r>
            <w:r w:rsidR="00A71F39" w:rsidRPr="00532093">
              <w:rPr>
                <w:rFonts w:eastAsia="Calibri" w:cs="Arial"/>
                <w:sz w:val="18"/>
                <w:szCs w:val="18"/>
                <w:lang w:eastAsia="en-GB"/>
              </w:rPr>
              <w:t>0</w:t>
            </w:r>
            <w:r w:rsidR="00773964" w:rsidRPr="00532093">
              <w:rPr>
                <w:rFonts w:eastAsia="Calibri" w:cs="Arial"/>
                <w:sz w:val="18"/>
                <w:szCs w:val="18"/>
                <w:lang w:eastAsia="en-GB"/>
              </w:rPr>
              <w:t xml:space="preserve">E-01 / 1.11 = </w:t>
            </w:r>
            <w:r w:rsidRPr="00532093">
              <w:rPr>
                <w:rFonts w:eastAsia="Calibri" w:cs="Arial"/>
                <w:b/>
                <w:sz w:val="18"/>
                <w:szCs w:val="18"/>
                <w:lang w:eastAsia="en-GB"/>
              </w:rPr>
              <w:t>4.1</w:t>
            </w:r>
            <w:r w:rsidR="00A71F39" w:rsidRPr="00532093">
              <w:rPr>
                <w:rFonts w:eastAsia="Calibri" w:cs="Arial"/>
                <w:b/>
                <w:sz w:val="18"/>
                <w:szCs w:val="18"/>
                <w:lang w:eastAsia="en-GB"/>
              </w:rPr>
              <w:t>4</w:t>
            </w:r>
            <w:r w:rsidR="00773964" w:rsidRPr="00532093">
              <w:rPr>
                <w:rFonts w:eastAsia="Calibri" w:cs="Arial"/>
                <w:b/>
                <w:sz w:val="18"/>
                <w:szCs w:val="18"/>
                <w:lang w:eastAsia="en-GB"/>
              </w:rPr>
              <w:t>E-01</w:t>
            </w:r>
          </w:p>
        </w:tc>
      </w:tr>
      <w:tr w:rsidR="00CB1622" w:rsidRPr="00532093" w14:paraId="06EF8EF8" w14:textId="49454069" w:rsidTr="003E3E25">
        <w:trPr>
          <w:trHeight w:val="173"/>
        </w:trPr>
        <w:tc>
          <w:tcPr>
            <w:tcW w:w="1472" w:type="dxa"/>
            <w:shd w:val="clear" w:color="auto" w:fill="auto"/>
          </w:tcPr>
          <w:p w14:paraId="42655D1B" w14:textId="31149013" w:rsidR="00CB1622" w:rsidRPr="00532093" w:rsidRDefault="00CB1622" w:rsidP="007616F6">
            <w:pPr>
              <w:spacing w:line="260" w:lineRule="atLeast"/>
              <w:rPr>
                <w:rFonts w:eastAsia="Calibri" w:cs="Arial"/>
                <w:color w:val="000000"/>
                <w:sz w:val="18"/>
                <w:szCs w:val="18"/>
                <w:lang w:eastAsia="en-GB"/>
              </w:rPr>
            </w:pPr>
            <w:r w:rsidRPr="00532093">
              <w:rPr>
                <w:rFonts w:eastAsia="Calibri" w:cs="Arial"/>
                <w:color w:val="000000"/>
                <w:sz w:val="18"/>
                <w:szCs w:val="18"/>
                <w:lang w:eastAsia="en-GB"/>
              </w:rPr>
              <w:t>Scenario 3</w:t>
            </w:r>
          </w:p>
        </w:tc>
        <w:tc>
          <w:tcPr>
            <w:tcW w:w="1313" w:type="dxa"/>
            <w:shd w:val="clear" w:color="auto" w:fill="auto"/>
          </w:tcPr>
          <w:p w14:paraId="45B1B70A" w14:textId="3035AFB1" w:rsidR="00CB1622" w:rsidRPr="00532093" w:rsidRDefault="00CB1622" w:rsidP="007616F6">
            <w:pPr>
              <w:spacing w:line="260" w:lineRule="atLeast"/>
              <w:rPr>
                <w:rFonts w:eastAsia="Calibri" w:cs="Arial"/>
                <w:color w:val="000000"/>
                <w:sz w:val="18"/>
                <w:szCs w:val="18"/>
                <w:lang w:eastAsia="en-GB"/>
              </w:rPr>
            </w:pPr>
            <w:r w:rsidRPr="00532093">
              <w:rPr>
                <w:rFonts w:eastAsia="Calibri"/>
                <w:sz w:val="18"/>
                <w:szCs w:val="18"/>
              </w:rPr>
              <w:t>TIER 2</w:t>
            </w:r>
          </w:p>
        </w:tc>
        <w:tc>
          <w:tcPr>
            <w:tcW w:w="3581" w:type="dxa"/>
            <w:shd w:val="clear" w:color="auto" w:fill="auto"/>
            <w:vAlign w:val="center"/>
          </w:tcPr>
          <w:p w14:paraId="4DC7D97E" w14:textId="28A1D363" w:rsidR="00CB1622" w:rsidRPr="00532093" w:rsidRDefault="00CB1622" w:rsidP="007616F6">
            <w:pPr>
              <w:spacing w:line="260" w:lineRule="atLeast"/>
              <w:rPr>
                <w:rFonts w:eastAsia="Calibri" w:cs="Arial"/>
                <w:sz w:val="18"/>
                <w:szCs w:val="18"/>
                <w:lang w:eastAsia="en-GB"/>
              </w:rPr>
            </w:pPr>
            <w:r w:rsidRPr="00532093">
              <w:rPr>
                <w:rFonts w:eastAsia="Calibri" w:cs="Arial"/>
                <w:sz w:val="18"/>
                <w:szCs w:val="18"/>
                <w:lang w:eastAsia="en-GB"/>
              </w:rPr>
              <w:t>1.</w:t>
            </w:r>
            <w:r w:rsidR="00977022" w:rsidRPr="00532093">
              <w:rPr>
                <w:rFonts w:eastAsia="Calibri" w:cs="Arial"/>
                <w:sz w:val="18"/>
                <w:szCs w:val="18"/>
                <w:lang w:eastAsia="en-GB"/>
              </w:rPr>
              <w:t>5</w:t>
            </w:r>
            <w:r w:rsidR="00A71F39" w:rsidRPr="00532093">
              <w:rPr>
                <w:rFonts w:eastAsia="Calibri" w:cs="Arial"/>
                <w:sz w:val="18"/>
                <w:szCs w:val="18"/>
                <w:lang w:eastAsia="en-GB"/>
              </w:rPr>
              <w:t>2</w:t>
            </w:r>
            <w:r w:rsidRPr="00532093">
              <w:rPr>
                <w:rFonts w:eastAsia="Calibri" w:cs="Arial"/>
                <w:sz w:val="18"/>
                <w:szCs w:val="18"/>
                <w:lang w:eastAsia="en-GB"/>
              </w:rPr>
              <w:t xml:space="preserve">E-03 / 0.1 = </w:t>
            </w:r>
            <w:r w:rsidRPr="00532093">
              <w:rPr>
                <w:rFonts w:eastAsia="Calibri" w:cs="Arial"/>
                <w:b/>
                <w:sz w:val="18"/>
                <w:szCs w:val="18"/>
                <w:lang w:eastAsia="en-GB"/>
              </w:rPr>
              <w:t>1.</w:t>
            </w:r>
            <w:r w:rsidR="00977022" w:rsidRPr="00532093">
              <w:rPr>
                <w:rFonts w:eastAsia="Calibri" w:cs="Arial"/>
                <w:b/>
                <w:sz w:val="18"/>
                <w:szCs w:val="18"/>
                <w:lang w:eastAsia="en-GB"/>
              </w:rPr>
              <w:t>5</w:t>
            </w:r>
            <w:r w:rsidR="00A71F39" w:rsidRPr="00532093">
              <w:rPr>
                <w:rFonts w:eastAsia="Calibri" w:cs="Arial"/>
                <w:b/>
                <w:sz w:val="18"/>
                <w:szCs w:val="18"/>
                <w:lang w:eastAsia="en-GB"/>
              </w:rPr>
              <w:t>2</w:t>
            </w:r>
            <w:r w:rsidRPr="00532093">
              <w:rPr>
                <w:rFonts w:eastAsia="Calibri" w:cs="Arial"/>
                <w:b/>
                <w:sz w:val="18"/>
                <w:szCs w:val="18"/>
                <w:lang w:eastAsia="en-GB"/>
              </w:rPr>
              <w:t>E-02</w:t>
            </w:r>
          </w:p>
        </w:tc>
        <w:tc>
          <w:tcPr>
            <w:tcW w:w="3583" w:type="dxa"/>
            <w:shd w:val="clear" w:color="auto" w:fill="auto"/>
            <w:vAlign w:val="center"/>
          </w:tcPr>
          <w:p w14:paraId="00C4E19A" w14:textId="58D4FCE7" w:rsidR="00CB1622" w:rsidRPr="00532093" w:rsidRDefault="00977022" w:rsidP="007616F6">
            <w:pPr>
              <w:spacing w:line="260" w:lineRule="atLeast"/>
              <w:rPr>
                <w:rFonts w:eastAsia="Calibri" w:cs="Arial"/>
                <w:b/>
                <w:sz w:val="18"/>
                <w:szCs w:val="18"/>
                <w:lang w:eastAsia="en-GB"/>
              </w:rPr>
            </w:pPr>
            <w:r w:rsidRPr="00532093">
              <w:rPr>
                <w:rFonts w:eastAsia="Calibri" w:cs="Arial"/>
                <w:sz w:val="18"/>
                <w:szCs w:val="18"/>
                <w:lang w:eastAsia="en-GB"/>
              </w:rPr>
              <w:t>1.</w:t>
            </w:r>
            <w:r w:rsidR="00C97E9C" w:rsidRPr="00532093">
              <w:rPr>
                <w:rFonts w:eastAsia="Calibri" w:cs="Arial"/>
                <w:sz w:val="18"/>
                <w:szCs w:val="18"/>
                <w:lang w:eastAsia="en-GB"/>
              </w:rPr>
              <w:t>68</w:t>
            </w:r>
            <w:r w:rsidR="00CB1622" w:rsidRPr="00532093">
              <w:rPr>
                <w:rFonts w:eastAsia="Calibri" w:cs="Arial"/>
                <w:sz w:val="18"/>
                <w:szCs w:val="18"/>
                <w:lang w:eastAsia="en-GB"/>
              </w:rPr>
              <w:t xml:space="preserve">E-02 / 1.11 = </w:t>
            </w:r>
            <w:r w:rsidRPr="00532093">
              <w:rPr>
                <w:rFonts w:eastAsia="Calibri" w:cs="Arial"/>
                <w:b/>
                <w:sz w:val="18"/>
                <w:szCs w:val="18"/>
                <w:lang w:eastAsia="en-GB"/>
              </w:rPr>
              <w:t>1.5</w:t>
            </w:r>
            <w:r w:rsidR="00A71F39" w:rsidRPr="00532093">
              <w:rPr>
                <w:rFonts w:eastAsia="Calibri" w:cs="Arial"/>
                <w:b/>
                <w:sz w:val="18"/>
                <w:szCs w:val="18"/>
                <w:lang w:eastAsia="en-GB"/>
              </w:rPr>
              <w:t>2</w:t>
            </w:r>
            <w:r w:rsidR="00CB1622" w:rsidRPr="00532093">
              <w:rPr>
                <w:rFonts w:eastAsia="Calibri" w:cs="Arial"/>
                <w:b/>
                <w:sz w:val="18"/>
                <w:szCs w:val="18"/>
                <w:lang w:eastAsia="en-GB"/>
              </w:rPr>
              <w:t>E-02</w:t>
            </w:r>
          </w:p>
        </w:tc>
      </w:tr>
      <w:tr w:rsidR="00CB1622" w:rsidRPr="00532093" w14:paraId="1E526F9D" w14:textId="4F1AE474" w:rsidTr="003E3E25">
        <w:trPr>
          <w:trHeight w:val="70"/>
        </w:trPr>
        <w:tc>
          <w:tcPr>
            <w:tcW w:w="1472" w:type="dxa"/>
            <w:shd w:val="clear" w:color="auto" w:fill="auto"/>
          </w:tcPr>
          <w:p w14:paraId="2644626A" w14:textId="172CA111" w:rsidR="00CB1622" w:rsidRPr="00532093" w:rsidRDefault="00CB1622" w:rsidP="007616F6">
            <w:pPr>
              <w:spacing w:line="260" w:lineRule="atLeast"/>
              <w:rPr>
                <w:rFonts w:eastAsia="Calibri" w:cs="Arial"/>
                <w:color w:val="000000"/>
                <w:sz w:val="18"/>
                <w:szCs w:val="18"/>
                <w:lang w:eastAsia="en-GB"/>
              </w:rPr>
            </w:pPr>
            <w:r w:rsidRPr="00532093">
              <w:rPr>
                <w:rFonts w:eastAsia="Calibri" w:cs="Arial"/>
                <w:color w:val="000000"/>
                <w:sz w:val="18"/>
                <w:szCs w:val="18"/>
                <w:lang w:eastAsia="en-GB"/>
              </w:rPr>
              <w:t>Scenario 4</w:t>
            </w:r>
          </w:p>
        </w:tc>
        <w:tc>
          <w:tcPr>
            <w:tcW w:w="1313" w:type="dxa"/>
            <w:shd w:val="clear" w:color="auto" w:fill="auto"/>
          </w:tcPr>
          <w:p w14:paraId="2880342E" w14:textId="61B37BAE" w:rsidR="00CB1622" w:rsidRPr="00532093" w:rsidRDefault="00CB1622" w:rsidP="007616F6">
            <w:pPr>
              <w:spacing w:line="260" w:lineRule="atLeast"/>
              <w:rPr>
                <w:rFonts w:eastAsia="Calibri" w:cs="Arial"/>
                <w:color w:val="000000"/>
                <w:sz w:val="18"/>
                <w:szCs w:val="18"/>
                <w:lang w:eastAsia="en-GB"/>
              </w:rPr>
            </w:pPr>
            <w:r w:rsidRPr="00532093">
              <w:rPr>
                <w:rFonts w:eastAsia="Calibri"/>
                <w:sz w:val="18"/>
                <w:szCs w:val="18"/>
              </w:rPr>
              <w:t>TIER 2</w:t>
            </w:r>
          </w:p>
        </w:tc>
        <w:tc>
          <w:tcPr>
            <w:tcW w:w="3581" w:type="dxa"/>
            <w:shd w:val="clear" w:color="auto" w:fill="auto"/>
            <w:vAlign w:val="center"/>
          </w:tcPr>
          <w:p w14:paraId="595EA0FA" w14:textId="3701BEB9" w:rsidR="00CB1622" w:rsidRPr="00532093" w:rsidRDefault="00964BBF" w:rsidP="007616F6">
            <w:pPr>
              <w:spacing w:line="260" w:lineRule="atLeast"/>
              <w:rPr>
                <w:rFonts w:eastAsia="Calibri" w:cs="Arial"/>
                <w:sz w:val="18"/>
                <w:szCs w:val="18"/>
                <w:lang w:eastAsia="en-GB"/>
              </w:rPr>
            </w:pPr>
            <w:r w:rsidRPr="00532093">
              <w:rPr>
                <w:rFonts w:eastAsia="Calibri" w:cs="Arial"/>
                <w:sz w:val="18"/>
                <w:szCs w:val="18"/>
                <w:lang w:eastAsia="en-GB"/>
              </w:rPr>
              <w:t>5.6</w:t>
            </w:r>
            <w:r w:rsidR="00C97E9C" w:rsidRPr="00532093">
              <w:rPr>
                <w:rFonts w:eastAsia="Calibri" w:cs="Arial"/>
                <w:sz w:val="18"/>
                <w:szCs w:val="18"/>
                <w:lang w:eastAsia="en-GB"/>
              </w:rPr>
              <w:t>2</w:t>
            </w:r>
            <w:r w:rsidR="00CB1622" w:rsidRPr="00532093">
              <w:rPr>
                <w:rFonts w:eastAsia="Calibri" w:cs="Arial"/>
                <w:sz w:val="18"/>
                <w:szCs w:val="18"/>
                <w:lang w:eastAsia="en-GB"/>
              </w:rPr>
              <w:t xml:space="preserve">E-03 / 0.1 = </w:t>
            </w:r>
            <w:r w:rsidRPr="00532093">
              <w:rPr>
                <w:rFonts w:eastAsia="Calibri" w:cs="Arial"/>
                <w:b/>
                <w:sz w:val="18"/>
                <w:szCs w:val="18"/>
                <w:lang w:eastAsia="en-GB"/>
              </w:rPr>
              <w:t>5.6</w:t>
            </w:r>
            <w:r w:rsidR="00C97E9C" w:rsidRPr="00532093">
              <w:rPr>
                <w:rFonts w:eastAsia="Calibri" w:cs="Arial"/>
                <w:b/>
                <w:sz w:val="18"/>
                <w:szCs w:val="18"/>
                <w:lang w:eastAsia="en-GB"/>
              </w:rPr>
              <w:t>2</w:t>
            </w:r>
            <w:r w:rsidR="00CB1622" w:rsidRPr="00532093">
              <w:rPr>
                <w:rFonts w:eastAsia="Calibri" w:cs="Arial"/>
                <w:b/>
                <w:sz w:val="18"/>
                <w:szCs w:val="18"/>
                <w:lang w:eastAsia="en-GB"/>
              </w:rPr>
              <w:t>E-02</w:t>
            </w:r>
          </w:p>
        </w:tc>
        <w:tc>
          <w:tcPr>
            <w:tcW w:w="3583" w:type="dxa"/>
            <w:shd w:val="clear" w:color="auto" w:fill="auto"/>
            <w:vAlign w:val="center"/>
          </w:tcPr>
          <w:p w14:paraId="55BB07C6" w14:textId="6161F32F" w:rsidR="00CB1622" w:rsidRPr="00532093" w:rsidRDefault="00964BBF" w:rsidP="007616F6">
            <w:pPr>
              <w:spacing w:line="260" w:lineRule="atLeast"/>
              <w:rPr>
                <w:rFonts w:eastAsia="Calibri" w:cs="Arial"/>
                <w:b/>
                <w:sz w:val="18"/>
                <w:szCs w:val="18"/>
                <w:lang w:eastAsia="en-GB"/>
              </w:rPr>
            </w:pPr>
            <w:r w:rsidRPr="00532093">
              <w:rPr>
                <w:rFonts w:eastAsia="Calibri" w:cs="Arial"/>
                <w:sz w:val="18"/>
                <w:szCs w:val="18"/>
                <w:lang w:eastAsia="en-GB"/>
              </w:rPr>
              <w:t>6.</w:t>
            </w:r>
            <w:r w:rsidR="00A71F39" w:rsidRPr="00532093">
              <w:rPr>
                <w:rFonts w:eastAsia="Calibri" w:cs="Arial"/>
                <w:sz w:val="18"/>
                <w:szCs w:val="18"/>
                <w:lang w:eastAsia="en-GB"/>
              </w:rPr>
              <w:t>25</w:t>
            </w:r>
            <w:r w:rsidR="00CB1622" w:rsidRPr="00532093">
              <w:rPr>
                <w:rFonts w:eastAsia="Calibri" w:cs="Arial"/>
                <w:sz w:val="18"/>
                <w:szCs w:val="18"/>
                <w:lang w:eastAsia="en-GB"/>
              </w:rPr>
              <w:t xml:space="preserve">E-02 / 1.11 = </w:t>
            </w:r>
            <w:r w:rsidRPr="00532093">
              <w:rPr>
                <w:rFonts w:eastAsia="Calibri" w:cs="Arial"/>
                <w:b/>
                <w:sz w:val="18"/>
                <w:szCs w:val="18"/>
                <w:lang w:eastAsia="en-GB"/>
              </w:rPr>
              <w:t>5.6</w:t>
            </w:r>
            <w:r w:rsidR="00C97E9C" w:rsidRPr="00532093">
              <w:rPr>
                <w:rFonts w:eastAsia="Calibri" w:cs="Arial"/>
                <w:b/>
                <w:sz w:val="18"/>
                <w:szCs w:val="18"/>
                <w:lang w:eastAsia="en-GB"/>
              </w:rPr>
              <w:t>2</w:t>
            </w:r>
            <w:r w:rsidR="00CB1622" w:rsidRPr="00532093">
              <w:rPr>
                <w:rFonts w:eastAsia="Calibri" w:cs="Arial"/>
                <w:b/>
                <w:sz w:val="18"/>
                <w:szCs w:val="18"/>
                <w:lang w:eastAsia="en-GB"/>
              </w:rPr>
              <w:t>E-02</w:t>
            </w:r>
          </w:p>
        </w:tc>
      </w:tr>
    </w:tbl>
    <w:p w14:paraId="00B0B4DA" w14:textId="77777777" w:rsidR="00EE0880" w:rsidRPr="000B62C7" w:rsidRDefault="00EE0880" w:rsidP="00EE0880">
      <w:pPr>
        <w:spacing w:line="260" w:lineRule="atLeast"/>
        <w:rPr>
          <w:rFonts w:eastAsia="Calibri"/>
          <w:highlight w:val="lightGray"/>
          <w:lang w:eastAsia="en-US"/>
        </w:rPr>
      </w:pPr>
    </w:p>
    <w:p w14:paraId="0065671D" w14:textId="2C55C60F" w:rsidR="00EE0880" w:rsidRPr="00DF65A8" w:rsidRDefault="00EE0880" w:rsidP="00DF65A8">
      <w:pPr>
        <w:spacing w:line="276" w:lineRule="auto"/>
        <w:ind w:left="142"/>
        <w:rPr>
          <w:rFonts w:ascii="Times New Roman" w:eastAsia="Calibri" w:hAnsi="Times New Roman"/>
          <w:i/>
          <w:lang w:eastAsia="en-US"/>
        </w:rPr>
      </w:pPr>
      <w:r w:rsidRPr="003E3E25">
        <w:rPr>
          <w:rFonts w:eastAsia="Calibri"/>
          <w:u w:val="single"/>
          <w:lang w:eastAsia="en-US"/>
        </w:rPr>
        <w:t>Conclusion</w:t>
      </w:r>
      <w:r w:rsidRPr="003E3E25">
        <w:rPr>
          <w:rFonts w:eastAsia="Calibri"/>
          <w:lang w:eastAsia="en-US"/>
        </w:rPr>
        <w:t>: No risk is identified for the aquatic compartment</w:t>
      </w:r>
      <w:r w:rsidR="008711A9" w:rsidRPr="003E3E25">
        <w:rPr>
          <w:rFonts w:eastAsia="Calibri"/>
          <w:lang w:eastAsia="en-US"/>
        </w:rPr>
        <w:t>.</w:t>
      </w:r>
    </w:p>
    <w:p w14:paraId="7EBD66CE" w14:textId="77777777" w:rsidR="00EE0880" w:rsidRDefault="00EE0880" w:rsidP="0036179B">
      <w:pPr>
        <w:rPr>
          <w:rFonts w:eastAsia="Calibri"/>
        </w:rPr>
      </w:pPr>
    </w:p>
    <w:p w14:paraId="094254E5" w14:textId="26884ED3" w:rsidR="00B534E4" w:rsidRDefault="00B534E4" w:rsidP="00B534E4">
      <w:pPr>
        <w:pStyle w:val="Titre5"/>
      </w:pPr>
      <w:bookmarkStart w:id="342" w:name="_Toc93326608"/>
      <w:r>
        <w:t>Terrestrial</w:t>
      </w:r>
      <w:r w:rsidRPr="00FD2055">
        <w:t xml:space="preserve"> compartment</w:t>
      </w:r>
      <w:bookmarkEnd w:id="342"/>
    </w:p>
    <w:p w14:paraId="58555129" w14:textId="77777777" w:rsidR="001024E3" w:rsidRPr="009461FB" w:rsidRDefault="001024E3" w:rsidP="001024E3">
      <w:pPr>
        <w:pStyle w:val="Paragraphedeliste"/>
        <w:numPr>
          <w:ilvl w:val="0"/>
          <w:numId w:val="68"/>
        </w:numPr>
        <w:rPr>
          <w:b/>
        </w:rPr>
      </w:pPr>
      <w:r w:rsidRPr="009461FB">
        <w:rPr>
          <w:b/>
        </w:rPr>
        <w:t>FIRST AUTHORISATION – 2017 (BE CA)</w:t>
      </w:r>
    </w:p>
    <w:p w14:paraId="5644BD55" w14:textId="77777777" w:rsidR="001024E3" w:rsidRPr="001024E3" w:rsidRDefault="001024E3" w:rsidP="001024E3">
      <w:pPr>
        <w:rPr>
          <w:lang w:val="en-US" w:eastAsia="en-US"/>
        </w:rPr>
      </w:pPr>
    </w:p>
    <w:p w14:paraId="50BF9135" w14:textId="77777777" w:rsidR="00B534E4" w:rsidRDefault="00B534E4" w:rsidP="00B534E4">
      <w:pPr>
        <w:spacing w:before="0" w:after="160" w:line="259" w:lineRule="auto"/>
      </w:pPr>
      <w:r>
        <w:t>The terrestrial compartment is not considered a relevant receiving compartment (see point (III) above).</w:t>
      </w:r>
    </w:p>
    <w:p w14:paraId="0E0D41AD" w14:textId="1920DCED" w:rsidR="00B534E4" w:rsidRDefault="00B534E4" w:rsidP="00B534E4">
      <w:pPr>
        <w:spacing w:before="0" w:after="160" w:line="259" w:lineRule="auto"/>
      </w:pPr>
      <w:r>
        <w:t xml:space="preserve">Exposure through sludge application is highly unlikely, since IR3535 almost </w:t>
      </w:r>
      <w:r w:rsidR="00985ECA">
        <w:t>completely degrades in the STP.</w:t>
      </w:r>
    </w:p>
    <w:p w14:paraId="2D9D360F" w14:textId="77777777" w:rsidR="00B534E4" w:rsidRDefault="00B534E4" w:rsidP="00B534E4">
      <w:pPr>
        <w:spacing w:before="0" w:after="160" w:line="259" w:lineRule="auto"/>
        <w:rPr>
          <w:u w:val="single"/>
        </w:rPr>
      </w:pPr>
      <w:r>
        <w:rPr>
          <w:u w:val="single"/>
        </w:rPr>
        <w:t>Conclusion</w:t>
      </w:r>
    </w:p>
    <w:p w14:paraId="032F975F" w14:textId="77777777" w:rsidR="00B534E4" w:rsidRPr="00D453DA" w:rsidRDefault="00B534E4" w:rsidP="00B534E4">
      <w:pPr>
        <w:spacing w:before="0" w:after="160" w:line="259" w:lineRule="auto"/>
      </w:pPr>
      <w:r w:rsidRPr="00D453DA">
        <w:t>No adverse effects for the terrestrial compartment are expected</w:t>
      </w:r>
    </w:p>
    <w:p w14:paraId="53CEDAA6" w14:textId="145728FC" w:rsidR="00B534E4" w:rsidRDefault="00B534E4" w:rsidP="00B534E4">
      <w:pPr>
        <w:pStyle w:val="Titre5"/>
      </w:pPr>
      <w:bookmarkStart w:id="343" w:name="_Toc93326609"/>
      <w:r>
        <w:t>Groundwater</w:t>
      </w:r>
      <w:bookmarkEnd w:id="343"/>
    </w:p>
    <w:p w14:paraId="0125257E" w14:textId="77777777" w:rsidR="001024E3" w:rsidRPr="009461FB" w:rsidRDefault="001024E3" w:rsidP="001024E3">
      <w:pPr>
        <w:pStyle w:val="Paragraphedeliste"/>
        <w:numPr>
          <w:ilvl w:val="0"/>
          <w:numId w:val="68"/>
        </w:numPr>
        <w:rPr>
          <w:b/>
        </w:rPr>
      </w:pPr>
      <w:r w:rsidRPr="009461FB">
        <w:rPr>
          <w:b/>
        </w:rPr>
        <w:t>FIRST AUTHORISATION – 2017 (BE CA)</w:t>
      </w:r>
    </w:p>
    <w:p w14:paraId="6ECC065D" w14:textId="77777777" w:rsidR="001024E3" w:rsidRPr="001024E3" w:rsidRDefault="001024E3" w:rsidP="001024E3">
      <w:pPr>
        <w:rPr>
          <w:lang w:val="en-US" w:eastAsia="en-US"/>
        </w:rPr>
      </w:pPr>
    </w:p>
    <w:p w14:paraId="3A4E40AC" w14:textId="3D9FD8A0" w:rsidR="00B534E4" w:rsidRDefault="00B534E4" w:rsidP="00B534E4">
      <w:pPr>
        <w:spacing w:before="0" w:after="160" w:line="259" w:lineRule="auto"/>
      </w:pPr>
      <w:r>
        <w:t xml:space="preserve">Since no exposure of the terrestrial compartment is expected, it follows that neither exposure </w:t>
      </w:r>
      <w:r w:rsidR="00985ECA">
        <w:t>to the groundwater is expected.</w:t>
      </w:r>
    </w:p>
    <w:p w14:paraId="6713CD37" w14:textId="77777777" w:rsidR="00B534E4" w:rsidRDefault="00B534E4" w:rsidP="00B534E4">
      <w:pPr>
        <w:spacing w:before="0" w:after="160" w:line="259" w:lineRule="auto"/>
        <w:rPr>
          <w:u w:val="single"/>
        </w:rPr>
      </w:pPr>
      <w:r>
        <w:rPr>
          <w:u w:val="single"/>
        </w:rPr>
        <w:t>Conclusion</w:t>
      </w:r>
    </w:p>
    <w:p w14:paraId="7DB4A2CD" w14:textId="77777777" w:rsidR="00B534E4" w:rsidRPr="00D453DA" w:rsidRDefault="00B534E4" w:rsidP="00B534E4">
      <w:pPr>
        <w:spacing w:before="0" w:after="160" w:line="259" w:lineRule="auto"/>
      </w:pPr>
      <w:r w:rsidRPr="00D453DA">
        <w:t>No adverse effects for the groundwater are expected.</w:t>
      </w:r>
    </w:p>
    <w:p w14:paraId="15D67AED" w14:textId="4024FEAD" w:rsidR="00B534E4" w:rsidRDefault="00B534E4" w:rsidP="00B534E4">
      <w:pPr>
        <w:pStyle w:val="Titre5"/>
      </w:pPr>
      <w:bookmarkStart w:id="344" w:name="_Toc93326610"/>
      <w:r w:rsidRPr="00FD2055">
        <w:t>Primary and secondary poisoning</w:t>
      </w:r>
      <w:bookmarkEnd w:id="344"/>
    </w:p>
    <w:p w14:paraId="14E36077" w14:textId="77777777" w:rsidR="001024E3" w:rsidRPr="009461FB" w:rsidRDefault="001024E3" w:rsidP="001024E3">
      <w:pPr>
        <w:pStyle w:val="Paragraphedeliste"/>
        <w:numPr>
          <w:ilvl w:val="0"/>
          <w:numId w:val="68"/>
        </w:numPr>
        <w:rPr>
          <w:b/>
        </w:rPr>
      </w:pPr>
      <w:r w:rsidRPr="009461FB">
        <w:rPr>
          <w:b/>
        </w:rPr>
        <w:t>FIRST AUTHORISATION – 2017 (BE CA)</w:t>
      </w:r>
    </w:p>
    <w:p w14:paraId="664B13E1" w14:textId="77777777" w:rsidR="001024E3" w:rsidRPr="001024E3" w:rsidRDefault="001024E3" w:rsidP="001024E3">
      <w:pPr>
        <w:rPr>
          <w:lang w:val="en-US" w:eastAsia="en-US"/>
        </w:rPr>
      </w:pPr>
    </w:p>
    <w:p w14:paraId="603691AA" w14:textId="77777777" w:rsidR="00B534E4" w:rsidRDefault="00B534E4" w:rsidP="00B534E4">
      <w:pPr>
        <w:rPr>
          <w:rFonts w:eastAsia="Calibri"/>
          <w:lang w:val="en-US" w:eastAsia="en-US"/>
        </w:rPr>
      </w:pPr>
      <w:r>
        <w:rPr>
          <w:rFonts w:eastAsia="Calibri"/>
          <w:lang w:val="en-US" w:eastAsia="en-US"/>
        </w:rPr>
        <w:t>Primary poisoning is n</w:t>
      </w:r>
      <w:r w:rsidRPr="002F3EED">
        <w:rPr>
          <w:rFonts w:eastAsia="Calibri"/>
          <w:lang w:val="en-US" w:eastAsia="en-US"/>
        </w:rPr>
        <w:t>ot applicable, since this product is a repellent and has no intention of killing</w:t>
      </w:r>
      <w:r>
        <w:rPr>
          <w:rFonts w:eastAsia="Calibri"/>
          <w:lang w:val="en-US" w:eastAsia="en-US"/>
        </w:rPr>
        <w:t>.</w:t>
      </w:r>
    </w:p>
    <w:p w14:paraId="287F101C" w14:textId="77777777" w:rsidR="00B534E4" w:rsidRPr="002F3EED" w:rsidRDefault="00B534E4" w:rsidP="00B534E4">
      <w:pPr>
        <w:rPr>
          <w:rFonts w:eastAsia="Calibri"/>
          <w:lang w:val="en-US" w:eastAsia="en-US"/>
        </w:rPr>
      </w:pPr>
      <w:r>
        <w:rPr>
          <w:rFonts w:eastAsia="Calibri"/>
          <w:lang w:val="en-US" w:eastAsia="en-US"/>
        </w:rPr>
        <w:t>Secondary poisoning is not relevant, since no bioaccumulation is expected</w:t>
      </w:r>
      <w:r w:rsidRPr="002F3EED">
        <w:rPr>
          <w:rFonts w:eastAsia="Calibri"/>
          <w:lang w:val="en-US" w:eastAsia="en-US"/>
        </w:rPr>
        <w:t>.</w:t>
      </w:r>
    </w:p>
    <w:p w14:paraId="2D99C47C" w14:textId="3259F0D9" w:rsidR="00B534E4" w:rsidRDefault="00B534E4" w:rsidP="00B534E4">
      <w:pPr>
        <w:pStyle w:val="Titre5"/>
      </w:pPr>
      <w:bookmarkStart w:id="345" w:name="_Toc93326611"/>
      <w:r>
        <w:t>Mixture toxicity</w:t>
      </w:r>
      <w:bookmarkEnd w:id="345"/>
    </w:p>
    <w:p w14:paraId="1C66BC17" w14:textId="77777777" w:rsidR="001024E3" w:rsidRPr="009461FB" w:rsidRDefault="001024E3" w:rsidP="001024E3">
      <w:pPr>
        <w:pStyle w:val="Paragraphedeliste"/>
        <w:numPr>
          <w:ilvl w:val="0"/>
          <w:numId w:val="68"/>
        </w:numPr>
        <w:rPr>
          <w:b/>
        </w:rPr>
      </w:pPr>
      <w:r w:rsidRPr="009461FB">
        <w:rPr>
          <w:b/>
        </w:rPr>
        <w:t>FIRST AUTHORISATION – 2017 (BE CA)</w:t>
      </w:r>
    </w:p>
    <w:p w14:paraId="3F797798" w14:textId="77777777" w:rsidR="001024E3" w:rsidRPr="001024E3" w:rsidRDefault="001024E3" w:rsidP="001024E3">
      <w:pPr>
        <w:rPr>
          <w:lang w:val="en-US" w:eastAsia="en-US"/>
        </w:rPr>
      </w:pPr>
    </w:p>
    <w:p w14:paraId="37E331B5" w14:textId="2F9FCC45" w:rsidR="00B534E4" w:rsidRDefault="00B534E4" w:rsidP="00B534E4">
      <w:pPr>
        <w:rPr>
          <w:rFonts w:eastAsia="Calibri"/>
          <w:lang w:val="en-US" w:eastAsia="en-US"/>
        </w:rPr>
      </w:pPr>
      <w:r>
        <w:rPr>
          <w:rFonts w:eastAsia="Calibri"/>
          <w:lang w:val="en-US" w:eastAsia="en-US"/>
        </w:rPr>
        <w:t>Not relevant, since the product does not contain other components other than the active substance that could give a risk to the environment.</w:t>
      </w:r>
    </w:p>
    <w:p w14:paraId="206C3515" w14:textId="77777777" w:rsidR="008A7EBF" w:rsidRDefault="008A7EBF" w:rsidP="00B534E4">
      <w:pPr>
        <w:rPr>
          <w:rFonts w:eastAsia="Calibri"/>
          <w:lang w:val="en-US" w:eastAsia="en-US"/>
        </w:rPr>
      </w:pPr>
    </w:p>
    <w:p w14:paraId="7B9FBCA1" w14:textId="2A72638B" w:rsidR="003F5EEC" w:rsidRPr="00FD2055" w:rsidRDefault="003F5EEC" w:rsidP="003F5EEC">
      <w:pPr>
        <w:pStyle w:val="Titre5"/>
      </w:pPr>
      <w:bookmarkStart w:id="346" w:name="_Toc93326612"/>
      <w:r>
        <w:t>Aggregated exposure</w:t>
      </w:r>
      <w:bookmarkEnd w:id="346"/>
    </w:p>
    <w:p w14:paraId="579A5CDB" w14:textId="77777777" w:rsidR="00AC23E9" w:rsidRPr="003E3E25" w:rsidRDefault="00AC23E9" w:rsidP="003E3E25">
      <w:pPr>
        <w:pStyle w:val="Commentaire"/>
        <w:numPr>
          <w:ilvl w:val="0"/>
          <w:numId w:val="36"/>
        </w:numPr>
        <w:rPr>
          <w:b/>
        </w:rPr>
      </w:pPr>
      <w:r w:rsidRPr="003E3E25">
        <w:rPr>
          <w:b/>
        </w:rPr>
        <w:t>Major change for SPRAY REPULSIF IR200 - 2019</w:t>
      </w:r>
    </w:p>
    <w:p w14:paraId="5106D262" w14:textId="3340FB77" w:rsidR="00AB629D" w:rsidRPr="003E3E25" w:rsidRDefault="003F5EEC" w:rsidP="003E3E25">
      <w:pPr>
        <w:spacing w:line="276" w:lineRule="auto"/>
        <w:ind w:left="142"/>
        <w:jc w:val="both"/>
        <w:rPr>
          <w:rFonts w:ascii="Times New Roman" w:eastAsia="Calibri" w:hAnsi="Times New Roman"/>
          <w:i/>
          <w:lang w:eastAsia="en-US"/>
        </w:rPr>
      </w:pPr>
      <w:r w:rsidRPr="003E3E25">
        <w:rPr>
          <w:rFonts w:eastAsia="Calibri"/>
          <w:lang w:eastAsia="en-US"/>
        </w:rPr>
        <w:t xml:space="preserve">Considering the scenarios that describe the additional uses of the product, aggregated exposure </w:t>
      </w:r>
      <w:r w:rsidR="00E05001" w:rsidRPr="003E3E25">
        <w:rPr>
          <w:rFonts w:eastAsia="Calibri"/>
          <w:lang w:eastAsia="en-US"/>
        </w:rPr>
        <w:t>has to</w:t>
      </w:r>
      <w:r w:rsidRPr="003E3E25">
        <w:rPr>
          <w:rFonts w:eastAsia="Calibri"/>
          <w:lang w:eastAsia="en-US"/>
        </w:rPr>
        <w:t xml:space="preserve"> be estimated, as the corresponding releases to the environment could be overlapped in time and space.</w:t>
      </w:r>
      <w:r w:rsidR="00AB629D" w:rsidRPr="003E3E25">
        <w:rPr>
          <w:rFonts w:eastAsia="Calibri"/>
          <w:lang w:eastAsia="en-US"/>
        </w:rPr>
        <w:t xml:space="preserve"> Scenario2b is not considered as relevant for aggregated exposure as it is very unlikely for the user to swim at the same place </w:t>
      </w:r>
      <w:r w:rsidR="00CD039B" w:rsidRPr="003E3E25">
        <w:rPr>
          <w:rFonts w:eastAsia="Calibri"/>
          <w:lang w:eastAsia="en-US"/>
        </w:rPr>
        <w:t xml:space="preserve">than </w:t>
      </w:r>
      <w:r w:rsidR="00AB629D" w:rsidRPr="003E3E25">
        <w:rPr>
          <w:rFonts w:eastAsia="Calibri"/>
          <w:lang w:eastAsia="en-US"/>
        </w:rPr>
        <w:t>wastewater releases of treatment plants.</w:t>
      </w:r>
    </w:p>
    <w:p w14:paraId="77F4A80D" w14:textId="3292D85D" w:rsidR="003F5EEC" w:rsidRPr="000B62C7" w:rsidRDefault="003F5EEC" w:rsidP="00DF65A8">
      <w:pPr>
        <w:spacing w:line="276" w:lineRule="auto"/>
        <w:rPr>
          <w:rFonts w:eastAsia="Calibri"/>
          <w:highlight w:val="lightGray"/>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843"/>
        <w:gridCol w:w="1978"/>
        <w:gridCol w:w="1617"/>
      </w:tblGrid>
      <w:tr w:rsidR="003F5EEC" w:rsidRPr="00532093" w14:paraId="4CE6F327" w14:textId="77777777" w:rsidTr="005752E1">
        <w:trPr>
          <w:trHeight w:val="249"/>
        </w:trPr>
        <w:tc>
          <w:tcPr>
            <w:tcW w:w="5000" w:type="pct"/>
            <w:gridSpan w:val="4"/>
            <w:tcBorders>
              <w:top w:val="single" w:sz="4" w:space="0" w:color="auto"/>
              <w:left w:val="single" w:sz="4" w:space="0" w:color="auto"/>
              <w:bottom w:val="single" w:sz="4" w:space="0" w:color="auto"/>
            </w:tcBorders>
            <w:shd w:val="clear" w:color="auto" w:fill="FFFFCC"/>
            <w:vAlign w:val="center"/>
          </w:tcPr>
          <w:p w14:paraId="7FDFEF29" w14:textId="77777777" w:rsidR="003F5EEC" w:rsidRPr="00532093" w:rsidRDefault="003F5EEC" w:rsidP="005752E1">
            <w:pPr>
              <w:autoSpaceDE w:val="0"/>
              <w:autoSpaceDN w:val="0"/>
              <w:adjustRightInd w:val="0"/>
              <w:spacing w:line="260" w:lineRule="atLeast"/>
              <w:jc w:val="center"/>
              <w:rPr>
                <w:rFonts w:eastAsia="Calibri" w:cs="Arial"/>
                <w:color w:val="000000"/>
                <w:sz w:val="18"/>
                <w:szCs w:val="18"/>
                <w:highlight w:val="lightGray"/>
                <w:lang w:eastAsia="en-GB"/>
              </w:rPr>
            </w:pPr>
            <w:r w:rsidRPr="00532093">
              <w:rPr>
                <w:rFonts w:eastAsia="Calibri"/>
                <w:b/>
                <w:sz w:val="18"/>
                <w:szCs w:val="18"/>
                <w:lang w:eastAsia="en-US"/>
              </w:rPr>
              <w:t xml:space="preserve">Summary table on calculated </w:t>
            </w:r>
            <w:r w:rsidRPr="00532093">
              <w:rPr>
                <w:rFonts w:eastAsia="Calibri" w:cs="Arial"/>
                <w:b/>
                <w:bCs/>
                <w:sz w:val="18"/>
                <w:szCs w:val="18"/>
                <w:lang w:eastAsia="en-US"/>
              </w:rPr>
              <w:sym w:font="Symbol" w:char="F053"/>
            </w:r>
            <w:r w:rsidRPr="00532093">
              <w:rPr>
                <w:rFonts w:eastAsia="Calibri"/>
                <w:b/>
                <w:sz w:val="18"/>
                <w:szCs w:val="18"/>
                <w:lang w:eastAsia="en-US"/>
              </w:rPr>
              <w:t>PEC/PNEC values</w:t>
            </w:r>
          </w:p>
        </w:tc>
      </w:tr>
      <w:tr w:rsidR="00463967" w:rsidRPr="00532093" w14:paraId="03A397B2" w14:textId="77777777" w:rsidTr="003E3E25">
        <w:trPr>
          <w:trHeight w:val="437"/>
        </w:trPr>
        <w:tc>
          <w:tcPr>
            <w:tcW w:w="2108" w:type="pct"/>
            <w:shd w:val="clear" w:color="auto" w:fill="auto"/>
            <w:vAlign w:val="center"/>
          </w:tcPr>
          <w:p w14:paraId="530AF15D" w14:textId="77777777" w:rsidR="003F5EEC" w:rsidRPr="00532093" w:rsidRDefault="003F5EEC" w:rsidP="005752E1">
            <w:pPr>
              <w:autoSpaceDE w:val="0"/>
              <w:autoSpaceDN w:val="0"/>
              <w:adjustRightInd w:val="0"/>
              <w:spacing w:line="260" w:lineRule="atLeast"/>
              <w:jc w:val="center"/>
              <w:rPr>
                <w:rFonts w:eastAsia="Calibri" w:cs="Arial"/>
                <w:color w:val="000000"/>
                <w:sz w:val="18"/>
                <w:szCs w:val="18"/>
                <w:lang w:eastAsia="en-GB"/>
              </w:rPr>
            </w:pPr>
          </w:p>
        </w:tc>
        <w:tc>
          <w:tcPr>
            <w:tcW w:w="980" w:type="pct"/>
            <w:shd w:val="clear" w:color="auto" w:fill="auto"/>
            <w:vAlign w:val="center"/>
          </w:tcPr>
          <w:p w14:paraId="65DA6096" w14:textId="77777777" w:rsidR="003F5EEC" w:rsidRPr="00532093" w:rsidRDefault="003F5EEC" w:rsidP="005752E1">
            <w:pPr>
              <w:autoSpaceDE w:val="0"/>
              <w:autoSpaceDN w:val="0"/>
              <w:adjustRightInd w:val="0"/>
              <w:spacing w:line="260" w:lineRule="atLeast"/>
              <w:jc w:val="center"/>
              <w:rPr>
                <w:rFonts w:eastAsia="Calibri" w:cs="Arial"/>
                <w:color w:val="000000"/>
                <w:sz w:val="18"/>
                <w:szCs w:val="18"/>
                <w:lang w:eastAsia="en-GB"/>
              </w:rPr>
            </w:pPr>
            <w:r w:rsidRPr="00532093">
              <w:rPr>
                <w:rFonts w:eastAsia="Calibri" w:cs="Arial"/>
                <w:b/>
                <w:bCs/>
                <w:color w:val="000000"/>
                <w:sz w:val="18"/>
                <w:szCs w:val="18"/>
                <w:lang w:eastAsia="en-GB"/>
              </w:rPr>
              <w:sym w:font="Symbol" w:char="F053"/>
            </w:r>
            <w:r w:rsidRPr="00532093">
              <w:rPr>
                <w:rFonts w:eastAsia="Calibri" w:cs="Arial"/>
                <w:b/>
                <w:bCs/>
                <w:color w:val="000000"/>
                <w:sz w:val="18"/>
                <w:szCs w:val="18"/>
                <w:lang w:eastAsia="en-GB"/>
              </w:rPr>
              <w:t>PEC/PNEC</w:t>
            </w:r>
            <w:r w:rsidRPr="00532093">
              <w:rPr>
                <w:rFonts w:eastAsia="Calibri" w:cs="Arial"/>
                <w:b/>
                <w:bCs/>
                <w:color w:val="000000"/>
                <w:sz w:val="18"/>
                <w:szCs w:val="18"/>
                <w:vertAlign w:val="subscript"/>
                <w:lang w:eastAsia="en-GB"/>
              </w:rPr>
              <w:t>STP</w:t>
            </w:r>
          </w:p>
        </w:tc>
        <w:tc>
          <w:tcPr>
            <w:tcW w:w="1052" w:type="pct"/>
            <w:shd w:val="clear" w:color="auto" w:fill="auto"/>
            <w:vAlign w:val="center"/>
          </w:tcPr>
          <w:p w14:paraId="05B8589A" w14:textId="77777777" w:rsidR="003F5EEC" w:rsidRPr="00532093" w:rsidRDefault="003F5EEC" w:rsidP="005752E1">
            <w:pPr>
              <w:autoSpaceDE w:val="0"/>
              <w:autoSpaceDN w:val="0"/>
              <w:adjustRightInd w:val="0"/>
              <w:spacing w:line="260" w:lineRule="atLeast"/>
              <w:jc w:val="center"/>
              <w:rPr>
                <w:rFonts w:eastAsia="Calibri" w:cs="Arial"/>
                <w:color w:val="000000"/>
                <w:sz w:val="18"/>
                <w:szCs w:val="18"/>
                <w:lang w:eastAsia="en-GB"/>
              </w:rPr>
            </w:pPr>
            <w:r w:rsidRPr="00532093">
              <w:rPr>
                <w:rFonts w:eastAsia="Calibri" w:cs="Arial"/>
                <w:b/>
                <w:bCs/>
                <w:color w:val="000000"/>
                <w:sz w:val="18"/>
                <w:szCs w:val="18"/>
                <w:lang w:eastAsia="en-GB"/>
              </w:rPr>
              <w:sym w:font="Symbol" w:char="F053"/>
            </w:r>
            <w:r w:rsidRPr="00532093">
              <w:rPr>
                <w:rFonts w:eastAsia="Calibri" w:cs="Arial"/>
                <w:b/>
                <w:bCs/>
                <w:color w:val="000000"/>
                <w:sz w:val="18"/>
                <w:szCs w:val="18"/>
                <w:lang w:eastAsia="en-GB"/>
              </w:rPr>
              <w:t>PEC/PNEC</w:t>
            </w:r>
            <w:r w:rsidRPr="00532093">
              <w:rPr>
                <w:rFonts w:eastAsia="Calibri" w:cs="Arial"/>
                <w:b/>
                <w:bCs/>
                <w:color w:val="000000"/>
                <w:sz w:val="18"/>
                <w:szCs w:val="18"/>
                <w:vertAlign w:val="subscript"/>
                <w:lang w:eastAsia="en-GB"/>
              </w:rPr>
              <w:t>water</w:t>
            </w:r>
          </w:p>
        </w:tc>
        <w:tc>
          <w:tcPr>
            <w:tcW w:w="860" w:type="pct"/>
            <w:shd w:val="clear" w:color="auto" w:fill="D0CECE" w:themeFill="background2" w:themeFillShade="E6"/>
            <w:vAlign w:val="center"/>
          </w:tcPr>
          <w:p w14:paraId="0C2BB3F6" w14:textId="77777777" w:rsidR="003F5EEC" w:rsidRPr="00532093" w:rsidRDefault="003F5EEC" w:rsidP="005752E1">
            <w:pPr>
              <w:autoSpaceDE w:val="0"/>
              <w:autoSpaceDN w:val="0"/>
              <w:adjustRightInd w:val="0"/>
              <w:spacing w:line="260" w:lineRule="atLeast"/>
              <w:jc w:val="center"/>
              <w:rPr>
                <w:rFonts w:eastAsia="Calibri" w:cs="Arial"/>
                <w:color w:val="000000"/>
                <w:sz w:val="18"/>
                <w:szCs w:val="18"/>
                <w:lang w:eastAsia="en-GB"/>
              </w:rPr>
            </w:pPr>
            <w:r w:rsidRPr="00532093">
              <w:rPr>
                <w:rFonts w:eastAsia="Calibri" w:cs="Arial"/>
                <w:b/>
                <w:bCs/>
                <w:color w:val="000000"/>
                <w:sz w:val="18"/>
                <w:szCs w:val="18"/>
                <w:lang w:eastAsia="en-GB"/>
              </w:rPr>
              <w:sym w:font="Symbol" w:char="F053"/>
            </w:r>
            <w:r w:rsidRPr="00532093">
              <w:rPr>
                <w:rFonts w:eastAsia="Calibri" w:cs="Arial"/>
                <w:b/>
                <w:color w:val="000000"/>
                <w:sz w:val="18"/>
                <w:szCs w:val="18"/>
                <w:lang w:eastAsia="en-GB"/>
              </w:rPr>
              <w:t>PEC/PNEC</w:t>
            </w:r>
            <w:r w:rsidRPr="00532093">
              <w:rPr>
                <w:rFonts w:eastAsia="Calibri" w:cs="Arial"/>
                <w:b/>
                <w:color w:val="000000"/>
                <w:sz w:val="18"/>
                <w:szCs w:val="18"/>
                <w:vertAlign w:val="subscript"/>
                <w:lang w:eastAsia="en-GB"/>
              </w:rPr>
              <w:t>sed</w:t>
            </w:r>
          </w:p>
        </w:tc>
      </w:tr>
      <w:tr w:rsidR="00463967" w:rsidRPr="00532093" w14:paraId="5B55A23C" w14:textId="77777777" w:rsidTr="003E3E25">
        <w:trPr>
          <w:trHeight w:val="75"/>
        </w:trPr>
        <w:tc>
          <w:tcPr>
            <w:tcW w:w="2108" w:type="pct"/>
            <w:shd w:val="clear" w:color="auto" w:fill="auto"/>
          </w:tcPr>
          <w:p w14:paraId="35FF4B66" w14:textId="2C0C9E88" w:rsidR="003F5EEC" w:rsidRPr="00532093" w:rsidRDefault="003F5EEC" w:rsidP="00AB629D">
            <w:pPr>
              <w:autoSpaceDE w:val="0"/>
              <w:autoSpaceDN w:val="0"/>
              <w:adjustRightInd w:val="0"/>
              <w:spacing w:line="260" w:lineRule="atLeast"/>
              <w:rPr>
                <w:rFonts w:eastAsia="Calibri" w:cs="Arial"/>
                <w:color w:val="000000"/>
                <w:sz w:val="18"/>
                <w:szCs w:val="18"/>
                <w:lang w:val="fr-FR" w:eastAsia="en-GB"/>
              </w:rPr>
            </w:pPr>
            <w:r w:rsidRPr="00532093">
              <w:rPr>
                <w:rFonts w:eastAsia="Calibri" w:cs="Arial"/>
                <w:color w:val="000000"/>
                <w:sz w:val="18"/>
                <w:szCs w:val="18"/>
                <w:lang w:val="fr-FR" w:eastAsia="en-GB"/>
              </w:rPr>
              <w:t>Scen</w:t>
            </w:r>
            <w:r w:rsidR="00AB629D" w:rsidRPr="00532093">
              <w:rPr>
                <w:rFonts w:eastAsia="Calibri" w:cs="Arial"/>
                <w:color w:val="000000"/>
                <w:sz w:val="18"/>
                <w:szCs w:val="18"/>
                <w:lang w:val="fr-FR" w:eastAsia="en-GB"/>
              </w:rPr>
              <w:t xml:space="preserve">ario </w:t>
            </w:r>
            <w:r w:rsidRPr="00532093">
              <w:rPr>
                <w:rFonts w:eastAsia="Calibri" w:cs="Arial"/>
                <w:color w:val="000000"/>
                <w:sz w:val="18"/>
                <w:szCs w:val="18"/>
                <w:lang w:val="fr-FR" w:eastAsia="en-GB"/>
              </w:rPr>
              <w:t xml:space="preserve">1b </w:t>
            </w:r>
            <w:r w:rsidR="00463967" w:rsidRPr="00532093">
              <w:rPr>
                <w:rFonts w:eastAsia="Calibri" w:cs="Arial"/>
                <w:color w:val="000000"/>
                <w:sz w:val="18"/>
                <w:szCs w:val="18"/>
                <w:lang w:val="fr-FR" w:eastAsia="en-GB"/>
              </w:rPr>
              <w:t>(T</w:t>
            </w:r>
            <w:r w:rsidR="008713D8" w:rsidRPr="00532093">
              <w:rPr>
                <w:rFonts w:eastAsia="Calibri" w:cs="Arial"/>
                <w:color w:val="000000"/>
                <w:sz w:val="18"/>
                <w:szCs w:val="18"/>
                <w:lang w:val="fr-FR" w:eastAsia="en-GB"/>
              </w:rPr>
              <w:t>IER</w:t>
            </w:r>
            <w:r w:rsidR="00AB629D" w:rsidRPr="00532093">
              <w:rPr>
                <w:rFonts w:eastAsia="Calibri" w:cs="Arial"/>
                <w:color w:val="000000"/>
                <w:sz w:val="18"/>
                <w:szCs w:val="18"/>
                <w:lang w:val="fr-FR" w:eastAsia="en-GB"/>
              </w:rPr>
              <w:t>2)</w:t>
            </w:r>
            <w:r w:rsidR="00DD748B" w:rsidRPr="00532093">
              <w:rPr>
                <w:rFonts w:eastAsia="Calibri" w:cs="Arial"/>
                <w:color w:val="000000"/>
                <w:sz w:val="18"/>
                <w:szCs w:val="18"/>
                <w:lang w:val="fr-FR" w:eastAsia="en-GB"/>
              </w:rPr>
              <w:t xml:space="preserve"> </w:t>
            </w:r>
            <w:r w:rsidRPr="00532093">
              <w:rPr>
                <w:rFonts w:eastAsia="Calibri" w:cs="Arial"/>
                <w:color w:val="000000"/>
                <w:sz w:val="18"/>
                <w:szCs w:val="18"/>
                <w:lang w:val="fr-FR" w:eastAsia="en-GB"/>
              </w:rPr>
              <w:t xml:space="preserve">+ </w:t>
            </w:r>
            <w:r w:rsidR="00AB629D" w:rsidRPr="00532093">
              <w:rPr>
                <w:rFonts w:eastAsia="Calibri" w:cs="Arial"/>
                <w:color w:val="000000"/>
                <w:sz w:val="18"/>
                <w:szCs w:val="18"/>
                <w:lang w:val="fr-FR" w:eastAsia="en-GB"/>
              </w:rPr>
              <w:t xml:space="preserve">Scenario </w:t>
            </w:r>
            <w:r w:rsidRPr="00532093">
              <w:rPr>
                <w:rFonts w:eastAsia="Calibri" w:cs="Arial"/>
                <w:color w:val="000000"/>
                <w:sz w:val="18"/>
                <w:szCs w:val="18"/>
                <w:lang w:val="fr-FR" w:eastAsia="en-GB"/>
              </w:rPr>
              <w:t xml:space="preserve">3 </w:t>
            </w:r>
            <w:r w:rsidR="00463967" w:rsidRPr="00532093">
              <w:rPr>
                <w:rFonts w:eastAsia="Calibri" w:cs="Arial"/>
                <w:color w:val="000000"/>
                <w:sz w:val="18"/>
                <w:szCs w:val="18"/>
                <w:lang w:val="fr-FR" w:eastAsia="en-GB"/>
              </w:rPr>
              <w:t>(T</w:t>
            </w:r>
            <w:r w:rsidR="008713D8" w:rsidRPr="00532093">
              <w:rPr>
                <w:rFonts w:eastAsia="Calibri" w:cs="Arial"/>
                <w:color w:val="000000"/>
                <w:sz w:val="18"/>
                <w:szCs w:val="18"/>
                <w:lang w:val="fr-FR" w:eastAsia="en-GB"/>
              </w:rPr>
              <w:t>IER</w:t>
            </w:r>
            <w:r w:rsidR="00463967" w:rsidRPr="00532093">
              <w:rPr>
                <w:rFonts w:eastAsia="Calibri" w:cs="Arial"/>
                <w:color w:val="000000"/>
                <w:sz w:val="18"/>
                <w:szCs w:val="18"/>
                <w:lang w:val="fr-FR" w:eastAsia="en-GB"/>
              </w:rPr>
              <w:t xml:space="preserve"> 2)</w:t>
            </w:r>
            <w:r w:rsidR="00DD748B" w:rsidRPr="00532093">
              <w:rPr>
                <w:rFonts w:eastAsia="Calibri" w:cs="Arial"/>
                <w:color w:val="000000"/>
                <w:sz w:val="18"/>
                <w:szCs w:val="18"/>
                <w:lang w:val="fr-FR" w:eastAsia="en-GB"/>
              </w:rPr>
              <w:t xml:space="preserve"> </w:t>
            </w:r>
            <w:r w:rsidR="00AB629D" w:rsidRPr="00532093">
              <w:rPr>
                <w:rFonts w:eastAsia="Calibri" w:cs="Arial"/>
                <w:color w:val="000000"/>
                <w:sz w:val="18"/>
                <w:szCs w:val="18"/>
                <w:lang w:val="fr-FR" w:eastAsia="en-GB"/>
              </w:rPr>
              <w:t xml:space="preserve">+ Scenario </w:t>
            </w:r>
            <w:r w:rsidRPr="00532093">
              <w:rPr>
                <w:rFonts w:eastAsia="Calibri" w:cs="Arial"/>
                <w:color w:val="000000"/>
                <w:sz w:val="18"/>
                <w:szCs w:val="18"/>
                <w:lang w:val="fr-FR" w:eastAsia="en-GB"/>
              </w:rPr>
              <w:t>4</w:t>
            </w:r>
            <w:r w:rsidR="00463967" w:rsidRPr="00532093">
              <w:rPr>
                <w:rFonts w:eastAsia="Calibri" w:cs="Arial"/>
                <w:color w:val="000000"/>
                <w:sz w:val="18"/>
                <w:szCs w:val="18"/>
                <w:lang w:val="fr-FR" w:eastAsia="en-GB"/>
              </w:rPr>
              <w:t xml:space="preserve"> (T</w:t>
            </w:r>
            <w:r w:rsidR="008713D8" w:rsidRPr="00532093">
              <w:rPr>
                <w:rFonts w:eastAsia="Calibri" w:cs="Arial"/>
                <w:color w:val="000000"/>
                <w:sz w:val="18"/>
                <w:szCs w:val="18"/>
                <w:lang w:val="fr-FR" w:eastAsia="en-GB"/>
              </w:rPr>
              <w:t>IER</w:t>
            </w:r>
            <w:r w:rsidR="00463967" w:rsidRPr="00532093">
              <w:rPr>
                <w:rFonts w:eastAsia="Calibri" w:cs="Arial"/>
                <w:color w:val="000000"/>
                <w:sz w:val="18"/>
                <w:szCs w:val="18"/>
                <w:lang w:val="fr-FR" w:eastAsia="en-GB"/>
              </w:rPr>
              <w:t xml:space="preserve"> 2)</w:t>
            </w:r>
          </w:p>
        </w:tc>
        <w:tc>
          <w:tcPr>
            <w:tcW w:w="980" w:type="pct"/>
            <w:shd w:val="clear" w:color="auto" w:fill="auto"/>
          </w:tcPr>
          <w:p w14:paraId="1DFC69B0" w14:textId="61BC1DAD" w:rsidR="003F5EEC" w:rsidRPr="00532093" w:rsidRDefault="00B766EB" w:rsidP="005752E1">
            <w:pPr>
              <w:autoSpaceDE w:val="0"/>
              <w:autoSpaceDN w:val="0"/>
              <w:adjustRightInd w:val="0"/>
              <w:spacing w:line="260" w:lineRule="atLeast"/>
              <w:rPr>
                <w:rFonts w:eastAsia="Calibri" w:cs="Arial"/>
                <w:sz w:val="18"/>
                <w:szCs w:val="18"/>
                <w:lang w:eastAsia="en-GB"/>
              </w:rPr>
            </w:pPr>
            <w:r w:rsidRPr="00532093">
              <w:rPr>
                <w:rFonts w:eastAsia="Calibri" w:cs="Arial"/>
                <w:b/>
                <w:sz w:val="18"/>
                <w:szCs w:val="18"/>
                <w:lang w:eastAsia="en-GB"/>
              </w:rPr>
              <w:t>1.0</w:t>
            </w:r>
            <w:r w:rsidR="00A71F39" w:rsidRPr="00532093">
              <w:rPr>
                <w:rFonts w:eastAsia="Calibri" w:cs="Arial"/>
                <w:b/>
                <w:sz w:val="18"/>
                <w:szCs w:val="18"/>
                <w:lang w:eastAsia="en-GB"/>
              </w:rPr>
              <w:t>1</w:t>
            </w:r>
            <w:r w:rsidR="003F5EEC" w:rsidRPr="00532093">
              <w:rPr>
                <w:rFonts w:eastAsia="Calibri" w:cs="Arial"/>
                <w:b/>
                <w:sz w:val="18"/>
                <w:szCs w:val="18"/>
                <w:lang w:eastAsia="en-GB"/>
              </w:rPr>
              <w:t>E-0</w:t>
            </w:r>
            <w:r w:rsidRPr="00532093">
              <w:rPr>
                <w:rFonts w:eastAsia="Calibri" w:cs="Arial"/>
                <w:b/>
                <w:sz w:val="18"/>
                <w:szCs w:val="18"/>
                <w:lang w:eastAsia="en-GB"/>
              </w:rPr>
              <w:t>3</w:t>
            </w:r>
          </w:p>
        </w:tc>
        <w:tc>
          <w:tcPr>
            <w:tcW w:w="1052" w:type="pct"/>
            <w:shd w:val="clear" w:color="auto" w:fill="auto"/>
          </w:tcPr>
          <w:p w14:paraId="776F5269" w14:textId="4C8F5E9B" w:rsidR="003F5EEC" w:rsidRPr="00532093" w:rsidRDefault="00B766EB" w:rsidP="005752E1">
            <w:pPr>
              <w:autoSpaceDE w:val="0"/>
              <w:autoSpaceDN w:val="0"/>
              <w:adjustRightInd w:val="0"/>
              <w:spacing w:line="260" w:lineRule="atLeast"/>
              <w:rPr>
                <w:rFonts w:eastAsia="Calibri" w:cs="Arial"/>
                <w:sz w:val="18"/>
                <w:szCs w:val="18"/>
                <w:lang w:eastAsia="en-GB"/>
              </w:rPr>
            </w:pPr>
            <w:r w:rsidRPr="00532093">
              <w:rPr>
                <w:rFonts w:eastAsia="Calibri" w:cs="Arial"/>
                <w:b/>
                <w:sz w:val="18"/>
                <w:szCs w:val="18"/>
                <w:lang w:eastAsia="en-GB"/>
              </w:rPr>
              <w:t>1</w:t>
            </w:r>
            <w:r w:rsidR="00AF6D81" w:rsidRPr="00532093">
              <w:rPr>
                <w:rFonts w:eastAsia="Calibri" w:cs="Arial"/>
                <w:b/>
                <w:sz w:val="18"/>
                <w:szCs w:val="18"/>
                <w:lang w:eastAsia="en-GB"/>
              </w:rPr>
              <w:t>.</w:t>
            </w:r>
            <w:r w:rsidRPr="00532093">
              <w:rPr>
                <w:rFonts w:eastAsia="Calibri" w:cs="Arial"/>
                <w:b/>
                <w:sz w:val="18"/>
                <w:szCs w:val="18"/>
                <w:lang w:eastAsia="en-GB"/>
              </w:rPr>
              <w:t>0</w:t>
            </w:r>
            <w:r w:rsidR="00A71F39" w:rsidRPr="00532093">
              <w:rPr>
                <w:rFonts w:eastAsia="Calibri" w:cs="Arial"/>
                <w:b/>
                <w:sz w:val="18"/>
                <w:szCs w:val="18"/>
                <w:lang w:eastAsia="en-GB"/>
              </w:rPr>
              <w:t>1</w:t>
            </w:r>
            <w:r w:rsidR="003F5EEC" w:rsidRPr="00532093">
              <w:rPr>
                <w:rFonts w:eastAsia="Calibri" w:cs="Arial"/>
                <w:b/>
                <w:sz w:val="18"/>
                <w:szCs w:val="18"/>
                <w:lang w:eastAsia="en-GB"/>
              </w:rPr>
              <w:t>E-0</w:t>
            </w:r>
            <w:r w:rsidRPr="00532093">
              <w:rPr>
                <w:rFonts w:eastAsia="Calibri" w:cs="Arial"/>
                <w:b/>
                <w:sz w:val="18"/>
                <w:szCs w:val="18"/>
                <w:lang w:eastAsia="en-GB"/>
              </w:rPr>
              <w:t>1</w:t>
            </w:r>
          </w:p>
        </w:tc>
        <w:tc>
          <w:tcPr>
            <w:tcW w:w="860" w:type="pct"/>
            <w:shd w:val="clear" w:color="auto" w:fill="auto"/>
          </w:tcPr>
          <w:p w14:paraId="04B97F4F" w14:textId="0CE9AEFB" w:rsidR="003F5EEC" w:rsidRPr="00532093" w:rsidRDefault="00B766EB" w:rsidP="005752E1">
            <w:pPr>
              <w:autoSpaceDE w:val="0"/>
              <w:autoSpaceDN w:val="0"/>
              <w:adjustRightInd w:val="0"/>
              <w:spacing w:line="260" w:lineRule="atLeast"/>
              <w:rPr>
                <w:rFonts w:eastAsia="Calibri" w:cs="Arial"/>
                <w:sz w:val="18"/>
                <w:szCs w:val="18"/>
                <w:lang w:eastAsia="en-GB"/>
              </w:rPr>
            </w:pPr>
            <w:r w:rsidRPr="00532093">
              <w:rPr>
                <w:rFonts w:eastAsia="Calibri" w:cs="Arial"/>
                <w:b/>
                <w:sz w:val="18"/>
                <w:szCs w:val="18"/>
                <w:lang w:eastAsia="en-GB"/>
              </w:rPr>
              <w:t>1</w:t>
            </w:r>
            <w:r w:rsidR="00AF6D81" w:rsidRPr="00532093">
              <w:rPr>
                <w:rFonts w:eastAsia="Calibri" w:cs="Arial"/>
                <w:b/>
                <w:sz w:val="18"/>
                <w:szCs w:val="18"/>
                <w:lang w:eastAsia="en-GB"/>
              </w:rPr>
              <w:t>.</w:t>
            </w:r>
            <w:r w:rsidRPr="00532093">
              <w:rPr>
                <w:rFonts w:eastAsia="Calibri" w:cs="Arial"/>
                <w:b/>
                <w:sz w:val="18"/>
                <w:szCs w:val="18"/>
                <w:lang w:eastAsia="en-GB"/>
              </w:rPr>
              <w:t>0</w:t>
            </w:r>
            <w:r w:rsidR="00A71F39" w:rsidRPr="00532093">
              <w:rPr>
                <w:rFonts w:eastAsia="Calibri" w:cs="Arial"/>
                <w:b/>
                <w:sz w:val="18"/>
                <w:szCs w:val="18"/>
                <w:lang w:eastAsia="en-GB"/>
              </w:rPr>
              <w:t>1</w:t>
            </w:r>
            <w:r w:rsidR="003F5EEC" w:rsidRPr="00532093">
              <w:rPr>
                <w:rFonts w:eastAsia="Calibri" w:cs="Arial"/>
                <w:b/>
                <w:sz w:val="18"/>
                <w:szCs w:val="18"/>
                <w:lang w:eastAsia="en-GB"/>
              </w:rPr>
              <w:t>E-0</w:t>
            </w:r>
            <w:r w:rsidRPr="00532093">
              <w:rPr>
                <w:rFonts w:eastAsia="Calibri" w:cs="Arial"/>
                <w:b/>
                <w:sz w:val="18"/>
                <w:szCs w:val="18"/>
                <w:lang w:eastAsia="en-GB"/>
              </w:rPr>
              <w:t>1</w:t>
            </w:r>
          </w:p>
        </w:tc>
      </w:tr>
    </w:tbl>
    <w:p w14:paraId="04B607F4" w14:textId="0B27BB6D" w:rsidR="003F5EEC" w:rsidRPr="003E3E25" w:rsidRDefault="003F5EEC" w:rsidP="00DF65A8">
      <w:pPr>
        <w:spacing w:line="276" w:lineRule="auto"/>
        <w:ind w:left="142"/>
        <w:jc w:val="both"/>
        <w:rPr>
          <w:rFonts w:eastAsia="Calibri"/>
          <w:i/>
          <w:lang w:eastAsia="en-US"/>
        </w:rPr>
      </w:pPr>
      <w:r w:rsidRPr="003E3E25">
        <w:rPr>
          <w:rFonts w:eastAsia="Calibri"/>
          <w:u w:val="single"/>
          <w:lang w:eastAsia="en-US"/>
        </w:rPr>
        <w:t>Conclusion</w:t>
      </w:r>
      <w:r w:rsidRPr="003E3E25">
        <w:rPr>
          <w:rFonts w:eastAsia="Calibri"/>
          <w:lang w:eastAsia="en-US"/>
        </w:rPr>
        <w:t>: Based on aggregated exposure, there is no risk for any of the relevant environmental compartments.</w:t>
      </w:r>
    </w:p>
    <w:p w14:paraId="565BD782" w14:textId="77777777" w:rsidR="003F5EEC" w:rsidRPr="000B62C7" w:rsidRDefault="003F5EEC" w:rsidP="003F5EEC">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2"/>
      </w:tblGrid>
      <w:tr w:rsidR="003F5EEC" w:rsidRPr="000B62C7" w14:paraId="4803A52F" w14:textId="77777777" w:rsidTr="005752E1">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1C677517" w14:textId="77777777" w:rsidR="003F5EEC" w:rsidRPr="000B62C7" w:rsidRDefault="003F5EEC" w:rsidP="005752E1">
            <w:pPr>
              <w:autoSpaceDE w:val="0"/>
              <w:autoSpaceDN w:val="0"/>
              <w:adjustRightInd w:val="0"/>
              <w:spacing w:line="260" w:lineRule="atLeast"/>
              <w:rPr>
                <w:rFonts w:eastAsia="Calibri" w:cs="Arial"/>
                <w:color w:val="000000"/>
                <w:sz w:val="18"/>
                <w:szCs w:val="18"/>
                <w:lang w:eastAsia="en-GB"/>
              </w:rPr>
            </w:pPr>
            <w:r w:rsidRPr="000B62C7">
              <w:rPr>
                <w:rFonts w:eastAsia="Calibri"/>
                <w:b/>
                <w:sz w:val="18"/>
                <w:szCs w:val="18"/>
                <w:lang w:eastAsia="en-US"/>
              </w:rPr>
              <w:t>Overall conclusion on the risk assessment for the environment of the product</w:t>
            </w:r>
          </w:p>
        </w:tc>
      </w:tr>
      <w:tr w:rsidR="003F5EEC" w:rsidRPr="00FD2055" w14:paraId="3ABBB185" w14:textId="77777777" w:rsidTr="003E3E25">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4EE4CDE5" w14:textId="77777777" w:rsidR="003F5EEC" w:rsidRPr="00FD2055" w:rsidRDefault="003F5EEC" w:rsidP="005752E1">
            <w:pPr>
              <w:autoSpaceDE w:val="0"/>
              <w:autoSpaceDN w:val="0"/>
              <w:adjustRightInd w:val="0"/>
              <w:spacing w:line="260" w:lineRule="atLeast"/>
              <w:jc w:val="both"/>
              <w:rPr>
                <w:rFonts w:eastAsia="Calibri" w:cs="Arial"/>
                <w:color w:val="000000"/>
                <w:sz w:val="18"/>
                <w:szCs w:val="18"/>
                <w:lang w:eastAsia="en-GB"/>
              </w:rPr>
            </w:pPr>
            <w:r w:rsidRPr="00E55696">
              <w:rPr>
                <w:rFonts w:eastAsia="Calibri" w:cs="Arial"/>
                <w:color w:val="000000"/>
                <w:sz w:val="18"/>
                <w:szCs w:val="18"/>
                <w:lang w:eastAsia="en-GB"/>
              </w:rPr>
              <w:t>The use of the biocidal product does not induce risk for any of the environmental compartments.</w:t>
            </w:r>
          </w:p>
        </w:tc>
      </w:tr>
    </w:tbl>
    <w:p w14:paraId="7DB9E626" w14:textId="77777777" w:rsidR="003F5EEC" w:rsidRDefault="003F5EEC" w:rsidP="00B534E4">
      <w:pPr>
        <w:rPr>
          <w:rFonts w:ascii="Times New Roman" w:eastAsia="Calibri" w:hAnsi="Times New Roman"/>
          <w:i/>
          <w:lang w:eastAsia="en-US"/>
        </w:rPr>
      </w:pPr>
    </w:p>
    <w:bookmarkEnd w:id="339"/>
    <w:bookmarkEnd w:id="340"/>
    <w:bookmarkEnd w:id="341"/>
    <w:p w14:paraId="1A267788" w14:textId="37CD80B4" w:rsidR="003F5EEC" w:rsidRDefault="003F5EEC" w:rsidP="00DF65A8">
      <w:pPr>
        <w:rPr>
          <w:rFonts w:eastAsia="Calibri"/>
          <w:lang w:eastAsia="en-US"/>
        </w:rPr>
      </w:pPr>
      <w:r>
        <w:rPr>
          <w:rFonts w:eastAsia="Calibri"/>
          <w:lang w:eastAsia="en-US"/>
        </w:rPr>
        <w:t xml:space="preserve"> </w:t>
      </w:r>
    </w:p>
    <w:p w14:paraId="1B8F16C4" w14:textId="77777777" w:rsidR="005B60B4" w:rsidRDefault="002F75CF" w:rsidP="002F75CF">
      <w:pPr>
        <w:pStyle w:val="Titre3"/>
        <w:rPr>
          <w:rFonts w:eastAsia="Calibri"/>
          <w:lang w:eastAsia="en-US"/>
        </w:rPr>
      </w:pPr>
      <w:bookmarkStart w:id="347" w:name="_Toc93326613"/>
      <w:r>
        <w:rPr>
          <w:rFonts w:eastAsia="Calibri"/>
          <w:lang w:eastAsia="en-US"/>
        </w:rPr>
        <w:t>Measures to protect man, animals and the environment</w:t>
      </w:r>
      <w:bookmarkEnd w:id="347"/>
    </w:p>
    <w:p w14:paraId="5B692535" w14:textId="77777777" w:rsidR="00824F95" w:rsidRPr="00FD2055" w:rsidRDefault="00980D6D" w:rsidP="00980D6D">
      <w:pPr>
        <w:rPr>
          <w:rFonts w:eastAsia="Calibri"/>
          <w:lang w:eastAsia="en-US"/>
        </w:rPr>
      </w:pPr>
      <w:r>
        <w:rPr>
          <w:rFonts w:eastAsia="Calibri"/>
          <w:lang w:eastAsia="en-US"/>
        </w:rPr>
        <w:t>See §2.1.4 and §2.1.5</w:t>
      </w:r>
    </w:p>
    <w:p w14:paraId="6BC55172" w14:textId="77777777" w:rsidR="00824F95" w:rsidRPr="00FD2055" w:rsidRDefault="00824F95" w:rsidP="00824F95">
      <w:pPr>
        <w:rPr>
          <w:rFonts w:eastAsia="Calibri"/>
          <w:lang w:eastAsia="en-US"/>
        </w:rPr>
      </w:pPr>
    </w:p>
    <w:p w14:paraId="0BD27189" w14:textId="77777777" w:rsidR="00824F95" w:rsidRPr="00824F95" w:rsidRDefault="00824F95" w:rsidP="00824F95">
      <w:pPr>
        <w:pStyle w:val="Titre3"/>
      </w:pPr>
      <w:bookmarkStart w:id="348" w:name="_Toc377649077"/>
      <w:bookmarkStart w:id="349" w:name="_Toc377650930"/>
      <w:bookmarkStart w:id="350" w:name="_Toc377651057"/>
      <w:bookmarkStart w:id="351" w:name="_Toc377653327"/>
      <w:bookmarkStart w:id="352" w:name="_Toc378351636"/>
      <w:bookmarkStart w:id="353" w:name="_Toc378681385"/>
      <w:bookmarkStart w:id="354" w:name="_Toc378682305"/>
      <w:bookmarkStart w:id="355" w:name="_Toc378683752"/>
      <w:bookmarkStart w:id="356" w:name="_Toc378685440"/>
      <w:bookmarkStart w:id="357" w:name="_Toc378685576"/>
      <w:bookmarkStart w:id="358" w:name="_Toc378691786"/>
      <w:bookmarkStart w:id="359" w:name="_Toc378692244"/>
      <w:bookmarkStart w:id="360" w:name="_Toc378692381"/>
      <w:bookmarkStart w:id="361" w:name="_Toc378692518"/>
      <w:bookmarkStart w:id="362" w:name="_Toc378682321"/>
      <w:bookmarkStart w:id="363" w:name="_Toc389729181"/>
      <w:bookmarkStart w:id="364" w:name="_Toc403472819"/>
      <w:bookmarkStart w:id="365" w:name="_Toc403566591"/>
      <w:bookmarkStart w:id="366" w:name="_Toc425344125"/>
      <w:bookmarkStart w:id="367" w:name="_Toc93326614"/>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824F95">
        <w:t>Assessment of a combination of biocidal products</w:t>
      </w:r>
      <w:bookmarkEnd w:id="363"/>
      <w:bookmarkEnd w:id="364"/>
      <w:bookmarkEnd w:id="365"/>
      <w:bookmarkEnd w:id="366"/>
      <w:bookmarkEnd w:id="367"/>
    </w:p>
    <w:p w14:paraId="235A56A2" w14:textId="77777777" w:rsidR="00824F95" w:rsidRDefault="00980D6D" w:rsidP="00824F95">
      <w:pPr>
        <w:rPr>
          <w:rFonts w:eastAsia="Calibri"/>
          <w:lang w:eastAsia="en-US"/>
        </w:rPr>
      </w:pPr>
      <w:r>
        <w:rPr>
          <w:rFonts w:eastAsia="Calibri"/>
          <w:lang w:eastAsia="en-US"/>
        </w:rPr>
        <w:t>Not applicable</w:t>
      </w:r>
    </w:p>
    <w:p w14:paraId="5BBA51BA" w14:textId="77777777" w:rsidR="00980D6D" w:rsidRPr="00FD2055" w:rsidRDefault="00980D6D" w:rsidP="00824F95">
      <w:pPr>
        <w:rPr>
          <w:rFonts w:eastAsia="Calibri"/>
          <w:lang w:eastAsia="en-US"/>
        </w:rPr>
      </w:pPr>
    </w:p>
    <w:p w14:paraId="15DE3459" w14:textId="77777777" w:rsidR="00824F95" w:rsidRPr="00824F95" w:rsidRDefault="00824F95" w:rsidP="00824F95">
      <w:pPr>
        <w:pStyle w:val="Titre3"/>
      </w:pPr>
      <w:bookmarkStart w:id="368" w:name="_Toc378685456"/>
      <w:bookmarkStart w:id="369" w:name="_Toc378685592"/>
      <w:bookmarkStart w:id="370" w:name="_Toc378691801"/>
      <w:bookmarkStart w:id="371" w:name="_Toc378692259"/>
      <w:bookmarkStart w:id="372" w:name="_Toc378692396"/>
      <w:bookmarkStart w:id="373" w:name="_Toc378692533"/>
      <w:bookmarkStart w:id="374" w:name="_Toc389729182"/>
      <w:bookmarkStart w:id="375" w:name="_Toc403472820"/>
      <w:bookmarkStart w:id="376" w:name="_Toc403566592"/>
      <w:bookmarkStart w:id="377" w:name="_Toc425344126"/>
      <w:bookmarkStart w:id="378" w:name="_Toc93326615"/>
      <w:bookmarkEnd w:id="368"/>
      <w:bookmarkEnd w:id="369"/>
      <w:bookmarkEnd w:id="370"/>
      <w:bookmarkEnd w:id="371"/>
      <w:bookmarkEnd w:id="372"/>
      <w:bookmarkEnd w:id="373"/>
      <w:r w:rsidRPr="00824F95">
        <w:t>Comparative assessment</w:t>
      </w:r>
      <w:bookmarkEnd w:id="374"/>
      <w:bookmarkEnd w:id="375"/>
      <w:bookmarkEnd w:id="376"/>
      <w:bookmarkEnd w:id="377"/>
      <w:bookmarkEnd w:id="378"/>
    </w:p>
    <w:p w14:paraId="088B03C4" w14:textId="77777777" w:rsidR="00C442A7" w:rsidRPr="00E94ED0" w:rsidRDefault="00980D6D" w:rsidP="00C20709">
      <w:pPr>
        <w:rPr>
          <w:lang w:eastAsia="en-US"/>
        </w:rPr>
      </w:pPr>
      <w:r>
        <w:rPr>
          <w:lang w:eastAsia="en-US"/>
        </w:rPr>
        <w:t>Not applicable</w:t>
      </w:r>
    </w:p>
    <w:p w14:paraId="581C29FA" w14:textId="77777777" w:rsidR="00824F95" w:rsidRDefault="00824F95">
      <w:pPr>
        <w:spacing w:before="0" w:after="160" w:line="259" w:lineRule="auto"/>
        <w:rPr>
          <w:lang w:val="en-US" w:eastAsia="en-US"/>
        </w:rPr>
      </w:pPr>
      <w:r>
        <w:rPr>
          <w:lang w:val="en-US" w:eastAsia="en-US"/>
        </w:rPr>
        <w:br w:type="page"/>
      </w:r>
    </w:p>
    <w:p w14:paraId="4B83495D" w14:textId="77777777" w:rsidR="00F65B8F" w:rsidRPr="00A14D85" w:rsidRDefault="00F65B8F" w:rsidP="00F65B8F">
      <w:pPr>
        <w:rPr>
          <w:rFonts w:eastAsia="Calibri"/>
          <w:lang w:val="en-US" w:eastAsia="en-US"/>
        </w:rPr>
      </w:pPr>
    </w:p>
    <w:p w14:paraId="06A2640F" w14:textId="77777777" w:rsidR="00F65B8F" w:rsidRPr="00F65B8F" w:rsidRDefault="00F65B8F" w:rsidP="00F65B8F">
      <w:pPr>
        <w:pStyle w:val="Titre1"/>
      </w:pPr>
      <w:bookmarkStart w:id="379" w:name="_Toc425344132"/>
      <w:bookmarkStart w:id="380" w:name="_Toc93326616"/>
      <w:r w:rsidRPr="00F65B8F">
        <w:t>Annexes</w:t>
      </w:r>
      <w:bookmarkEnd w:id="379"/>
      <w:bookmarkEnd w:id="380"/>
    </w:p>
    <w:p w14:paraId="1EE53CD0" w14:textId="77777777" w:rsidR="00F65B8F" w:rsidRDefault="00F65B8F" w:rsidP="00F65B8F">
      <w:pPr>
        <w:pStyle w:val="Titre2"/>
      </w:pPr>
      <w:bookmarkStart w:id="381" w:name="_Toc389729189"/>
      <w:bookmarkStart w:id="382" w:name="_Toc403472827"/>
      <w:bookmarkStart w:id="383" w:name="_Toc425344133"/>
      <w:bookmarkStart w:id="384" w:name="_Toc93326617"/>
      <w:r w:rsidRPr="00F65B8F">
        <w:t>List of studies for the biocidal product</w:t>
      </w:r>
      <w:bookmarkEnd w:id="381"/>
      <w:bookmarkEnd w:id="382"/>
      <w:bookmarkEnd w:id="383"/>
      <w:bookmarkEnd w:id="3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678"/>
        <w:gridCol w:w="3824"/>
        <w:gridCol w:w="1426"/>
        <w:gridCol w:w="1262"/>
        <w:gridCol w:w="933"/>
      </w:tblGrid>
      <w:tr w:rsidR="00E21D34" w:rsidRPr="00E21D34" w14:paraId="79DDF13A" w14:textId="77777777" w:rsidTr="00C32207">
        <w:tc>
          <w:tcPr>
            <w:tcW w:w="680" w:type="pct"/>
            <w:shd w:val="clear" w:color="auto" w:fill="BFBFBF" w:themeFill="background1" w:themeFillShade="BF"/>
          </w:tcPr>
          <w:p w14:paraId="5B5AB53A" w14:textId="77777777" w:rsidR="00E21D34" w:rsidRPr="00E21D34" w:rsidRDefault="00E21D34" w:rsidP="00E21D34">
            <w:pPr>
              <w:pStyle w:val="Standaard-Tabellen"/>
              <w:rPr>
                <w:b/>
                <w:lang w:val="en-US"/>
              </w:rPr>
            </w:pPr>
            <w:r w:rsidRPr="00E21D34">
              <w:rPr>
                <w:b/>
                <w:lang w:val="en-US"/>
              </w:rPr>
              <w:t>Author(s)</w:t>
            </w:r>
          </w:p>
        </w:tc>
        <w:tc>
          <w:tcPr>
            <w:tcW w:w="361" w:type="pct"/>
            <w:shd w:val="clear" w:color="auto" w:fill="BFBFBF" w:themeFill="background1" w:themeFillShade="BF"/>
          </w:tcPr>
          <w:p w14:paraId="41E75EB7" w14:textId="77777777" w:rsidR="00E21D34" w:rsidRPr="00E21D34" w:rsidRDefault="00E21D34" w:rsidP="00E21D34">
            <w:pPr>
              <w:pStyle w:val="Standaard-Tabellen"/>
              <w:rPr>
                <w:b/>
                <w:lang w:val="en-US"/>
              </w:rPr>
            </w:pPr>
            <w:r w:rsidRPr="00E21D34">
              <w:rPr>
                <w:b/>
                <w:lang w:val="en-US"/>
              </w:rPr>
              <w:t>Year</w:t>
            </w:r>
          </w:p>
        </w:tc>
        <w:tc>
          <w:tcPr>
            <w:tcW w:w="2034" w:type="pct"/>
            <w:shd w:val="clear" w:color="auto" w:fill="BFBFBF" w:themeFill="background1" w:themeFillShade="BF"/>
          </w:tcPr>
          <w:p w14:paraId="64297ADB" w14:textId="77777777" w:rsidR="00E21D34" w:rsidRPr="00E21D34" w:rsidRDefault="00E21D34" w:rsidP="00E21D34">
            <w:pPr>
              <w:pStyle w:val="Standaard-Tabellen"/>
              <w:rPr>
                <w:b/>
                <w:lang w:val="en-US"/>
              </w:rPr>
            </w:pPr>
            <w:r w:rsidRPr="00E21D34">
              <w:rPr>
                <w:b/>
                <w:lang w:val="en-US"/>
              </w:rPr>
              <w:t>Title</w:t>
            </w:r>
          </w:p>
        </w:tc>
        <w:tc>
          <w:tcPr>
            <w:tcW w:w="758" w:type="pct"/>
            <w:shd w:val="clear" w:color="auto" w:fill="BFBFBF" w:themeFill="background1" w:themeFillShade="BF"/>
          </w:tcPr>
          <w:p w14:paraId="265AFE60" w14:textId="77777777" w:rsidR="00E21D34" w:rsidRPr="00E21D34" w:rsidRDefault="00E21D34" w:rsidP="00E21D34">
            <w:pPr>
              <w:pStyle w:val="Standaard-Tabellen"/>
              <w:rPr>
                <w:b/>
                <w:lang w:val="en-US"/>
              </w:rPr>
            </w:pPr>
            <w:r w:rsidRPr="00E21D34">
              <w:rPr>
                <w:b/>
                <w:lang w:val="en-US"/>
              </w:rPr>
              <w:t>Report No.</w:t>
            </w:r>
          </w:p>
        </w:tc>
        <w:tc>
          <w:tcPr>
            <w:tcW w:w="671" w:type="pct"/>
            <w:shd w:val="clear" w:color="auto" w:fill="BFBFBF" w:themeFill="background1" w:themeFillShade="BF"/>
          </w:tcPr>
          <w:p w14:paraId="0BDD620C" w14:textId="77777777" w:rsidR="00E21D34" w:rsidRPr="00E21D34" w:rsidRDefault="00E21D34" w:rsidP="00E21D34">
            <w:pPr>
              <w:pStyle w:val="Standaard-Tabellen"/>
              <w:rPr>
                <w:b/>
                <w:lang w:val="en-US"/>
              </w:rPr>
            </w:pPr>
            <w:r w:rsidRPr="00E21D34">
              <w:rPr>
                <w:b/>
                <w:lang w:val="en-US"/>
              </w:rPr>
              <w:t>Owner Company</w:t>
            </w:r>
          </w:p>
        </w:tc>
        <w:tc>
          <w:tcPr>
            <w:tcW w:w="497" w:type="pct"/>
            <w:shd w:val="clear" w:color="auto" w:fill="BFBFBF" w:themeFill="background1" w:themeFillShade="BF"/>
          </w:tcPr>
          <w:p w14:paraId="4707308A" w14:textId="77777777" w:rsidR="00E21D34" w:rsidRPr="00E21D34" w:rsidRDefault="00E21D34" w:rsidP="00E21D34">
            <w:pPr>
              <w:pStyle w:val="Standaard-Tabellen"/>
              <w:rPr>
                <w:b/>
                <w:lang w:val="en-US"/>
              </w:rPr>
            </w:pPr>
            <w:r w:rsidRPr="00E21D34">
              <w:rPr>
                <w:b/>
                <w:lang w:val="en-US"/>
              </w:rPr>
              <w:t xml:space="preserve">Report date </w:t>
            </w:r>
          </w:p>
        </w:tc>
      </w:tr>
      <w:tr w:rsidR="0074492C" w14:paraId="72CEE9B8" w14:textId="77777777" w:rsidTr="00C32207">
        <w:tc>
          <w:tcPr>
            <w:tcW w:w="680" w:type="pct"/>
            <w:shd w:val="clear" w:color="auto" w:fill="auto"/>
          </w:tcPr>
          <w:p w14:paraId="527C28C4" w14:textId="77777777" w:rsidR="0074492C" w:rsidRPr="00C32207" w:rsidRDefault="0074492C" w:rsidP="0074492C">
            <w:pPr>
              <w:pStyle w:val="Standaard-Tabellen"/>
              <w:rPr>
                <w:lang w:val="de-DE"/>
              </w:rPr>
            </w:pPr>
            <w:r w:rsidRPr="00C32207">
              <w:rPr>
                <w:lang w:val="de-DE"/>
              </w:rPr>
              <w:t>Meinerling, M. and Herrmann, S.</w:t>
            </w:r>
          </w:p>
        </w:tc>
        <w:tc>
          <w:tcPr>
            <w:tcW w:w="361" w:type="pct"/>
            <w:shd w:val="clear" w:color="auto" w:fill="auto"/>
          </w:tcPr>
          <w:p w14:paraId="0034DA39" w14:textId="77777777" w:rsidR="0074492C" w:rsidRPr="0074492C" w:rsidRDefault="0074492C" w:rsidP="0074492C">
            <w:pPr>
              <w:pStyle w:val="Standaard-Tabellen"/>
            </w:pPr>
            <w:r w:rsidRPr="0074492C">
              <w:t>2011</w:t>
            </w:r>
          </w:p>
        </w:tc>
        <w:tc>
          <w:tcPr>
            <w:tcW w:w="2034" w:type="pct"/>
            <w:shd w:val="clear" w:color="auto" w:fill="auto"/>
          </w:tcPr>
          <w:p w14:paraId="06A46938" w14:textId="77777777" w:rsidR="0074492C" w:rsidRPr="0074492C" w:rsidRDefault="0074492C" w:rsidP="0074492C">
            <w:pPr>
              <w:pStyle w:val="Standaard-Tabellen"/>
            </w:pPr>
            <w:r w:rsidRPr="0074492C">
              <w:t>Determination of the Accelerated Storage Stability (8 weeks at 40 °C) of Pump Spray Lice IR 3535® 20 %</w:t>
            </w:r>
          </w:p>
        </w:tc>
        <w:tc>
          <w:tcPr>
            <w:tcW w:w="758" w:type="pct"/>
            <w:shd w:val="clear" w:color="auto" w:fill="auto"/>
          </w:tcPr>
          <w:p w14:paraId="6C6538C6" w14:textId="77777777" w:rsidR="0074492C" w:rsidRPr="0074492C" w:rsidRDefault="0074492C" w:rsidP="0074492C">
            <w:pPr>
              <w:pStyle w:val="Standaard-Tabellen"/>
            </w:pPr>
            <w:r w:rsidRPr="0074492C">
              <w:t>63172204</w:t>
            </w:r>
          </w:p>
        </w:tc>
        <w:tc>
          <w:tcPr>
            <w:tcW w:w="671" w:type="pct"/>
            <w:shd w:val="clear" w:color="auto" w:fill="auto"/>
          </w:tcPr>
          <w:p w14:paraId="023FEB52" w14:textId="77777777" w:rsidR="0074492C" w:rsidRPr="0074492C" w:rsidRDefault="0074492C" w:rsidP="0074492C">
            <w:pPr>
              <w:pStyle w:val="Standaard-Tabellen"/>
            </w:pPr>
            <w:r w:rsidRPr="0074492C">
              <w:t>Merck KGaA</w:t>
            </w:r>
          </w:p>
        </w:tc>
        <w:tc>
          <w:tcPr>
            <w:tcW w:w="497" w:type="pct"/>
            <w:shd w:val="clear" w:color="auto" w:fill="auto"/>
          </w:tcPr>
          <w:p w14:paraId="69335EF6" w14:textId="77777777" w:rsidR="0074492C" w:rsidRPr="0074492C" w:rsidRDefault="0074492C" w:rsidP="0074492C">
            <w:pPr>
              <w:pStyle w:val="Standaard-Tabellen"/>
            </w:pPr>
            <w:r w:rsidRPr="0074492C">
              <w:t>2011-08-08</w:t>
            </w:r>
          </w:p>
        </w:tc>
      </w:tr>
      <w:tr w:rsidR="0074492C" w14:paraId="43C7EB55" w14:textId="77777777" w:rsidTr="00C32207">
        <w:tc>
          <w:tcPr>
            <w:tcW w:w="680" w:type="pct"/>
            <w:shd w:val="clear" w:color="auto" w:fill="auto"/>
          </w:tcPr>
          <w:p w14:paraId="06E92D56" w14:textId="77777777" w:rsidR="0074492C" w:rsidRPr="0074492C" w:rsidRDefault="0074492C" w:rsidP="0074492C">
            <w:pPr>
              <w:pStyle w:val="Standaard-Tabellen"/>
            </w:pPr>
            <w:r w:rsidRPr="0074492C">
              <w:t>Fieseler, A.</w:t>
            </w:r>
          </w:p>
        </w:tc>
        <w:tc>
          <w:tcPr>
            <w:tcW w:w="361" w:type="pct"/>
            <w:shd w:val="clear" w:color="auto" w:fill="auto"/>
          </w:tcPr>
          <w:p w14:paraId="3A7CE887" w14:textId="77777777" w:rsidR="0074492C" w:rsidRPr="0074492C" w:rsidRDefault="0074492C" w:rsidP="0074492C">
            <w:pPr>
              <w:pStyle w:val="Standaard-Tabellen"/>
            </w:pPr>
            <w:r w:rsidRPr="0074492C">
              <w:t>2011</w:t>
            </w:r>
          </w:p>
        </w:tc>
        <w:tc>
          <w:tcPr>
            <w:tcW w:w="2034" w:type="pct"/>
            <w:shd w:val="clear" w:color="auto" w:fill="auto"/>
          </w:tcPr>
          <w:p w14:paraId="64F143EE" w14:textId="77777777" w:rsidR="0074492C" w:rsidRPr="0074492C" w:rsidRDefault="0074492C" w:rsidP="0074492C">
            <w:pPr>
              <w:pStyle w:val="Standaard-Tabellen"/>
            </w:pPr>
            <w:r w:rsidRPr="0074492C">
              <w:t>Determination of the Relative Density of Pump Spray Lice IR 3535® 20 %</w:t>
            </w:r>
          </w:p>
        </w:tc>
        <w:tc>
          <w:tcPr>
            <w:tcW w:w="758" w:type="pct"/>
            <w:shd w:val="clear" w:color="auto" w:fill="auto"/>
          </w:tcPr>
          <w:p w14:paraId="16C7E6D7" w14:textId="77777777" w:rsidR="0074492C" w:rsidRPr="0074492C" w:rsidRDefault="0074492C" w:rsidP="0074492C">
            <w:pPr>
              <w:pStyle w:val="Standaard-Tabellen"/>
            </w:pPr>
            <w:r w:rsidRPr="0074492C">
              <w:t>63171182</w:t>
            </w:r>
          </w:p>
        </w:tc>
        <w:tc>
          <w:tcPr>
            <w:tcW w:w="671" w:type="pct"/>
            <w:shd w:val="clear" w:color="auto" w:fill="auto"/>
          </w:tcPr>
          <w:p w14:paraId="0DEF96BB" w14:textId="77777777" w:rsidR="0074492C" w:rsidRPr="0074492C" w:rsidRDefault="0074492C" w:rsidP="0074492C">
            <w:pPr>
              <w:pStyle w:val="Standaard-Tabellen"/>
            </w:pPr>
            <w:r w:rsidRPr="0074492C">
              <w:t>Merck KGaA</w:t>
            </w:r>
          </w:p>
        </w:tc>
        <w:tc>
          <w:tcPr>
            <w:tcW w:w="497" w:type="pct"/>
            <w:shd w:val="clear" w:color="auto" w:fill="auto"/>
          </w:tcPr>
          <w:p w14:paraId="3B76487E" w14:textId="77777777" w:rsidR="0074492C" w:rsidRPr="0074492C" w:rsidRDefault="0074492C" w:rsidP="0074492C">
            <w:pPr>
              <w:pStyle w:val="Standaard-Tabellen"/>
            </w:pPr>
            <w:r w:rsidRPr="0074492C">
              <w:t>2011-06-27</w:t>
            </w:r>
          </w:p>
        </w:tc>
      </w:tr>
      <w:tr w:rsidR="0074492C" w14:paraId="3F61DF5D" w14:textId="77777777" w:rsidTr="00C32207">
        <w:tc>
          <w:tcPr>
            <w:tcW w:w="680" w:type="pct"/>
            <w:shd w:val="clear" w:color="auto" w:fill="auto"/>
          </w:tcPr>
          <w:p w14:paraId="679BE262" w14:textId="77777777" w:rsidR="0074492C" w:rsidRPr="0074492C" w:rsidRDefault="0074492C" w:rsidP="0074492C">
            <w:pPr>
              <w:pStyle w:val="Standaard-Tabellen"/>
            </w:pPr>
            <w:r w:rsidRPr="0074492C">
              <w:t>Meinerling, M.</w:t>
            </w:r>
          </w:p>
        </w:tc>
        <w:tc>
          <w:tcPr>
            <w:tcW w:w="361" w:type="pct"/>
            <w:shd w:val="clear" w:color="auto" w:fill="auto"/>
          </w:tcPr>
          <w:p w14:paraId="6248C6E1" w14:textId="77777777" w:rsidR="0074492C" w:rsidRPr="0074492C" w:rsidRDefault="0074492C" w:rsidP="0074492C">
            <w:pPr>
              <w:pStyle w:val="Standaard-Tabellen"/>
            </w:pPr>
            <w:r w:rsidRPr="0074492C">
              <w:t>2009</w:t>
            </w:r>
          </w:p>
        </w:tc>
        <w:tc>
          <w:tcPr>
            <w:tcW w:w="2034" w:type="pct"/>
            <w:shd w:val="clear" w:color="auto" w:fill="auto"/>
          </w:tcPr>
          <w:p w14:paraId="1D029A8E" w14:textId="77777777" w:rsidR="0074492C" w:rsidRPr="0074492C" w:rsidRDefault="0074492C" w:rsidP="0074492C">
            <w:pPr>
              <w:pStyle w:val="Standaard-Tabellen"/>
            </w:pPr>
            <w:r w:rsidRPr="0074492C">
              <w:t>EUS26-15 INSECT REPELLENT SPRAY – DETERMINATION OF THE STORAGE STABILITY AT AMBIENT TEMPERATURES</w:t>
            </w:r>
          </w:p>
        </w:tc>
        <w:tc>
          <w:tcPr>
            <w:tcW w:w="758" w:type="pct"/>
            <w:shd w:val="clear" w:color="auto" w:fill="auto"/>
          </w:tcPr>
          <w:p w14:paraId="07EFF3E2" w14:textId="77777777" w:rsidR="0074492C" w:rsidRPr="0074492C" w:rsidRDefault="0074492C" w:rsidP="0074492C">
            <w:pPr>
              <w:pStyle w:val="Standaard-Tabellen"/>
            </w:pPr>
            <w:r w:rsidRPr="0074492C">
              <w:t>31232204</w:t>
            </w:r>
          </w:p>
        </w:tc>
        <w:tc>
          <w:tcPr>
            <w:tcW w:w="671" w:type="pct"/>
            <w:shd w:val="clear" w:color="auto" w:fill="auto"/>
          </w:tcPr>
          <w:p w14:paraId="1B6BE4B8" w14:textId="77777777" w:rsidR="0074492C" w:rsidRPr="0074492C" w:rsidRDefault="0074492C" w:rsidP="0074492C">
            <w:pPr>
              <w:pStyle w:val="Standaard-Tabellen"/>
            </w:pPr>
            <w:r w:rsidRPr="0074492C">
              <w:t>Merck KGaA</w:t>
            </w:r>
          </w:p>
        </w:tc>
        <w:tc>
          <w:tcPr>
            <w:tcW w:w="497" w:type="pct"/>
            <w:shd w:val="clear" w:color="auto" w:fill="auto"/>
          </w:tcPr>
          <w:p w14:paraId="1532227D" w14:textId="77777777" w:rsidR="0074492C" w:rsidRPr="0074492C" w:rsidRDefault="0074492C" w:rsidP="0074492C">
            <w:pPr>
              <w:pStyle w:val="Standaard-Tabellen"/>
            </w:pPr>
            <w:r w:rsidRPr="0074492C">
              <w:t>2009-05-27</w:t>
            </w:r>
          </w:p>
        </w:tc>
      </w:tr>
      <w:tr w:rsidR="0074492C" w14:paraId="7CD259F4" w14:textId="77777777" w:rsidTr="00C32207">
        <w:tc>
          <w:tcPr>
            <w:tcW w:w="680" w:type="pct"/>
            <w:shd w:val="clear" w:color="auto" w:fill="auto"/>
          </w:tcPr>
          <w:p w14:paraId="28C2D757" w14:textId="77777777" w:rsidR="0074492C" w:rsidRPr="00C32207" w:rsidRDefault="0074492C" w:rsidP="0074492C">
            <w:pPr>
              <w:pStyle w:val="Standaard-Tabellen"/>
              <w:rPr>
                <w:lang w:val="de-DE"/>
              </w:rPr>
            </w:pPr>
            <w:r w:rsidRPr="00C32207">
              <w:rPr>
                <w:lang w:val="de-DE"/>
              </w:rPr>
              <w:t>Meinerling, M. and Herrmann, S.</w:t>
            </w:r>
          </w:p>
        </w:tc>
        <w:tc>
          <w:tcPr>
            <w:tcW w:w="361" w:type="pct"/>
            <w:shd w:val="clear" w:color="auto" w:fill="auto"/>
          </w:tcPr>
          <w:p w14:paraId="55CBF54D" w14:textId="77777777" w:rsidR="0074492C" w:rsidRPr="0074492C" w:rsidRDefault="0074492C" w:rsidP="0074492C">
            <w:pPr>
              <w:pStyle w:val="Standaard-Tabellen"/>
            </w:pPr>
            <w:r w:rsidRPr="0074492C">
              <w:t>2011</w:t>
            </w:r>
          </w:p>
        </w:tc>
        <w:tc>
          <w:tcPr>
            <w:tcW w:w="2034" w:type="pct"/>
            <w:shd w:val="clear" w:color="auto" w:fill="auto"/>
          </w:tcPr>
          <w:p w14:paraId="0C8E7CDE" w14:textId="77777777" w:rsidR="0074492C" w:rsidRPr="0074492C" w:rsidRDefault="0074492C" w:rsidP="0074492C">
            <w:pPr>
              <w:pStyle w:val="Standaard-Tabellen"/>
            </w:pPr>
            <w:r w:rsidRPr="0074492C">
              <w:t>Determination of the Low Temperature Stability of Pump Spray Lice IR 3535® 20 %</w:t>
            </w:r>
          </w:p>
        </w:tc>
        <w:tc>
          <w:tcPr>
            <w:tcW w:w="758" w:type="pct"/>
            <w:shd w:val="clear" w:color="auto" w:fill="auto"/>
          </w:tcPr>
          <w:p w14:paraId="515907B8" w14:textId="77777777" w:rsidR="0074492C" w:rsidRPr="0074492C" w:rsidRDefault="0074492C" w:rsidP="0074492C">
            <w:pPr>
              <w:pStyle w:val="Standaard-Tabellen"/>
            </w:pPr>
            <w:r w:rsidRPr="0074492C">
              <w:t>63173204</w:t>
            </w:r>
          </w:p>
        </w:tc>
        <w:tc>
          <w:tcPr>
            <w:tcW w:w="671" w:type="pct"/>
            <w:shd w:val="clear" w:color="auto" w:fill="auto"/>
          </w:tcPr>
          <w:p w14:paraId="5F8A0B16" w14:textId="77777777" w:rsidR="0074492C" w:rsidRPr="0074492C" w:rsidRDefault="0074492C" w:rsidP="0074492C">
            <w:pPr>
              <w:pStyle w:val="Standaard-Tabellen"/>
            </w:pPr>
            <w:r w:rsidRPr="0074492C">
              <w:t>Merck KGaA</w:t>
            </w:r>
          </w:p>
        </w:tc>
        <w:tc>
          <w:tcPr>
            <w:tcW w:w="497" w:type="pct"/>
            <w:shd w:val="clear" w:color="auto" w:fill="auto"/>
          </w:tcPr>
          <w:p w14:paraId="4DD844C0" w14:textId="77777777" w:rsidR="0074492C" w:rsidRPr="0074492C" w:rsidRDefault="0074492C" w:rsidP="0074492C">
            <w:pPr>
              <w:pStyle w:val="Standaard-Tabellen"/>
            </w:pPr>
            <w:r w:rsidRPr="0074492C">
              <w:t>2011-06-27</w:t>
            </w:r>
          </w:p>
        </w:tc>
      </w:tr>
      <w:tr w:rsidR="0074492C" w14:paraId="2E174F2A" w14:textId="77777777" w:rsidTr="00C32207">
        <w:tc>
          <w:tcPr>
            <w:tcW w:w="680" w:type="pct"/>
            <w:shd w:val="clear" w:color="auto" w:fill="auto"/>
          </w:tcPr>
          <w:p w14:paraId="2CD1EE89" w14:textId="77777777" w:rsidR="0074492C" w:rsidRPr="0074492C" w:rsidRDefault="0074492C" w:rsidP="0074492C">
            <w:pPr>
              <w:pStyle w:val="Standaard-Tabellen"/>
            </w:pPr>
            <w:r w:rsidRPr="0074492C">
              <w:t>Aeropump</w:t>
            </w:r>
          </w:p>
        </w:tc>
        <w:tc>
          <w:tcPr>
            <w:tcW w:w="361" w:type="pct"/>
            <w:shd w:val="clear" w:color="auto" w:fill="auto"/>
          </w:tcPr>
          <w:p w14:paraId="0CB8D238" w14:textId="77777777" w:rsidR="0074492C" w:rsidRPr="0074492C" w:rsidRDefault="0074492C" w:rsidP="0074492C">
            <w:pPr>
              <w:pStyle w:val="Standaard-Tabellen"/>
            </w:pPr>
            <w:r w:rsidRPr="0074492C">
              <w:t>2005</w:t>
            </w:r>
          </w:p>
        </w:tc>
        <w:tc>
          <w:tcPr>
            <w:tcW w:w="2034" w:type="pct"/>
            <w:shd w:val="clear" w:color="auto" w:fill="auto"/>
          </w:tcPr>
          <w:p w14:paraId="296556A8" w14:textId="77777777" w:rsidR="0074492C" w:rsidRPr="00C32207" w:rsidRDefault="0074492C" w:rsidP="0074492C">
            <w:pPr>
              <w:pStyle w:val="Standaard-Tabellen"/>
              <w:rPr>
                <w:lang w:val="de-DE"/>
              </w:rPr>
            </w:pPr>
            <w:r w:rsidRPr="00C32207">
              <w:rPr>
                <w:lang w:val="de-DE"/>
              </w:rPr>
              <w:t>Bericht zu den Tests mit dem Produkt INSECT REPELLENT im Auftrag der Fa. Merck KGaA</w:t>
            </w:r>
          </w:p>
        </w:tc>
        <w:tc>
          <w:tcPr>
            <w:tcW w:w="758" w:type="pct"/>
            <w:shd w:val="clear" w:color="auto" w:fill="auto"/>
          </w:tcPr>
          <w:p w14:paraId="2FBA3A3B" w14:textId="77777777" w:rsidR="0074492C" w:rsidRPr="0074492C" w:rsidRDefault="0074492C" w:rsidP="0074492C">
            <w:pPr>
              <w:pStyle w:val="Standaard-Tabellen"/>
            </w:pPr>
            <w:r w:rsidRPr="0074492C">
              <w:t>214-001</w:t>
            </w:r>
          </w:p>
        </w:tc>
        <w:tc>
          <w:tcPr>
            <w:tcW w:w="671" w:type="pct"/>
            <w:shd w:val="clear" w:color="auto" w:fill="auto"/>
          </w:tcPr>
          <w:p w14:paraId="1658C30D" w14:textId="77777777" w:rsidR="0074492C" w:rsidRPr="0074492C" w:rsidRDefault="0074492C" w:rsidP="0074492C">
            <w:pPr>
              <w:pStyle w:val="Standaard-Tabellen"/>
            </w:pPr>
            <w:r w:rsidRPr="0074492C">
              <w:t>Merck KGaA</w:t>
            </w:r>
          </w:p>
        </w:tc>
        <w:tc>
          <w:tcPr>
            <w:tcW w:w="497" w:type="pct"/>
            <w:shd w:val="clear" w:color="auto" w:fill="auto"/>
          </w:tcPr>
          <w:p w14:paraId="663F867D" w14:textId="77777777" w:rsidR="0074492C" w:rsidRPr="0074492C" w:rsidRDefault="0074492C" w:rsidP="0074492C">
            <w:pPr>
              <w:pStyle w:val="Standaard-Tabellen"/>
            </w:pPr>
            <w:r w:rsidRPr="0074492C">
              <w:t>2005-12-14</w:t>
            </w:r>
          </w:p>
        </w:tc>
      </w:tr>
      <w:tr w:rsidR="00C32207" w14:paraId="4E55D86E" w14:textId="77777777" w:rsidTr="00C32207">
        <w:tc>
          <w:tcPr>
            <w:tcW w:w="680" w:type="pct"/>
            <w:shd w:val="clear" w:color="auto" w:fill="auto"/>
          </w:tcPr>
          <w:p w14:paraId="4F44CB5C" w14:textId="77777777" w:rsidR="00C32207" w:rsidRPr="0074492C" w:rsidRDefault="00C32207" w:rsidP="00C32207">
            <w:pPr>
              <w:pStyle w:val="Standaard-Tabellen"/>
              <w:tabs>
                <w:tab w:val="left" w:pos="825"/>
              </w:tabs>
            </w:pPr>
            <w:r w:rsidRPr="0074492C">
              <w:t>Aeropump</w:t>
            </w:r>
          </w:p>
        </w:tc>
        <w:tc>
          <w:tcPr>
            <w:tcW w:w="361" w:type="pct"/>
            <w:shd w:val="clear" w:color="auto" w:fill="auto"/>
          </w:tcPr>
          <w:p w14:paraId="1D3A5EBE" w14:textId="77777777" w:rsidR="00C32207" w:rsidRPr="0074492C" w:rsidRDefault="00C32207" w:rsidP="00C32207">
            <w:pPr>
              <w:pStyle w:val="Standaard-Tabellen"/>
            </w:pPr>
            <w:r>
              <w:t>2016</w:t>
            </w:r>
          </w:p>
        </w:tc>
        <w:tc>
          <w:tcPr>
            <w:tcW w:w="2034" w:type="pct"/>
            <w:shd w:val="clear" w:color="auto" w:fill="auto"/>
          </w:tcPr>
          <w:p w14:paraId="63515C17" w14:textId="77777777" w:rsidR="00C32207" w:rsidRPr="00C32207" w:rsidRDefault="00C32207" w:rsidP="00C32207">
            <w:pPr>
              <w:pStyle w:val="Standaard-Tabellen"/>
              <w:rPr>
                <w:lang w:val="de-DE"/>
              </w:rPr>
            </w:pPr>
            <w:r w:rsidRPr="002C6B96">
              <w:rPr>
                <w:lang w:val="de-DE"/>
              </w:rPr>
              <w:t>Bestimmung der Tröpfchengrößenverteilung per Laserbeugung</w:t>
            </w:r>
          </w:p>
        </w:tc>
        <w:tc>
          <w:tcPr>
            <w:tcW w:w="758" w:type="pct"/>
            <w:shd w:val="clear" w:color="auto" w:fill="auto"/>
          </w:tcPr>
          <w:p w14:paraId="4346B99E" w14:textId="77777777" w:rsidR="00C32207" w:rsidRPr="0074492C" w:rsidRDefault="00C32207" w:rsidP="00C32207">
            <w:pPr>
              <w:pStyle w:val="Standaard-Tabellen"/>
            </w:pPr>
            <w:r>
              <w:t>N/A</w:t>
            </w:r>
          </w:p>
        </w:tc>
        <w:tc>
          <w:tcPr>
            <w:tcW w:w="671" w:type="pct"/>
            <w:shd w:val="clear" w:color="auto" w:fill="auto"/>
          </w:tcPr>
          <w:p w14:paraId="0B4BC562" w14:textId="77777777" w:rsidR="00C32207" w:rsidRPr="0074492C" w:rsidRDefault="00C32207" w:rsidP="00C32207">
            <w:pPr>
              <w:pStyle w:val="Standaard-Tabellen"/>
            </w:pPr>
            <w:r w:rsidRPr="0074492C">
              <w:t>Merck KGaA</w:t>
            </w:r>
          </w:p>
        </w:tc>
        <w:tc>
          <w:tcPr>
            <w:tcW w:w="497" w:type="pct"/>
            <w:shd w:val="clear" w:color="auto" w:fill="auto"/>
          </w:tcPr>
          <w:p w14:paraId="74DFF20D" w14:textId="77777777" w:rsidR="00C32207" w:rsidRPr="0074492C" w:rsidRDefault="00C32207" w:rsidP="00C32207">
            <w:pPr>
              <w:pStyle w:val="Standaard-Tabellen"/>
            </w:pPr>
            <w:r>
              <w:t>2016-04-25</w:t>
            </w:r>
          </w:p>
        </w:tc>
      </w:tr>
      <w:tr w:rsidR="00C32207" w14:paraId="1510A89E" w14:textId="77777777" w:rsidTr="00C32207">
        <w:tc>
          <w:tcPr>
            <w:tcW w:w="680" w:type="pct"/>
            <w:shd w:val="clear" w:color="auto" w:fill="auto"/>
          </w:tcPr>
          <w:p w14:paraId="4E5CC99A" w14:textId="77777777" w:rsidR="00C32207" w:rsidRPr="0074492C" w:rsidRDefault="00C32207" w:rsidP="00C32207">
            <w:pPr>
              <w:pStyle w:val="Standaard-Tabellen"/>
            </w:pPr>
            <w:r>
              <w:t>Fieseler A.</w:t>
            </w:r>
          </w:p>
        </w:tc>
        <w:tc>
          <w:tcPr>
            <w:tcW w:w="361" w:type="pct"/>
            <w:shd w:val="clear" w:color="auto" w:fill="auto"/>
          </w:tcPr>
          <w:p w14:paraId="58AF0A63" w14:textId="77777777" w:rsidR="00C32207" w:rsidRPr="0074492C" w:rsidRDefault="00C32207" w:rsidP="00C32207">
            <w:pPr>
              <w:pStyle w:val="Standaard-Tabellen"/>
            </w:pPr>
            <w:r>
              <w:t>2015</w:t>
            </w:r>
          </w:p>
        </w:tc>
        <w:tc>
          <w:tcPr>
            <w:tcW w:w="2034" w:type="pct"/>
            <w:shd w:val="clear" w:color="auto" w:fill="auto"/>
          </w:tcPr>
          <w:p w14:paraId="4E2E51F4" w14:textId="77777777" w:rsidR="00C32207" w:rsidRPr="00C32207" w:rsidRDefault="00C32207" w:rsidP="00C32207">
            <w:pPr>
              <w:pStyle w:val="Standaard-Tabellen"/>
              <w:rPr>
                <w:lang w:val="en-US"/>
              </w:rPr>
            </w:pPr>
            <w:r w:rsidRPr="00DB63BA">
              <w:rPr>
                <w:rFonts w:eastAsiaTheme="minorHAnsi" w:cs="Calibri"/>
                <w:color w:val="000000"/>
                <w:szCs w:val="18"/>
                <w:lang w:val="en-US" w:eastAsia="en-US"/>
              </w:rPr>
              <w:t>MDA-A-197-01 Verum 1: Accelerated Storage Stability</w:t>
            </w:r>
          </w:p>
        </w:tc>
        <w:tc>
          <w:tcPr>
            <w:tcW w:w="758" w:type="pct"/>
            <w:shd w:val="clear" w:color="auto" w:fill="auto"/>
          </w:tcPr>
          <w:p w14:paraId="620ADD3F" w14:textId="77777777" w:rsidR="00C32207" w:rsidRPr="0074492C" w:rsidRDefault="00C32207" w:rsidP="00C32207">
            <w:pPr>
              <w:pStyle w:val="Standaard-Tabellen"/>
            </w:pPr>
            <w:r>
              <w:t>98322204</w:t>
            </w:r>
          </w:p>
        </w:tc>
        <w:tc>
          <w:tcPr>
            <w:tcW w:w="671" w:type="pct"/>
            <w:shd w:val="clear" w:color="auto" w:fill="auto"/>
          </w:tcPr>
          <w:p w14:paraId="55D6B165" w14:textId="77777777" w:rsidR="00C32207" w:rsidRPr="0074492C" w:rsidRDefault="00C32207" w:rsidP="00C32207">
            <w:pPr>
              <w:pStyle w:val="Standaard-Tabellen"/>
            </w:pPr>
            <w:r w:rsidRPr="007D7CD6">
              <w:t>Merck KGaA</w:t>
            </w:r>
          </w:p>
        </w:tc>
        <w:tc>
          <w:tcPr>
            <w:tcW w:w="497" w:type="pct"/>
            <w:shd w:val="clear" w:color="auto" w:fill="auto"/>
          </w:tcPr>
          <w:p w14:paraId="28606508" w14:textId="77777777" w:rsidR="00C32207" w:rsidRPr="0074492C" w:rsidRDefault="00C32207" w:rsidP="00C32207">
            <w:pPr>
              <w:pStyle w:val="Standaard-Tabellen"/>
            </w:pPr>
            <w:r>
              <w:t>2015-08-04</w:t>
            </w:r>
          </w:p>
        </w:tc>
      </w:tr>
      <w:tr w:rsidR="00C32207" w14:paraId="061932C3" w14:textId="77777777" w:rsidTr="00C32207">
        <w:tc>
          <w:tcPr>
            <w:tcW w:w="680" w:type="pct"/>
            <w:shd w:val="clear" w:color="auto" w:fill="auto"/>
          </w:tcPr>
          <w:p w14:paraId="3B217E87" w14:textId="77777777" w:rsidR="00C32207" w:rsidRPr="00C32207" w:rsidRDefault="00C32207" w:rsidP="00C32207">
            <w:pPr>
              <w:pStyle w:val="Standaard-Tabellen"/>
              <w:rPr>
                <w:lang w:val="de-DE"/>
              </w:rPr>
            </w:pPr>
            <w:r w:rsidRPr="008303FE">
              <w:rPr>
                <w:lang w:val="de-DE"/>
              </w:rPr>
              <w:t>Meinerling</w:t>
            </w:r>
            <w:r>
              <w:rPr>
                <w:lang w:val="de-DE"/>
              </w:rPr>
              <w:t>,</w:t>
            </w:r>
            <w:r w:rsidRPr="008303FE">
              <w:rPr>
                <w:lang w:val="de-DE"/>
              </w:rPr>
              <w:t xml:space="preserve"> M. and Fieseler</w:t>
            </w:r>
            <w:r>
              <w:rPr>
                <w:lang w:val="de-DE"/>
              </w:rPr>
              <w:t>,</w:t>
            </w:r>
            <w:r w:rsidRPr="008303FE">
              <w:rPr>
                <w:lang w:val="de-DE"/>
              </w:rPr>
              <w:t xml:space="preserve"> A.</w:t>
            </w:r>
          </w:p>
        </w:tc>
        <w:tc>
          <w:tcPr>
            <w:tcW w:w="361" w:type="pct"/>
            <w:shd w:val="clear" w:color="auto" w:fill="auto"/>
          </w:tcPr>
          <w:p w14:paraId="0EFFE5AD" w14:textId="77777777" w:rsidR="00C32207" w:rsidRPr="0074492C" w:rsidRDefault="00C32207" w:rsidP="00C32207">
            <w:pPr>
              <w:pStyle w:val="Standaard-Tabellen"/>
            </w:pPr>
            <w:r>
              <w:t>2016</w:t>
            </w:r>
          </w:p>
        </w:tc>
        <w:tc>
          <w:tcPr>
            <w:tcW w:w="2034" w:type="pct"/>
            <w:shd w:val="clear" w:color="auto" w:fill="auto"/>
          </w:tcPr>
          <w:p w14:paraId="0A1ACF27" w14:textId="77777777" w:rsidR="00C32207" w:rsidRPr="00C32207" w:rsidRDefault="00C32207" w:rsidP="00C32207">
            <w:pPr>
              <w:pStyle w:val="Standaard-Tabellen"/>
              <w:rPr>
                <w:lang w:val="de-DE"/>
              </w:rPr>
            </w:pPr>
            <w:r>
              <w:t>Statement to IBACON project</w:t>
            </w:r>
          </w:p>
        </w:tc>
        <w:tc>
          <w:tcPr>
            <w:tcW w:w="758" w:type="pct"/>
            <w:shd w:val="clear" w:color="auto" w:fill="auto"/>
          </w:tcPr>
          <w:p w14:paraId="4189D293" w14:textId="77777777" w:rsidR="00C32207" w:rsidRPr="0074492C" w:rsidRDefault="00C32207" w:rsidP="00C32207">
            <w:pPr>
              <w:pStyle w:val="Standaard-Tabellen"/>
            </w:pPr>
            <w:r>
              <w:t>N/A</w:t>
            </w:r>
          </w:p>
        </w:tc>
        <w:tc>
          <w:tcPr>
            <w:tcW w:w="671" w:type="pct"/>
            <w:shd w:val="clear" w:color="auto" w:fill="auto"/>
          </w:tcPr>
          <w:p w14:paraId="5F602F36" w14:textId="77777777" w:rsidR="00C32207" w:rsidRPr="0074492C" w:rsidRDefault="00C32207" w:rsidP="00C32207">
            <w:pPr>
              <w:pStyle w:val="Standaard-Tabellen"/>
            </w:pPr>
            <w:r>
              <w:t>N/A</w:t>
            </w:r>
          </w:p>
        </w:tc>
        <w:tc>
          <w:tcPr>
            <w:tcW w:w="497" w:type="pct"/>
            <w:shd w:val="clear" w:color="auto" w:fill="auto"/>
          </w:tcPr>
          <w:p w14:paraId="08001458" w14:textId="77777777" w:rsidR="00C32207" w:rsidRPr="0074492C" w:rsidRDefault="00C32207" w:rsidP="00C32207">
            <w:pPr>
              <w:pStyle w:val="Standaard-Tabellen"/>
            </w:pPr>
            <w:r>
              <w:t>2016-21-06</w:t>
            </w:r>
          </w:p>
        </w:tc>
      </w:tr>
      <w:tr w:rsidR="0074492C" w14:paraId="5E6E7717" w14:textId="77777777" w:rsidTr="00C32207">
        <w:tc>
          <w:tcPr>
            <w:tcW w:w="680" w:type="pct"/>
            <w:shd w:val="clear" w:color="auto" w:fill="auto"/>
          </w:tcPr>
          <w:p w14:paraId="0FBD1E90" w14:textId="77777777" w:rsidR="0074492C" w:rsidRPr="0074492C" w:rsidRDefault="0074492C" w:rsidP="0074492C">
            <w:pPr>
              <w:pStyle w:val="Standaard-Tabellen"/>
            </w:pPr>
            <w:r w:rsidRPr="0074492C">
              <w:t>Fieseler, A.</w:t>
            </w:r>
          </w:p>
        </w:tc>
        <w:tc>
          <w:tcPr>
            <w:tcW w:w="361" w:type="pct"/>
            <w:shd w:val="clear" w:color="auto" w:fill="auto"/>
          </w:tcPr>
          <w:p w14:paraId="654A24DF" w14:textId="77777777" w:rsidR="0074492C" w:rsidRPr="0074492C" w:rsidRDefault="0074492C" w:rsidP="0074492C">
            <w:pPr>
              <w:pStyle w:val="Standaard-Tabellen"/>
            </w:pPr>
            <w:r w:rsidRPr="0074492C">
              <w:t>2011</w:t>
            </w:r>
          </w:p>
        </w:tc>
        <w:tc>
          <w:tcPr>
            <w:tcW w:w="2034" w:type="pct"/>
            <w:shd w:val="clear" w:color="auto" w:fill="auto"/>
          </w:tcPr>
          <w:p w14:paraId="68755F71" w14:textId="77777777" w:rsidR="0074492C" w:rsidRPr="0074492C" w:rsidRDefault="0074492C" w:rsidP="0074492C">
            <w:pPr>
              <w:pStyle w:val="Standaard-Tabellen"/>
            </w:pPr>
            <w:r w:rsidRPr="0074492C">
              <w:t>Determination of the Flash Point of Pump Spray IR 3535® 20 %</w:t>
            </w:r>
          </w:p>
        </w:tc>
        <w:tc>
          <w:tcPr>
            <w:tcW w:w="758" w:type="pct"/>
            <w:shd w:val="clear" w:color="auto" w:fill="auto"/>
          </w:tcPr>
          <w:p w14:paraId="79DB697C" w14:textId="77777777" w:rsidR="0074492C" w:rsidRPr="0074492C" w:rsidRDefault="0074492C" w:rsidP="0074492C">
            <w:pPr>
              <w:pStyle w:val="Standaard-Tabellen"/>
            </w:pPr>
            <w:r w:rsidRPr="0074492C">
              <w:t>63161189</w:t>
            </w:r>
          </w:p>
        </w:tc>
        <w:tc>
          <w:tcPr>
            <w:tcW w:w="671" w:type="pct"/>
            <w:shd w:val="clear" w:color="auto" w:fill="auto"/>
          </w:tcPr>
          <w:p w14:paraId="716AA86A" w14:textId="77777777" w:rsidR="0074492C" w:rsidRPr="0074492C" w:rsidRDefault="0074492C" w:rsidP="0074492C">
            <w:pPr>
              <w:pStyle w:val="Standaard-Tabellen"/>
            </w:pPr>
            <w:r w:rsidRPr="0074492C">
              <w:t>Merck KGaA</w:t>
            </w:r>
          </w:p>
        </w:tc>
        <w:tc>
          <w:tcPr>
            <w:tcW w:w="497" w:type="pct"/>
            <w:shd w:val="clear" w:color="auto" w:fill="auto"/>
          </w:tcPr>
          <w:p w14:paraId="23CBD9C7" w14:textId="77777777" w:rsidR="0074492C" w:rsidRPr="0074492C" w:rsidRDefault="0074492C" w:rsidP="0074492C">
            <w:pPr>
              <w:pStyle w:val="Standaard-Tabellen"/>
            </w:pPr>
            <w:r w:rsidRPr="0074492C">
              <w:t>2011-06-28</w:t>
            </w:r>
          </w:p>
        </w:tc>
      </w:tr>
      <w:tr w:rsidR="0074492C" w14:paraId="6BA5BF92" w14:textId="77777777" w:rsidTr="00C32207">
        <w:tc>
          <w:tcPr>
            <w:tcW w:w="680" w:type="pct"/>
            <w:shd w:val="clear" w:color="auto" w:fill="auto"/>
          </w:tcPr>
          <w:p w14:paraId="4EDB985A" w14:textId="77777777" w:rsidR="0074492C" w:rsidRPr="0074492C" w:rsidRDefault="0074492C" w:rsidP="0074492C">
            <w:pPr>
              <w:pStyle w:val="Standaard-Tabellen"/>
            </w:pPr>
            <w:r w:rsidRPr="0074492C">
              <w:t>Dornhagen, J.</w:t>
            </w:r>
          </w:p>
        </w:tc>
        <w:tc>
          <w:tcPr>
            <w:tcW w:w="361" w:type="pct"/>
            <w:shd w:val="clear" w:color="auto" w:fill="auto"/>
          </w:tcPr>
          <w:p w14:paraId="59709D38" w14:textId="77777777" w:rsidR="0074492C" w:rsidRPr="0074492C" w:rsidRDefault="0074492C" w:rsidP="0074492C">
            <w:pPr>
              <w:pStyle w:val="Standaard-Tabellen"/>
            </w:pPr>
            <w:r w:rsidRPr="0074492C">
              <w:t>2011</w:t>
            </w:r>
          </w:p>
        </w:tc>
        <w:tc>
          <w:tcPr>
            <w:tcW w:w="2034" w:type="pct"/>
            <w:shd w:val="clear" w:color="auto" w:fill="auto"/>
          </w:tcPr>
          <w:p w14:paraId="504C5618" w14:textId="77777777" w:rsidR="0074492C" w:rsidRPr="0074492C" w:rsidRDefault="0074492C" w:rsidP="0074492C">
            <w:pPr>
              <w:pStyle w:val="Standaard-Tabellen"/>
            </w:pPr>
            <w:r w:rsidRPr="0074492C">
              <w:t>FINAL REPORT (1st Original of 3) Pump Spray IR 3535® 20 % Batch No.: SM-0-1-1/090211 AUTO-IGNITION TEMPERATURE (LIQUIDS AND GASES) A.15</w:t>
            </w:r>
          </w:p>
        </w:tc>
        <w:tc>
          <w:tcPr>
            <w:tcW w:w="758" w:type="pct"/>
            <w:shd w:val="clear" w:color="auto" w:fill="auto"/>
          </w:tcPr>
          <w:p w14:paraId="1B8FAE03" w14:textId="77777777" w:rsidR="0074492C" w:rsidRPr="0074492C" w:rsidRDefault="0074492C" w:rsidP="0074492C">
            <w:pPr>
              <w:pStyle w:val="Standaard-Tabellen"/>
            </w:pPr>
            <w:r w:rsidRPr="0074492C">
              <w:t>20110103.01</w:t>
            </w:r>
          </w:p>
        </w:tc>
        <w:tc>
          <w:tcPr>
            <w:tcW w:w="671" w:type="pct"/>
            <w:shd w:val="clear" w:color="auto" w:fill="auto"/>
          </w:tcPr>
          <w:p w14:paraId="72137404" w14:textId="77777777" w:rsidR="0074492C" w:rsidRPr="0074492C" w:rsidRDefault="0074492C" w:rsidP="0074492C">
            <w:pPr>
              <w:pStyle w:val="Standaard-Tabellen"/>
            </w:pPr>
            <w:r w:rsidRPr="0074492C">
              <w:t>Merck KGaA</w:t>
            </w:r>
          </w:p>
        </w:tc>
        <w:tc>
          <w:tcPr>
            <w:tcW w:w="497" w:type="pct"/>
            <w:shd w:val="clear" w:color="auto" w:fill="auto"/>
          </w:tcPr>
          <w:p w14:paraId="6F56AFDE" w14:textId="77777777" w:rsidR="0074492C" w:rsidRPr="0074492C" w:rsidRDefault="0074492C" w:rsidP="0074492C">
            <w:pPr>
              <w:pStyle w:val="Standaard-Tabellen"/>
            </w:pPr>
            <w:r w:rsidRPr="0074492C">
              <w:t>2011-07-04</w:t>
            </w:r>
          </w:p>
        </w:tc>
      </w:tr>
      <w:tr w:rsidR="0074492C" w14:paraId="76CB5043" w14:textId="77777777" w:rsidTr="00C32207">
        <w:tc>
          <w:tcPr>
            <w:tcW w:w="680" w:type="pct"/>
            <w:shd w:val="clear" w:color="auto" w:fill="auto"/>
          </w:tcPr>
          <w:p w14:paraId="50B341D8" w14:textId="77777777" w:rsidR="0074492C" w:rsidRPr="0074492C" w:rsidRDefault="0074492C" w:rsidP="0074492C">
            <w:pPr>
              <w:pStyle w:val="Standaard-Tabellen"/>
            </w:pPr>
            <w:r w:rsidRPr="0074492C">
              <w:t>zur Lage, J.</w:t>
            </w:r>
          </w:p>
        </w:tc>
        <w:tc>
          <w:tcPr>
            <w:tcW w:w="361" w:type="pct"/>
            <w:shd w:val="clear" w:color="auto" w:fill="auto"/>
          </w:tcPr>
          <w:p w14:paraId="07F1D46A" w14:textId="77777777" w:rsidR="0074492C" w:rsidRPr="0074492C" w:rsidRDefault="0074492C" w:rsidP="0074492C">
            <w:pPr>
              <w:pStyle w:val="Standaard-Tabellen"/>
            </w:pPr>
            <w:r w:rsidRPr="0074492C">
              <w:t>2016</w:t>
            </w:r>
          </w:p>
        </w:tc>
        <w:tc>
          <w:tcPr>
            <w:tcW w:w="2034" w:type="pct"/>
            <w:shd w:val="clear" w:color="auto" w:fill="auto"/>
          </w:tcPr>
          <w:p w14:paraId="636E8AEC" w14:textId="77777777" w:rsidR="0074492C" w:rsidRPr="0074492C" w:rsidRDefault="0074492C" w:rsidP="0074492C">
            <w:pPr>
              <w:pStyle w:val="Standaard-Tabellen"/>
            </w:pPr>
            <w:r w:rsidRPr="0074492C">
              <w:t>IR3535_Ref Formulations Surface tension Viscosity_Reg.Aff</w:t>
            </w:r>
          </w:p>
        </w:tc>
        <w:tc>
          <w:tcPr>
            <w:tcW w:w="758" w:type="pct"/>
            <w:shd w:val="clear" w:color="auto" w:fill="auto"/>
          </w:tcPr>
          <w:p w14:paraId="22D46437" w14:textId="77777777" w:rsidR="0074492C" w:rsidRPr="0074492C" w:rsidRDefault="0074492C" w:rsidP="0074492C">
            <w:pPr>
              <w:pStyle w:val="Standaard-Tabellen"/>
            </w:pPr>
            <w:r w:rsidRPr="0074492C">
              <w:t>009093 - PM-PFC-RT</w:t>
            </w:r>
          </w:p>
        </w:tc>
        <w:tc>
          <w:tcPr>
            <w:tcW w:w="671" w:type="pct"/>
            <w:shd w:val="clear" w:color="auto" w:fill="auto"/>
          </w:tcPr>
          <w:p w14:paraId="49155BB6" w14:textId="77777777" w:rsidR="0074492C" w:rsidRPr="0074492C" w:rsidRDefault="0074492C" w:rsidP="0074492C">
            <w:pPr>
              <w:pStyle w:val="Standaard-Tabellen"/>
            </w:pPr>
            <w:r w:rsidRPr="0074492C">
              <w:t>Merck KGaA</w:t>
            </w:r>
          </w:p>
        </w:tc>
        <w:tc>
          <w:tcPr>
            <w:tcW w:w="497" w:type="pct"/>
            <w:shd w:val="clear" w:color="auto" w:fill="auto"/>
          </w:tcPr>
          <w:p w14:paraId="536C24C4" w14:textId="77777777" w:rsidR="0074492C" w:rsidRPr="0074492C" w:rsidRDefault="0074492C" w:rsidP="0074492C">
            <w:pPr>
              <w:pStyle w:val="Standaard-Tabellen"/>
            </w:pPr>
            <w:r w:rsidRPr="0074492C">
              <w:t>2016-07-04</w:t>
            </w:r>
          </w:p>
        </w:tc>
      </w:tr>
      <w:tr w:rsidR="00E21D34" w14:paraId="0450837A" w14:textId="77777777" w:rsidTr="00C32207">
        <w:tc>
          <w:tcPr>
            <w:tcW w:w="680" w:type="pct"/>
            <w:shd w:val="clear" w:color="auto" w:fill="auto"/>
          </w:tcPr>
          <w:p w14:paraId="70D30B1B" w14:textId="77777777" w:rsidR="00E21D34" w:rsidRDefault="00E21D34" w:rsidP="00E21D34">
            <w:pPr>
              <w:pStyle w:val="Standaard-Tabellen"/>
            </w:pPr>
            <w:r>
              <w:t>Hurley, J.M. (a)</w:t>
            </w:r>
          </w:p>
        </w:tc>
        <w:tc>
          <w:tcPr>
            <w:tcW w:w="361" w:type="pct"/>
            <w:shd w:val="clear" w:color="auto" w:fill="auto"/>
          </w:tcPr>
          <w:p w14:paraId="6B5DF2E2" w14:textId="77777777" w:rsidR="00E21D34" w:rsidRDefault="00E21D34" w:rsidP="00E21D34">
            <w:pPr>
              <w:pStyle w:val="Standaard-Tabellen"/>
            </w:pPr>
            <w:r>
              <w:t>2006</w:t>
            </w:r>
          </w:p>
        </w:tc>
        <w:tc>
          <w:tcPr>
            <w:tcW w:w="2034" w:type="pct"/>
            <w:shd w:val="clear" w:color="auto" w:fill="auto"/>
          </w:tcPr>
          <w:p w14:paraId="0E3BAD7C" w14:textId="77777777" w:rsidR="00E21D34" w:rsidRPr="00085D9B" w:rsidRDefault="00E21D34" w:rsidP="00E21D34">
            <w:pPr>
              <w:pStyle w:val="Standaard-Tabellen"/>
              <w:rPr>
                <w:rFonts w:cs="00nkk"/>
                <w:lang w:val="en-US"/>
              </w:rPr>
            </w:pPr>
            <w:r w:rsidRPr="00085D9B">
              <w:rPr>
                <w:rFonts w:cs="00nkk"/>
                <w:lang w:val="en-US"/>
              </w:rPr>
              <w:t>Acute dermal irritation study of</w:t>
            </w:r>
            <w:r>
              <w:rPr>
                <w:rFonts w:cs="00nkk"/>
                <w:lang w:val="en-US"/>
              </w:rPr>
              <w:t xml:space="preserve"> </w:t>
            </w:r>
            <w:r w:rsidRPr="00085D9B">
              <w:rPr>
                <w:rFonts w:cs="00nkk"/>
                <w:lang w:val="en-US"/>
              </w:rPr>
              <w:t>EUS26-15 Insect Repellent Spray</w:t>
            </w:r>
            <w:r>
              <w:rPr>
                <w:rFonts w:cs="00nkk"/>
                <w:lang w:val="en-US"/>
              </w:rPr>
              <w:t xml:space="preserve"> </w:t>
            </w:r>
            <w:r w:rsidRPr="00085D9B">
              <w:rPr>
                <w:rFonts w:cs="00nkk"/>
                <w:lang w:val="en-US"/>
              </w:rPr>
              <w:t>in albino rabbits</w:t>
            </w:r>
            <w:r>
              <w:rPr>
                <w:rFonts w:ascii="00nkk" w:hAnsi="00nkk" w:cs="00nkk"/>
                <w:sz w:val="12"/>
                <w:szCs w:val="12"/>
                <w:lang w:val="en-US"/>
              </w:rPr>
              <w:t>.</w:t>
            </w:r>
          </w:p>
        </w:tc>
        <w:tc>
          <w:tcPr>
            <w:tcW w:w="758" w:type="pct"/>
            <w:shd w:val="clear" w:color="auto" w:fill="auto"/>
          </w:tcPr>
          <w:p w14:paraId="227B1862" w14:textId="77777777" w:rsidR="00E21D34" w:rsidRPr="00085D9B" w:rsidRDefault="00E21D34" w:rsidP="00E21D34">
            <w:pPr>
              <w:pStyle w:val="Standaard-Tabellen"/>
              <w:rPr>
                <w:rFonts w:cs="00nkk"/>
                <w:lang w:val="en-US"/>
              </w:rPr>
            </w:pPr>
            <w:r w:rsidRPr="00085D9B">
              <w:rPr>
                <w:rFonts w:cs="00nkk"/>
                <w:lang w:val="en-US"/>
              </w:rPr>
              <w:t>WIL-</w:t>
            </w:r>
          </w:p>
          <w:p w14:paraId="67633321" w14:textId="77777777" w:rsidR="00E21D34" w:rsidRDefault="00E21D34" w:rsidP="00E21D34">
            <w:pPr>
              <w:pStyle w:val="Standaard-Tabellen"/>
            </w:pPr>
            <w:r w:rsidRPr="00085D9B">
              <w:rPr>
                <w:rFonts w:cs="00nkk"/>
                <w:lang w:val="en-US"/>
              </w:rPr>
              <w:t>585006</w:t>
            </w:r>
          </w:p>
        </w:tc>
        <w:tc>
          <w:tcPr>
            <w:tcW w:w="671" w:type="pct"/>
            <w:shd w:val="clear" w:color="auto" w:fill="auto"/>
          </w:tcPr>
          <w:p w14:paraId="63AD566C" w14:textId="77777777" w:rsidR="00E21D34" w:rsidRPr="00085D9B" w:rsidRDefault="00E21D34" w:rsidP="00E21D34">
            <w:pPr>
              <w:pStyle w:val="Standaard-Tabellen"/>
              <w:rPr>
                <w:rFonts w:cs="00nkk"/>
                <w:lang w:val="en-US"/>
              </w:rPr>
            </w:pPr>
            <w:r w:rsidRPr="00085D9B">
              <w:rPr>
                <w:rFonts w:cs="00nkk"/>
                <w:lang w:val="en-US"/>
              </w:rPr>
              <w:t>Merck</w:t>
            </w:r>
          </w:p>
          <w:p w14:paraId="0BD95A7C" w14:textId="77777777" w:rsidR="00E21D34" w:rsidRDefault="00E21D34" w:rsidP="00E21D34">
            <w:pPr>
              <w:pStyle w:val="Standaard-Tabellen"/>
            </w:pPr>
            <w:r w:rsidRPr="00085D9B">
              <w:rPr>
                <w:rFonts w:cs="00nkk"/>
                <w:lang w:val="en-US"/>
              </w:rPr>
              <w:t>KGaA</w:t>
            </w:r>
          </w:p>
        </w:tc>
        <w:tc>
          <w:tcPr>
            <w:tcW w:w="497" w:type="pct"/>
            <w:shd w:val="clear" w:color="auto" w:fill="auto"/>
          </w:tcPr>
          <w:p w14:paraId="2C70F415" w14:textId="77777777" w:rsidR="00E21D34" w:rsidRPr="00085D9B" w:rsidRDefault="00E21D34" w:rsidP="00E21D34">
            <w:pPr>
              <w:pStyle w:val="Standaard-Tabellen"/>
              <w:rPr>
                <w:rFonts w:cs="00nkk"/>
                <w:lang w:val="en-US"/>
              </w:rPr>
            </w:pPr>
            <w:r>
              <w:rPr>
                <w:rFonts w:cs="00nkk"/>
                <w:lang w:val="en-US"/>
              </w:rPr>
              <w:t>2006-09-</w:t>
            </w:r>
            <w:r w:rsidRPr="00085D9B">
              <w:rPr>
                <w:rFonts w:cs="00nkk"/>
                <w:lang w:val="en-US"/>
              </w:rPr>
              <w:t>15</w:t>
            </w:r>
          </w:p>
        </w:tc>
      </w:tr>
      <w:tr w:rsidR="00E21D34" w14:paraId="6D51BC20" w14:textId="77777777" w:rsidTr="00C32207">
        <w:tc>
          <w:tcPr>
            <w:tcW w:w="680" w:type="pct"/>
            <w:shd w:val="clear" w:color="auto" w:fill="auto"/>
          </w:tcPr>
          <w:p w14:paraId="1FD09B7D" w14:textId="77777777" w:rsidR="00E21D34" w:rsidRDefault="00E21D34" w:rsidP="00E21D34">
            <w:pPr>
              <w:pStyle w:val="Standaard-Tabellen"/>
            </w:pPr>
            <w:r>
              <w:t>Hurley, J.M. (b)</w:t>
            </w:r>
          </w:p>
        </w:tc>
        <w:tc>
          <w:tcPr>
            <w:tcW w:w="361" w:type="pct"/>
            <w:shd w:val="clear" w:color="auto" w:fill="auto"/>
          </w:tcPr>
          <w:p w14:paraId="20E9DEC8" w14:textId="77777777" w:rsidR="00E21D34" w:rsidRDefault="00E21D34" w:rsidP="00E21D34">
            <w:pPr>
              <w:pStyle w:val="Standaard-Tabellen"/>
            </w:pPr>
            <w:r>
              <w:t>2006</w:t>
            </w:r>
          </w:p>
        </w:tc>
        <w:tc>
          <w:tcPr>
            <w:tcW w:w="2034" w:type="pct"/>
            <w:shd w:val="clear" w:color="auto" w:fill="auto"/>
          </w:tcPr>
          <w:p w14:paraId="4714665D" w14:textId="77777777" w:rsidR="00E21D34" w:rsidRPr="00DB36F8" w:rsidRDefault="00E21D34" w:rsidP="00E21D34">
            <w:pPr>
              <w:pStyle w:val="Standaard-Tabellen"/>
              <w:rPr>
                <w:rFonts w:cs="19wnc"/>
                <w:lang w:val="en-US"/>
              </w:rPr>
            </w:pPr>
            <w:r w:rsidRPr="00DB36F8">
              <w:rPr>
                <w:rFonts w:cs="19wnc"/>
                <w:lang w:val="en-US"/>
              </w:rPr>
              <w:t>Acute Eye Irritation Study of</w:t>
            </w:r>
          </w:p>
          <w:p w14:paraId="74A7D11A" w14:textId="77777777" w:rsidR="00E21D34" w:rsidRPr="00DB36F8" w:rsidRDefault="00E21D34" w:rsidP="00E21D34">
            <w:pPr>
              <w:pStyle w:val="Standaard-Tabellen"/>
              <w:rPr>
                <w:rFonts w:cs="19wnc"/>
                <w:lang w:val="en-US"/>
              </w:rPr>
            </w:pPr>
            <w:r w:rsidRPr="00DB36F8">
              <w:rPr>
                <w:rFonts w:cs="19wnc"/>
                <w:lang w:val="en-US"/>
              </w:rPr>
              <w:t>EUS26-15 Insect Repellent</w:t>
            </w:r>
          </w:p>
          <w:p w14:paraId="650DD20C" w14:textId="77777777" w:rsidR="00E21D34" w:rsidRDefault="00E21D34" w:rsidP="00E21D34">
            <w:pPr>
              <w:pStyle w:val="Standaard-Tabellen"/>
            </w:pPr>
            <w:r w:rsidRPr="00DB36F8">
              <w:rPr>
                <w:rFonts w:cs="19wnc"/>
                <w:lang w:val="en-US"/>
              </w:rPr>
              <w:t>Spray in albino rabbits.</w:t>
            </w:r>
          </w:p>
        </w:tc>
        <w:tc>
          <w:tcPr>
            <w:tcW w:w="758" w:type="pct"/>
            <w:shd w:val="clear" w:color="auto" w:fill="auto"/>
          </w:tcPr>
          <w:p w14:paraId="5E3FFD16" w14:textId="77777777" w:rsidR="00E21D34" w:rsidRPr="00085D9B" w:rsidRDefault="00E21D34" w:rsidP="00E21D34">
            <w:pPr>
              <w:pStyle w:val="Standaard-Tabellen"/>
              <w:rPr>
                <w:rFonts w:cs="00nkk"/>
                <w:lang w:val="en-US"/>
              </w:rPr>
            </w:pPr>
            <w:r w:rsidRPr="00085D9B">
              <w:rPr>
                <w:rFonts w:cs="00nkk"/>
                <w:lang w:val="en-US"/>
              </w:rPr>
              <w:t>WIL-</w:t>
            </w:r>
          </w:p>
          <w:p w14:paraId="57DD0FF4" w14:textId="77777777" w:rsidR="00E21D34" w:rsidRDefault="00E21D34" w:rsidP="00E21D34">
            <w:pPr>
              <w:pStyle w:val="Standaard-Tabellen"/>
            </w:pPr>
            <w:r w:rsidRPr="00085D9B">
              <w:rPr>
                <w:rFonts w:cs="00nkk"/>
                <w:lang w:val="en-US"/>
              </w:rPr>
              <w:t>58500</w:t>
            </w:r>
            <w:r>
              <w:rPr>
                <w:rFonts w:cs="00nkk"/>
                <w:lang w:val="en-US"/>
              </w:rPr>
              <w:t>7</w:t>
            </w:r>
          </w:p>
        </w:tc>
        <w:tc>
          <w:tcPr>
            <w:tcW w:w="671" w:type="pct"/>
            <w:shd w:val="clear" w:color="auto" w:fill="auto"/>
          </w:tcPr>
          <w:p w14:paraId="56B9F11C" w14:textId="77777777" w:rsidR="00E21D34" w:rsidRPr="00085D9B" w:rsidRDefault="00E21D34" w:rsidP="00E21D34">
            <w:pPr>
              <w:pStyle w:val="Standaard-Tabellen"/>
              <w:rPr>
                <w:rFonts w:cs="00nkk"/>
                <w:lang w:val="en-US"/>
              </w:rPr>
            </w:pPr>
            <w:r w:rsidRPr="00085D9B">
              <w:rPr>
                <w:rFonts w:cs="00nkk"/>
                <w:lang w:val="en-US"/>
              </w:rPr>
              <w:t>Merck</w:t>
            </w:r>
          </w:p>
          <w:p w14:paraId="3663A779" w14:textId="77777777" w:rsidR="00E21D34" w:rsidRDefault="00E21D34" w:rsidP="00E21D34">
            <w:pPr>
              <w:pStyle w:val="Standaard-Tabellen"/>
            </w:pPr>
            <w:r w:rsidRPr="00085D9B">
              <w:rPr>
                <w:rFonts w:cs="00nkk"/>
                <w:lang w:val="en-US"/>
              </w:rPr>
              <w:t>KGaA</w:t>
            </w:r>
          </w:p>
        </w:tc>
        <w:tc>
          <w:tcPr>
            <w:tcW w:w="497" w:type="pct"/>
            <w:shd w:val="clear" w:color="auto" w:fill="auto"/>
          </w:tcPr>
          <w:p w14:paraId="281CA0CE" w14:textId="77777777" w:rsidR="00E21D34" w:rsidRPr="00DB36F8" w:rsidRDefault="00E21D34" w:rsidP="00E21D34">
            <w:pPr>
              <w:pStyle w:val="Standaard-Tabellen"/>
              <w:rPr>
                <w:rFonts w:cs="19wnc"/>
                <w:lang w:val="en-US"/>
              </w:rPr>
            </w:pPr>
            <w:r>
              <w:rPr>
                <w:rFonts w:cs="19wnc"/>
                <w:lang w:val="en-US"/>
              </w:rPr>
              <w:t>2006-</w:t>
            </w:r>
            <w:r w:rsidRPr="00DB36F8">
              <w:rPr>
                <w:rFonts w:cs="19wnc"/>
                <w:lang w:val="en-US"/>
              </w:rPr>
              <w:t>09-08</w:t>
            </w:r>
          </w:p>
        </w:tc>
      </w:tr>
      <w:tr w:rsidR="00E21D34" w14:paraId="419A7C2D" w14:textId="77777777" w:rsidTr="00C32207">
        <w:tc>
          <w:tcPr>
            <w:tcW w:w="680" w:type="pct"/>
            <w:shd w:val="clear" w:color="auto" w:fill="auto"/>
          </w:tcPr>
          <w:p w14:paraId="73AB07CA" w14:textId="77777777" w:rsidR="00E21D34" w:rsidRDefault="00E21D34" w:rsidP="00E21D34">
            <w:pPr>
              <w:pStyle w:val="Standaard-Tabellen"/>
            </w:pPr>
            <w:r>
              <w:t>Hurley, J.M. (c)</w:t>
            </w:r>
          </w:p>
        </w:tc>
        <w:tc>
          <w:tcPr>
            <w:tcW w:w="361" w:type="pct"/>
            <w:shd w:val="clear" w:color="auto" w:fill="auto"/>
          </w:tcPr>
          <w:p w14:paraId="0356CD71" w14:textId="77777777" w:rsidR="00E21D34" w:rsidRDefault="00E21D34" w:rsidP="00E21D34">
            <w:pPr>
              <w:pStyle w:val="Standaard-Tabellen"/>
            </w:pPr>
            <w:r>
              <w:t>2006</w:t>
            </w:r>
          </w:p>
        </w:tc>
        <w:tc>
          <w:tcPr>
            <w:tcW w:w="2034" w:type="pct"/>
            <w:shd w:val="clear" w:color="auto" w:fill="auto"/>
          </w:tcPr>
          <w:p w14:paraId="341421AC" w14:textId="77777777" w:rsidR="00E21D34" w:rsidRPr="0099578A" w:rsidRDefault="00E21D34" w:rsidP="00E21D34">
            <w:pPr>
              <w:pStyle w:val="Standaard-Tabellen"/>
              <w:rPr>
                <w:rFonts w:cs="19wnc"/>
                <w:lang w:val="en-US"/>
              </w:rPr>
            </w:pPr>
            <w:r w:rsidRPr="0099578A">
              <w:rPr>
                <w:rFonts w:cs="19wnc"/>
                <w:lang w:val="en-US"/>
              </w:rPr>
              <w:t>Skin Sensitisation Study of EUS26-15</w:t>
            </w:r>
            <w:r>
              <w:rPr>
                <w:rFonts w:cs="19wnc"/>
                <w:lang w:val="en-US"/>
              </w:rPr>
              <w:t xml:space="preserve"> </w:t>
            </w:r>
            <w:r w:rsidRPr="0099578A">
              <w:rPr>
                <w:rFonts w:cs="19wnc"/>
                <w:lang w:val="en-US"/>
              </w:rPr>
              <w:t>Insect Repellent Spray in albino guinea</w:t>
            </w:r>
          </w:p>
          <w:p w14:paraId="035C911D" w14:textId="77777777" w:rsidR="00E21D34" w:rsidRPr="0099578A" w:rsidRDefault="00E21D34" w:rsidP="00E21D34">
            <w:pPr>
              <w:pStyle w:val="Standaard-Tabellen"/>
            </w:pPr>
            <w:r>
              <w:rPr>
                <w:rFonts w:cs="19wnc"/>
                <w:lang w:val="en-US"/>
              </w:rPr>
              <w:t xml:space="preserve">pigs (Modified Buehler </w:t>
            </w:r>
            <w:r w:rsidRPr="0099578A">
              <w:rPr>
                <w:rFonts w:cs="19wnc"/>
                <w:lang w:val="en-US"/>
              </w:rPr>
              <w:t>Method).</w:t>
            </w:r>
          </w:p>
        </w:tc>
        <w:tc>
          <w:tcPr>
            <w:tcW w:w="758" w:type="pct"/>
            <w:shd w:val="clear" w:color="auto" w:fill="auto"/>
          </w:tcPr>
          <w:p w14:paraId="1137BFE8" w14:textId="77777777" w:rsidR="00E21D34" w:rsidRPr="0099578A" w:rsidRDefault="00E21D34" w:rsidP="00E21D34">
            <w:pPr>
              <w:pStyle w:val="Standaard-Tabellen"/>
              <w:rPr>
                <w:rFonts w:cs="19wnc"/>
                <w:lang w:val="en-US"/>
              </w:rPr>
            </w:pPr>
            <w:r w:rsidRPr="0099578A">
              <w:rPr>
                <w:rFonts w:cs="19wnc"/>
                <w:lang w:val="en-US"/>
              </w:rPr>
              <w:t>WIL-</w:t>
            </w:r>
          </w:p>
          <w:p w14:paraId="22C9EDDE" w14:textId="77777777" w:rsidR="00E21D34" w:rsidRPr="0099578A" w:rsidRDefault="00E21D34" w:rsidP="00E21D34">
            <w:pPr>
              <w:pStyle w:val="Standaard-Tabellen"/>
            </w:pPr>
            <w:r w:rsidRPr="0099578A">
              <w:rPr>
                <w:rFonts w:cs="19wnc"/>
                <w:lang w:val="en-US"/>
              </w:rPr>
              <w:t>585008</w:t>
            </w:r>
          </w:p>
        </w:tc>
        <w:tc>
          <w:tcPr>
            <w:tcW w:w="671" w:type="pct"/>
            <w:shd w:val="clear" w:color="auto" w:fill="auto"/>
          </w:tcPr>
          <w:p w14:paraId="37B7152C" w14:textId="77777777" w:rsidR="00E21D34" w:rsidRPr="00085D9B" w:rsidRDefault="00E21D34" w:rsidP="00E21D34">
            <w:pPr>
              <w:pStyle w:val="Standaard-Tabellen"/>
              <w:rPr>
                <w:rFonts w:cs="00nkk"/>
                <w:lang w:val="en-US"/>
              </w:rPr>
            </w:pPr>
            <w:r w:rsidRPr="00085D9B">
              <w:rPr>
                <w:rFonts w:cs="00nkk"/>
                <w:lang w:val="en-US"/>
              </w:rPr>
              <w:t>Merck</w:t>
            </w:r>
          </w:p>
          <w:p w14:paraId="05B40351" w14:textId="77777777" w:rsidR="00E21D34" w:rsidRPr="0099578A" w:rsidRDefault="00E21D34" w:rsidP="00E21D34">
            <w:pPr>
              <w:pStyle w:val="Standaard-Tabellen"/>
            </w:pPr>
            <w:r w:rsidRPr="00085D9B">
              <w:rPr>
                <w:rFonts w:cs="00nkk"/>
                <w:lang w:val="en-US"/>
              </w:rPr>
              <w:t>KGaA</w:t>
            </w:r>
          </w:p>
        </w:tc>
        <w:tc>
          <w:tcPr>
            <w:tcW w:w="497" w:type="pct"/>
            <w:shd w:val="clear" w:color="auto" w:fill="auto"/>
          </w:tcPr>
          <w:p w14:paraId="65EFF518" w14:textId="77777777" w:rsidR="00E21D34" w:rsidRPr="0099578A" w:rsidRDefault="00E21D34" w:rsidP="00E21D34">
            <w:pPr>
              <w:pStyle w:val="Standaard-Tabellen"/>
              <w:rPr>
                <w:rFonts w:cs="19wnc"/>
                <w:lang w:val="en-US"/>
              </w:rPr>
            </w:pPr>
            <w:r w:rsidRPr="0099578A">
              <w:rPr>
                <w:rFonts w:cs="19wnc"/>
                <w:lang w:val="en-US"/>
              </w:rPr>
              <w:t>2006-09-08</w:t>
            </w:r>
          </w:p>
        </w:tc>
      </w:tr>
      <w:tr w:rsidR="00E21D34" w14:paraId="4F46677C" w14:textId="77777777" w:rsidTr="00C32207">
        <w:tc>
          <w:tcPr>
            <w:tcW w:w="680" w:type="pct"/>
            <w:shd w:val="clear" w:color="auto" w:fill="auto"/>
          </w:tcPr>
          <w:p w14:paraId="5E9A97BF" w14:textId="77777777" w:rsidR="00E21D34" w:rsidRDefault="00E21D34" w:rsidP="00E21D34">
            <w:pPr>
              <w:pStyle w:val="Standaard-Tabellen"/>
            </w:pPr>
            <w:r>
              <w:t>Hurley, J.M. (d)</w:t>
            </w:r>
          </w:p>
        </w:tc>
        <w:tc>
          <w:tcPr>
            <w:tcW w:w="361" w:type="pct"/>
            <w:shd w:val="clear" w:color="auto" w:fill="auto"/>
          </w:tcPr>
          <w:p w14:paraId="6BBC6C93" w14:textId="77777777" w:rsidR="00E21D34" w:rsidRDefault="00E21D34" w:rsidP="00E21D34">
            <w:pPr>
              <w:pStyle w:val="Standaard-Tabellen"/>
            </w:pPr>
            <w:r>
              <w:t>2006</w:t>
            </w:r>
          </w:p>
        </w:tc>
        <w:tc>
          <w:tcPr>
            <w:tcW w:w="2034" w:type="pct"/>
            <w:shd w:val="clear" w:color="auto" w:fill="auto"/>
          </w:tcPr>
          <w:p w14:paraId="369E3CB6" w14:textId="77777777" w:rsidR="00E21D34" w:rsidRPr="00D91E8E" w:rsidRDefault="00E21D34" w:rsidP="00E21D34">
            <w:pPr>
              <w:pStyle w:val="Standaard-Tabellen"/>
              <w:rPr>
                <w:rFonts w:cs="41hbs"/>
                <w:lang w:val="en-US"/>
              </w:rPr>
            </w:pPr>
            <w:r>
              <w:rPr>
                <w:rFonts w:cs="41hbs"/>
                <w:lang w:val="en-US"/>
              </w:rPr>
              <w:t xml:space="preserve">Acute dermal toxicity study of EUS26-15 Insect </w:t>
            </w:r>
            <w:r w:rsidRPr="00D91E8E">
              <w:rPr>
                <w:rFonts w:cs="41hbs"/>
                <w:lang w:val="en-US"/>
              </w:rPr>
              <w:t>Repellent Spray</w:t>
            </w:r>
            <w:r>
              <w:rPr>
                <w:rFonts w:cs="41hbs"/>
                <w:lang w:val="en-US"/>
              </w:rPr>
              <w:t xml:space="preserve"> </w:t>
            </w:r>
            <w:r w:rsidRPr="00D91E8E">
              <w:rPr>
                <w:rFonts w:cs="41hbs"/>
                <w:lang w:val="en-US"/>
              </w:rPr>
              <w:t>in albino rats.</w:t>
            </w:r>
          </w:p>
        </w:tc>
        <w:tc>
          <w:tcPr>
            <w:tcW w:w="758" w:type="pct"/>
            <w:shd w:val="clear" w:color="auto" w:fill="auto"/>
          </w:tcPr>
          <w:p w14:paraId="6F8BEEF3" w14:textId="77777777" w:rsidR="00E21D34" w:rsidRPr="00D91E8E" w:rsidRDefault="00E21D34" w:rsidP="00E21D34">
            <w:pPr>
              <w:pStyle w:val="Standaard-Tabellen"/>
              <w:rPr>
                <w:rFonts w:cs="41hbs"/>
                <w:lang w:val="en-US"/>
              </w:rPr>
            </w:pPr>
            <w:r w:rsidRPr="00D91E8E">
              <w:rPr>
                <w:rFonts w:cs="41hbs"/>
                <w:lang w:val="en-US"/>
              </w:rPr>
              <w:t>WIL-</w:t>
            </w:r>
          </w:p>
          <w:p w14:paraId="665AE280" w14:textId="77777777" w:rsidR="00E21D34" w:rsidRDefault="00E21D34" w:rsidP="00E21D34">
            <w:pPr>
              <w:pStyle w:val="Standaard-Tabellen"/>
            </w:pPr>
            <w:r w:rsidRPr="00D91E8E">
              <w:rPr>
                <w:rFonts w:cs="41hbs"/>
                <w:lang w:val="en-US"/>
              </w:rPr>
              <w:t>585005</w:t>
            </w:r>
          </w:p>
        </w:tc>
        <w:tc>
          <w:tcPr>
            <w:tcW w:w="671" w:type="pct"/>
            <w:shd w:val="clear" w:color="auto" w:fill="auto"/>
          </w:tcPr>
          <w:p w14:paraId="47B03D03" w14:textId="77777777" w:rsidR="00E21D34" w:rsidRPr="00085D9B" w:rsidRDefault="00E21D34" w:rsidP="00E21D34">
            <w:pPr>
              <w:pStyle w:val="Standaard-Tabellen"/>
              <w:rPr>
                <w:rFonts w:cs="00nkk"/>
                <w:lang w:val="en-US"/>
              </w:rPr>
            </w:pPr>
            <w:r w:rsidRPr="00085D9B">
              <w:rPr>
                <w:rFonts w:cs="00nkk"/>
                <w:lang w:val="en-US"/>
              </w:rPr>
              <w:t>Merck</w:t>
            </w:r>
          </w:p>
          <w:p w14:paraId="4F21873D" w14:textId="77777777" w:rsidR="00E21D34" w:rsidRDefault="00E21D34" w:rsidP="00E21D34">
            <w:pPr>
              <w:pStyle w:val="Standaard-Tabellen"/>
            </w:pPr>
            <w:r w:rsidRPr="00085D9B">
              <w:rPr>
                <w:rFonts w:cs="00nkk"/>
                <w:lang w:val="en-US"/>
              </w:rPr>
              <w:t>KGaA</w:t>
            </w:r>
          </w:p>
        </w:tc>
        <w:tc>
          <w:tcPr>
            <w:tcW w:w="497" w:type="pct"/>
            <w:shd w:val="clear" w:color="auto" w:fill="auto"/>
          </w:tcPr>
          <w:p w14:paraId="544DFF42" w14:textId="77777777" w:rsidR="00E21D34" w:rsidRPr="009B360B" w:rsidRDefault="00E21D34" w:rsidP="00E21D34">
            <w:pPr>
              <w:pStyle w:val="Standaard-Tabellen"/>
              <w:rPr>
                <w:rFonts w:cs="41hbs"/>
                <w:lang w:val="en-US"/>
              </w:rPr>
            </w:pPr>
            <w:r>
              <w:rPr>
                <w:rFonts w:cs="41hbs"/>
                <w:lang w:val="en-US"/>
              </w:rPr>
              <w:t>2006-09-</w:t>
            </w:r>
            <w:r w:rsidRPr="00D91E8E">
              <w:rPr>
                <w:rFonts w:cs="41hbs"/>
                <w:lang w:val="en-US"/>
              </w:rPr>
              <w:t>15</w:t>
            </w:r>
          </w:p>
        </w:tc>
      </w:tr>
      <w:tr w:rsidR="0071129D" w14:paraId="0C89BBDC" w14:textId="77777777" w:rsidTr="00C32207">
        <w:tc>
          <w:tcPr>
            <w:tcW w:w="680" w:type="pct"/>
            <w:shd w:val="clear" w:color="auto" w:fill="auto"/>
          </w:tcPr>
          <w:p w14:paraId="5AFCD816" w14:textId="77777777" w:rsidR="0071129D" w:rsidRPr="0071129D" w:rsidRDefault="0071129D" w:rsidP="0071129D">
            <w:pPr>
              <w:pStyle w:val="Standaard-Tabellen"/>
            </w:pPr>
            <w:r w:rsidRPr="0071129D">
              <w:t>Combescot, C.</w:t>
            </w:r>
          </w:p>
        </w:tc>
        <w:tc>
          <w:tcPr>
            <w:tcW w:w="361" w:type="pct"/>
            <w:shd w:val="clear" w:color="auto" w:fill="auto"/>
          </w:tcPr>
          <w:p w14:paraId="30FAAE3E" w14:textId="77777777" w:rsidR="0071129D" w:rsidRPr="0071129D" w:rsidRDefault="0071129D" w:rsidP="0071129D">
            <w:pPr>
              <w:pStyle w:val="Standaard-Tabellen"/>
            </w:pPr>
            <w:r w:rsidRPr="0071129D">
              <w:t>1993</w:t>
            </w:r>
          </w:p>
        </w:tc>
        <w:tc>
          <w:tcPr>
            <w:tcW w:w="2034" w:type="pct"/>
            <w:shd w:val="clear" w:color="auto" w:fill="auto"/>
          </w:tcPr>
          <w:p w14:paraId="1BFB49BB" w14:textId="77777777" w:rsidR="0071129D" w:rsidRPr="0071129D" w:rsidRDefault="0071129D" w:rsidP="0071129D">
            <w:pPr>
              <w:pStyle w:val="Standaard-Tabellen"/>
            </w:pPr>
            <w:r w:rsidRPr="0071129D">
              <w:t>“Bioclinical in vivo trial to test the efficacy of repellent lotions (insect repellent 3535) in order to prevent re-infestation of lice on humans after the use of a pediculicidal shampoo; Akany Fianakaviana Masina Anhatiazo Centre, Antananarivo, Republic of Madagascar; Report No. AC 93-02; 05.07.1993”</w:t>
            </w:r>
          </w:p>
        </w:tc>
        <w:tc>
          <w:tcPr>
            <w:tcW w:w="758" w:type="pct"/>
            <w:shd w:val="clear" w:color="auto" w:fill="auto"/>
          </w:tcPr>
          <w:p w14:paraId="1248502C" w14:textId="77777777" w:rsidR="0071129D" w:rsidRPr="0071129D" w:rsidRDefault="0071129D" w:rsidP="0071129D">
            <w:pPr>
              <w:pStyle w:val="Standaard-Tabellen"/>
            </w:pPr>
            <w:r w:rsidRPr="0071129D">
              <w:t>336-1905</w:t>
            </w:r>
          </w:p>
        </w:tc>
        <w:tc>
          <w:tcPr>
            <w:tcW w:w="671" w:type="pct"/>
            <w:shd w:val="clear" w:color="auto" w:fill="auto"/>
          </w:tcPr>
          <w:p w14:paraId="7B38552A" w14:textId="77777777" w:rsidR="0071129D" w:rsidRPr="0071129D" w:rsidRDefault="0071129D" w:rsidP="0071129D">
            <w:pPr>
              <w:pStyle w:val="Standaard-Tabellen"/>
            </w:pPr>
            <w:r w:rsidRPr="0071129D">
              <w:t>Merck KGaA</w:t>
            </w:r>
          </w:p>
        </w:tc>
        <w:tc>
          <w:tcPr>
            <w:tcW w:w="497" w:type="pct"/>
            <w:shd w:val="clear" w:color="auto" w:fill="auto"/>
          </w:tcPr>
          <w:p w14:paraId="3B281A67" w14:textId="77777777" w:rsidR="0071129D" w:rsidRPr="0071129D" w:rsidRDefault="0071129D" w:rsidP="0071129D">
            <w:pPr>
              <w:pStyle w:val="Standaard-Tabellen"/>
            </w:pPr>
            <w:r w:rsidRPr="0071129D">
              <w:t>1993-07-05</w:t>
            </w:r>
          </w:p>
        </w:tc>
      </w:tr>
      <w:tr w:rsidR="0071129D" w14:paraId="6D834F34" w14:textId="77777777" w:rsidTr="00C32207">
        <w:tc>
          <w:tcPr>
            <w:tcW w:w="680" w:type="pct"/>
            <w:shd w:val="clear" w:color="auto" w:fill="auto"/>
          </w:tcPr>
          <w:p w14:paraId="1AF8A39E" w14:textId="77777777" w:rsidR="0071129D" w:rsidRPr="0071129D" w:rsidRDefault="0071129D" w:rsidP="0071129D">
            <w:pPr>
              <w:pStyle w:val="Standaard-Tabellen"/>
            </w:pPr>
            <w:r w:rsidRPr="0071129D">
              <w:t>Militäo de Sousa, F. and Lang-Combescot, C.</w:t>
            </w:r>
          </w:p>
        </w:tc>
        <w:tc>
          <w:tcPr>
            <w:tcW w:w="361" w:type="pct"/>
            <w:shd w:val="clear" w:color="auto" w:fill="auto"/>
          </w:tcPr>
          <w:p w14:paraId="4FA99CD2" w14:textId="77777777" w:rsidR="0071129D" w:rsidRPr="0071129D" w:rsidRDefault="0071129D" w:rsidP="0071129D">
            <w:pPr>
              <w:pStyle w:val="Standaard-Tabellen"/>
            </w:pPr>
            <w:r w:rsidRPr="0071129D">
              <w:t>2009</w:t>
            </w:r>
          </w:p>
        </w:tc>
        <w:tc>
          <w:tcPr>
            <w:tcW w:w="2034" w:type="pct"/>
            <w:shd w:val="clear" w:color="auto" w:fill="auto"/>
          </w:tcPr>
          <w:p w14:paraId="38F1F583" w14:textId="77777777" w:rsidR="0071129D" w:rsidRPr="0071129D" w:rsidRDefault="0071129D" w:rsidP="0071129D">
            <w:pPr>
              <w:pStyle w:val="Standaard-Tabellen"/>
            </w:pPr>
            <w:r w:rsidRPr="0071129D">
              <w:t>“Bioclinical Trial To study the efficacy of a product containing Repellent 3535; Veterinary Faculty State University of Ceara, Fortaleza, Brazil; Merck Protocol No. 09-01; 15.07.2009”</w:t>
            </w:r>
          </w:p>
        </w:tc>
        <w:tc>
          <w:tcPr>
            <w:tcW w:w="758" w:type="pct"/>
            <w:shd w:val="clear" w:color="auto" w:fill="auto"/>
          </w:tcPr>
          <w:p w14:paraId="35647889" w14:textId="77777777" w:rsidR="0071129D" w:rsidRPr="0071129D" w:rsidRDefault="0071129D" w:rsidP="0071129D">
            <w:pPr>
              <w:pStyle w:val="Standaard-Tabellen"/>
            </w:pPr>
            <w:r w:rsidRPr="0071129D">
              <w:t>336-1920</w:t>
            </w:r>
          </w:p>
        </w:tc>
        <w:tc>
          <w:tcPr>
            <w:tcW w:w="671" w:type="pct"/>
            <w:shd w:val="clear" w:color="auto" w:fill="auto"/>
          </w:tcPr>
          <w:p w14:paraId="6A70E05B" w14:textId="77777777" w:rsidR="0071129D" w:rsidRPr="0071129D" w:rsidRDefault="0071129D" w:rsidP="0071129D">
            <w:pPr>
              <w:pStyle w:val="Standaard-Tabellen"/>
            </w:pPr>
            <w:r w:rsidRPr="0071129D">
              <w:t>Merck KGaA</w:t>
            </w:r>
          </w:p>
        </w:tc>
        <w:tc>
          <w:tcPr>
            <w:tcW w:w="497" w:type="pct"/>
            <w:shd w:val="clear" w:color="auto" w:fill="auto"/>
          </w:tcPr>
          <w:p w14:paraId="075BF2EE" w14:textId="77777777" w:rsidR="0071129D" w:rsidRPr="0071129D" w:rsidRDefault="0071129D" w:rsidP="0071129D">
            <w:pPr>
              <w:pStyle w:val="Standaard-Tabellen"/>
            </w:pPr>
            <w:r w:rsidRPr="0071129D">
              <w:t>2009-07-15</w:t>
            </w:r>
          </w:p>
        </w:tc>
      </w:tr>
    </w:tbl>
    <w:p w14:paraId="61826750" w14:textId="796F26C3" w:rsidR="00E21D34" w:rsidRDefault="00E21D34" w:rsidP="00E21D34">
      <w:pPr>
        <w:rPr>
          <w:lang w:eastAsia="en-US"/>
        </w:rPr>
      </w:pPr>
    </w:p>
    <w:p w14:paraId="75581B90" w14:textId="77777777" w:rsidR="00D51280" w:rsidRPr="004B537A" w:rsidRDefault="00D51280" w:rsidP="003E3E25">
      <w:pPr>
        <w:pStyle w:val="Paragraphedeliste"/>
        <w:widowControl w:val="0"/>
        <w:numPr>
          <w:ilvl w:val="0"/>
          <w:numId w:val="36"/>
        </w:numPr>
        <w:kinsoku w:val="0"/>
        <w:overflowPunct w:val="0"/>
        <w:autoSpaceDE w:val="0"/>
        <w:autoSpaceDN w:val="0"/>
        <w:adjustRightInd w:val="0"/>
        <w:spacing w:before="292" w:after="0" w:line="290" w:lineRule="exact"/>
        <w:ind w:right="216"/>
        <w:contextualSpacing w:val="0"/>
        <w:jc w:val="both"/>
        <w:textAlignment w:val="baseline"/>
        <w:rPr>
          <w:rFonts w:cs="Arial"/>
          <w:spacing w:val="1"/>
          <w:u w:val="single"/>
          <w:lang w:val="en-US" w:eastAsia="fr-FR"/>
        </w:rPr>
      </w:pPr>
      <w:r w:rsidRPr="00D525BB">
        <w:rPr>
          <w:rFonts w:cs="Arial"/>
          <w:b/>
          <w:spacing w:val="1"/>
          <w:u w:val="single"/>
          <w:lang w:val="en-US" w:eastAsia="fr-FR"/>
        </w:rPr>
        <w:t xml:space="preserve">Major change application </w:t>
      </w:r>
      <w:r>
        <w:rPr>
          <w:rFonts w:cs="Arial"/>
          <w:b/>
          <w:spacing w:val="1"/>
          <w:u w:val="single"/>
          <w:lang w:val="en-US" w:eastAsia="fr-FR"/>
        </w:rPr>
        <w:t>–</w:t>
      </w:r>
      <w:r w:rsidRPr="00D525BB">
        <w:rPr>
          <w:rFonts w:cs="Arial"/>
          <w:b/>
          <w:spacing w:val="1"/>
          <w:u w:val="single"/>
          <w:lang w:val="en-US" w:eastAsia="fr-FR"/>
        </w:rPr>
        <w:t xml:space="preserve"> 2019</w:t>
      </w:r>
    </w:p>
    <w:p w14:paraId="382EFD27" w14:textId="35A0D47A" w:rsidR="00D51280" w:rsidRPr="00E21D34" w:rsidRDefault="00D51280" w:rsidP="003E3E25">
      <w:pPr>
        <w:rPr>
          <w:lang w:eastAsia="en-US"/>
        </w:rPr>
      </w:pPr>
    </w:p>
    <w:tbl>
      <w:tblPr>
        <w:tblW w:w="9122" w:type="dxa"/>
        <w:tblLayout w:type="fixed"/>
        <w:tblLook w:val="04A0" w:firstRow="1" w:lastRow="0" w:firstColumn="1" w:lastColumn="0" w:noHBand="0" w:noVBand="1"/>
      </w:tblPr>
      <w:tblGrid>
        <w:gridCol w:w="1471"/>
        <w:gridCol w:w="855"/>
        <w:gridCol w:w="3311"/>
        <w:gridCol w:w="1021"/>
        <w:gridCol w:w="1247"/>
        <w:gridCol w:w="1217"/>
      </w:tblGrid>
      <w:tr w:rsidR="004E1CC8" w:rsidRPr="00451C4F" w14:paraId="6D928D90" w14:textId="77777777" w:rsidTr="003E3E25">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2FC93FB1" w14:textId="77777777" w:rsidR="004E1CC8" w:rsidRPr="00803DCF" w:rsidRDefault="004E1CC8" w:rsidP="003E3E25">
            <w:pPr>
              <w:jc w:val="center"/>
              <w:rPr>
                <w:rFonts w:cs="Arial"/>
                <w:b/>
                <w:bCs/>
                <w:sz w:val="18"/>
                <w:lang w:val="en-US" w:eastAsia="en-US"/>
              </w:rPr>
            </w:pPr>
            <w:r w:rsidRPr="00803DCF">
              <w:rPr>
                <w:rFonts w:cs="Arial"/>
                <w:b/>
                <w:bCs/>
                <w:sz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569D3C8C" w14:textId="77777777" w:rsidR="004E1CC8" w:rsidRPr="00803DCF" w:rsidRDefault="004E1CC8" w:rsidP="003E3E25">
            <w:pPr>
              <w:jc w:val="center"/>
              <w:rPr>
                <w:rFonts w:cs="Arial"/>
                <w:b/>
                <w:bCs/>
                <w:sz w:val="18"/>
                <w:lang w:val="en-US" w:eastAsia="en-US"/>
              </w:rPr>
            </w:pPr>
            <w:r w:rsidRPr="00803DCF">
              <w:rPr>
                <w:rFonts w:cs="Arial"/>
                <w:b/>
                <w:bCs/>
                <w:sz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69289921" w14:textId="77777777" w:rsidR="004E1CC8" w:rsidRPr="00803DCF" w:rsidRDefault="004E1CC8" w:rsidP="003E3E25">
            <w:pPr>
              <w:jc w:val="center"/>
              <w:rPr>
                <w:rFonts w:cs="Arial"/>
                <w:b/>
                <w:bCs/>
                <w:sz w:val="18"/>
                <w:lang w:val="en-US" w:eastAsia="en-US"/>
              </w:rPr>
            </w:pPr>
            <w:r w:rsidRPr="00803DCF">
              <w:rPr>
                <w:rFonts w:cs="Arial"/>
                <w:b/>
                <w:bCs/>
                <w:sz w:val="18"/>
                <w:lang w:val="en-US" w:eastAsia="en-US"/>
              </w:rPr>
              <w:t>Title.</w:t>
            </w:r>
            <w:r w:rsidRPr="00803DCF">
              <w:rPr>
                <w:rFonts w:cs="Arial"/>
                <w:b/>
                <w:bCs/>
                <w:sz w:val="18"/>
                <w:lang w:val="en-US" w:eastAsia="en-US"/>
              </w:rPr>
              <w:br/>
              <w:t>Source (where different from company) Company, Report No. GLP (where relevant) / (Un)Published</w:t>
            </w:r>
          </w:p>
        </w:tc>
        <w:tc>
          <w:tcPr>
            <w:tcW w:w="1021" w:type="dxa"/>
            <w:tcBorders>
              <w:top w:val="single" w:sz="4" w:space="0" w:color="auto"/>
              <w:left w:val="nil"/>
              <w:bottom w:val="single" w:sz="4" w:space="0" w:color="auto"/>
              <w:right w:val="single" w:sz="4" w:space="0" w:color="auto"/>
            </w:tcBorders>
            <w:shd w:val="clear" w:color="auto" w:fill="auto"/>
            <w:hideMark/>
          </w:tcPr>
          <w:p w14:paraId="558771C3" w14:textId="77777777" w:rsidR="004E1CC8" w:rsidRPr="00803DCF" w:rsidRDefault="004E1CC8" w:rsidP="003E3E25">
            <w:pPr>
              <w:jc w:val="center"/>
              <w:rPr>
                <w:rFonts w:cs="Arial"/>
                <w:b/>
                <w:bCs/>
                <w:sz w:val="18"/>
                <w:lang w:val="en-US" w:eastAsia="en-US"/>
              </w:rPr>
            </w:pPr>
            <w:r w:rsidRPr="00803DCF">
              <w:rPr>
                <w:rFonts w:cs="Arial"/>
                <w:b/>
                <w:bCs/>
                <w:sz w:val="18"/>
                <w:lang w:val="en-US" w:eastAsia="en-US"/>
              </w:rPr>
              <w:t>Data Protection Claimed (Yes/No)</w:t>
            </w:r>
          </w:p>
        </w:tc>
        <w:tc>
          <w:tcPr>
            <w:tcW w:w="1247" w:type="dxa"/>
            <w:tcBorders>
              <w:top w:val="single" w:sz="4" w:space="0" w:color="auto"/>
              <w:left w:val="nil"/>
              <w:bottom w:val="single" w:sz="4" w:space="0" w:color="auto"/>
              <w:right w:val="single" w:sz="4" w:space="0" w:color="auto"/>
            </w:tcBorders>
            <w:shd w:val="clear" w:color="auto" w:fill="auto"/>
            <w:hideMark/>
          </w:tcPr>
          <w:p w14:paraId="48241976" w14:textId="77777777" w:rsidR="004E1CC8" w:rsidRPr="00803DCF" w:rsidRDefault="004E1CC8" w:rsidP="003E3E25">
            <w:pPr>
              <w:jc w:val="center"/>
              <w:rPr>
                <w:rFonts w:cs="Arial"/>
                <w:b/>
                <w:bCs/>
                <w:sz w:val="18"/>
                <w:lang w:val="en-US" w:eastAsia="en-US"/>
              </w:rPr>
            </w:pPr>
            <w:r w:rsidRPr="00803DCF">
              <w:rPr>
                <w:rFonts w:cs="Arial"/>
                <w:b/>
                <w:bCs/>
                <w:sz w:val="18"/>
                <w:lang w:val="en-US" w:eastAsia="en-US"/>
              </w:rPr>
              <w:t>Owner (PUB / ORG)</w:t>
            </w:r>
          </w:p>
        </w:tc>
        <w:tc>
          <w:tcPr>
            <w:tcW w:w="1217" w:type="dxa"/>
            <w:tcBorders>
              <w:top w:val="single" w:sz="4" w:space="0" w:color="auto"/>
              <w:left w:val="nil"/>
              <w:bottom w:val="single" w:sz="4" w:space="0" w:color="auto"/>
              <w:right w:val="single" w:sz="4" w:space="0" w:color="auto"/>
            </w:tcBorders>
            <w:shd w:val="clear" w:color="auto" w:fill="auto"/>
            <w:hideMark/>
          </w:tcPr>
          <w:p w14:paraId="2BF1929E" w14:textId="77777777" w:rsidR="004E1CC8" w:rsidRPr="00803DCF" w:rsidRDefault="004E1CC8" w:rsidP="003E3E25">
            <w:pPr>
              <w:jc w:val="center"/>
              <w:rPr>
                <w:rFonts w:cs="Arial"/>
                <w:b/>
                <w:bCs/>
                <w:sz w:val="18"/>
                <w:lang w:val="en-US" w:eastAsia="en-US"/>
              </w:rPr>
            </w:pPr>
            <w:r w:rsidRPr="00803DCF">
              <w:rPr>
                <w:rFonts w:cs="Arial"/>
                <w:b/>
                <w:bCs/>
                <w:sz w:val="18"/>
                <w:lang w:val="en-US" w:eastAsia="en-US"/>
              </w:rPr>
              <w:t>Date of first submission</w:t>
            </w:r>
          </w:p>
        </w:tc>
      </w:tr>
      <w:tr w:rsidR="004E1CC8" w:rsidRPr="00451C4F" w14:paraId="4DF47DF9" w14:textId="77777777" w:rsidTr="003E3E25">
        <w:trPr>
          <w:trHeight w:val="1680"/>
        </w:trPr>
        <w:tc>
          <w:tcPr>
            <w:tcW w:w="1471" w:type="dxa"/>
            <w:tcBorders>
              <w:top w:val="nil"/>
              <w:left w:val="single" w:sz="4" w:space="0" w:color="auto"/>
              <w:bottom w:val="single" w:sz="4" w:space="0" w:color="auto"/>
              <w:right w:val="single" w:sz="4" w:space="0" w:color="auto"/>
            </w:tcBorders>
            <w:shd w:val="clear" w:color="auto" w:fill="auto"/>
          </w:tcPr>
          <w:p w14:paraId="2A4DC92C" w14:textId="77777777" w:rsidR="004E1CC8" w:rsidRPr="002D3515" w:rsidRDefault="004E1CC8" w:rsidP="003E3E25">
            <w:pPr>
              <w:pStyle w:val="Absatz"/>
              <w:ind w:left="0"/>
              <w:jc w:val="center"/>
              <w:rPr>
                <w:rFonts w:ascii="Verdana" w:hAnsi="Verdana"/>
                <w:lang w:eastAsia="en-US"/>
              </w:rPr>
            </w:pPr>
            <w:r w:rsidRPr="002D3515">
              <w:rPr>
                <w:rFonts w:ascii="Verdana" w:hAnsi="Verdana"/>
                <w:lang w:eastAsia="en-US"/>
              </w:rPr>
              <w:t>Serrano, B.</w:t>
            </w:r>
          </w:p>
        </w:tc>
        <w:tc>
          <w:tcPr>
            <w:tcW w:w="855" w:type="dxa"/>
            <w:tcBorders>
              <w:top w:val="nil"/>
              <w:left w:val="nil"/>
              <w:bottom w:val="single" w:sz="4" w:space="0" w:color="auto"/>
              <w:right w:val="single" w:sz="4" w:space="0" w:color="auto"/>
            </w:tcBorders>
            <w:shd w:val="clear" w:color="auto" w:fill="auto"/>
          </w:tcPr>
          <w:p w14:paraId="052B5A34"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2018</w:t>
            </w:r>
          </w:p>
        </w:tc>
        <w:tc>
          <w:tcPr>
            <w:tcW w:w="3311" w:type="dxa"/>
            <w:tcBorders>
              <w:top w:val="nil"/>
              <w:left w:val="nil"/>
              <w:bottom w:val="single" w:sz="4" w:space="0" w:color="auto"/>
              <w:right w:val="single" w:sz="4" w:space="0" w:color="auto"/>
            </w:tcBorders>
            <w:shd w:val="clear" w:color="auto" w:fill="auto"/>
          </w:tcPr>
          <w:p w14:paraId="6B303FB9" w14:textId="77777777" w:rsidR="004E1CC8" w:rsidRPr="005741B7" w:rsidRDefault="004E1CC8" w:rsidP="003E3E25">
            <w:pPr>
              <w:pStyle w:val="Absatz"/>
              <w:ind w:left="0"/>
              <w:rPr>
                <w:rFonts w:ascii="Verdana" w:hAnsi="Verdana"/>
                <w:lang w:eastAsia="en-US"/>
              </w:rPr>
            </w:pPr>
            <w:r w:rsidRPr="005741B7">
              <w:rPr>
                <w:rFonts w:ascii="Verdana" w:hAnsi="Verdana"/>
                <w:lang w:eastAsia="en-US"/>
              </w:rPr>
              <w:t>LABORATORY ASSESSMENT OF A PERSONAL SKIN REPELLENT AGAINST MOSQUITOES</w:t>
            </w:r>
            <w:r>
              <w:rPr>
                <w:rFonts w:ascii="Verdana" w:hAnsi="Verdana"/>
                <w:lang w:eastAsia="en-US"/>
              </w:rPr>
              <w:t xml:space="preserve"> - </w:t>
            </w:r>
            <w:r w:rsidRPr="005741B7">
              <w:rPr>
                <w:rFonts w:ascii="Verdana" w:hAnsi="Verdana"/>
                <w:lang w:eastAsia="en-US"/>
              </w:rPr>
              <w:t xml:space="preserve">Trial against </w:t>
            </w:r>
            <w:r w:rsidRPr="003F77BE">
              <w:rPr>
                <w:rFonts w:ascii="Verdana" w:hAnsi="Verdana"/>
                <w:i/>
                <w:lang w:eastAsia="en-US"/>
              </w:rPr>
              <w:t>Aedes aegypti</w:t>
            </w:r>
            <w:r w:rsidRPr="005741B7">
              <w:rPr>
                <w:rFonts w:ascii="Verdana" w:hAnsi="Verdana"/>
                <w:lang w:eastAsia="en-US"/>
              </w:rPr>
              <w:t xml:space="preserve">, </w:t>
            </w:r>
            <w:r w:rsidRPr="003F77BE">
              <w:rPr>
                <w:rFonts w:ascii="Verdana" w:hAnsi="Verdana"/>
                <w:i/>
                <w:lang w:eastAsia="en-US"/>
              </w:rPr>
              <w:t>Culex quinquefasciatus</w:t>
            </w:r>
            <w:r>
              <w:rPr>
                <w:rFonts w:ascii="Verdana" w:hAnsi="Verdana"/>
                <w:lang w:eastAsia="en-US"/>
              </w:rPr>
              <w:t xml:space="preserve"> - </w:t>
            </w:r>
            <w:r w:rsidRPr="005741B7">
              <w:rPr>
                <w:rFonts w:ascii="Verdana" w:hAnsi="Verdana"/>
                <w:lang w:eastAsia="en-US"/>
              </w:rPr>
              <w:t>Test product: SPRAY IR3535 20% ANTI POUX</w:t>
            </w:r>
            <w:r>
              <w:rPr>
                <w:rFonts w:ascii="Verdana" w:hAnsi="Verdana"/>
                <w:lang w:eastAsia="en-US"/>
              </w:rPr>
              <w:t xml:space="preserve">, Report No </w:t>
            </w:r>
            <w:r w:rsidRPr="005741B7">
              <w:rPr>
                <w:rFonts w:ascii="Verdana" w:hAnsi="Verdana"/>
                <w:lang w:eastAsia="en-US"/>
              </w:rPr>
              <w:t>2302-IR353520%-mosq-AIC/0118R</w:t>
            </w:r>
          </w:p>
        </w:tc>
        <w:tc>
          <w:tcPr>
            <w:tcW w:w="1021" w:type="dxa"/>
            <w:tcBorders>
              <w:top w:val="nil"/>
              <w:left w:val="nil"/>
              <w:bottom w:val="single" w:sz="4" w:space="0" w:color="auto"/>
              <w:right w:val="single" w:sz="4" w:space="0" w:color="auto"/>
            </w:tcBorders>
            <w:shd w:val="clear" w:color="auto" w:fill="auto"/>
          </w:tcPr>
          <w:p w14:paraId="35099D4F" w14:textId="77777777" w:rsidR="004E1CC8" w:rsidRPr="005741B7" w:rsidRDefault="004E1CC8" w:rsidP="003E3E25">
            <w:pPr>
              <w:pStyle w:val="Absatz"/>
              <w:ind w:left="0"/>
              <w:rPr>
                <w:rFonts w:ascii="Verdana" w:hAnsi="Verdana"/>
                <w:lang w:eastAsia="en-US"/>
              </w:rPr>
            </w:pPr>
            <w:r>
              <w:rPr>
                <w:rFonts w:ascii="Verdana" w:hAnsi="Verdana"/>
                <w:lang w:eastAsia="en-US"/>
              </w:rPr>
              <w:t>YES</w:t>
            </w:r>
          </w:p>
        </w:tc>
        <w:tc>
          <w:tcPr>
            <w:tcW w:w="1247" w:type="dxa"/>
            <w:tcBorders>
              <w:top w:val="nil"/>
              <w:left w:val="nil"/>
              <w:bottom w:val="single" w:sz="4" w:space="0" w:color="auto"/>
              <w:right w:val="single" w:sz="4" w:space="0" w:color="auto"/>
            </w:tcBorders>
            <w:shd w:val="clear" w:color="auto" w:fill="auto"/>
          </w:tcPr>
          <w:p w14:paraId="4CE4B857" w14:textId="77777777" w:rsidR="004E1CC8" w:rsidRDefault="004E1CC8" w:rsidP="003E3E25">
            <w:pPr>
              <w:pStyle w:val="Absatz"/>
              <w:ind w:left="0"/>
              <w:rPr>
                <w:rFonts w:ascii="Verdana" w:hAnsi="Verdana"/>
                <w:lang w:eastAsia="en-US"/>
              </w:rPr>
            </w:pPr>
            <w:r>
              <w:rPr>
                <w:rFonts w:ascii="Verdana" w:hAnsi="Verdana"/>
                <w:lang w:eastAsia="en-US"/>
              </w:rPr>
              <w:t>Terrium</w:t>
            </w:r>
          </w:p>
        </w:tc>
        <w:tc>
          <w:tcPr>
            <w:tcW w:w="1217" w:type="dxa"/>
            <w:tcBorders>
              <w:top w:val="nil"/>
              <w:left w:val="nil"/>
              <w:bottom w:val="single" w:sz="4" w:space="0" w:color="auto"/>
              <w:right w:val="single" w:sz="4" w:space="0" w:color="auto"/>
            </w:tcBorders>
            <w:shd w:val="clear" w:color="auto" w:fill="auto"/>
          </w:tcPr>
          <w:p w14:paraId="7D80B6DF" w14:textId="77777777" w:rsidR="004E1CC8" w:rsidRDefault="004E1CC8" w:rsidP="003E3E25">
            <w:pPr>
              <w:pStyle w:val="Absatz"/>
              <w:ind w:left="0"/>
              <w:rPr>
                <w:rFonts w:ascii="Verdana" w:hAnsi="Verdana"/>
                <w:lang w:eastAsia="en-US"/>
              </w:rPr>
            </w:pPr>
            <w:r>
              <w:rPr>
                <w:rFonts w:ascii="Verdana" w:hAnsi="Verdana"/>
                <w:lang w:eastAsia="en-US"/>
              </w:rPr>
              <w:t>24/04/2018</w:t>
            </w:r>
          </w:p>
        </w:tc>
      </w:tr>
      <w:tr w:rsidR="004E1CC8" w:rsidRPr="00451C4F" w14:paraId="1FBCD59C" w14:textId="77777777" w:rsidTr="003E3E25">
        <w:trPr>
          <w:trHeight w:val="1680"/>
        </w:trPr>
        <w:tc>
          <w:tcPr>
            <w:tcW w:w="1471" w:type="dxa"/>
            <w:tcBorders>
              <w:top w:val="nil"/>
              <w:left w:val="single" w:sz="4" w:space="0" w:color="auto"/>
              <w:bottom w:val="single" w:sz="4" w:space="0" w:color="auto"/>
              <w:right w:val="single" w:sz="4" w:space="0" w:color="auto"/>
            </w:tcBorders>
            <w:shd w:val="clear" w:color="auto" w:fill="auto"/>
          </w:tcPr>
          <w:p w14:paraId="3791A821" w14:textId="77777777" w:rsidR="004E1CC8" w:rsidRPr="002D3515" w:rsidRDefault="004E1CC8" w:rsidP="003E3E25">
            <w:pPr>
              <w:pStyle w:val="Absatz"/>
              <w:ind w:left="0"/>
              <w:jc w:val="center"/>
              <w:rPr>
                <w:rFonts w:ascii="Verdana" w:hAnsi="Verdana"/>
                <w:lang w:eastAsia="en-US"/>
              </w:rPr>
            </w:pPr>
            <w:r w:rsidRPr="002D3515">
              <w:rPr>
                <w:rFonts w:ascii="Verdana" w:hAnsi="Verdana"/>
                <w:lang w:eastAsia="en-US"/>
              </w:rPr>
              <w:t>Serrano, B.</w:t>
            </w:r>
          </w:p>
        </w:tc>
        <w:tc>
          <w:tcPr>
            <w:tcW w:w="855" w:type="dxa"/>
            <w:tcBorders>
              <w:top w:val="nil"/>
              <w:left w:val="nil"/>
              <w:bottom w:val="single" w:sz="4" w:space="0" w:color="auto"/>
              <w:right w:val="single" w:sz="4" w:space="0" w:color="auto"/>
            </w:tcBorders>
            <w:shd w:val="clear" w:color="auto" w:fill="auto"/>
          </w:tcPr>
          <w:p w14:paraId="69EBB854"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2018</w:t>
            </w:r>
          </w:p>
        </w:tc>
        <w:tc>
          <w:tcPr>
            <w:tcW w:w="3311" w:type="dxa"/>
            <w:tcBorders>
              <w:top w:val="nil"/>
              <w:left w:val="nil"/>
              <w:bottom w:val="single" w:sz="4" w:space="0" w:color="auto"/>
              <w:right w:val="single" w:sz="4" w:space="0" w:color="auto"/>
            </w:tcBorders>
            <w:shd w:val="clear" w:color="auto" w:fill="auto"/>
          </w:tcPr>
          <w:p w14:paraId="130B4D27"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LABORATORY ASSESSMENT OF A PERSONAL SKIN REPELLENT AGAINST MOSQUITOES</w:t>
            </w:r>
            <w:r>
              <w:rPr>
                <w:rFonts w:ascii="Verdana" w:hAnsi="Verdana"/>
                <w:lang w:eastAsia="en-US"/>
              </w:rPr>
              <w:t xml:space="preserve"> - </w:t>
            </w:r>
            <w:r w:rsidRPr="002D3515">
              <w:rPr>
                <w:rFonts w:ascii="Verdana" w:hAnsi="Verdana"/>
                <w:lang w:eastAsia="en-US"/>
              </w:rPr>
              <w:t xml:space="preserve">Trial against </w:t>
            </w:r>
            <w:r w:rsidRPr="008A1203">
              <w:rPr>
                <w:rFonts w:ascii="Verdana" w:hAnsi="Verdana"/>
                <w:i/>
                <w:lang w:eastAsia="en-US"/>
              </w:rPr>
              <w:t>Aedes albopictus</w:t>
            </w:r>
            <w:r w:rsidRPr="002D3515">
              <w:rPr>
                <w:rFonts w:ascii="Verdana" w:hAnsi="Verdana"/>
                <w:lang w:eastAsia="en-US"/>
              </w:rPr>
              <w:t xml:space="preserve">, </w:t>
            </w:r>
            <w:r w:rsidRPr="008A1203">
              <w:rPr>
                <w:rFonts w:ascii="Verdana" w:hAnsi="Verdana"/>
                <w:i/>
                <w:lang w:eastAsia="en-US"/>
              </w:rPr>
              <w:t>Anopheles gambiae</w:t>
            </w:r>
            <w:r>
              <w:rPr>
                <w:rFonts w:ascii="Verdana" w:hAnsi="Verdana"/>
                <w:lang w:eastAsia="en-US"/>
              </w:rPr>
              <w:t xml:space="preserve"> - </w:t>
            </w:r>
            <w:r w:rsidRPr="002D3515">
              <w:rPr>
                <w:rFonts w:ascii="Verdana" w:hAnsi="Verdana"/>
                <w:lang w:eastAsia="en-US"/>
              </w:rPr>
              <w:t>Test product: SPRAY IR3535 20% ANTI POUX</w:t>
            </w:r>
            <w:r>
              <w:rPr>
                <w:rFonts w:ascii="Verdana" w:hAnsi="Verdana"/>
                <w:lang w:eastAsia="en-US"/>
              </w:rPr>
              <w:t xml:space="preserve">, Report No </w:t>
            </w:r>
            <w:r w:rsidRPr="002D3515">
              <w:rPr>
                <w:rFonts w:ascii="Verdana" w:hAnsi="Verdana"/>
                <w:lang w:eastAsia="en-US"/>
              </w:rPr>
              <w:t>2302-IR353520%-mosq2-AIC/0118</w:t>
            </w:r>
          </w:p>
        </w:tc>
        <w:tc>
          <w:tcPr>
            <w:tcW w:w="1021" w:type="dxa"/>
            <w:tcBorders>
              <w:top w:val="nil"/>
              <w:left w:val="nil"/>
              <w:bottom w:val="single" w:sz="4" w:space="0" w:color="auto"/>
              <w:right w:val="single" w:sz="4" w:space="0" w:color="auto"/>
            </w:tcBorders>
            <w:shd w:val="clear" w:color="auto" w:fill="auto"/>
          </w:tcPr>
          <w:p w14:paraId="339B9474" w14:textId="77777777" w:rsidR="004E1CC8" w:rsidRPr="002D3515" w:rsidRDefault="004E1CC8" w:rsidP="003E3E25">
            <w:pPr>
              <w:pStyle w:val="Absatz"/>
              <w:ind w:left="0"/>
              <w:rPr>
                <w:rFonts w:ascii="Verdana" w:hAnsi="Verdana"/>
                <w:lang w:eastAsia="en-US"/>
              </w:rPr>
            </w:pPr>
            <w:r>
              <w:rPr>
                <w:rFonts w:ascii="Verdana" w:hAnsi="Verdana"/>
                <w:lang w:eastAsia="en-US"/>
              </w:rPr>
              <w:t>YES</w:t>
            </w:r>
          </w:p>
        </w:tc>
        <w:tc>
          <w:tcPr>
            <w:tcW w:w="1247" w:type="dxa"/>
            <w:tcBorders>
              <w:top w:val="nil"/>
              <w:left w:val="nil"/>
              <w:bottom w:val="single" w:sz="4" w:space="0" w:color="auto"/>
              <w:right w:val="single" w:sz="4" w:space="0" w:color="auto"/>
            </w:tcBorders>
            <w:shd w:val="clear" w:color="auto" w:fill="auto"/>
          </w:tcPr>
          <w:p w14:paraId="729B0453"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Terrium</w:t>
            </w:r>
          </w:p>
        </w:tc>
        <w:tc>
          <w:tcPr>
            <w:tcW w:w="1217" w:type="dxa"/>
            <w:tcBorders>
              <w:top w:val="nil"/>
              <w:left w:val="nil"/>
              <w:bottom w:val="single" w:sz="4" w:space="0" w:color="auto"/>
              <w:right w:val="single" w:sz="4" w:space="0" w:color="auto"/>
            </w:tcBorders>
            <w:shd w:val="clear" w:color="auto" w:fill="auto"/>
          </w:tcPr>
          <w:p w14:paraId="4001CA5B"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06/06/2018</w:t>
            </w:r>
          </w:p>
        </w:tc>
      </w:tr>
      <w:tr w:rsidR="004E1CC8" w:rsidRPr="00451C4F" w14:paraId="2A9FADCF" w14:textId="77777777" w:rsidTr="003E3E25">
        <w:trPr>
          <w:trHeight w:val="1680"/>
        </w:trPr>
        <w:tc>
          <w:tcPr>
            <w:tcW w:w="1471" w:type="dxa"/>
            <w:tcBorders>
              <w:top w:val="nil"/>
              <w:left w:val="single" w:sz="4" w:space="0" w:color="auto"/>
              <w:bottom w:val="single" w:sz="4" w:space="0" w:color="auto"/>
              <w:right w:val="single" w:sz="4" w:space="0" w:color="auto"/>
            </w:tcBorders>
            <w:shd w:val="clear" w:color="auto" w:fill="auto"/>
          </w:tcPr>
          <w:p w14:paraId="2A5B7F44" w14:textId="77777777" w:rsidR="004E1CC8" w:rsidRPr="002D3515" w:rsidRDefault="004E1CC8" w:rsidP="003E3E25">
            <w:pPr>
              <w:pStyle w:val="Absatz"/>
              <w:ind w:left="0"/>
              <w:jc w:val="center"/>
              <w:rPr>
                <w:rFonts w:ascii="Verdana" w:hAnsi="Verdana"/>
                <w:lang w:eastAsia="en-US"/>
              </w:rPr>
            </w:pPr>
            <w:r w:rsidRPr="002D3515">
              <w:rPr>
                <w:rFonts w:ascii="Verdana" w:hAnsi="Verdana"/>
                <w:lang w:eastAsia="en-US"/>
              </w:rPr>
              <w:t>Serrano, B.</w:t>
            </w:r>
          </w:p>
        </w:tc>
        <w:tc>
          <w:tcPr>
            <w:tcW w:w="855" w:type="dxa"/>
            <w:tcBorders>
              <w:top w:val="nil"/>
              <w:left w:val="nil"/>
              <w:bottom w:val="single" w:sz="4" w:space="0" w:color="auto"/>
              <w:right w:val="single" w:sz="4" w:space="0" w:color="auto"/>
            </w:tcBorders>
            <w:shd w:val="clear" w:color="auto" w:fill="auto"/>
          </w:tcPr>
          <w:p w14:paraId="132E1305"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2018</w:t>
            </w:r>
          </w:p>
        </w:tc>
        <w:tc>
          <w:tcPr>
            <w:tcW w:w="3311" w:type="dxa"/>
            <w:tcBorders>
              <w:top w:val="nil"/>
              <w:left w:val="nil"/>
              <w:bottom w:val="single" w:sz="4" w:space="0" w:color="auto"/>
              <w:right w:val="single" w:sz="4" w:space="0" w:color="auto"/>
            </w:tcBorders>
            <w:shd w:val="clear" w:color="auto" w:fill="auto"/>
          </w:tcPr>
          <w:p w14:paraId="699C6CF2" w14:textId="77777777" w:rsidR="004E1CC8" w:rsidRPr="002D3515" w:rsidRDefault="004E1CC8" w:rsidP="003E3E25">
            <w:pPr>
              <w:pStyle w:val="Absatz"/>
              <w:ind w:left="0"/>
              <w:rPr>
                <w:rFonts w:ascii="Verdana" w:hAnsi="Verdana"/>
                <w:lang w:eastAsia="en-US"/>
              </w:rPr>
            </w:pPr>
            <w:r w:rsidRPr="005741B7">
              <w:rPr>
                <w:rFonts w:ascii="Verdana" w:hAnsi="Verdana"/>
                <w:lang w:eastAsia="en-US"/>
              </w:rPr>
              <w:t>LABORATORY ASSESSMENT OF A FABRIC TREATMENT INTENDED TO PROTECT FROM MOSQUITOES BITES</w:t>
            </w:r>
            <w:r>
              <w:rPr>
                <w:rFonts w:ascii="Verdana" w:hAnsi="Verdana"/>
                <w:lang w:eastAsia="en-US"/>
              </w:rPr>
              <w:t xml:space="preserve"> - </w:t>
            </w:r>
            <w:r w:rsidRPr="005741B7">
              <w:rPr>
                <w:rFonts w:ascii="Verdana" w:hAnsi="Verdana"/>
                <w:lang w:eastAsia="en-US"/>
              </w:rPr>
              <w:t xml:space="preserve">Trial against </w:t>
            </w:r>
            <w:r w:rsidRPr="00BA6672">
              <w:rPr>
                <w:rFonts w:ascii="Verdana" w:hAnsi="Verdana"/>
                <w:i/>
                <w:lang w:eastAsia="en-US"/>
              </w:rPr>
              <w:t>Aedes aegypti, Aedes albopictus, Culex quinquefasciatus, Anopheles gambiae</w:t>
            </w:r>
            <w:r>
              <w:rPr>
                <w:rFonts w:ascii="Verdana" w:hAnsi="Verdana"/>
                <w:lang w:eastAsia="en-US"/>
              </w:rPr>
              <w:t xml:space="preserve"> - </w:t>
            </w:r>
            <w:r w:rsidRPr="005741B7">
              <w:rPr>
                <w:rFonts w:ascii="Verdana" w:hAnsi="Verdana"/>
                <w:lang w:eastAsia="en-US"/>
              </w:rPr>
              <w:t>Test product: SPRAY IR3535 20% ANTI-POUX</w:t>
            </w:r>
            <w:r>
              <w:rPr>
                <w:rFonts w:ascii="Verdana" w:hAnsi="Verdana"/>
                <w:lang w:eastAsia="en-US"/>
              </w:rPr>
              <w:t xml:space="preserve">, Report No </w:t>
            </w:r>
            <w:r w:rsidRPr="005741B7">
              <w:rPr>
                <w:rFonts w:ascii="Verdana" w:hAnsi="Verdana"/>
                <w:lang w:eastAsia="en-US"/>
              </w:rPr>
              <w:t>2302-mosq/0118</w:t>
            </w:r>
          </w:p>
        </w:tc>
        <w:tc>
          <w:tcPr>
            <w:tcW w:w="1021" w:type="dxa"/>
            <w:tcBorders>
              <w:top w:val="nil"/>
              <w:left w:val="nil"/>
              <w:bottom w:val="single" w:sz="4" w:space="0" w:color="auto"/>
              <w:right w:val="single" w:sz="4" w:space="0" w:color="auto"/>
            </w:tcBorders>
            <w:shd w:val="clear" w:color="auto" w:fill="auto"/>
          </w:tcPr>
          <w:p w14:paraId="310C80B8" w14:textId="77777777" w:rsidR="004E1CC8" w:rsidRPr="002D3515" w:rsidRDefault="004E1CC8" w:rsidP="003E3E25">
            <w:pPr>
              <w:pStyle w:val="Absatz"/>
              <w:ind w:left="0"/>
              <w:rPr>
                <w:rFonts w:ascii="Verdana" w:hAnsi="Verdana"/>
                <w:lang w:eastAsia="en-US"/>
              </w:rPr>
            </w:pPr>
            <w:r>
              <w:rPr>
                <w:rFonts w:ascii="Verdana" w:hAnsi="Verdana"/>
                <w:lang w:eastAsia="en-US"/>
              </w:rPr>
              <w:t>YES</w:t>
            </w:r>
          </w:p>
        </w:tc>
        <w:tc>
          <w:tcPr>
            <w:tcW w:w="1247" w:type="dxa"/>
            <w:tcBorders>
              <w:top w:val="nil"/>
              <w:left w:val="nil"/>
              <w:bottom w:val="single" w:sz="4" w:space="0" w:color="auto"/>
              <w:right w:val="single" w:sz="4" w:space="0" w:color="auto"/>
            </w:tcBorders>
            <w:shd w:val="clear" w:color="auto" w:fill="auto"/>
          </w:tcPr>
          <w:p w14:paraId="47B2CF89"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Terrium</w:t>
            </w:r>
          </w:p>
        </w:tc>
        <w:tc>
          <w:tcPr>
            <w:tcW w:w="1217" w:type="dxa"/>
            <w:tcBorders>
              <w:top w:val="nil"/>
              <w:left w:val="nil"/>
              <w:bottom w:val="single" w:sz="4" w:space="0" w:color="auto"/>
              <w:right w:val="single" w:sz="4" w:space="0" w:color="auto"/>
            </w:tcBorders>
            <w:shd w:val="clear" w:color="auto" w:fill="auto"/>
          </w:tcPr>
          <w:p w14:paraId="31D0998E" w14:textId="77777777" w:rsidR="004E1CC8" w:rsidRPr="002D3515" w:rsidRDefault="004E1CC8" w:rsidP="003E3E25">
            <w:pPr>
              <w:pStyle w:val="Absatz"/>
              <w:ind w:left="0"/>
              <w:rPr>
                <w:rFonts w:ascii="Verdana" w:hAnsi="Verdana"/>
                <w:lang w:eastAsia="en-US"/>
              </w:rPr>
            </w:pPr>
            <w:r>
              <w:rPr>
                <w:rFonts w:ascii="Verdana" w:hAnsi="Verdana"/>
                <w:lang w:eastAsia="en-US"/>
              </w:rPr>
              <w:t>28</w:t>
            </w:r>
            <w:r w:rsidRPr="002D3515">
              <w:rPr>
                <w:rFonts w:ascii="Verdana" w:hAnsi="Verdana"/>
                <w:lang w:eastAsia="en-US"/>
              </w:rPr>
              <w:t>/0</w:t>
            </w:r>
            <w:r>
              <w:rPr>
                <w:rFonts w:ascii="Verdana" w:hAnsi="Verdana"/>
                <w:lang w:eastAsia="en-US"/>
              </w:rPr>
              <w:t>2</w:t>
            </w:r>
            <w:r w:rsidRPr="002D3515">
              <w:rPr>
                <w:rFonts w:ascii="Verdana" w:hAnsi="Verdana"/>
                <w:lang w:eastAsia="en-US"/>
              </w:rPr>
              <w:t>/2018</w:t>
            </w:r>
          </w:p>
        </w:tc>
      </w:tr>
      <w:tr w:rsidR="004E1CC8" w:rsidRPr="00451C4F" w14:paraId="15CDF910" w14:textId="77777777" w:rsidTr="003E3E25">
        <w:trPr>
          <w:trHeight w:val="1680"/>
        </w:trPr>
        <w:tc>
          <w:tcPr>
            <w:tcW w:w="1471" w:type="dxa"/>
            <w:tcBorders>
              <w:top w:val="nil"/>
              <w:left w:val="single" w:sz="4" w:space="0" w:color="auto"/>
              <w:bottom w:val="single" w:sz="4" w:space="0" w:color="auto"/>
              <w:right w:val="single" w:sz="4" w:space="0" w:color="auto"/>
            </w:tcBorders>
            <w:shd w:val="clear" w:color="auto" w:fill="auto"/>
          </w:tcPr>
          <w:p w14:paraId="4ADBB424" w14:textId="77777777" w:rsidR="004E1CC8" w:rsidRPr="00B80C2A" w:rsidRDefault="004E1CC8" w:rsidP="003E3E25">
            <w:pPr>
              <w:pStyle w:val="Absatz"/>
              <w:ind w:left="0"/>
              <w:rPr>
                <w:rFonts w:ascii="Verdana" w:hAnsi="Verdana"/>
                <w:lang w:eastAsia="en-US"/>
              </w:rPr>
            </w:pPr>
            <w:r w:rsidRPr="002D3515">
              <w:rPr>
                <w:rFonts w:ascii="Verdana" w:hAnsi="Verdana"/>
                <w:lang w:eastAsia="en-US"/>
              </w:rPr>
              <w:t>Serrano, B.</w:t>
            </w:r>
          </w:p>
        </w:tc>
        <w:tc>
          <w:tcPr>
            <w:tcW w:w="855" w:type="dxa"/>
            <w:tcBorders>
              <w:top w:val="nil"/>
              <w:left w:val="nil"/>
              <w:bottom w:val="single" w:sz="4" w:space="0" w:color="auto"/>
              <w:right w:val="single" w:sz="4" w:space="0" w:color="auto"/>
            </w:tcBorders>
            <w:shd w:val="clear" w:color="auto" w:fill="auto"/>
          </w:tcPr>
          <w:p w14:paraId="699AB007" w14:textId="77777777" w:rsidR="004E1CC8" w:rsidRPr="00B80C2A" w:rsidRDefault="004E1CC8" w:rsidP="003E3E25">
            <w:pPr>
              <w:pStyle w:val="Absatz"/>
              <w:ind w:left="0"/>
              <w:rPr>
                <w:rFonts w:ascii="Verdana" w:hAnsi="Verdana"/>
                <w:lang w:eastAsia="en-US"/>
              </w:rPr>
            </w:pPr>
            <w:r w:rsidRPr="002D3515">
              <w:rPr>
                <w:rFonts w:ascii="Verdana" w:hAnsi="Verdana"/>
                <w:lang w:eastAsia="en-US"/>
              </w:rPr>
              <w:t>2018</w:t>
            </w:r>
          </w:p>
        </w:tc>
        <w:tc>
          <w:tcPr>
            <w:tcW w:w="3311" w:type="dxa"/>
            <w:tcBorders>
              <w:top w:val="nil"/>
              <w:left w:val="nil"/>
              <w:bottom w:val="single" w:sz="4" w:space="0" w:color="auto"/>
              <w:right w:val="single" w:sz="4" w:space="0" w:color="auto"/>
            </w:tcBorders>
            <w:shd w:val="clear" w:color="auto" w:fill="auto"/>
          </w:tcPr>
          <w:p w14:paraId="6E5FEC69" w14:textId="77777777" w:rsidR="004E1CC8" w:rsidRPr="00B80C2A" w:rsidRDefault="004E1CC8" w:rsidP="003E3E25">
            <w:pPr>
              <w:pStyle w:val="Absatz"/>
              <w:ind w:left="0"/>
              <w:rPr>
                <w:rFonts w:ascii="Verdana" w:hAnsi="Verdana"/>
                <w:lang w:eastAsia="en-US"/>
              </w:rPr>
            </w:pPr>
            <w:r w:rsidRPr="00634114">
              <w:rPr>
                <w:rFonts w:ascii="Verdana" w:hAnsi="Verdana"/>
                <w:lang w:eastAsia="en-US"/>
              </w:rPr>
              <w:t>LABORATORY ASSESSMENT OF A FABRIC TREATMENT INTENDED TO PROTECT FROM TICKS BITES</w:t>
            </w:r>
            <w:r>
              <w:rPr>
                <w:rFonts w:ascii="Verdana" w:hAnsi="Verdana"/>
                <w:lang w:eastAsia="en-US"/>
              </w:rPr>
              <w:t xml:space="preserve"> - </w:t>
            </w:r>
            <w:r w:rsidRPr="00634114">
              <w:rPr>
                <w:rFonts w:ascii="Verdana" w:hAnsi="Verdana"/>
                <w:lang w:eastAsia="en-US"/>
              </w:rPr>
              <w:t xml:space="preserve">Trial against </w:t>
            </w:r>
            <w:r w:rsidRPr="00BA6672">
              <w:rPr>
                <w:rFonts w:ascii="Verdana" w:hAnsi="Verdana"/>
                <w:i/>
                <w:lang w:eastAsia="en-US"/>
              </w:rPr>
              <w:t>Ixodes Ricinus</w:t>
            </w:r>
            <w:r>
              <w:rPr>
                <w:rFonts w:ascii="Verdana" w:hAnsi="Verdana"/>
                <w:lang w:eastAsia="en-US"/>
              </w:rPr>
              <w:t xml:space="preserve"> - </w:t>
            </w:r>
            <w:r w:rsidRPr="00634114">
              <w:rPr>
                <w:rFonts w:ascii="Verdana" w:hAnsi="Verdana"/>
                <w:lang w:eastAsia="en-US"/>
              </w:rPr>
              <w:t>Test product: SPRAY IR3535 20% ANTI-POUX</w:t>
            </w:r>
            <w:r>
              <w:rPr>
                <w:rFonts w:ascii="Verdana" w:hAnsi="Verdana"/>
                <w:lang w:eastAsia="en-US"/>
              </w:rPr>
              <w:t xml:space="preserve">, Report No </w:t>
            </w:r>
            <w:r w:rsidRPr="00634114">
              <w:rPr>
                <w:rFonts w:ascii="Verdana" w:hAnsi="Verdana"/>
                <w:lang w:eastAsia="en-US"/>
              </w:rPr>
              <w:t>2302-tick/0118</w:t>
            </w:r>
          </w:p>
        </w:tc>
        <w:tc>
          <w:tcPr>
            <w:tcW w:w="1021" w:type="dxa"/>
            <w:tcBorders>
              <w:top w:val="nil"/>
              <w:left w:val="nil"/>
              <w:bottom w:val="single" w:sz="4" w:space="0" w:color="auto"/>
              <w:right w:val="single" w:sz="4" w:space="0" w:color="auto"/>
            </w:tcBorders>
            <w:shd w:val="clear" w:color="auto" w:fill="auto"/>
          </w:tcPr>
          <w:p w14:paraId="70FD5940" w14:textId="77777777" w:rsidR="004E1CC8" w:rsidRPr="00B80C2A" w:rsidRDefault="004E1CC8" w:rsidP="003E3E25">
            <w:pPr>
              <w:pStyle w:val="Absatz"/>
              <w:ind w:left="0"/>
              <w:rPr>
                <w:rFonts w:ascii="Verdana" w:hAnsi="Verdana"/>
                <w:lang w:eastAsia="en-US"/>
              </w:rPr>
            </w:pPr>
            <w:r>
              <w:rPr>
                <w:rFonts w:ascii="Verdana" w:hAnsi="Verdana"/>
                <w:lang w:eastAsia="en-US"/>
              </w:rPr>
              <w:t>YES</w:t>
            </w:r>
          </w:p>
        </w:tc>
        <w:tc>
          <w:tcPr>
            <w:tcW w:w="1247" w:type="dxa"/>
            <w:tcBorders>
              <w:top w:val="nil"/>
              <w:left w:val="nil"/>
              <w:bottom w:val="single" w:sz="4" w:space="0" w:color="auto"/>
              <w:right w:val="single" w:sz="4" w:space="0" w:color="auto"/>
            </w:tcBorders>
            <w:shd w:val="clear" w:color="auto" w:fill="auto"/>
          </w:tcPr>
          <w:p w14:paraId="4255D5AD" w14:textId="77777777" w:rsidR="004E1CC8" w:rsidRPr="00B80C2A" w:rsidRDefault="004E1CC8" w:rsidP="003E3E25">
            <w:pPr>
              <w:pStyle w:val="Absatz"/>
              <w:ind w:left="0"/>
              <w:rPr>
                <w:rFonts w:ascii="Verdana" w:hAnsi="Verdana"/>
                <w:lang w:eastAsia="en-US"/>
              </w:rPr>
            </w:pPr>
            <w:r w:rsidRPr="002D3515">
              <w:rPr>
                <w:rFonts w:ascii="Verdana" w:hAnsi="Verdana"/>
                <w:lang w:eastAsia="en-US"/>
              </w:rPr>
              <w:t>Terrium</w:t>
            </w:r>
          </w:p>
        </w:tc>
        <w:tc>
          <w:tcPr>
            <w:tcW w:w="1217" w:type="dxa"/>
            <w:tcBorders>
              <w:top w:val="nil"/>
              <w:left w:val="nil"/>
              <w:bottom w:val="single" w:sz="4" w:space="0" w:color="auto"/>
              <w:right w:val="single" w:sz="4" w:space="0" w:color="auto"/>
            </w:tcBorders>
            <w:shd w:val="clear" w:color="auto" w:fill="auto"/>
          </w:tcPr>
          <w:p w14:paraId="71F31733" w14:textId="77777777" w:rsidR="004E1CC8" w:rsidRPr="00B80C2A" w:rsidRDefault="004E1CC8" w:rsidP="003E3E25">
            <w:pPr>
              <w:pStyle w:val="Absatz"/>
              <w:ind w:left="0"/>
              <w:rPr>
                <w:rFonts w:ascii="Verdana" w:hAnsi="Verdana"/>
                <w:lang w:eastAsia="en-US"/>
              </w:rPr>
            </w:pPr>
            <w:r>
              <w:rPr>
                <w:rFonts w:ascii="Verdana" w:hAnsi="Verdana"/>
                <w:lang w:eastAsia="en-US"/>
              </w:rPr>
              <w:t>28</w:t>
            </w:r>
            <w:r w:rsidRPr="002D3515">
              <w:rPr>
                <w:rFonts w:ascii="Verdana" w:hAnsi="Verdana"/>
                <w:lang w:eastAsia="en-US"/>
              </w:rPr>
              <w:t>/0</w:t>
            </w:r>
            <w:r>
              <w:rPr>
                <w:rFonts w:ascii="Verdana" w:hAnsi="Verdana"/>
                <w:lang w:eastAsia="en-US"/>
              </w:rPr>
              <w:t>2</w:t>
            </w:r>
            <w:r w:rsidRPr="002D3515">
              <w:rPr>
                <w:rFonts w:ascii="Verdana" w:hAnsi="Verdana"/>
                <w:lang w:eastAsia="en-US"/>
              </w:rPr>
              <w:t>/2018</w:t>
            </w:r>
          </w:p>
        </w:tc>
      </w:tr>
      <w:tr w:rsidR="004E1CC8" w:rsidRPr="00451C4F" w14:paraId="63F73EE6" w14:textId="77777777" w:rsidTr="003E3E25">
        <w:trPr>
          <w:trHeight w:val="657"/>
        </w:trPr>
        <w:tc>
          <w:tcPr>
            <w:tcW w:w="1471" w:type="dxa"/>
            <w:tcBorders>
              <w:top w:val="nil"/>
              <w:left w:val="single" w:sz="4" w:space="0" w:color="auto"/>
              <w:bottom w:val="single" w:sz="4" w:space="0" w:color="auto"/>
              <w:right w:val="single" w:sz="4" w:space="0" w:color="auto"/>
            </w:tcBorders>
            <w:shd w:val="clear" w:color="auto" w:fill="auto"/>
          </w:tcPr>
          <w:p w14:paraId="19D8A645" w14:textId="77777777" w:rsidR="004E1CC8" w:rsidRPr="00B80C2A" w:rsidRDefault="004E1CC8" w:rsidP="003E3E25">
            <w:pPr>
              <w:pStyle w:val="Absatz"/>
              <w:ind w:left="0"/>
              <w:rPr>
                <w:rFonts w:ascii="Verdana" w:hAnsi="Verdana"/>
                <w:lang w:eastAsia="en-US"/>
              </w:rPr>
            </w:pPr>
            <w:r w:rsidRPr="002D3515">
              <w:rPr>
                <w:rFonts w:ascii="Verdana" w:hAnsi="Verdana"/>
                <w:lang w:eastAsia="en-US"/>
              </w:rPr>
              <w:t>Serrano, B.</w:t>
            </w:r>
          </w:p>
        </w:tc>
        <w:tc>
          <w:tcPr>
            <w:tcW w:w="855" w:type="dxa"/>
            <w:tcBorders>
              <w:top w:val="nil"/>
              <w:left w:val="nil"/>
              <w:bottom w:val="single" w:sz="4" w:space="0" w:color="auto"/>
              <w:right w:val="single" w:sz="4" w:space="0" w:color="auto"/>
            </w:tcBorders>
            <w:shd w:val="clear" w:color="auto" w:fill="auto"/>
          </w:tcPr>
          <w:p w14:paraId="276F552C" w14:textId="77777777" w:rsidR="004E1CC8" w:rsidRPr="00B80C2A" w:rsidRDefault="004E1CC8" w:rsidP="003E3E25">
            <w:pPr>
              <w:pStyle w:val="Absatz"/>
              <w:ind w:left="0"/>
              <w:rPr>
                <w:rFonts w:ascii="Verdana" w:hAnsi="Verdana"/>
                <w:lang w:eastAsia="en-US"/>
              </w:rPr>
            </w:pPr>
            <w:r w:rsidRPr="002D3515">
              <w:rPr>
                <w:rFonts w:ascii="Verdana" w:hAnsi="Verdana"/>
                <w:lang w:eastAsia="en-US"/>
              </w:rPr>
              <w:t>2018</w:t>
            </w:r>
          </w:p>
        </w:tc>
        <w:tc>
          <w:tcPr>
            <w:tcW w:w="3311" w:type="dxa"/>
            <w:tcBorders>
              <w:top w:val="nil"/>
              <w:left w:val="nil"/>
              <w:bottom w:val="single" w:sz="4" w:space="0" w:color="auto"/>
              <w:right w:val="single" w:sz="4" w:space="0" w:color="auto"/>
            </w:tcBorders>
            <w:shd w:val="clear" w:color="auto" w:fill="auto"/>
          </w:tcPr>
          <w:p w14:paraId="752343FC" w14:textId="77777777" w:rsidR="004E1CC8" w:rsidRPr="00B80C2A" w:rsidRDefault="004E1CC8" w:rsidP="003E3E25">
            <w:pPr>
              <w:pStyle w:val="Absatz"/>
              <w:ind w:left="0"/>
              <w:rPr>
                <w:rFonts w:ascii="Verdana" w:hAnsi="Verdana"/>
                <w:lang w:eastAsia="en-US"/>
              </w:rPr>
            </w:pPr>
            <w:r w:rsidRPr="00634114">
              <w:rPr>
                <w:rFonts w:ascii="Verdana" w:hAnsi="Verdana"/>
                <w:lang w:eastAsia="en-US"/>
              </w:rPr>
              <w:t>LABORATORY ASSESSMENT OF A FABRIC TREATMENT INTENDED TO PROTECT FROM TICKS BITES</w:t>
            </w:r>
            <w:r>
              <w:rPr>
                <w:rFonts w:ascii="Verdana" w:hAnsi="Verdana"/>
                <w:lang w:eastAsia="en-US"/>
              </w:rPr>
              <w:t xml:space="preserve"> - </w:t>
            </w:r>
            <w:r w:rsidRPr="00634114">
              <w:rPr>
                <w:rFonts w:ascii="Verdana" w:hAnsi="Verdana"/>
                <w:lang w:eastAsia="en-US"/>
              </w:rPr>
              <w:t xml:space="preserve">Trial against </w:t>
            </w:r>
            <w:r w:rsidRPr="00BA6672">
              <w:rPr>
                <w:rFonts w:ascii="Verdana" w:hAnsi="Verdana"/>
                <w:i/>
                <w:lang w:eastAsia="en-US"/>
              </w:rPr>
              <w:t>Ixodes Ricinus</w:t>
            </w:r>
            <w:r>
              <w:rPr>
                <w:rFonts w:ascii="Verdana" w:hAnsi="Verdana"/>
                <w:lang w:eastAsia="en-US"/>
              </w:rPr>
              <w:t xml:space="preserve"> - </w:t>
            </w:r>
            <w:r w:rsidRPr="00634114">
              <w:rPr>
                <w:rFonts w:ascii="Verdana" w:hAnsi="Verdana"/>
                <w:lang w:eastAsia="en-US"/>
              </w:rPr>
              <w:t>Test product: SPRAY IR3535 20% ANTI-POUX</w:t>
            </w:r>
            <w:r>
              <w:rPr>
                <w:rFonts w:ascii="Verdana" w:hAnsi="Verdana"/>
                <w:lang w:eastAsia="en-US"/>
              </w:rPr>
              <w:t xml:space="preserve">, Report No </w:t>
            </w:r>
            <w:r w:rsidRPr="005741B7">
              <w:rPr>
                <w:rFonts w:ascii="Verdana" w:hAnsi="Verdana"/>
                <w:lang w:eastAsia="en-US"/>
              </w:rPr>
              <w:t>2302-IR353520%-ticks/0118</w:t>
            </w:r>
          </w:p>
        </w:tc>
        <w:tc>
          <w:tcPr>
            <w:tcW w:w="1021" w:type="dxa"/>
            <w:tcBorders>
              <w:top w:val="nil"/>
              <w:left w:val="nil"/>
              <w:bottom w:val="single" w:sz="4" w:space="0" w:color="auto"/>
              <w:right w:val="single" w:sz="4" w:space="0" w:color="auto"/>
            </w:tcBorders>
            <w:shd w:val="clear" w:color="auto" w:fill="auto"/>
          </w:tcPr>
          <w:p w14:paraId="64F413EE" w14:textId="77777777" w:rsidR="004E1CC8" w:rsidRPr="00B80C2A" w:rsidRDefault="004E1CC8" w:rsidP="003E3E25">
            <w:pPr>
              <w:pStyle w:val="Absatz"/>
              <w:ind w:left="0"/>
              <w:rPr>
                <w:rFonts w:ascii="Verdana" w:hAnsi="Verdana"/>
                <w:lang w:eastAsia="en-US"/>
              </w:rPr>
            </w:pPr>
            <w:r>
              <w:rPr>
                <w:rFonts w:ascii="Verdana" w:hAnsi="Verdana"/>
                <w:lang w:eastAsia="en-US"/>
              </w:rPr>
              <w:t>YES</w:t>
            </w:r>
          </w:p>
        </w:tc>
        <w:tc>
          <w:tcPr>
            <w:tcW w:w="1247" w:type="dxa"/>
            <w:tcBorders>
              <w:top w:val="nil"/>
              <w:left w:val="nil"/>
              <w:bottom w:val="single" w:sz="4" w:space="0" w:color="auto"/>
              <w:right w:val="single" w:sz="4" w:space="0" w:color="auto"/>
            </w:tcBorders>
            <w:shd w:val="clear" w:color="auto" w:fill="auto"/>
          </w:tcPr>
          <w:p w14:paraId="02AD7532" w14:textId="77777777" w:rsidR="004E1CC8" w:rsidRPr="00B80C2A" w:rsidRDefault="004E1CC8" w:rsidP="003E3E25">
            <w:pPr>
              <w:pStyle w:val="Absatz"/>
              <w:ind w:left="0"/>
              <w:rPr>
                <w:rFonts w:ascii="Verdana" w:hAnsi="Verdana"/>
                <w:lang w:eastAsia="en-US"/>
              </w:rPr>
            </w:pPr>
            <w:r w:rsidRPr="002D3515">
              <w:rPr>
                <w:rFonts w:ascii="Verdana" w:hAnsi="Verdana"/>
                <w:lang w:eastAsia="en-US"/>
              </w:rPr>
              <w:t>Terrium</w:t>
            </w:r>
          </w:p>
        </w:tc>
        <w:tc>
          <w:tcPr>
            <w:tcW w:w="1217" w:type="dxa"/>
            <w:tcBorders>
              <w:top w:val="nil"/>
              <w:left w:val="nil"/>
              <w:bottom w:val="single" w:sz="4" w:space="0" w:color="auto"/>
              <w:right w:val="single" w:sz="4" w:space="0" w:color="auto"/>
            </w:tcBorders>
            <w:shd w:val="clear" w:color="auto" w:fill="auto"/>
          </w:tcPr>
          <w:p w14:paraId="5375A993" w14:textId="77777777" w:rsidR="004E1CC8" w:rsidRPr="00B80C2A" w:rsidRDefault="004E1CC8" w:rsidP="003E3E25">
            <w:pPr>
              <w:pStyle w:val="Absatz"/>
              <w:ind w:left="0"/>
              <w:rPr>
                <w:rFonts w:ascii="Verdana" w:hAnsi="Verdana"/>
                <w:lang w:eastAsia="en-US"/>
              </w:rPr>
            </w:pPr>
            <w:r>
              <w:rPr>
                <w:rFonts w:ascii="Verdana" w:hAnsi="Verdana"/>
                <w:lang w:eastAsia="en-US"/>
              </w:rPr>
              <w:t>30</w:t>
            </w:r>
            <w:r w:rsidRPr="002D3515">
              <w:rPr>
                <w:rFonts w:ascii="Verdana" w:hAnsi="Verdana"/>
                <w:lang w:eastAsia="en-US"/>
              </w:rPr>
              <w:t>/0</w:t>
            </w:r>
            <w:r>
              <w:rPr>
                <w:rFonts w:ascii="Verdana" w:hAnsi="Verdana"/>
                <w:lang w:eastAsia="en-US"/>
              </w:rPr>
              <w:t>4</w:t>
            </w:r>
            <w:r w:rsidRPr="002D3515">
              <w:rPr>
                <w:rFonts w:ascii="Verdana" w:hAnsi="Verdana"/>
                <w:lang w:eastAsia="en-US"/>
              </w:rPr>
              <w:t>/2018</w:t>
            </w:r>
          </w:p>
        </w:tc>
      </w:tr>
      <w:tr w:rsidR="004E1CC8" w:rsidRPr="00451C4F" w14:paraId="46C84F72" w14:textId="77777777" w:rsidTr="003E3E25">
        <w:trPr>
          <w:trHeight w:val="1680"/>
        </w:trPr>
        <w:tc>
          <w:tcPr>
            <w:tcW w:w="1471" w:type="dxa"/>
            <w:tcBorders>
              <w:top w:val="nil"/>
              <w:left w:val="single" w:sz="4" w:space="0" w:color="auto"/>
              <w:bottom w:val="single" w:sz="4" w:space="0" w:color="auto"/>
              <w:right w:val="single" w:sz="4" w:space="0" w:color="auto"/>
            </w:tcBorders>
            <w:shd w:val="clear" w:color="auto" w:fill="auto"/>
          </w:tcPr>
          <w:p w14:paraId="1F34EDE0"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Serrano, B.</w:t>
            </w:r>
          </w:p>
        </w:tc>
        <w:tc>
          <w:tcPr>
            <w:tcW w:w="855" w:type="dxa"/>
            <w:tcBorders>
              <w:top w:val="nil"/>
              <w:left w:val="nil"/>
              <w:bottom w:val="single" w:sz="4" w:space="0" w:color="auto"/>
              <w:right w:val="single" w:sz="4" w:space="0" w:color="auto"/>
            </w:tcBorders>
            <w:shd w:val="clear" w:color="auto" w:fill="auto"/>
          </w:tcPr>
          <w:p w14:paraId="4C966891"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2018</w:t>
            </w:r>
          </w:p>
        </w:tc>
        <w:tc>
          <w:tcPr>
            <w:tcW w:w="3311" w:type="dxa"/>
            <w:tcBorders>
              <w:top w:val="nil"/>
              <w:left w:val="nil"/>
              <w:bottom w:val="single" w:sz="4" w:space="0" w:color="auto"/>
              <w:right w:val="single" w:sz="4" w:space="0" w:color="auto"/>
            </w:tcBorders>
            <w:shd w:val="clear" w:color="auto" w:fill="auto"/>
          </w:tcPr>
          <w:p w14:paraId="41365360" w14:textId="77777777" w:rsidR="004E1CC8" w:rsidRPr="00634114" w:rsidRDefault="004E1CC8" w:rsidP="003E3E25">
            <w:pPr>
              <w:pStyle w:val="Absatz"/>
              <w:ind w:left="0"/>
              <w:rPr>
                <w:rFonts w:ascii="Verdana" w:hAnsi="Verdana"/>
                <w:lang w:eastAsia="en-US"/>
              </w:rPr>
            </w:pPr>
            <w:r w:rsidRPr="00634114">
              <w:rPr>
                <w:rFonts w:ascii="Verdana" w:hAnsi="Verdana"/>
                <w:lang w:eastAsia="en-US"/>
              </w:rPr>
              <w:t xml:space="preserve">LABORATORY ASSESSMENT OF A </w:t>
            </w:r>
            <w:r>
              <w:rPr>
                <w:rFonts w:ascii="Verdana" w:hAnsi="Verdana"/>
                <w:lang w:eastAsia="en-US"/>
              </w:rPr>
              <w:t xml:space="preserve">PERSONAL SKIN REPELLENT AGAINST TICKS - </w:t>
            </w:r>
            <w:r w:rsidRPr="00634114">
              <w:rPr>
                <w:rFonts w:ascii="Verdana" w:hAnsi="Verdana"/>
                <w:lang w:eastAsia="en-US"/>
              </w:rPr>
              <w:t>Test product: SPRAY IR3535 20% ANTI-POUX</w:t>
            </w:r>
            <w:r>
              <w:rPr>
                <w:rFonts w:ascii="Verdana" w:hAnsi="Verdana"/>
                <w:lang w:eastAsia="en-US"/>
              </w:rPr>
              <w:t xml:space="preserve">, Report No </w:t>
            </w:r>
            <w:r w:rsidRPr="005741B7">
              <w:rPr>
                <w:rFonts w:ascii="Verdana" w:hAnsi="Verdana"/>
                <w:lang w:eastAsia="en-US"/>
              </w:rPr>
              <w:t>2302-</w:t>
            </w:r>
            <w:r>
              <w:rPr>
                <w:rFonts w:ascii="Verdana" w:hAnsi="Verdana"/>
                <w:lang w:eastAsia="en-US"/>
              </w:rPr>
              <w:t>ticks/</w:t>
            </w:r>
            <w:r w:rsidRPr="005741B7">
              <w:rPr>
                <w:rFonts w:ascii="Verdana" w:hAnsi="Verdana"/>
                <w:lang w:eastAsia="en-US"/>
              </w:rPr>
              <w:t xml:space="preserve"> 0118</w:t>
            </w:r>
          </w:p>
        </w:tc>
        <w:tc>
          <w:tcPr>
            <w:tcW w:w="1021" w:type="dxa"/>
            <w:tcBorders>
              <w:top w:val="nil"/>
              <w:left w:val="nil"/>
              <w:bottom w:val="single" w:sz="4" w:space="0" w:color="auto"/>
              <w:right w:val="single" w:sz="4" w:space="0" w:color="auto"/>
            </w:tcBorders>
            <w:shd w:val="clear" w:color="auto" w:fill="auto"/>
          </w:tcPr>
          <w:p w14:paraId="5C295567" w14:textId="77777777" w:rsidR="004E1CC8" w:rsidRPr="005741B7" w:rsidRDefault="004E1CC8" w:rsidP="003E3E25">
            <w:pPr>
              <w:pStyle w:val="Absatz"/>
              <w:ind w:left="0"/>
              <w:rPr>
                <w:rFonts w:ascii="Verdana" w:hAnsi="Verdana"/>
                <w:lang w:eastAsia="en-US"/>
              </w:rPr>
            </w:pPr>
            <w:r>
              <w:rPr>
                <w:rFonts w:ascii="Verdana" w:hAnsi="Verdana"/>
                <w:lang w:eastAsia="en-US"/>
              </w:rPr>
              <w:t>YES</w:t>
            </w:r>
          </w:p>
        </w:tc>
        <w:tc>
          <w:tcPr>
            <w:tcW w:w="1247" w:type="dxa"/>
            <w:tcBorders>
              <w:top w:val="nil"/>
              <w:left w:val="nil"/>
              <w:bottom w:val="single" w:sz="4" w:space="0" w:color="auto"/>
              <w:right w:val="single" w:sz="4" w:space="0" w:color="auto"/>
            </w:tcBorders>
            <w:shd w:val="clear" w:color="auto" w:fill="auto"/>
          </w:tcPr>
          <w:p w14:paraId="38BE2DDB"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Terrium</w:t>
            </w:r>
          </w:p>
        </w:tc>
        <w:tc>
          <w:tcPr>
            <w:tcW w:w="1217" w:type="dxa"/>
            <w:tcBorders>
              <w:top w:val="nil"/>
              <w:left w:val="nil"/>
              <w:bottom w:val="single" w:sz="4" w:space="0" w:color="auto"/>
              <w:right w:val="single" w:sz="4" w:space="0" w:color="auto"/>
            </w:tcBorders>
            <w:shd w:val="clear" w:color="auto" w:fill="auto"/>
          </w:tcPr>
          <w:p w14:paraId="72F1F170" w14:textId="77777777" w:rsidR="004E1CC8" w:rsidRDefault="004E1CC8" w:rsidP="003E3E25">
            <w:pPr>
              <w:pStyle w:val="Absatz"/>
              <w:ind w:left="0"/>
              <w:rPr>
                <w:rFonts w:ascii="Verdana" w:hAnsi="Verdana"/>
                <w:lang w:eastAsia="en-US"/>
              </w:rPr>
            </w:pPr>
            <w:r>
              <w:rPr>
                <w:rFonts w:ascii="Verdana" w:hAnsi="Verdana"/>
                <w:lang w:eastAsia="en-US"/>
              </w:rPr>
              <w:t>29</w:t>
            </w:r>
            <w:r w:rsidRPr="002D3515">
              <w:rPr>
                <w:rFonts w:ascii="Verdana" w:hAnsi="Verdana"/>
                <w:lang w:eastAsia="en-US"/>
              </w:rPr>
              <w:t>/0</w:t>
            </w:r>
            <w:r>
              <w:rPr>
                <w:rFonts w:ascii="Verdana" w:hAnsi="Verdana"/>
                <w:lang w:eastAsia="en-US"/>
              </w:rPr>
              <w:t>6</w:t>
            </w:r>
            <w:r w:rsidRPr="002D3515">
              <w:rPr>
                <w:rFonts w:ascii="Verdana" w:hAnsi="Verdana"/>
                <w:lang w:eastAsia="en-US"/>
              </w:rPr>
              <w:t>/2018</w:t>
            </w:r>
          </w:p>
        </w:tc>
      </w:tr>
      <w:tr w:rsidR="004E1CC8" w:rsidRPr="00451C4F" w14:paraId="34B13DE1" w14:textId="77777777" w:rsidTr="003E3E25">
        <w:trPr>
          <w:trHeight w:val="1680"/>
        </w:trPr>
        <w:tc>
          <w:tcPr>
            <w:tcW w:w="1471" w:type="dxa"/>
            <w:tcBorders>
              <w:top w:val="nil"/>
              <w:left w:val="single" w:sz="4" w:space="0" w:color="auto"/>
              <w:bottom w:val="single" w:sz="4" w:space="0" w:color="auto"/>
              <w:right w:val="single" w:sz="4" w:space="0" w:color="auto"/>
            </w:tcBorders>
            <w:shd w:val="clear" w:color="auto" w:fill="auto"/>
          </w:tcPr>
          <w:p w14:paraId="0D9CA8B3"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Serrano, B.</w:t>
            </w:r>
          </w:p>
        </w:tc>
        <w:tc>
          <w:tcPr>
            <w:tcW w:w="855" w:type="dxa"/>
            <w:tcBorders>
              <w:top w:val="nil"/>
              <w:left w:val="nil"/>
              <w:bottom w:val="single" w:sz="4" w:space="0" w:color="auto"/>
              <w:right w:val="single" w:sz="4" w:space="0" w:color="auto"/>
            </w:tcBorders>
            <w:shd w:val="clear" w:color="auto" w:fill="auto"/>
          </w:tcPr>
          <w:p w14:paraId="4E009E2A" w14:textId="77777777" w:rsidR="004E1CC8" w:rsidRPr="002D3515" w:rsidRDefault="004E1CC8" w:rsidP="003E3E25">
            <w:pPr>
              <w:pStyle w:val="Absatz"/>
              <w:ind w:left="0"/>
              <w:rPr>
                <w:rFonts w:ascii="Verdana" w:hAnsi="Verdana"/>
                <w:lang w:eastAsia="en-US"/>
              </w:rPr>
            </w:pPr>
            <w:r w:rsidRPr="002D3515">
              <w:rPr>
                <w:rFonts w:ascii="Verdana" w:hAnsi="Verdana"/>
                <w:lang w:eastAsia="en-US"/>
              </w:rPr>
              <w:t>2018</w:t>
            </w:r>
          </w:p>
        </w:tc>
        <w:tc>
          <w:tcPr>
            <w:tcW w:w="3311" w:type="dxa"/>
            <w:tcBorders>
              <w:top w:val="nil"/>
              <w:left w:val="nil"/>
              <w:bottom w:val="single" w:sz="4" w:space="0" w:color="auto"/>
              <w:right w:val="single" w:sz="4" w:space="0" w:color="auto"/>
            </w:tcBorders>
            <w:shd w:val="clear" w:color="auto" w:fill="auto"/>
          </w:tcPr>
          <w:p w14:paraId="08C08182" w14:textId="77777777" w:rsidR="004E1CC8" w:rsidRPr="002D3515" w:rsidRDefault="004E1CC8" w:rsidP="003E3E25">
            <w:pPr>
              <w:pStyle w:val="Absatz"/>
              <w:ind w:left="0"/>
              <w:rPr>
                <w:rFonts w:ascii="Verdana" w:hAnsi="Verdana"/>
                <w:lang w:eastAsia="en-US"/>
              </w:rPr>
            </w:pPr>
            <w:r w:rsidRPr="00634114">
              <w:rPr>
                <w:rFonts w:ascii="Verdana" w:hAnsi="Verdana"/>
                <w:lang w:eastAsia="en-US"/>
              </w:rPr>
              <w:t xml:space="preserve">LABORATORY ASSESSMENT OF A </w:t>
            </w:r>
            <w:r>
              <w:rPr>
                <w:rFonts w:ascii="Verdana" w:hAnsi="Verdana"/>
                <w:lang w:eastAsia="en-US"/>
              </w:rPr>
              <w:t xml:space="preserve">REPELLENT PRODUCT AGAINST HOUSE DUST MITES </w:t>
            </w:r>
            <w:r w:rsidRPr="00634114">
              <w:rPr>
                <w:rFonts w:ascii="Verdana" w:hAnsi="Verdana"/>
                <w:lang w:eastAsia="en-US"/>
              </w:rPr>
              <w:t>Test product: SPRAY IR3535 20% ANTI-POUX</w:t>
            </w:r>
            <w:r>
              <w:rPr>
                <w:rFonts w:ascii="Verdana" w:hAnsi="Verdana"/>
                <w:lang w:eastAsia="en-US"/>
              </w:rPr>
              <w:t xml:space="preserve">, Report No </w:t>
            </w:r>
            <w:r w:rsidRPr="00B80C2A">
              <w:rPr>
                <w:rFonts w:ascii="Verdana" w:hAnsi="Verdana"/>
                <w:lang w:eastAsia="en-US"/>
              </w:rPr>
              <w:t>2302-IR353520%-dustmites/0118</w:t>
            </w:r>
            <w:r>
              <w:rPr>
                <w:rFonts w:ascii="Verdana" w:hAnsi="Verdana"/>
                <w:lang w:eastAsia="en-US"/>
              </w:rPr>
              <w:t xml:space="preserve"> </w:t>
            </w:r>
          </w:p>
        </w:tc>
        <w:tc>
          <w:tcPr>
            <w:tcW w:w="1021" w:type="dxa"/>
            <w:tcBorders>
              <w:top w:val="nil"/>
              <w:left w:val="nil"/>
              <w:bottom w:val="single" w:sz="4" w:space="0" w:color="auto"/>
              <w:right w:val="single" w:sz="4" w:space="0" w:color="auto"/>
            </w:tcBorders>
            <w:shd w:val="clear" w:color="auto" w:fill="auto"/>
          </w:tcPr>
          <w:p w14:paraId="5C35204E" w14:textId="77777777" w:rsidR="004E1CC8" w:rsidRPr="002D3515" w:rsidRDefault="004E1CC8" w:rsidP="003E3E25">
            <w:pPr>
              <w:pStyle w:val="Absatz"/>
              <w:ind w:left="0"/>
              <w:rPr>
                <w:rFonts w:ascii="Verdana" w:hAnsi="Verdana"/>
                <w:lang w:eastAsia="en-US"/>
              </w:rPr>
            </w:pPr>
            <w:r>
              <w:rPr>
                <w:rFonts w:ascii="Verdana" w:hAnsi="Verdana"/>
                <w:lang w:eastAsia="en-US"/>
              </w:rPr>
              <w:t>YES</w:t>
            </w:r>
          </w:p>
        </w:tc>
        <w:tc>
          <w:tcPr>
            <w:tcW w:w="1247" w:type="dxa"/>
            <w:tcBorders>
              <w:top w:val="nil"/>
              <w:left w:val="nil"/>
              <w:bottom w:val="single" w:sz="4" w:space="0" w:color="auto"/>
              <w:right w:val="single" w:sz="4" w:space="0" w:color="auto"/>
            </w:tcBorders>
            <w:shd w:val="clear" w:color="auto" w:fill="auto"/>
          </w:tcPr>
          <w:p w14:paraId="7D25467F" w14:textId="77777777" w:rsidR="004E1CC8" w:rsidRPr="002D3515" w:rsidRDefault="004E1CC8" w:rsidP="003E3E25">
            <w:pPr>
              <w:pStyle w:val="Absatz"/>
              <w:ind w:left="0"/>
              <w:rPr>
                <w:rFonts w:ascii="Verdana" w:hAnsi="Verdana"/>
                <w:lang w:eastAsia="en-US"/>
              </w:rPr>
            </w:pPr>
            <w:r>
              <w:rPr>
                <w:rFonts w:ascii="Verdana" w:hAnsi="Verdana"/>
                <w:lang w:eastAsia="en-US"/>
              </w:rPr>
              <w:t>Terrium</w:t>
            </w:r>
          </w:p>
        </w:tc>
        <w:tc>
          <w:tcPr>
            <w:tcW w:w="1217" w:type="dxa"/>
            <w:tcBorders>
              <w:top w:val="nil"/>
              <w:left w:val="nil"/>
              <w:bottom w:val="single" w:sz="4" w:space="0" w:color="auto"/>
              <w:right w:val="single" w:sz="4" w:space="0" w:color="auto"/>
            </w:tcBorders>
            <w:shd w:val="clear" w:color="auto" w:fill="auto"/>
          </w:tcPr>
          <w:p w14:paraId="1A0E6123" w14:textId="77777777" w:rsidR="004E1CC8" w:rsidRPr="002D3515" w:rsidRDefault="004E1CC8" w:rsidP="003E3E25">
            <w:pPr>
              <w:pStyle w:val="Absatz"/>
              <w:ind w:left="0"/>
              <w:rPr>
                <w:rFonts w:ascii="Verdana" w:hAnsi="Verdana"/>
                <w:lang w:eastAsia="en-US"/>
              </w:rPr>
            </w:pPr>
            <w:r>
              <w:rPr>
                <w:rFonts w:ascii="Verdana" w:hAnsi="Verdana"/>
                <w:lang w:eastAsia="en-US"/>
              </w:rPr>
              <w:t>24/04/2018</w:t>
            </w:r>
          </w:p>
        </w:tc>
      </w:tr>
      <w:tr w:rsidR="004E1CC8" w:rsidRPr="00451C4F" w14:paraId="46FC08A7" w14:textId="77777777" w:rsidTr="003E3E25">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E9FA321" w14:textId="77777777" w:rsidR="004E1CC8" w:rsidRDefault="004E1CC8" w:rsidP="003E3E25">
            <w:pPr>
              <w:pStyle w:val="Absatz"/>
              <w:ind w:left="0"/>
              <w:jc w:val="center"/>
              <w:rPr>
                <w:rFonts w:ascii="Verdana" w:hAnsi="Verdana"/>
                <w:lang w:eastAsia="en-US"/>
              </w:rPr>
            </w:pPr>
            <w:r w:rsidRPr="002D3515">
              <w:rPr>
                <w:rFonts w:ascii="Verdana" w:hAnsi="Verdana"/>
                <w:lang w:eastAsia="en-US"/>
              </w:rPr>
              <w:t>Serrano, B.</w:t>
            </w:r>
          </w:p>
        </w:tc>
        <w:tc>
          <w:tcPr>
            <w:tcW w:w="855" w:type="dxa"/>
            <w:tcBorders>
              <w:top w:val="single" w:sz="4" w:space="0" w:color="auto"/>
              <w:left w:val="nil"/>
              <w:bottom w:val="single" w:sz="4" w:space="0" w:color="auto"/>
              <w:right w:val="single" w:sz="4" w:space="0" w:color="auto"/>
            </w:tcBorders>
            <w:shd w:val="clear" w:color="auto" w:fill="auto"/>
          </w:tcPr>
          <w:p w14:paraId="1D41D9EB" w14:textId="77777777" w:rsidR="004E1CC8" w:rsidRDefault="004E1CC8" w:rsidP="003E3E25">
            <w:pPr>
              <w:pStyle w:val="Absatz"/>
              <w:ind w:left="0"/>
              <w:rPr>
                <w:rFonts w:ascii="Verdana" w:hAnsi="Verdana"/>
                <w:lang w:eastAsia="en-US"/>
              </w:rPr>
            </w:pPr>
            <w:r>
              <w:rPr>
                <w:rFonts w:ascii="Verdana" w:hAnsi="Verdana"/>
                <w:lang w:eastAsia="en-US"/>
              </w:rPr>
              <w:t>2019</w:t>
            </w:r>
          </w:p>
        </w:tc>
        <w:tc>
          <w:tcPr>
            <w:tcW w:w="3311" w:type="dxa"/>
            <w:tcBorders>
              <w:top w:val="single" w:sz="4" w:space="0" w:color="auto"/>
              <w:left w:val="nil"/>
              <w:bottom w:val="single" w:sz="4" w:space="0" w:color="auto"/>
              <w:right w:val="single" w:sz="4" w:space="0" w:color="auto"/>
            </w:tcBorders>
            <w:shd w:val="clear" w:color="auto" w:fill="auto"/>
          </w:tcPr>
          <w:p w14:paraId="0251D74E" w14:textId="77777777" w:rsidR="004E1CC8" w:rsidRPr="002A1629" w:rsidRDefault="004E1CC8" w:rsidP="003E3E25">
            <w:pPr>
              <w:pStyle w:val="Absatz"/>
              <w:ind w:left="0"/>
              <w:rPr>
                <w:rFonts w:ascii="Verdana" w:hAnsi="Verdana"/>
                <w:lang w:eastAsia="en-US"/>
              </w:rPr>
            </w:pPr>
            <w:r w:rsidRPr="002A1629">
              <w:rPr>
                <w:rFonts w:ascii="Verdana" w:hAnsi="Verdana"/>
                <w:lang w:eastAsia="en-US"/>
              </w:rPr>
              <w:t xml:space="preserve">LABORATORY ASSESSMENT OF A FABRIC TREATMENT INTENDED TO PROTECT FROM MOSQUITOES BITES - Trial against </w:t>
            </w:r>
            <w:r w:rsidRPr="002A1629">
              <w:rPr>
                <w:rFonts w:ascii="Verdana" w:hAnsi="Verdana"/>
                <w:i/>
                <w:lang w:eastAsia="en-US"/>
              </w:rPr>
              <w:t>Aedes aegypti, Aedes albopictus, Culex quinquefasciatus, Anopheles gambiae</w:t>
            </w:r>
            <w:r w:rsidRPr="002A1629">
              <w:rPr>
                <w:rFonts w:ascii="Verdana" w:hAnsi="Verdana"/>
                <w:lang w:eastAsia="en-US"/>
              </w:rPr>
              <w:t xml:space="preserve"> - Test product: SPRAY IR3535 20% ANTI-POUX</w:t>
            </w:r>
          </w:p>
        </w:tc>
        <w:tc>
          <w:tcPr>
            <w:tcW w:w="1021" w:type="dxa"/>
            <w:tcBorders>
              <w:top w:val="single" w:sz="4" w:space="0" w:color="auto"/>
              <w:left w:val="nil"/>
              <w:bottom w:val="single" w:sz="4" w:space="0" w:color="auto"/>
              <w:right w:val="single" w:sz="4" w:space="0" w:color="auto"/>
            </w:tcBorders>
            <w:shd w:val="clear" w:color="auto" w:fill="auto"/>
          </w:tcPr>
          <w:p w14:paraId="18BD7107" w14:textId="77777777" w:rsidR="004E1CC8" w:rsidRDefault="004E1CC8" w:rsidP="003E3E25">
            <w:pPr>
              <w:pStyle w:val="Absatz"/>
              <w:ind w:left="0"/>
              <w:rPr>
                <w:rFonts w:ascii="Verdana" w:hAnsi="Verdana"/>
                <w:lang w:eastAsia="en-US"/>
              </w:rPr>
            </w:pPr>
            <w:r>
              <w:rPr>
                <w:rFonts w:ascii="Verdana" w:hAnsi="Verdana"/>
                <w:lang w:eastAsia="en-US"/>
              </w:rPr>
              <w:t>YES</w:t>
            </w:r>
          </w:p>
        </w:tc>
        <w:tc>
          <w:tcPr>
            <w:tcW w:w="1247" w:type="dxa"/>
            <w:tcBorders>
              <w:top w:val="single" w:sz="4" w:space="0" w:color="auto"/>
              <w:left w:val="nil"/>
              <w:bottom w:val="single" w:sz="4" w:space="0" w:color="auto"/>
              <w:right w:val="single" w:sz="4" w:space="0" w:color="auto"/>
            </w:tcBorders>
            <w:shd w:val="clear" w:color="auto" w:fill="auto"/>
          </w:tcPr>
          <w:p w14:paraId="36A5DB09" w14:textId="77777777" w:rsidR="004E1CC8" w:rsidRDefault="004E1CC8" w:rsidP="003E3E25">
            <w:pPr>
              <w:pStyle w:val="Absatz"/>
              <w:ind w:left="0"/>
              <w:rPr>
                <w:rFonts w:ascii="Verdana" w:hAnsi="Verdana"/>
                <w:lang w:eastAsia="en-US"/>
              </w:rPr>
            </w:pPr>
            <w:r w:rsidRPr="002A1629">
              <w:rPr>
                <w:rFonts w:ascii="Verdana" w:hAnsi="Verdana"/>
                <w:lang w:eastAsia="en-US"/>
              </w:rPr>
              <w:t>Envirotech SAS</w:t>
            </w:r>
          </w:p>
        </w:tc>
        <w:tc>
          <w:tcPr>
            <w:tcW w:w="1217" w:type="dxa"/>
            <w:tcBorders>
              <w:top w:val="single" w:sz="4" w:space="0" w:color="auto"/>
              <w:left w:val="nil"/>
              <w:bottom w:val="single" w:sz="4" w:space="0" w:color="auto"/>
              <w:right w:val="single" w:sz="4" w:space="0" w:color="auto"/>
            </w:tcBorders>
            <w:shd w:val="clear" w:color="auto" w:fill="auto"/>
          </w:tcPr>
          <w:p w14:paraId="13D0A94F" w14:textId="77777777" w:rsidR="004E1CC8" w:rsidRDefault="004E1CC8" w:rsidP="003E3E25">
            <w:pPr>
              <w:pStyle w:val="Absatz"/>
              <w:ind w:left="0"/>
              <w:rPr>
                <w:rFonts w:ascii="Verdana" w:hAnsi="Verdana"/>
                <w:lang w:eastAsia="en-US"/>
              </w:rPr>
            </w:pPr>
            <w:r w:rsidRPr="002A1629">
              <w:rPr>
                <w:rFonts w:ascii="Verdana" w:hAnsi="Verdana"/>
                <w:lang w:eastAsia="en-US"/>
              </w:rPr>
              <w:t>10/05/2019</w:t>
            </w:r>
          </w:p>
        </w:tc>
      </w:tr>
      <w:tr w:rsidR="004E1CC8" w:rsidRPr="00451C4F" w14:paraId="67C118B1" w14:textId="77777777" w:rsidTr="003E3E25">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DE4B70C" w14:textId="77777777" w:rsidR="004E1CC8" w:rsidRDefault="004E1CC8" w:rsidP="003E3E25">
            <w:pPr>
              <w:pStyle w:val="Absatz"/>
              <w:ind w:left="0"/>
              <w:rPr>
                <w:rFonts w:ascii="Verdana" w:hAnsi="Verdana"/>
                <w:lang w:eastAsia="en-US"/>
              </w:rPr>
            </w:pPr>
            <w:r w:rsidRPr="002D3515">
              <w:rPr>
                <w:rFonts w:ascii="Verdana" w:hAnsi="Verdana"/>
                <w:lang w:eastAsia="en-US"/>
              </w:rPr>
              <w:t>Serrano, B.</w:t>
            </w:r>
          </w:p>
        </w:tc>
        <w:tc>
          <w:tcPr>
            <w:tcW w:w="855" w:type="dxa"/>
            <w:tcBorders>
              <w:top w:val="single" w:sz="4" w:space="0" w:color="auto"/>
              <w:left w:val="nil"/>
              <w:bottom w:val="single" w:sz="4" w:space="0" w:color="auto"/>
              <w:right w:val="single" w:sz="4" w:space="0" w:color="auto"/>
            </w:tcBorders>
            <w:shd w:val="clear" w:color="auto" w:fill="auto"/>
          </w:tcPr>
          <w:p w14:paraId="5A4F3308" w14:textId="77777777" w:rsidR="004E1CC8" w:rsidRDefault="004E1CC8" w:rsidP="003E3E25">
            <w:pPr>
              <w:pStyle w:val="Absatz"/>
              <w:ind w:left="0"/>
              <w:rPr>
                <w:rFonts w:ascii="Verdana" w:hAnsi="Verdana"/>
                <w:lang w:eastAsia="en-US"/>
              </w:rPr>
            </w:pPr>
            <w:r>
              <w:rPr>
                <w:rFonts w:ascii="Verdana" w:hAnsi="Verdana"/>
                <w:lang w:eastAsia="en-US"/>
              </w:rPr>
              <w:t>2019</w:t>
            </w:r>
          </w:p>
        </w:tc>
        <w:tc>
          <w:tcPr>
            <w:tcW w:w="3311" w:type="dxa"/>
            <w:tcBorders>
              <w:top w:val="single" w:sz="4" w:space="0" w:color="auto"/>
              <w:left w:val="nil"/>
              <w:bottom w:val="single" w:sz="4" w:space="0" w:color="auto"/>
              <w:right w:val="single" w:sz="4" w:space="0" w:color="auto"/>
            </w:tcBorders>
            <w:shd w:val="clear" w:color="auto" w:fill="auto"/>
          </w:tcPr>
          <w:p w14:paraId="2B65946C" w14:textId="77777777" w:rsidR="004E1CC8" w:rsidRPr="002A1629" w:rsidRDefault="004E1CC8" w:rsidP="003E3E25">
            <w:pPr>
              <w:pStyle w:val="Absatz"/>
              <w:ind w:left="0"/>
              <w:rPr>
                <w:rFonts w:ascii="Verdana" w:hAnsi="Verdana"/>
                <w:lang w:eastAsia="en-US"/>
              </w:rPr>
            </w:pPr>
            <w:r w:rsidRPr="002A1629">
              <w:rPr>
                <w:rFonts w:ascii="Verdana" w:hAnsi="Verdana"/>
                <w:lang w:eastAsia="en-US"/>
              </w:rPr>
              <w:t xml:space="preserve">LABORATORY ASSESSMENT OF A FABRIC TREATMENT INTENDED TO PROTECT FROM TICKS BITES - Trial against </w:t>
            </w:r>
            <w:r w:rsidRPr="002A1629">
              <w:rPr>
                <w:rFonts w:ascii="Verdana" w:hAnsi="Verdana"/>
                <w:i/>
                <w:lang w:eastAsia="en-US"/>
              </w:rPr>
              <w:t>Ixodes Ricinus</w:t>
            </w:r>
            <w:r w:rsidRPr="002A1629">
              <w:rPr>
                <w:rFonts w:ascii="Verdana" w:hAnsi="Verdana"/>
                <w:lang w:eastAsia="en-US"/>
              </w:rPr>
              <w:t xml:space="preserve"> - Test product: SPRAY IR3535 20% ANTI-POUX</w:t>
            </w:r>
          </w:p>
        </w:tc>
        <w:tc>
          <w:tcPr>
            <w:tcW w:w="1021" w:type="dxa"/>
            <w:tcBorders>
              <w:top w:val="single" w:sz="4" w:space="0" w:color="auto"/>
              <w:left w:val="nil"/>
              <w:bottom w:val="single" w:sz="4" w:space="0" w:color="auto"/>
              <w:right w:val="single" w:sz="4" w:space="0" w:color="auto"/>
            </w:tcBorders>
            <w:shd w:val="clear" w:color="auto" w:fill="auto"/>
          </w:tcPr>
          <w:p w14:paraId="72FBB6E4" w14:textId="77777777" w:rsidR="004E1CC8" w:rsidRDefault="004E1CC8" w:rsidP="003E3E25">
            <w:pPr>
              <w:pStyle w:val="Absatz"/>
              <w:ind w:left="0"/>
              <w:rPr>
                <w:rFonts w:ascii="Verdana" w:hAnsi="Verdana"/>
                <w:lang w:eastAsia="en-US"/>
              </w:rPr>
            </w:pPr>
            <w:r>
              <w:rPr>
                <w:rFonts w:ascii="Verdana" w:hAnsi="Verdana"/>
                <w:lang w:eastAsia="en-US"/>
              </w:rPr>
              <w:t>YES</w:t>
            </w:r>
          </w:p>
        </w:tc>
        <w:tc>
          <w:tcPr>
            <w:tcW w:w="1247" w:type="dxa"/>
            <w:tcBorders>
              <w:top w:val="single" w:sz="4" w:space="0" w:color="auto"/>
              <w:left w:val="nil"/>
              <w:bottom w:val="single" w:sz="4" w:space="0" w:color="auto"/>
              <w:right w:val="single" w:sz="4" w:space="0" w:color="auto"/>
            </w:tcBorders>
            <w:shd w:val="clear" w:color="auto" w:fill="auto"/>
          </w:tcPr>
          <w:p w14:paraId="3DA449DB" w14:textId="77777777" w:rsidR="004E1CC8" w:rsidRDefault="004E1CC8" w:rsidP="003E3E25">
            <w:pPr>
              <w:pStyle w:val="Absatz"/>
              <w:ind w:left="0"/>
              <w:rPr>
                <w:rFonts w:ascii="Verdana" w:hAnsi="Verdana"/>
                <w:lang w:eastAsia="en-US"/>
              </w:rPr>
            </w:pPr>
            <w:r w:rsidRPr="002A1629">
              <w:rPr>
                <w:rFonts w:ascii="Verdana" w:hAnsi="Verdana"/>
                <w:lang w:eastAsia="en-US"/>
              </w:rPr>
              <w:t>Envirotech SAS</w:t>
            </w:r>
          </w:p>
        </w:tc>
        <w:tc>
          <w:tcPr>
            <w:tcW w:w="1217" w:type="dxa"/>
            <w:tcBorders>
              <w:top w:val="single" w:sz="4" w:space="0" w:color="auto"/>
              <w:left w:val="nil"/>
              <w:bottom w:val="single" w:sz="4" w:space="0" w:color="auto"/>
              <w:right w:val="single" w:sz="4" w:space="0" w:color="auto"/>
            </w:tcBorders>
            <w:shd w:val="clear" w:color="auto" w:fill="auto"/>
          </w:tcPr>
          <w:p w14:paraId="62B2284E" w14:textId="77777777" w:rsidR="004E1CC8" w:rsidRDefault="004E1CC8" w:rsidP="003E3E25">
            <w:pPr>
              <w:pStyle w:val="Absatz"/>
              <w:ind w:left="0"/>
              <w:rPr>
                <w:rFonts w:ascii="Verdana" w:hAnsi="Verdana"/>
                <w:lang w:eastAsia="en-US"/>
              </w:rPr>
            </w:pPr>
            <w:r w:rsidRPr="002A1629">
              <w:rPr>
                <w:rFonts w:ascii="Verdana" w:hAnsi="Verdana"/>
                <w:lang w:eastAsia="en-US"/>
              </w:rPr>
              <w:t>25/04/2019</w:t>
            </w:r>
          </w:p>
        </w:tc>
      </w:tr>
      <w:tr w:rsidR="004E1CC8" w:rsidRPr="00451C4F" w14:paraId="3F365268" w14:textId="77777777" w:rsidTr="003E3E25">
        <w:trPr>
          <w:trHeight w:val="1099"/>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5DD2EC4" w14:textId="77777777" w:rsidR="004E1CC8" w:rsidRPr="002D3515" w:rsidRDefault="004E1CC8" w:rsidP="003E3E25">
            <w:pPr>
              <w:pStyle w:val="Absatz"/>
              <w:ind w:left="0"/>
              <w:rPr>
                <w:rFonts w:ascii="Verdana" w:hAnsi="Verdana"/>
                <w:lang w:eastAsia="en-US"/>
              </w:rPr>
            </w:pPr>
            <w:r>
              <w:rPr>
                <w:rFonts w:ascii="Verdana" w:hAnsi="Verdana"/>
                <w:lang w:eastAsia="en-US"/>
              </w:rPr>
              <w:t>Toubaté, B.</w:t>
            </w:r>
          </w:p>
        </w:tc>
        <w:tc>
          <w:tcPr>
            <w:tcW w:w="855" w:type="dxa"/>
            <w:tcBorders>
              <w:top w:val="single" w:sz="4" w:space="0" w:color="auto"/>
              <w:left w:val="nil"/>
              <w:bottom w:val="single" w:sz="4" w:space="0" w:color="auto"/>
              <w:right w:val="single" w:sz="4" w:space="0" w:color="auto"/>
            </w:tcBorders>
            <w:shd w:val="clear" w:color="auto" w:fill="auto"/>
          </w:tcPr>
          <w:p w14:paraId="415807B2" w14:textId="77777777" w:rsidR="004E1CC8" w:rsidRPr="002D3515" w:rsidRDefault="004E1CC8" w:rsidP="003E3E25">
            <w:pPr>
              <w:pStyle w:val="Absatz"/>
              <w:ind w:left="0"/>
              <w:rPr>
                <w:rFonts w:ascii="Verdana" w:hAnsi="Verdana"/>
                <w:lang w:eastAsia="en-US"/>
              </w:rPr>
            </w:pPr>
            <w:r>
              <w:rPr>
                <w:rFonts w:ascii="Verdana" w:hAnsi="Verdana"/>
                <w:lang w:eastAsia="en-US"/>
              </w:rPr>
              <w:t>2018</w:t>
            </w:r>
          </w:p>
        </w:tc>
        <w:tc>
          <w:tcPr>
            <w:tcW w:w="3311" w:type="dxa"/>
            <w:tcBorders>
              <w:top w:val="single" w:sz="4" w:space="0" w:color="auto"/>
              <w:left w:val="nil"/>
              <w:bottom w:val="single" w:sz="4" w:space="0" w:color="auto"/>
              <w:right w:val="single" w:sz="4" w:space="0" w:color="auto"/>
            </w:tcBorders>
            <w:shd w:val="clear" w:color="auto" w:fill="auto"/>
          </w:tcPr>
          <w:p w14:paraId="692C001E" w14:textId="77777777" w:rsidR="004E1CC8" w:rsidRPr="00BA6672" w:rsidRDefault="004E1CC8" w:rsidP="003E3E25">
            <w:pPr>
              <w:pStyle w:val="Absatz"/>
              <w:ind w:left="0"/>
              <w:rPr>
                <w:rFonts w:ascii="Verdana" w:hAnsi="Verdana"/>
                <w:lang w:val="fr-FR" w:eastAsia="en-US"/>
              </w:rPr>
            </w:pPr>
            <w:r w:rsidRPr="00BA6672">
              <w:rPr>
                <w:rFonts w:ascii="Verdana" w:hAnsi="Verdana"/>
                <w:lang w:val="fr-FR" w:eastAsia="en-US"/>
              </w:rPr>
              <w:t>Efficacité repulsive du SPRAY I</w:t>
            </w:r>
            <w:r>
              <w:rPr>
                <w:rFonts w:ascii="Verdana" w:hAnsi="Verdana"/>
                <w:lang w:val="fr-FR" w:eastAsia="en-US"/>
              </w:rPr>
              <w:t>R3535 ANTI POUX rèf/LOT 20180118L1 pour la Société TERRIUM SAS</w:t>
            </w:r>
          </w:p>
        </w:tc>
        <w:tc>
          <w:tcPr>
            <w:tcW w:w="1021" w:type="dxa"/>
            <w:tcBorders>
              <w:top w:val="single" w:sz="4" w:space="0" w:color="auto"/>
              <w:left w:val="nil"/>
              <w:bottom w:val="single" w:sz="4" w:space="0" w:color="auto"/>
              <w:right w:val="single" w:sz="4" w:space="0" w:color="auto"/>
            </w:tcBorders>
            <w:shd w:val="clear" w:color="auto" w:fill="auto"/>
          </w:tcPr>
          <w:p w14:paraId="580D718A" w14:textId="77777777" w:rsidR="004E1CC8" w:rsidRPr="002D3515" w:rsidRDefault="004E1CC8" w:rsidP="003E3E25">
            <w:pPr>
              <w:pStyle w:val="Absatz"/>
              <w:ind w:left="0"/>
              <w:rPr>
                <w:rFonts w:ascii="Verdana" w:hAnsi="Verdana"/>
                <w:lang w:eastAsia="en-US"/>
              </w:rPr>
            </w:pPr>
            <w:r>
              <w:rPr>
                <w:rFonts w:ascii="Verdana" w:hAnsi="Verdana"/>
                <w:lang w:eastAsia="en-US"/>
              </w:rPr>
              <w:t>YES</w:t>
            </w:r>
          </w:p>
        </w:tc>
        <w:tc>
          <w:tcPr>
            <w:tcW w:w="1247" w:type="dxa"/>
            <w:tcBorders>
              <w:top w:val="single" w:sz="4" w:space="0" w:color="auto"/>
              <w:left w:val="nil"/>
              <w:bottom w:val="single" w:sz="4" w:space="0" w:color="auto"/>
              <w:right w:val="single" w:sz="4" w:space="0" w:color="auto"/>
            </w:tcBorders>
            <w:shd w:val="clear" w:color="auto" w:fill="auto"/>
          </w:tcPr>
          <w:p w14:paraId="16C99187" w14:textId="77777777" w:rsidR="004E1CC8" w:rsidRPr="002D3515" w:rsidRDefault="004E1CC8" w:rsidP="003E3E25">
            <w:pPr>
              <w:pStyle w:val="Absatz"/>
              <w:ind w:left="0"/>
              <w:rPr>
                <w:rFonts w:ascii="Verdana" w:hAnsi="Verdana"/>
                <w:lang w:eastAsia="en-US"/>
              </w:rPr>
            </w:pPr>
            <w:r>
              <w:rPr>
                <w:rFonts w:ascii="Verdana" w:hAnsi="Verdana"/>
                <w:lang w:eastAsia="en-US"/>
              </w:rPr>
              <w:t>Terrium</w:t>
            </w:r>
          </w:p>
        </w:tc>
        <w:tc>
          <w:tcPr>
            <w:tcW w:w="1217" w:type="dxa"/>
            <w:tcBorders>
              <w:top w:val="single" w:sz="4" w:space="0" w:color="auto"/>
              <w:left w:val="nil"/>
              <w:bottom w:val="single" w:sz="4" w:space="0" w:color="auto"/>
              <w:right w:val="single" w:sz="4" w:space="0" w:color="auto"/>
            </w:tcBorders>
            <w:shd w:val="clear" w:color="auto" w:fill="auto"/>
          </w:tcPr>
          <w:p w14:paraId="4DE0AC14" w14:textId="77777777" w:rsidR="004E1CC8" w:rsidRPr="002D3515" w:rsidRDefault="004E1CC8" w:rsidP="003E3E25">
            <w:pPr>
              <w:pStyle w:val="Absatz"/>
              <w:ind w:left="0"/>
              <w:rPr>
                <w:rFonts w:ascii="Verdana" w:hAnsi="Verdana"/>
                <w:lang w:eastAsia="en-US"/>
              </w:rPr>
            </w:pPr>
            <w:r>
              <w:rPr>
                <w:rFonts w:ascii="Verdana" w:hAnsi="Verdana"/>
                <w:lang w:eastAsia="en-US"/>
              </w:rPr>
              <w:t>19/07/2018</w:t>
            </w:r>
          </w:p>
        </w:tc>
      </w:tr>
      <w:tr w:rsidR="004E1CC8" w:rsidRPr="00451C4F" w14:paraId="0E3A9648" w14:textId="77777777" w:rsidTr="003E3E25">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2044323" w14:textId="77777777" w:rsidR="004E1CC8" w:rsidRDefault="004E1CC8" w:rsidP="003E3E25">
            <w:pPr>
              <w:pStyle w:val="Absatz"/>
              <w:ind w:left="0"/>
              <w:rPr>
                <w:rFonts w:ascii="Verdana" w:hAnsi="Verdana"/>
                <w:lang w:eastAsia="en-US"/>
              </w:rPr>
            </w:pPr>
            <w:r>
              <w:rPr>
                <w:rFonts w:ascii="Verdana" w:hAnsi="Verdana"/>
                <w:lang w:eastAsia="en-US"/>
              </w:rPr>
              <w:t>Toubaté, B.</w:t>
            </w:r>
          </w:p>
        </w:tc>
        <w:tc>
          <w:tcPr>
            <w:tcW w:w="855" w:type="dxa"/>
            <w:tcBorders>
              <w:top w:val="single" w:sz="4" w:space="0" w:color="auto"/>
              <w:left w:val="nil"/>
              <w:bottom w:val="single" w:sz="4" w:space="0" w:color="auto"/>
              <w:right w:val="single" w:sz="4" w:space="0" w:color="auto"/>
            </w:tcBorders>
            <w:shd w:val="clear" w:color="auto" w:fill="auto"/>
          </w:tcPr>
          <w:p w14:paraId="18906A03" w14:textId="77777777" w:rsidR="004E1CC8" w:rsidRDefault="004E1CC8" w:rsidP="003E3E25">
            <w:pPr>
              <w:pStyle w:val="Absatz"/>
              <w:ind w:left="0"/>
              <w:rPr>
                <w:rFonts w:ascii="Verdana" w:hAnsi="Verdana"/>
                <w:lang w:eastAsia="en-US"/>
              </w:rPr>
            </w:pPr>
            <w:r>
              <w:rPr>
                <w:rFonts w:ascii="Verdana" w:hAnsi="Verdana"/>
                <w:lang w:eastAsia="en-US"/>
              </w:rPr>
              <w:t>2019</w:t>
            </w:r>
          </w:p>
        </w:tc>
        <w:tc>
          <w:tcPr>
            <w:tcW w:w="3311" w:type="dxa"/>
            <w:tcBorders>
              <w:top w:val="single" w:sz="4" w:space="0" w:color="auto"/>
              <w:left w:val="nil"/>
              <w:bottom w:val="single" w:sz="4" w:space="0" w:color="auto"/>
              <w:right w:val="single" w:sz="4" w:space="0" w:color="auto"/>
            </w:tcBorders>
            <w:shd w:val="clear" w:color="auto" w:fill="auto"/>
          </w:tcPr>
          <w:p w14:paraId="773FB5D3" w14:textId="77777777" w:rsidR="004E1CC8" w:rsidRPr="00BA6672" w:rsidRDefault="004E1CC8" w:rsidP="003E3E25">
            <w:pPr>
              <w:pStyle w:val="Absatz"/>
              <w:ind w:left="0"/>
              <w:rPr>
                <w:rFonts w:ascii="Verdana" w:hAnsi="Verdana"/>
                <w:lang w:val="fr-FR" w:eastAsia="en-US"/>
              </w:rPr>
            </w:pPr>
            <w:r w:rsidRPr="002A1629">
              <w:rPr>
                <w:rFonts w:ascii="Verdana" w:hAnsi="Verdana"/>
                <w:lang w:val="fr-FR" w:eastAsia="en-US"/>
              </w:rPr>
              <w:t>Mise en évidence de la «Neutralité» des «supports» utilisés lors des essais réalisés et de l’absence d’effet insecticide du traitement répulsif société TERRIUM SAS – Analyses complémentaires</w:t>
            </w:r>
          </w:p>
        </w:tc>
        <w:tc>
          <w:tcPr>
            <w:tcW w:w="1021" w:type="dxa"/>
            <w:tcBorders>
              <w:top w:val="single" w:sz="4" w:space="0" w:color="auto"/>
              <w:left w:val="nil"/>
              <w:bottom w:val="single" w:sz="4" w:space="0" w:color="auto"/>
              <w:right w:val="single" w:sz="4" w:space="0" w:color="auto"/>
            </w:tcBorders>
            <w:shd w:val="clear" w:color="auto" w:fill="auto"/>
          </w:tcPr>
          <w:p w14:paraId="622F5D75" w14:textId="77777777" w:rsidR="004E1CC8" w:rsidRPr="00BA6672" w:rsidRDefault="004E1CC8" w:rsidP="003E3E25">
            <w:pPr>
              <w:pStyle w:val="Absatz"/>
              <w:ind w:left="0"/>
              <w:rPr>
                <w:rFonts w:ascii="Verdana" w:hAnsi="Verdana"/>
                <w:lang w:val="fr-FR" w:eastAsia="en-US"/>
              </w:rPr>
            </w:pPr>
            <w:r>
              <w:rPr>
                <w:rFonts w:ascii="Verdana" w:hAnsi="Verdana"/>
                <w:lang w:eastAsia="en-US"/>
              </w:rPr>
              <w:t>YES</w:t>
            </w:r>
          </w:p>
        </w:tc>
        <w:tc>
          <w:tcPr>
            <w:tcW w:w="1247" w:type="dxa"/>
            <w:tcBorders>
              <w:top w:val="single" w:sz="4" w:space="0" w:color="auto"/>
              <w:left w:val="nil"/>
              <w:bottom w:val="single" w:sz="4" w:space="0" w:color="auto"/>
              <w:right w:val="single" w:sz="4" w:space="0" w:color="auto"/>
            </w:tcBorders>
            <w:shd w:val="clear" w:color="auto" w:fill="auto"/>
          </w:tcPr>
          <w:p w14:paraId="4E212A71" w14:textId="77777777" w:rsidR="004E1CC8" w:rsidRDefault="004E1CC8" w:rsidP="003E3E25">
            <w:pPr>
              <w:pStyle w:val="Absatz"/>
              <w:ind w:left="0"/>
              <w:rPr>
                <w:rFonts w:ascii="Verdana" w:hAnsi="Verdana"/>
                <w:lang w:eastAsia="en-US"/>
              </w:rPr>
            </w:pPr>
            <w:r>
              <w:rPr>
                <w:rFonts w:ascii="Verdana" w:hAnsi="Verdana"/>
                <w:lang w:eastAsia="en-US"/>
              </w:rPr>
              <w:t>Terrium</w:t>
            </w:r>
          </w:p>
        </w:tc>
        <w:tc>
          <w:tcPr>
            <w:tcW w:w="1217" w:type="dxa"/>
            <w:tcBorders>
              <w:top w:val="single" w:sz="4" w:space="0" w:color="auto"/>
              <w:left w:val="nil"/>
              <w:bottom w:val="single" w:sz="4" w:space="0" w:color="auto"/>
              <w:right w:val="single" w:sz="4" w:space="0" w:color="auto"/>
            </w:tcBorders>
            <w:shd w:val="clear" w:color="auto" w:fill="auto"/>
          </w:tcPr>
          <w:p w14:paraId="69662231" w14:textId="77777777" w:rsidR="004E1CC8" w:rsidRDefault="004E1CC8" w:rsidP="003E3E25">
            <w:pPr>
              <w:pStyle w:val="Absatz"/>
              <w:ind w:left="0"/>
              <w:rPr>
                <w:rFonts w:ascii="Verdana" w:hAnsi="Verdana"/>
                <w:lang w:eastAsia="en-US"/>
              </w:rPr>
            </w:pPr>
            <w:r w:rsidRPr="002A1629">
              <w:rPr>
                <w:rFonts w:ascii="Verdana" w:hAnsi="Verdana"/>
                <w:lang w:eastAsia="en-US"/>
              </w:rPr>
              <w:t>24/04/2019</w:t>
            </w:r>
          </w:p>
        </w:tc>
      </w:tr>
    </w:tbl>
    <w:p w14:paraId="62C257C7" w14:textId="2949E6CA" w:rsidR="00F65B8F" w:rsidRDefault="00F65B8F" w:rsidP="00D2639D">
      <w:pPr>
        <w:shd w:val="clear" w:color="auto" w:fill="FFFFFF" w:themeFill="background1"/>
        <w:rPr>
          <w:rFonts w:eastAsia="Calibri"/>
          <w:lang w:eastAsia="en-US"/>
        </w:rPr>
      </w:pPr>
    </w:p>
    <w:p w14:paraId="5D5641C9" w14:textId="77777777" w:rsidR="00C825A4" w:rsidRPr="00C825A4" w:rsidRDefault="00C825A4" w:rsidP="00C825A4">
      <w:pPr>
        <w:pStyle w:val="Paragraphedeliste"/>
        <w:widowControl w:val="0"/>
        <w:numPr>
          <w:ilvl w:val="0"/>
          <w:numId w:val="36"/>
        </w:numPr>
        <w:kinsoku w:val="0"/>
        <w:overflowPunct w:val="0"/>
        <w:autoSpaceDE w:val="0"/>
        <w:autoSpaceDN w:val="0"/>
        <w:adjustRightInd w:val="0"/>
        <w:spacing w:before="292" w:after="0" w:line="290" w:lineRule="exact"/>
        <w:ind w:right="216"/>
        <w:contextualSpacing w:val="0"/>
        <w:jc w:val="both"/>
        <w:textAlignment w:val="baseline"/>
        <w:rPr>
          <w:rFonts w:cs="Arial"/>
          <w:spacing w:val="1"/>
          <w:highlight w:val="lightGray"/>
          <w:u w:val="single"/>
          <w:lang w:val="en-US" w:eastAsia="fr-FR"/>
        </w:rPr>
      </w:pPr>
      <w:r w:rsidRPr="00C825A4">
        <w:rPr>
          <w:rFonts w:cs="Arial"/>
          <w:b/>
          <w:spacing w:val="1"/>
          <w:highlight w:val="lightGray"/>
          <w:u w:val="single"/>
          <w:lang w:val="en-US" w:eastAsia="fr-FR"/>
        </w:rPr>
        <w:t>Minor change application – 2021</w:t>
      </w:r>
    </w:p>
    <w:p w14:paraId="5126A392" w14:textId="77777777" w:rsidR="00C825A4" w:rsidRPr="00C825A4" w:rsidRDefault="00C825A4" w:rsidP="00C825A4">
      <w:pPr>
        <w:rPr>
          <w:highlight w:val="lightGray"/>
          <w:lang w:eastAsia="en-US"/>
        </w:rPr>
      </w:pPr>
    </w:p>
    <w:tbl>
      <w:tblPr>
        <w:tblW w:w="9122" w:type="dxa"/>
        <w:tblLayout w:type="fixed"/>
        <w:tblLook w:val="04A0" w:firstRow="1" w:lastRow="0" w:firstColumn="1" w:lastColumn="0" w:noHBand="0" w:noVBand="1"/>
      </w:tblPr>
      <w:tblGrid>
        <w:gridCol w:w="1471"/>
        <w:gridCol w:w="855"/>
        <w:gridCol w:w="3311"/>
        <w:gridCol w:w="1021"/>
        <w:gridCol w:w="1247"/>
        <w:gridCol w:w="1217"/>
      </w:tblGrid>
      <w:tr w:rsidR="00C825A4" w:rsidRPr="00C825A4" w14:paraId="3FE00953" w14:textId="77777777" w:rsidTr="008D7EDC">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525DF2ED" w14:textId="77777777" w:rsidR="00C825A4" w:rsidRPr="00C825A4" w:rsidRDefault="00C825A4" w:rsidP="008D7EDC">
            <w:pPr>
              <w:jc w:val="center"/>
              <w:rPr>
                <w:rFonts w:cs="Arial"/>
                <w:b/>
                <w:bCs/>
                <w:sz w:val="18"/>
                <w:highlight w:val="lightGray"/>
                <w:lang w:val="en-US" w:eastAsia="en-US"/>
              </w:rPr>
            </w:pPr>
            <w:r w:rsidRPr="00C825A4">
              <w:rPr>
                <w:rFonts w:cs="Arial"/>
                <w:b/>
                <w:bCs/>
                <w:sz w:val="18"/>
                <w:highlight w:val="lightGray"/>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793D5499" w14:textId="77777777" w:rsidR="00C825A4" w:rsidRPr="00C825A4" w:rsidRDefault="00C825A4" w:rsidP="008D7EDC">
            <w:pPr>
              <w:jc w:val="center"/>
              <w:rPr>
                <w:rFonts w:cs="Arial"/>
                <w:b/>
                <w:bCs/>
                <w:sz w:val="18"/>
                <w:highlight w:val="lightGray"/>
                <w:lang w:val="en-US" w:eastAsia="en-US"/>
              </w:rPr>
            </w:pPr>
            <w:r w:rsidRPr="00C825A4">
              <w:rPr>
                <w:rFonts w:cs="Arial"/>
                <w:b/>
                <w:bCs/>
                <w:sz w:val="18"/>
                <w:highlight w:val="lightGray"/>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40E35E01" w14:textId="77777777" w:rsidR="00C825A4" w:rsidRPr="00C825A4" w:rsidRDefault="00C825A4" w:rsidP="008D7EDC">
            <w:pPr>
              <w:jc w:val="center"/>
              <w:rPr>
                <w:rFonts w:cs="Arial"/>
                <w:b/>
                <w:bCs/>
                <w:sz w:val="18"/>
                <w:highlight w:val="lightGray"/>
                <w:lang w:val="en-US" w:eastAsia="en-US"/>
              </w:rPr>
            </w:pPr>
            <w:r w:rsidRPr="00C825A4">
              <w:rPr>
                <w:rFonts w:cs="Arial"/>
                <w:b/>
                <w:bCs/>
                <w:sz w:val="18"/>
                <w:highlight w:val="lightGray"/>
                <w:lang w:val="en-US" w:eastAsia="en-US"/>
              </w:rPr>
              <w:t>Title.</w:t>
            </w:r>
            <w:r w:rsidRPr="00C825A4">
              <w:rPr>
                <w:rFonts w:cs="Arial"/>
                <w:b/>
                <w:bCs/>
                <w:sz w:val="18"/>
                <w:highlight w:val="lightGray"/>
                <w:lang w:val="en-US" w:eastAsia="en-US"/>
              </w:rPr>
              <w:br/>
              <w:t>Source (where different from company) Company, Report No. GLP (where relevant) / (Un)Published</w:t>
            </w:r>
          </w:p>
        </w:tc>
        <w:tc>
          <w:tcPr>
            <w:tcW w:w="1021" w:type="dxa"/>
            <w:tcBorders>
              <w:top w:val="single" w:sz="4" w:space="0" w:color="auto"/>
              <w:left w:val="nil"/>
              <w:bottom w:val="single" w:sz="4" w:space="0" w:color="auto"/>
              <w:right w:val="single" w:sz="4" w:space="0" w:color="auto"/>
            </w:tcBorders>
            <w:shd w:val="clear" w:color="auto" w:fill="auto"/>
            <w:hideMark/>
          </w:tcPr>
          <w:p w14:paraId="6D9A1FE8" w14:textId="77777777" w:rsidR="00C825A4" w:rsidRPr="00C825A4" w:rsidRDefault="00C825A4" w:rsidP="008D7EDC">
            <w:pPr>
              <w:jc w:val="center"/>
              <w:rPr>
                <w:rFonts w:cs="Arial"/>
                <w:b/>
                <w:bCs/>
                <w:sz w:val="18"/>
                <w:highlight w:val="lightGray"/>
                <w:lang w:val="en-US" w:eastAsia="en-US"/>
              </w:rPr>
            </w:pPr>
            <w:r w:rsidRPr="00C825A4">
              <w:rPr>
                <w:rFonts w:cs="Arial"/>
                <w:b/>
                <w:bCs/>
                <w:sz w:val="18"/>
                <w:highlight w:val="lightGray"/>
                <w:lang w:val="en-US" w:eastAsia="en-US"/>
              </w:rPr>
              <w:t>Data Protection Claimed (Yes/No)</w:t>
            </w:r>
          </w:p>
        </w:tc>
        <w:tc>
          <w:tcPr>
            <w:tcW w:w="1247" w:type="dxa"/>
            <w:tcBorders>
              <w:top w:val="single" w:sz="4" w:space="0" w:color="auto"/>
              <w:left w:val="nil"/>
              <w:bottom w:val="single" w:sz="4" w:space="0" w:color="auto"/>
              <w:right w:val="single" w:sz="4" w:space="0" w:color="auto"/>
            </w:tcBorders>
            <w:shd w:val="clear" w:color="auto" w:fill="auto"/>
            <w:hideMark/>
          </w:tcPr>
          <w:p w14:paraId="4CC6F56D" w14:textId="77777777" w:rsidR="00C825A4" w:rsidRPr="00C825A4" w:rsidRDefault="00C825A4" w:rsidP="008D7EDC">
            <w:pPr>
              <w:jc w:val="center"/>
              <w:rPr>
                <w:rFonts w:cs="Arial"/>
                <w:b/>
                <w:bCs/>
                <w:sz w:val="18"/>
                <w:highlight w:val="lightGray"/>
                <w:lang w:val="en-US" w:eastAsia="en-US"/>
              </w:rPr>
            </w:pPr>
            <w:r w:rsidRPr="00C825A4">
              <w:rPr>
                <w:rFonts w:cs="Arial"/>
                <w:b/>
                <w:bCs/>
                <w:sz w:val="18"/>
                <w:highlight w:val="lightGray"/>
                <w:lang w:val="en-US" w:eastAsia="en-US"/>
              </w:rPr>
              <w:t>Owner (PUB / ORG)</w:t>
            </w:r>
          </w:p>
        </w:tc>
        <w:tc>
          <w:tcPr>
            <w:tcW w:w="1217" w:type="dxa"/>
            <w:tcBorders>
              <w:top w:val="single" w:sz="4" w:space="0" w:color="auto"/>
              <w:left w:val="nil"/>
              <w:bottom w:val="single" w:sz="4" w:space="0" w:color="auto"/>
              <w:right w:val="single" w:sz="4" w:space="0" w:color="auto"/>
            </w:tcBorders>
            <w:shd w:val="clear" w:color="auto" w:fill="auto"/>
            <w:hideMark/>
          </w:tcPr>
          <w:p w14:paraId="07C2310A" w14:textId="77777777" w:rsidR="00C825A4" w:rsidRPr="00C825A4" w:rsidRDefault="00C825A4" w:rsidP="008D7EDC">
            <w:pPr>
              <w:jc w:val="center"/>
              <w:rPr>
                <w:rFonts w:cs="Arial"/>
                <w:b/>
                <w:bCs/>
                <w:sz w:val="18"/>
                <w:highlight w:val="lightGray"/>
                <w:lang w:val="en-US" w:eastAsia="en-US"/>
              </w:rPr>
            </w:pPr>
            <w:r w:rsidRPr="00C825A4">
              <w:rPr>
                <w:rFonts w:cs="Arial"/>
                <w:b/>
                <w:bCs/>
                <w:sz w:val="18"/>
                <w:highlight w:val="lightGray"/>
                <w:lang w:val="en-US" w:eastAsia="en-US"/>
              </w:rPr>
              <w:t>Date of first submission</w:t>
            </w:r>
          </w:p>
        </w:tc>
      </w:tr>
      <w:tr w:rsidR="00C825A4" w:rsidRPr="00C825A4" w14:paraId="184ABE70" w14:textId="77777777" w:rsidTr="008D7EDC">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0D293F1" w14:textId="77777777" w:rsidR="00C825A4" w:rsidRPr="00C825A4" w:rsidRDefault="00C825A4" w:rsidP="008D7EDC">
            <w:pPr>
              <w:pStyle w:val="Absatz"/>
              <w:ind w:left="0"/>
              <w:jc w:val="center"/>
              <w:rPr>
                <w:rFonts w:ascii="Verdana" w:hAnsi="Verdana"/>
                <w:highlight w:val="lightGray"/>
                <w:lang w:eastAsia="en-US"/>
              </w:rPr>
            </w:pPr>
            <w:r w:rsidRPr="00C825A4">
              <w:rPr>
                <w:rFonts w:ascii="Verdana" w:hAnsi="Verdana"/>
                <w:highlight w:val="lightGray"/>
                <w:lang w:eastAsia="en-US"/>
              </w:rPr>
              <w:t>Demangel, B.</w:t>
            </w:r>
          </w:p>
        </w:tc>
        <w:tc>
          <w:tcPr>
            <w:tcW w:w="855" w:type="dxa"/>
            <w:tcBorders>
              <w:top w:val="single" w:sz="4" w:space="0" w:color="auto"/>
              <w:left w:val="nil"/>
              <w:bottom w:val="single" w:sz="4" w:space="0" w:color="auto"/>
              <w:right w:val="single" w:sz="4" w:space="0" w:color="auto"/>
            </w:tcBorders>
            <w:shd w:val="clear" w:color="auto" w:fill="auto"/>
          </w:tcPr>
          <w:p w14:paraId="79822F68"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2021</w:t>
            </w:r>
          </w:p>
        </w:tc>
        <w:tc>
          <w:tcPr>
            <w:tcW w:w="3311" w:type="dxa"/>
            <w:tcBorders>
              <w:top w:val="single" w:sz="4" w:space="0" w:color="auto"/>
              <w:left w:val="nil"/>
              <w:bottom w:val="single" w:sz="4" w:space="0" w:color="auto"/>
              <w:right w:val="single" w:sz="4" w:space="0" w:color="auto"/>
            </w:tcBorders>
            <w:shd w:val="clear" w:color="auto" w:fill="auto"/>
          </w:tcPr>
          <w:p w14:paraId="1261A517"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Chemical analyses during and after a storage procedure for 30 months at 20 °C ± 2 °C on Spray Antipoux IR3535 Merck Batches No. CTG 181101/00/02 and No. CTG 181101/00/04</w:t>
            </w:r>
          </w:p>
          <w:p w14:paraId="47072405"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DEFITRACES</w:t>
            </w:r>
          </w:p>
          <w:p w14:paraId="77FDA449"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Report No. 18-905023-002</w:t>
            </w:r>
          </w:p>
          <w:p w14:paraId="589487DE"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GLP; Unpubished</w:t>
            </w:r>
          </w:p>
        </w:tc>
        <w:tc>
          <w:tcPr>
            <w:tcW w:w="1021" w:type="dxa"/>
            <w:tcBorders>
              <w:top w:val="single" w:sz="4" w:space="0" w:color="auto"/>
              <w:left w:val="nil"/>
              <w:bottom w:val="single" w:sz="4" w:space="0" w:color="auto"/>
              <w:right w:val="single" w:sz="4" w:space="0" w:color="auto"/>
            </w:tcBorders>
            <w:shd w:val="clear" w:color="auto" w:fill="auto"/>
          </w:tcPr>
          <w:p w14:paraId="552D3985"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YES</w:t>
            </w:r>
          </w:p>
        </w:tc>
        <w:tc>
          <w:tcPr>
            <w:tcW w:w="1247" w:type="dxa"/>
            <w:tcBorders>
              <w:top w:val="single" w:sz="4" w:space="0" w:color="auto"/>
              <w:left w:val="nil"/>
              <w:bottom w:val="single" w:sz="4" w:space="0" w:color="auto"/>
              <w:right w:val="single" w:sz="4" w:space="0" w:color="auto"/>
            </w:tcBorders>
            <w:shd w:val="clear" w:color="auto" w:fill="auto"/>
          </w:tcPr>
          <w:p w14:paraId="43049668"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Envirotech</w:t>
            </w:r>
          </w:p>
        </w:tc>
        <w:tc>
          <w:tcPr>
            <w:tcW w:w="1217" w:type="dxa"/>
            <w:tcBorders>
              <w:top w:val="single" w:sz="4" w:space="0" w:color="auto"/>
              <w:left w:val="nil"/>
              <w:bottom w:val="single" w:sz="4" w:space="0" w:color="auto"/>
              <w:right w:val="single" w:sz="4" w:space="0" w:color="auto"/>
            </w:tcBorders>
            <w:shd w:val="clear" w:color="auto" w:fill="auto"/>
          </w:tcPr>
          <w:p w14:paraId="220AED9F"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07/2021</w:t>
            </w:r>
          </w:p>
        </w:tc>
      </w:tr>
      <w:tr w:rsidR="00C825A4" w:rsidRPr="00C825A4" w14:paraId="1E6BC813" w14:textId="77777777" w:rsidTr="008D7EDC">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67881B8" w14:textId="77777777" w:rsidR="00C825A4" w:rsidRPr="00C825A4" w:rsidRDefault="00C825A4" w:rsidP="008D7EDC">
            <w:pPr>
              <w:pStyle w:val="Absatz"/>
              <w:ind w:left="0"/>
              <w:jc w:val="center"/>
              <w:rPr>
                <w:rFonts w:ascii="Verdana" w:hAnsi="Verdana"/>
                <w:highlight w:val="lightGray"/>
                <w:lang w:eastAsia="en-US"/>
              </w:rPr>
            </w:pPr>
            <w:r w:rsidRPr="00C825A4">
              <w:rPr>
                <w:rFonts w:ascii="Verdana" w:hAnsi="Verdana"/>
                <w:highlight w:val="lightGray"/>
                <w:lang w:eastAsia="en-US"/>
              </w:rPr>
              <w:t>Demangel, B.</w:t>
            </w:r>
          </w:p>
        </w:tc>
        <w:tc>
          <w:tcPr>
            <w:tcW w:w="855" w:type="dxa"/>
            <w:tcBorders>
              <w:top w:val="single" w:sz="4" w:space="0" w:color="auto"/>
              <w:left w:val="nil"/>
              <w:bottom w:val="single" w:sz="4" w:space="0" w:color="auto"/>
              <w:right w:val="single" w:sz="4" w:space="0" w:color="auto"/>
            </w:tcBorders>
            <w:shd w:val="clear" w:color="auto" w:fill="auto"/>
          </w:tcPr>
          <w:p w14:paraId="581517B4"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2021</w:t>
            </w:r>
          </w:p>
        </w:tc>
        <w:tc>
          <w:tcPr>
            <w:tcW w:w="3311" w:type="dxa"/>
            <w:tcBorders>
              <w:top w:val="single" w:sz="4" w:space="0" w:color="auto"/>
              <w:left w:val="nil"/>
              <w:bottom w:val="single" w:sz="4" w:space="0" w:color="auto"/>
              <w:right w:val="single" w:sz="4" w:space="0" w:color="auto"/>
            </w:tcBorders>
            <w:shd w:val="clear" w:color="auto" w:fill="auto"/>
          </w:tcPr>
          <w:p w14:paraId="3C3B4682"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Physico-chemical tests and chemical analyses before, during and after a storage procedure for 36 months at 20 °C ± 2 °C on Spray Antipoux IR3535 Merck Batch No. CTG 181101/00/04</w:t>
            </w:r>
          </w:p>
          <w:p w14:paraId="490CB534"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DEFITRACES</w:t>
            </w:r>
          </w:p>
          <w:p w14:paraId="07906CC7"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Report No. 19-905023-001 Intermediary</w:t>
            </w:r>
          </w:p>
          <w:p w14:paraId="4AA9BC73"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GLP; Unpublished</w:t>
            </w:r>
          </w:p>
        </w:tc>
        <w:tc>
          <w:tcPr>
            <w:tcW w:w="1021" w:type="dxa"/>
            <w:tcBorders>
              <w:top w:val="single" w:sz="4" w:space="0" w:color="auto"/>
              <w:left w:val="nil"/>
              <w:bottom w:val="single" w:sz="4" w:space="0" w:color="auto"/>
              <w:right w:val="single" w:sz="4" w:space="0" w:color="auto"/>
            </w:tcBorders>
            <w:shd w:val="clear" w:color="auto" w:fill="auto"/>
          </w:tcPr>
          <w:p w14:paraId="6CAF5D6B"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YES</w:t>
            </w:r>
          </w:p>
        </w:tc>
        <w:tc>
          <w:tcPr>
            <w:tcW w:w="1247" w:type="dxa"/>
            <w:tcBorders>
              <w:top w:val="single" w:sz="4" w:space="0" w:color="auto"/>
              <w:left w:val="nil"/>
              <w:bottom w:val="single" w:sz="4" w:space="0" w:color="auto"/>
              <w:right w:val="single" w:sz="4" w:space="0" w:color="auto"/>
            </w:tcBorders>
            <w:shd w:val="clear" w:color="auto" w:fill="auto"/>
          </w:tcPr>
          <w:p w14:paraId="1E9FC351"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Envirotech</w:t>
            </w:r>
          </w:p>
        </w:tc>
        <w:tc>
          <w:tcPr>
            <w:tcW w:w="1217" w:type="dxa"/>
            <w:tcBorders>
              <w:top w:val="single" w:sz="4" w:space="0" w:color="auto"/>
              <w:left w:val="nil"/>
              <w:bottom w:val="single" w:sz="4" w:space="0" w:color="auto"/>
              <w:right w:val="single" w:sz="4" w:space="0" w:color="auto"/>
            </w:tcBorders>
            <w:shd w:val="clear" w:color="auto" w:fill="auto"/>
          </w:tcPr>
          <w:p w14:paraId="7214AE33"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07/2021</w:t>
            </w:r>
          </w:p>
        </w:tc>
      </w:tr>
      <w:tr w:rsidR="00C825A4" w:rsidRPr="00451C4F" w14:paraId="6562491C" w14:textId="77777777" w:rsidTr="008D7EDC">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7E749F6" w14:textId="77777777" w:rsidR="00C825A4" w:rsidRPr="00C825A4" w:rsidRDefault="00C825A4" w:rsidP="008D7EDC">
            <w:pPr>
              <w:pStyle w:val="Absatz"/>
              <w:ind w:left="0"/>
              <w:jc w:val="center"/>
              <w:rPr>
                <w:rFonts w:ascii="Verdana" w:hAnsi="Verdana"/>
                <w:highlight w:val="lightGray"/>
                <w:lang w:eastAsia="en-US"/>
              </w:rPr>
            </w:pPr>
            <w:r w:rsidRPr="00C825A4">
              <w:rPr>
                <w:rFonts w:ascii="Verdana" w:hAnsi="Verdana"/>
                <w:highlight w:val="lightGray"/>
                <w:lang w:eastAsia="en-US"/>
              </w:rPr>
              <w:t>Padilla, P.</w:t>
            </w:r>
          </w:p>
        </w:tc>
        <w:tc>
          <w:tcPr>
            <w:tcW w:w="855" w:type="dxa"/>
            <w:tcBorders>
              <w:top w:val="single" w:sz="4" w:space="0" w:color="auto"/>
              <w:left w:val="nil"/>
              <w:bottom w:val="single" w:sz="4" w:space="0" w:color="auto"/>
              <w:right w:val="single" w:sz="4" w:space="0" w:color="auto"/>
            </w:tcBorders>
            <w:shd w:val="clear" w:color="auto" w:fill="auto"/>
          </w:tcPr>
          <w:p w14:paraId="6F0D19A9"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2020</w:t>
            </w:r>
          </w:p>
        </w:tc>
        <w:tc>
          <w:tcPr>
            <w:tcW w:w="3311" w:type="dxa"/>
            <w:tcBorders>
              <w:top w:val="single" w:sz="4" w:space="0" w:color="auto"/>
              <w:left w:val="nil"/>
              <w:bottom w:val="single" w:sz="4" w:space="0" w:color="auto"/>
              <w:right w:val="single" w:sz="4" w:space="0" w:color="auto"/>
            </w:tcBorders>
            <w:shd w:val="clear" w:color="auto" w:fill="auto"/>
          </w:tcPr>
          <w:p w14:paraId="649E6A8B"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Physico-chemical tests before and after an accelerated storage procedure for 8 weeks at 40 °C ± 2 °C on SPRAY ANTIPOUX IR3535 MERCK</w:t>
            </w:r>
          </w:p>
          <w:p w14:paraId="2C6A43F8"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DEFITRACES</w:t>
            </w:r>
          </w:p>
          <w:p w14:paraId="03BE4309"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Report No. 20-905023-001</w:t>
            </w:r>
          </w:p>
          <w:p w14:paraId="351E5DC1"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GLP; Unpublished</w:t>
            </w:r>
          </w:p>
        </w:tc>
        <w:tc>
          <w:tcPr>
            <w:tcW w:w="1021" w:type="dxa"/>
            <w:tcBorders>
              <w:top w:val="single" w:sz="4" w:space="0" w:color="auto"/>
              <w:left w:val="nil"/>
              <w:bottom w:val="single" w:sz="4" w:space="0" w:color="auto"/>
              <w:right w:val="single" w:sz="4" w:space="0" w:color="auto"/>
            </w:tcBorders>
            <w:shd w:val="clear" w:color="auto" w:fill="auto"/>
          </w:tcPr>
          <w:p w14:paraId="68FF7267"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YES</w:t>
            </w:r>
          </w:p>
        </w:tc>
        <w:tc>
          <w:tcPr>
            <w:tcW w:w="1247" w:type="dxa"/>
            <w:tcBorders>
              <w:top w:val="single" w:sz="4" w:space="0" w:color="auto"/>
              <w:left w:val="nil"/>
              <w:bottom w:val="single" w:sz="4" w:space="0" w:color="auto"/>
              <w:right w:val="single" w:sz="4" w:space="0" w:color="auto"/>
            </w:tcBorders>
            <w:shd w:val="clear" w:color="auto" w:fill="auto"/>
          </w:tcPr>
          <w:p w14:paraId="2AD4C996"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Envirotech</w:t>
            </w:r>
          </w:p>
        </w:tc>
        <w:tc>
          <w:tcPr>
            <w:tcW w:w="1217" w:type="dxa"/>
            <w:tcBorders>
              <w:top w:val="single" w:sz="4" w:space="0" w:color="auto"/>
              <w:left w:val="nil"/>
              <w:bottom w:val="single" w:sz="4" w:space="0" w:color="auto"/>
              <w:right w:val="single" w:sz="4" w:space="0" w:color="auto"/>
            </w:tcBorders>
            <w:shd w:val="clear" w:color="auto" w:fill="auto"/>
          </w:tcPr>
          <w:p w14:paraId="4046561C" w14:textId="77777777" w:rsidR="00C825A4" w:rsidRPr="00C825A4" w:rsidRDefault="00C825A4" w:rsidP="008D7EDC">
            <w:pPr>
              <w:pStyle w:val="Absatz"/>
              <w:ind w:left="0"/>
              <w:rPr>
                <w:rFonts w:ascii="Verdana" w:hAnsi="Verdana"/>
                <w:highlight w:val="lightGray"/>
                <w:lang w:eastAsia="en-US"/>
              </w:rPr>
            </w:pPr>
            <w:r w:rsidRPr="00C825A4">
              <w:rPr>
                <w:rFonts w:ascii="Verdana" w:hAnsi="Verdana"/>
                <w:highlight w:val="lightGray"/>
                <w:lang w:eastAsia="en-US"/>
              </w:rPr>
              <w:t>07/2021</w:t>
            </w:r>
          </w:p>
        </w:tc>
      </w:tr>
    </w:tbl>
    <w:p w14:paraId="13279147" w14:textId="77777777" w:rsidR="00C825A4" w:rsidRPr="00017CF8" w:rsidRDefault="00C825A4" w:rsidP="00D2639D">
      <w:pPr>
        <w:shd w:val="clear" w:color="auto" w:fill="FFFFFF" w:themeFill="background1"/>
        <w:rPr>
          <w:rFonts w:eastAsia="Calibri"/>
          <w:lang w:eastAsia="en-US"/>
        </w:rPr>
      </w:pPr>
    </w:p>
    <w:p w14:paraId="54AE66D3" w14:textId="77777777" w:rsidR="00F65B8F" w:rsidRPr="00F65B8F" w:rsidRDefault="00F65B8F" w:rsidP="00F65B8F">
      <w:pPr>
        <w:pStyle w:val="Titre2"/>
      </w:pPr>
      <w:bookmarkStart w:id="385" w:name="_Toc389729190"/>
      <w:bookmarkStart w:id="386" w:name="_Toc403472828"/>
      <w:bookmarkStart w:id="387" w:name="_Toc425344134"/>
      <w:bookmarkStart w:id="388" w:name="_Toc93326618"/>
      <w:r w:rsidRPr="00F65B8F">
        <w:t>Output tables from exposure assessment tools</w:t>
      </w:r>
      <w:bookmarkEnd w:id="385"/>
      <w:bookmarkEnd w:id="386"/>
      <w:bookmarkEnd w:id="387"/>
      <w:bookmarkEnd w:id="388"/>
    </w:p>
    <w:p w14:paraId="41AB9E52" w14:textId="562AD112" w:rsidR="00C41279" w:rsidRDefault="00C41279" w:rsidP="00C41279">
      <w:pPr>
        <w:pStyle w:val="Titre3"/>
        <w:rPr>
          <w:rFonts w:eastAsia="Calibri"/>
          <w:lang w:eastAsia="en-US"/>
        </w:rPr>
      </w:pPr>
      <w:bookmarkStart w:id="389" w:name="_Toc93326619"/>
      <w:r>
        <w:rPr>
          <w:rFonts w:eastAsia="Calibri"/>
          <w:lang w:eastAsia="en-US"/>
        </w:rPr>
        <w:t>Human exposure calculations</w:t>
      </w:r>
      <w:bookmarkEnd w:id="389"/>
    </w:p>
    <w:p w14:paraId="38E87B45" w14:textId="77777777" w:rsidR="001024E3" w:rsidRPr="009461FB" w:rsidRDefault="001024E3" w:rsidP="001024E3">
      <w:pPr>
        <w:pStyle w:val="Paragraphedeliste"/>
        <w:numPr>
          <w:ilvl w:val="0"/>
          <w:numId w:val="68"/>
        </w:numPr>
        <w:rPr>
          <w:b/>
        </w:rPr>
      </w:pPr>
      <w:r w:rsidRPr="009461FB">
        <w:rPr>
          <w:b/>
        </w:rPr>
        <w:t>FIRST AUTHORISATION – 2017 (BE CA)</w:t>
      </w:r>
    </w:p>
    <w:p w14:paraId="43A3866A" w14:textId="77777777" w:rsidR="001024E3" w:rsidRPr="001024E3" w:rsidRDefault="001024E3" w:rsidP="001024E3">
      <w:pPr>
        <w:rPr>
          <w:rFonts w:eastAsia="Calibri"/>
          <w:lang w:eastAsia="en-US"/>
        </w:rPr>
      </w:pPr>
    </w:p>
    <w:p w14:paraId="6FE57851" w14:textId="77777777" w:rsidR="00C41279" w:rsidRDefault="00C41279" w:rsidP="00C41279">
      <w:pPr>
        <w:pStyle w:val="Titre5"/>
        <w:numPr>
          <w:ilvl w:val="0"/>
          <w:numId w:val="0"/>
        </w:numPr>
      </w:pPr>
      <w:bookmarkStart w:id="390" w:name="_Toc93326620"/>
      <w:r w:rsidRPr="0074505A">
        <w:t xml:space="preserve">Scenario </w:t>
      </w:r>
      <w:r>
        <w:t>1</w:t>
      </w:r>
      <w:r w:rsidRPr="0074505A">
        <w:t>: Primary exposure: Dermal exposure assessment for adults, children, toddlers and infants.</w:t>
      </w:r>
      <w:bookmarkEnd w:id="390"/>
    </w:p>
    <w:p w14:paraId="5145B509" w14:textId="77777777" w:rsidR="00C41279" w:rsidRPr="00C41279" w:rsidRDefault="00C41279" w:rsidP="00C41279">
      <w:pPr>
        <w:pStyle w:val="Titre6"/>
        <w:rPr>
          <w:lang w:val="en-US"/>
        </w:rPr>
      </w:pPr>
      <w:r w:rsidRPr="00C41279">
        <w:rPr>
          <w:lang w:val="en-US"/>
        </w:rPr>
        <w:t xml:space="preserve">a. Adult: </w:t>
      </w:r>
    </w:p>
    <w:p w14:paraId="7A3EEC9D" w14:textId="77777777" w:rsidR="00C41279" w:rsidRPr="0082336C" w:rsidRDefault="00C41279" w:rsidP="00C41279">
      <w:pPr>
        <w:rPr>
          <w:rFonts w:eastAsia="Calibri"/>
          <w:lang w:eastAsia="en-US"/>
        </w:rPr>
      </w:pPr>
      <w:r w:rsidRPr="0082336C">
        <w:rPr>
          <w:rFonts w:eastAsia="Calibri"/>
          <w:lang w:eastAsia="en-US"/>
        </w:rPr>
        <w:t xml:space="preserve">3 applications/day of biocidal product results in the following </w:t>
      </w:r>
      <w:r w:rsidRPr="0082336C">
        <w:rPr>
          <w:rFonts w:eastAsia="Calibri"/>
          <w:u w:val="single"/>
          <w:lang w:eastAsia="en-US"/>
        </w:rPr>
        <w:t>dermal exposure</w:t>
      </w:r>
      <w:r w:rsidRPr="0082336C">
        <w:rPr>
          <w:rFonts w:eastAsia="Calibri"/>
          <w:lang w:eastAsia="en-US"/>
        </w:rPr>
        <w:t>:</w:t>
      </w:r>
    </w:p>
    <w:p w14:paraId="5B0834C6" w14:textId="77777777" w:rsidR="00C41279" w:rsidRPr="0082336C" w:rsidRDefault="00C41279" w:rsidP="00C41279">
      <w:pPr>
        <w:ind w:firstLine="708"/>
        <w:rPr>
          <w:rFonts w:eastAsia="Calibri"/>
          <w:lang w:eastAsia="en-US"/>
        </w:rPr>
      </w:pPr>
      <w:r w:rsidRPr="0082336C">
        <w:rPr>
          <w:rFonts w:eastAsia="Calibri"/>
          <w:lang w:eastAsia="en-US"/>
        </w:rPr>
        <w:t>3</w:t>
      </w:r>
      <w:r>
        <w:rPr>
          <w:rFonts w:eastAsia="Calibri"/>
          <w:lang w:eastAsia="en-US"/>
        </w:rPr>
        <w:t>.</w:t>
      </w:r>
      <w:r w:rsidRPr="0082336C">
        <w:rPr>
          <w:rFonts w:eastAsia="Calibri"/>
          <w:lang w:eastAsia="en-US"/>
        </w:rPr>
        <w:t>15 g product x 20 % of a.s. = 630 mg of IR3535</w:t>
      </w:r>
      <w:r w:rsidRPr="0082336C">
        <w:rPr>
          <w:rFonts w:eastAsia="Calibri"/>
          <w:vertAlign w:val="superscript"/>
          <w:lang w:eastAsia="en-US"/>
        </w:rPr>
        <w:t>®</w:t>
      </w:r>
      <w:r w:rsidRPr="0082336C">
        <w:rPr>
          <w:rFonts w:eastAsia="Calibri"/>
          <w:lang w:eastAsia="en-US"/>
        </w:rPr>
        <w:t>/day.</w:t>
      </w:r>
    </w:p>
    <w:p w14:paraId="64DD85F1" w14:textId="77777777" w:rsidR="00C41279" w:rsidRPr="0082336C" w:rsidRDefault="00C41279" w:rsidP="00C41279">
      <w:pPr>
        <w:rPr>
          <w:rFonts w:eastAsia="Calibri"/>
          <w:lang w:eastAsia="en-US"/>
        </w:rPr>
      </w:pPr>
      <w:r w:rsidRPr="0082336C">
        <w:rPr>
          <w:rFonts w:eastAsia="Calibri"/>
          <w:lang w:eastAsia="en-US"/>
        </w:rPr>
        <w:t xml:space="preserve">Thereof 14 % penetrates the skin resulting in a </w:t>
      </w:r>
      <w:r w:rsidRPr="0082336C">
        <w:rPr>
          <w:rFonts w:eastAsia="Calibri"/>
          <w:u w:val="single"/>
          <w:lang w:eastAsia="en-US"/>
        </w:rPr>
        <w:t>systemic exposure</w:t>
      </w:r>
      <w:r w:rsidRPr="0082336C">
        <w:rPr>
          <w:rFonts w:eastAsia="Calibri"/>
          <w:lang w:eastAsia="en-US"/>
        </w:rPr>
        <w:t xml:space="preserve"> of:</w:t>
      </w:r>
    </w:p>
    <w:p w14:paraId="21684B9D" w14:textId="77777777" w:rsidR="00C41279" w:rsidRPr="0082336C" w:rsidRDefault="00C41279" w:rsidP="00C41279">
      <w:pPr>
        <w:ind w:firstLine="708"/>
        <w:rPr>
          <w:rFonts w:eastAsia="Calibri"/>
          <w:lang w:eastAsia="en-US"/>
        </w:rPr>
      </w:pPr>
      <w:r w:rsidRPr="0082336C">
        <w:rPr>
          <w:rFonts w:eastAsia="Calibri"/>
          <w:lang w:eastAsia="en-US"/>
        </w:rPr>
        <w:t>630 mg IR3535</w:t>
      </w:r>
      <w:r w:rsidRPr="0082336C">
        <w:rPr>
          <w:rFonts w:eastAsia="Calibri"/>
          <w:vertAlign w:val="superscript"/>
          <w:lang w:eastAsia="en-US"/>
        </w:rPr>
        <w:t>®</w:t>
      </w:r>
      <w:r w:rsidRPr="0082336C">
        <w:rPr>
          <w:rFonts w:eastAsia="Calibri"/>
          <w:lang w:eastAsia="en-US"/>
        </w:rPr>
        <w:t>/day x 14 % = 88</w:t>
      </w:r>
      <w:r>
        <w:rPr>
          <w:rFonts w:eastAsia="Calibri"/>
          <w:lang w:eastAsia="en-US"/>
        </w:rPr>
        <w:t>.</w:t>
      </w:r>
      <w:r w:rsidRPr="0082336C">
        <w:rPr>
          <w:rFonts w:eastAsia="Calibri"/>
          <w:lang w:eastAsia="en-US"/>
        </w:rPr>
        <w:t>2 mg IR3535</w:t>
      </w:r>
      <w:r w:rsidRPr="0082336C">
        <w:rPr>
          <w:rFonts w:eastAsia="Calibri"/>
          <w:vertAlign w:val="superscript"/>
          <w:lang w:eastAsia="en-US"/>
        </w:rPr>
        <w:t>®</w:t>
      </w:r>
      <w:r w:rsidRPr="0082336C">
        <w:rPr>
          <w:rFonts w:eastAsia="Calibri"/>
          <w:lang w:eastAsia="en-US"/>
        </w:rPr>
        <w:t>/day.</w:t>
      </w:r>
    </w:p>
    <w:p w14:paraId="39299071" w14:textId="77777777" w:rsidR="00C41279" w:rsidRPr="0082336C" w:rsidRDefault="00C41279" w:rsidP="00C41279">
      <w:pPr>
        <w:rPr>
          <w:rFonts w:eastAsia="Calibri"/>
          <w:lang w:eastAsia="en-US"/>
        </w:rPr>
      </w:pPr>
      <w:r w:rsidRPr="0082336C">
        <w:rPr>
          <w:rFonts w:eastAsia="Calibri"/>
          <w:lang w:eastAsia="en-US"/>
        </w:rPr>
        <w:t xml:space="preserve">Taking into account a body weight of 60 kg for an adult the </w:t>
      </w:r>
      <w:r w:rsidRPr="0082336C">
        <w:rPr>
          <w:rFonts w:eastAsia="Calibri"/>
          <w:u w:val="single"/>
          <w:lang w:eastAsia="en-US"/>
        </w:rPr>
        <w:t>dermal systemic exposure</w:t>
      </w:r>
      <w:r w:rsidRPr="0082336C">
        <w:rPr>
          <w:rFonts w:eastAsia="Calibri"/>
          <w:lang w:eastAsia="en-US"/>
        </w:rPr>
        <w:t xml:space="preserve"> is calculated to be:</w:t>
      </w:r>
    </w:p>
    <w:p w14:paraId="0A9700B1" w14:textId="77777777" w:rsidR="00C41279" w:rsidRPr="00994755" w:rsidRDefault="00C41279" w:rsidP="00C41279">
      <w:pPr>
        <w:ind w:firstLine="567"/>
        <w:rPr>
          <w:rFonts w:eastAsia="Calibri"/>
          <w:lang w:eastAsia="en-US"/>
        </w:rPr>
      </w:pPr>
      <w:r w:rsidRPr="0082336C">
        <w:rPr>
          <w:rFonts w:eastAsia="Calibri"/>
          <w:lang w:eastAsia="en-US"/>
        </w:rPr>
        <w:t>88</w:t>
      </w:r>
      <w:r>
        <w:rPr>
          <w:rFonts w:eastAsia="Calibri"/>
          <w:lang w:eastAsia="en-US"/>
        </w:rPr>
        <w:t>.</w:t>
      </w:r>
      <w:r w:rsidRPr="0082336C">
        <w:rPr>
          <w:rFonts w:eastAsia="Calibri"/>
          <w:lang w:eastAsia="en-US"/>
        </w:rPr>
        <w:t>2 mg IR3535</w:t>
      </w:r>
      <w:r w:rsidRPr="0082336C">
        <w:rPr>
          <w:rFonts w:eastAsia="Calibri"/>
          <w:vertAlign w:val="superscript"/>
          <w:lang w:eastAsia="en-US"/>
        </w:rPr>
        <w:t>®</w:t>
      </w:r>
      <w:r w:rsidRPr="0082336C">
        <w:rPr>
          <w:rFonts w:eastAsia="Calibri"/>
          <w:lang w:eastAsia="en-US"/>
        </w:rPr>
        <w:t>/day / 60 kg = 1</w:t>
      </w:r>
      <w:r>
        <w:rPr>
          <w:rFonts w:eastAsia="Calibri"/>
          <w:lang w:eastAsia="en-US"/>
        </w:rPr>
        <w:t>.</w:t>
      </w:r>
      <w:r w:rsidRPr="0082336C">
        <w:rPr>
          <w:rFonts w:eastAsia="Calibri"/>
          <w:lang w:eastAsia="en-US"/>
        </w:rPr>
        <w:t>47 mg IR3535</w:t>
      </w:r>
      <w:r w:rsidRPr="0082336C">
        <w:rPr>
          <w:rFonts w:eastAsia="Calibri"/>
          <w:vertAlign w:val="superscript"/>
          <w:lang w:eastAsia="en-US"/>
        </w:rPr>
        <w:t>®</w:t>
      </w:r>
      <w:r w:rsidRPr="0082336C">
        <w:rPr>
          <w:rFonts w:eastAsia="Calibri"/>
          <w:lang w:eastAsia="en-US"/>
        </w:rPr>
        <w:t>/kg bw/day.</w:t>
      </w:r>
    </w:p>
    <w:p w14:paraId="5E023E45" w14:textId="77777777" w:rsidR="00C41279" w:rsidRPr="001263F0" w:rsidRDefault="00C41279" w:rsidP="00C41279">
      <w:pPr>
        <w:rPr>
          <w:rFonts w:eastAsia="Calibri"/>
          <w:lang w:eastAsia="en-US"/>
        </w:rPr>
      </w:pPr>
    </w:p>
    <w:p w14:paraId="171BD135" w14:textId="77777777" w:rsidR="00C41279" w:rsidRPr="00C41279" w:rsidRDefault="00C41279" w:rsidP="00C41279">
      <w:pPr>
        <w:pStyle w:val="Titre6"/>
        <w:rPr>
          <w:lang w:val="en-US"/>
        </w:rPr>
      </w:pPr>
      <w:r w:rsidRPr="00C41279">
        <w:rPr>
          <w:lang w:val="en-US"/>
        </w:rPr>
        <w:t>b. Child 6-11 years:</w:t>
      </w:r>
    </w:p>
    <w:p w14:paraId="2135A690" w14:textId="77777777" w:rsidR="00C41279" w:rsidRPr="00A0086D" w:rsidRDefault="00C41279" w:rsidP="00D471B6">
      <w:pPr>
        <w:rPr>
          <w:rFonts w:eastAsia="Calibri"/>
          <w:lang w:eastAsia="en-US"/>
        </w:rPr>
      </w:pPr>
      <w:r w:rsidRPr="00A0086D">
        <w:rPr>
          <w:rFonts w:eastAsia="Calibri"/>
          <w:lang w:eastAsia="en-US"/>
        </w:rPr>
        <w:t xml:space="preserve">When 3 applications/ day of biocidal product results in the following </w:t>
      </w:r>
      <w:r w:rsidRPr="00A0086D">
        <w:rPr>
          <w:rFonts w:eastAsia="Calibri"/>
          <w:u w:val="single"/>
          <w:lang w:eastAsia="en-US"/>
        </w:rPr>
        <w:t>dermal exposure</w:t>
      </w:r>
      <w:r w:rsidRPr="00A0086D">
        <w:rPr>
          <w:rFonts w:eastAsia="Calibri"/>
          <w:lang w:eastAsia="en-US"/>
        </w:rPr>
        <w:t>:</w:t>
      </w:r>
    </w:p>
    <w:p w14:paraId="2243A0A8" w14:textId="77777777" w:rsidR="00C41279" w:rsidRPr="00A0086D" w:rsidRDefault="00C41279" w:rsidP="00D471B6">
      <w:pPr>
        <w:ind w:firstLine="708"/>
        <w:rPr>
          <w:rFonts w:eastAsia="Calibri"/>
          <w:lang w:eastAsia="en-US"/>
        </w:rPr>
      </w:pPr>
      <w:r w:rsidRPr="00A0086D">
        <w:rPr>
          <w:rFonts w:eastAsia="Calibri"/>
          <w:lang w:eastAsia="en-US"/>
        </w:rPr>
        <w:t>1</w:t>
      </w:r>
      <w:r>
        <w:rPr>
          <w:rFonts w:eastAsia="Calibri"/>
          <w:lang w:eastAsia="en-US"/>
        </w:rPr>
        <w:t>.</w:t>
      </w:r>
      <w:r w:rsidRPr="00A0086D">
        <w:rPr>
          <w:rFonts w:eastAsia="Calibri"/>
          <w:lang w:eastAsia="en-US"/>
        </w:rPr>
        <w:t>5 g product x 20 % IR3535</w:t>
      </w:r>
      <w:r w:rsidRPr="00A0086D">
        <w:rPr>
          <w:rFonts w:eastAsia="Calibri"/>
          <w:vertAlign w:val="superscript"/>
          <w:lang w:eastAsia="en-US"/>
        </w:rPr>
        <w:t>®</w:t>
      </w:r>
      <w:r w:rsidRPr="00A0086D">
        <w:rPr>
          <w:rFonts w:eastAsia="Calibri"/>
          <w:lang w:eastAsia="en-US"/>
        </w:rPr>
        <w:t xml:space="preserve"> = 300 mg IR3535</w:t>
      </w:r>
      <w:r w:rsidRPr="00A0086D">
        <w:rPr>
          <w:rFonts w:eastAsia="Calibri"/>
          <w:vertAlign w:val="superscript"/>
          <w:lang w:eastAsia="en-US"/>
        </w:rPr>
        <w:t>®</w:t>
      </w:r>
      <w:r w:rsidRPr="00A0086D">
        <w:rPr>
          <w:rFonts w:eastAsia="Calibri"/>
          <w:lang w:eastAsia="en-US"/>
        </w:rPr>
        <w:t>/day</w:t>
      </w:r>
    </w:p>
    <w:p w14:paraId="1777054E" w14:textId="77777777" w:rsidR="00C41279" w:rsidRPr="00A0086D" w:rsidRDefault="00C41279" w:rsidP="00D471B6">
      <w:pPr>
        <w:rPr>
          <w:rFonts w:eastAsia="Calibri"/>
          <w:lang w:eastAsia="en-US"/>
        </w:rPr>
      </w:pPr>
      <w:r w:rsidRPr="00A0086D">
        <w:rPr>
          <w:rFonts w:eastAsia="Calibri"/>
          <w:lang w:eastAsia="en-US"/>
        </w:rPr>
        <w:t xml:space="preserve">Thereof 14 % penetrates the skin resulting in a </w:t>
      </w:r>
      <w:r w:rsidRPr="00A0086D">
        <w:rPr>
          <w:rFonts w:eastAsia="Calibri"/>
          <w:u w:val="single"/>
          <w:lang w:eastAsia="en-US"/>
        </w:rPr>
        <w:t>systemic exposure</w:t>
      </w:r>
      <w:r w:rsidRPr="00A0086D">
        <w:rPr>
          <w:rFonts w:eastAsia="Calibri"/>
          <w:lang w:eastAsia="en-US"/>
        </w:rPr>
        <w:t xml:space="preserve"> of:</w:t>
      </w:r>
    </w:p>
    <w:p w14:paraId="4C13449F" w14:textId="77777777" w:rsidR="00C41279" w:rsidRPr="00A0086D" w:rsidRDefault="00C41279" w:rsidP="00D471B6">
      <w:pPr>
        <w:ind w:firstLine="708"/>
        <w:rPr>
          <w:rFonts w:eastAsia="Calibri"/>
          <w:lang w:eastAsia="en-US"/>
        </w:rPr>
      </w:pPr>
      <w:r w:rsidRPr="00A0086D">
        <w:rPr>
          <w:rFonts w:eastAsia="Calibri"/>
          <w:lang w:eastAsia="en-US"/>
        </w:rPr>
        <w:t>300 mg IR3535</w:t>
      </w:r>
      <w:r w:rsidRPr="00A0086D">
        <w:rPr>
          <w:rFonts w:eastAsia="Calibri"/>
          <w:vertAlign w:val="superscript"/>
          <w:lang w:eastAsia="en-US"/>
        </w:rPr>
        <w:t>®</w:t>
      </w:r>
      <w:r w:rsidRPr="00A0086D">
        <w:rPr>
          <w:rFonts w:eastAsia="Calibri"/>
          <w:lang w:eastAsia="en-US"/>
        </w:rPr>
        <w:t>/day x 14 % = 42 mg IR3535</w:t>
      </w:r>
      <w:r w:rsidRPr="00A0086D">
        <w:rPr>
          <w:rFonts w:eastAsia="Calibri"/>
          <w:vertAlign w:val="superscript"/>
          <w:lang w:eastAsia="en-US"/>
        </w:rPr>
        <w:t>®</w:t>
      </w:r>
      <w:r w:rsidRPr="00A0086D">
        <w:rPr>
          <w:rFonts w:eastAsia="Calibri"/>
          <w:lang w:eastAsia="en-US"/>
        </w:rPr>
        <w:t>/day.</w:t>
      </w:r>
    </w:p>
    <w:p w14:paraId="1A3C65F3" w14:textId="77777777" w:rsidR="00C41279" w:rsidRPr="00A0086D" w:rsidRDefault="00C41279" w:rsidP="00D471B6">
      <w:pPr>
        <w:rPr>
          <w:rFonts w:eastAsia="Calibri"/>
          <w:lang w:eastAsia="en-US"/>
        </w:rPr>
      </w:pPr>
      <w:r w:rsidRPr="00A0086D">
        <w:rPr>
          <w:rFonts w:eastAsia="Calibri"/>
          <w:lang w:eastAsia="en-US"/>
        </w:rPr>
        <w:t>Taking into account a body weight of 23</w:t>
      </w:r>
      <w:r>
        <w:rPr>
          <w:rFonts w:eastAsia="Calibri"/>
          <w:lang w:eastAsia="en-US"/>
        </w:rPr>
        <w:t>.</w:t>
      </w:r>
      <w:r w:rsidRPr="00A0086D">
        <w:rPr>
          <w:rFonts w:eastAsia="Calibri"/>
          <w:lang w:eastAsia="en-US"/>
        </w:rPr>
        <w:t xml:space="preserve">9 kg for a child the </w:t>
      </w:r>
      <w:r w:rsidRPr="00A0086D">
        <w:rPr>
          <w:rFonts w:eastAsia="Calibri"/>
          <w:u w:val="single"/>
          <w:lang w:eastAsia="en-US"/>
        </w:rPr>
        <w:t>dermal systemic exposure</w:t>
      </w:r>
      <w:r w:rsidRPr="00A0086D">
        <w:rPr>
          <w:rFonts w:eastAsia="Calibri"/>
          <w:lang w:eastAsia="en-US"/>
        </w:rPr>
        <w:t xml:space="preserve"> is calculated to be:</w:t>
      </w:r>
    </w:p>
    <w:p w14:paraId="1A1FDB1E" w14:textId="77777777" w:rsidR="00C41279" w:rsidRPr="00A0086D" w:rsidRDefault="00C41279" w:rsidP="00D471B6">
      <w:pPr>
        <w:ind w:firstLine="708"/>
        <w:rPr>
          <w:rFonts w:eastAsia="Calibri"/>
          <w:lang w:eastAsia="en-US"/>
        </w:rPr>
      </w:pPr>
      <w:r w:rsidRPr="00A0086D">
        <w:rPr>
          <w:rFonts w:eastAsia="Calibri"/>
          <w:lang w:eastAsia="en-US"/>
        </w:rPr>
        <w:t>42 mg IR3535</w:t>
      </w:r>
      <w:r w:rsidRPr="00A0086D">
        <w:rPr>
          <w:rFonts w:eastAsia="Calibri"/>
          <w:vertAlign w:val="superscript"/>
          <w:lang w:eastAsia="en-US"/>
        </w:rPr>
        <w:t>®</w:t>
      </w:r>
      <w:r w:rsidRPr="00A0086D">
        <w:rPr>
          <w:rFonts w:eastAsia="Calibri"/>
          <w:lang w:eastAsia="en-US"/>
        </w:rPr>
        <w:t>/day / 23</w:t>
      </w:r>
      <w:r>
        <w:rPr>
          <w:rFonts w:eastAsia="Calibri"/>
          <w:lang w:eastAsia="en-US"/>
        </w:rPr>
        <w:t>.</w:t>
      </w:r>
      <w:r w:rsidRPr="00A0086D">
        <w:rPr>
          <w:rFonts w:eastAsia="Calibri"/>
          <w:lang w:eastAsia="en-US"/>
        </w:rPr>
        <w:t>9 kg = 1</w:t>
      </w:r>
      <w:r>
        <w:rPr>
          <w:rFonts w:eastAsia="Calibri"/>
          <w:lang w:eastAsia="en-US"/>
        </w:rPr>
        <w:t>.</w:t>
      </w:r>
      <w:r w:rsidRPr="00A0086D">
        <w:rPr>
          <w:rFonts w:eastAsia="Calibri"/>
          <w:lang w:eastAsia="en-US"/>
        </w:rPr>
        <w:t>76 mg IR3535</w:t>
      </w:r>
      <w:r w:rsidRPr="00A0086D">
        <w:rPr>
          <w:rFonts w:eastAsia="Calibri"/>
          <w:vertAlign w:val="superscript"/>
          <w:lang w:eastAsia="en-US"/>
        </w:rPr>
        <w:t>®</w:t>
      </w:r>
      <w:r w:rsidRPr="00A0086D">
        <w:rPr>
          <w:rFonts w:eastAsia="Calibri"/>
          <w:lang w:eastAsia="en-US"/>
        </w:rPr>
        <w:t>/kg bw/day</w:t>
      </w:r>
    </w:p>
    <w:p w14:paraId="5325DE72" w14:textId="77777777" w:rsidR="00C41279" w:rsidRDefault="00C41279" w:rsidP="00D471B6">
      <w:pPr>
        <w:rPr>
          <w:rFonts w:eastAsia="Calibri"/>
          <w:lang w:eastAsia="en-US"/>
        </w:rPr>
      </w:pPr>
    </w:p>
    <w:p w14:paraId="6ED39F5E" w14:textId="77777777" w:rsidR="00C41279" w:rsidRPr="00C41279" w:rsidRDefault="00C41279" w:rsidP="00C41279">
      <w:pPr>
        <w:pStyle w:val="Titre6"/>
        <w:rPr>
          <w:lang w:val="en-US"/>
        </w:rPr>
      </w:pPr>
      <w:r w:rsidRPr="00C41279">
        <w:rPr>
          <w:lang w:val="en-US"/>
        </w:rPr>
        <w:t>c. Toddler 1-2 years:</w:t>
      </w:r>
    </w:p>
    <w:p w14:paraId="1BEF483A" w14:textId="77777777" w:rsidR="00422626" w:rsidRPr="00A0086D" w:rsidRDefault="00422626" w:rsidP="00422626">
      <w:pPr>
        <w:rPr>
          <w:rFonts w:eastAsia="Calibri"/>
          <w:lang w:eastAsia="en-US"/>
        </w:rPr>
      </w:pPr>
      <w:r w:rsidRPr="00A0086D">
        <w:rPr>
          <w:rFonts w:eastAsia="Calibri"/>
          <w:lang w:eastAsia="en-US"/>
        </w:rPr>
        <w:t xml:space="preserve">When 3 applications/ day of biocidal product results in the following </w:t>
      </w:r>
      <w:r w:rsidRPr="00A0086D">
        <w:rPr>
          <w:rFonts w:eastAsia="Calibri"/>
          <w:u w:val="single"/>
          <w:lang w:eastAsia="en-US"/>
        </w:rPr>
        <w:t>dermal exposure</w:t>
      </w:r>
      <w:r w:rsidRPr="00A0086D">
        <w:rPr>
          <w:rFonts w:eastAsia="Calibri"/>
          <w:lang w:eastAsia="en-US"/>
        </w:rPr>
        <w:t>:</w:t>
      </w:r>
    </w:p>
    <w:p w14:paraId="45B2A51F" w14:textId="77777777" w:rsidR="00422626" w:rsidRPr="00A0086D" w:rsidRDefault="00422626" w:rsidP="00422626">
      <w:pPr>
        <w:ind w:firstLine="708"/>
        <w:rPr>
          <w:rFonts w:eastAsia="Calibri"/>
          <w:lang w:eastAsia="en-US"/>
        </w:rPr>
      </w:pPr>
      <w:r>
        <w:rPr>
          <w:rFonts w:eastAsia="Calibri"/>
          <w:lang w:eastAsia="en-US"/>
        </w:rPr>
        <w:t>1.5</w:t>
      </w:r>
      <w:r w:rsidRPr="00A0086D">
        <w:rPr>
          <w:rFonts w:eastAsia="Calibri"/>
          <w:lang w:eastAsia="en-US"/>
        </w:rPr>
        <w:t xml:space="preserve"> g product x 20 % IR3535</w:t>
      </w:r>
      <w:r w:rsidRPr="00A0086D">
        <w:rPr>
          <w:rFonts w:eastAsia="Calibri"/>
          <w:vertAlign w:val="superscript"/>
          <w:lang w:eastAsia="en-US"/>
        </w:rPr>
        <w:t>®</w:t>
      </w:r>
      <w:r w:rsidRPr="00A0086D">
        <w:rPr>
          <w:rFonts w:eastAsia="Calibri"/>
          <w:lang w:eastAsia="en-US"/>
        </w:rPr>
        <w:t xml:space="preserve"> = 0</w:t>
      </w:r>
      <w:r>
        <w:rPr>
          <w:rFonts w:eastAsia="Calibri"/>
          <w:lang w:eastAsia="en-US"/>
        </w:rPr>
        <w:t>.3</w:t>
      </w:r>
      <w:r w:rsidRPr="00A0086D">
        <w:rPr>
          <w:rFonts w:eastAsia="Calibri"/>
          <w:lang w:eastAsia="en-US"/>
        </w:rPr>
        <w:t xml:space="preserve"> g IR3535</w:t>
      </w:r>
      <w:r w:rsidRPr="00A0086D">
        <w:rPr>
          <w:rFonts w:eastAsia="Calibri"/>
          <w:vertAlign w:val="superscript"/>
          <w:lang w:eastAsia="en-US"/>
        </w:rPr>
        <w:t>®</w:t>
      </w:r>
      <w:r w:rsidRPr="00A0086D">
        <w:rPr>
          <w:rFonts w:eastAsia="Calibri"/>
          <w:lang w:eastAsia="en-US"/>
        </w:rPr>
        <w:t>/day</w:t>
      </w:r>
    </w:p>
    <w:p w14:paraId="71757E1C" w14:textId="77777777" w:rsidR="00422626" w:rsidRPr="00A0086D" w:rsidRDefault="00422626" w:rsidP="00422626">
      <w:pPr>
        <w:rPr>
          <w:rFonts w:eastAsia="Calibri"/>
          <w:lang w:eastAsia="en-US"/>
        </w:rPr>
      </w:pPr>
      <w:r w:rsidRPr="00A0086D">
        <w:rPr>
          <w:rFonts w:eastAsia="Calibri"/>
          <w:lang w:eastAsia="en-US"/>
        </w:rPr>
        <w:t xml:space="preserve">Thereof 14 % penetrates the skin resulting in a </w:t>
      </w:r>
      <w:r w:rsidRPr="00A0086D">
        <w:rPr>
          <w:rFonts w:eastAsia="Calibri"/>
          <w:u w:val="single"/>
          <w:lang w:eastAsia="en-US"/>
        </w:rPr>
        <w:t>systemic exposure</w:t>
      </w:r>
      <w:r w:rsidRPr="00A0086D">
        <w:rPr>
          <w:rFonts w:eastAsia="Calibri"/>
          <w:lang w:eastAsia="en-US"/>
        </w:rPr>
        <w:t xml:space="preserve"> of:</w:t>
      </w:r>
    </w:p>
    <w:p w14:paraId="4373EEEF" w14:textId="77777777" w:rsidR="00422626" w:rsidRPr="00A0086D" w:rsidRDefault="00422626" w:rsidP="00422626">
      <w:pPr>
        <w:ind w:firstLine="708"/>
        <w:rPr>
          <w:rFonts w:eastAsia="Calibri"/>
          <w:lang w:eastAsia="en-US"/>
        </w:rPr>
      </w:pPr>
      <w:r>
        <w:rPr>
          <w:rFonts w:eastAsia="Calibri"/>
          <w:lang w:eastAsia="en-US"/>
        </w:rPr>
        <w:t>300</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 xml:space="preserve">/day x 14 % = </w:t>
      </w:r>
      <w:r>
        <w:rPr>
          <w:rFonts w:eastAsia="Calibri"/>
          <w:lang w:eastAsia="en-US"/>
        </w:rPr>
        <w:t>42</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/day.</w:t>
      </w:r>
    </w:p>
    <w:p w14:paraId="51A21CEB" w14:textId="77777777" w:rsidR="00422626" w:rsidRPr="00A0086D" w:rsidRDefault="00422626" w:rsidP="00422626">
      <w:pPr>
        <w:rPr>
          <w:rFonts w:eastAsia="Calibri"/>
          <w:lang w:eastAsia="en-US"/>
        </w:rPr>
      </w:pPr>
      <w:r w:rsidRPr="00A0086D">
        <w:rPr>
          <w:rFonts w:eastAsia="Calibri"/>
          <w:lang w:eastAsia="en-US"/>
        </w:rPr>
        <w:t xml:space="preserve">Taking into account a body weight of 10 kg for a toddler the </w:t>
      </w:r>
      <w:r w:rsidRPr="00A0086D">
        <w:rPr>
          <w:rFonts w:eastAsia="Calibri"/>
          <w:u w:val="single"/>
          <w:lang w:eastAsia="en-US"/>
        </w:rPr>
        <w:t>dermal systemic exposure</w:t>
      </w:r>
      <w:r w:rsidRPr="00A0086D">
        <w:rPr>
          <w:rFonts w:eastAsia="Calibri"/>
          <w:lang w:eastAsia="en-US"/>
        </w:rPr>
        <w:t xml:space="preserve"> is calculated to be:</w:t>
      </w:r>
    </w:p>
    <w:p w14:paraId="533C31E5" w14:textId="77777777" w:rsidR="00422626" w:rsidRPr="00A0086D" w:rsidRDefault="00422626" w:rsidP="00422626">
      <w:pPr>
        <w:ind w:firstLine="708"/>
        <w:rPr>
          <w:rFonts w:eastAsia="Calibri"/>
          <w:lang w:eastAsia="en-US"/>
        </w:rPr>
      </w:pPr>
      <w:r>
        <w:rPr>
          <w:rFonts w:eastAsia="Calibri"/>
          <w:lang w:eastAsia="en-US"/>
        </w:rPr>
        <w:t>42</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 xml:space="preserve">/day / 10 kg = </w:t>
      </w:r>
      <w:r>
        <w:rPr>
          <w:rFonts w:eastAsia="Calibri"/>
          <w:lang w:eastAsia="en-US"/>
        </w:rPr>
        <w:t>4.2</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/kg bw/day</w:t>
      </w:r>
    </w:p>
    <w:p w14:paraId="2384EE57" w14:textId="77777777" w:rsidR="00C41279" w:rsidRDefault="00C41279" w:rsidP="00D471B6">
      <w:pPr>
        <w:rPr>
          <w:rFonts w:eastAsia="Calibri"/>
          <w:lang w:eastAsia="en-US"/>
        </w:rPr>
      </w:pPr>
    </w:p>
    <w:p w14:paraId="3DB84909" w14:textId="77777777" w:rsidR="00C41279" w:rsidRPr="00C41279" w:rsidRDefault="00C41279" w:rsidP="00C41279">
      <w:pPr>
        <w:pStyle w:val="Titre6"/>
        <w:rPr>
          <w:lang w:val="en-US"/>
        </w:rPr>
      </w:pPr>
      <w:r w:rsidRPr="00C41279">
        <w:rPr>
          <w:lang w:val="en-US"/>
        </w:rPr>
        <w:t>d. Infant 6-12 months:</w:t>
      </w:r>
    </w:p>
    <w:p w14:paraId="4DD8C79C" w14:textId="77777777" w:rsidR="00422626" w:rsidRPr="00A0086D" w:rsidRDefault="00422626" w:rsidP="00422626">
      <w:pPr>
        <w:rPr>
          <w:rFonts w:eastAsia="Calibri"/>
          <w:lang w:eastAsia="en-US"/>
        </w:rPr>
      </w:pPr>
      <w:r w:rsidRPr="00A0086D">
        <w:rPr>
          <w:rFonts w:eastAsia="Calibri"/>
          <w:lang w:eastAsia="en-US"/>
        </w:rPr>
        <w:t xml:space="preserve">When 3 applications/ day of biocidal product results in the following </w:t>
      </w:r>
      <w:r w:rsidRPr="00A0086D">
        <w:rPr>
          <w:rFonts w:eastAsia="Calibri"/>
          <w:u w:val="single"/>
          <w:lang w:eastAsia="en-US"/>
        </w:rPr>
        <w:t>dermal exposure</w:t>
      </w:r>
      <w:r w:rsidRPr="00A0086D">
        <w:rPr>
          <w:rFonts w:eastAsia="Calibri"/>
          <w:lang w:eastAsia="en-US"/>
        </w:rPr>
        <w:t>:</w:t>
      </w:r>
    </w:p>
    <w:p w14:paraId="106E8597" w14:textId="77777777" w:rsidR="00422626" w:rsidRPr="00A0086D" w:rsidRDefault="00422626" w:rsidP="00422626">
      <w:pPr>
        <w:ind w:firstLine="708"/>
        <w:rPr>
          <w:rFonts w:eastAsia="Calibri"/>
          <w:lang w:eastAsia="en-US"/>
        </w:rPr>
      </w:pPr>
      <w:r>
        <w:rPr>
          <w:rFonts w:eastAsia="Calibri"/>
          <w:lang w:eastAsia="en-US"/>
        </w:rPr>
        <w:t>1.5</w:t>
      </w:r>
      <w:r w:rsidRPr="00A0086D">
        <w:rPr>
          <w:rFonts w:eastAsia="Calibri"/>
          <w:lang w:eastAsia="en-US"/>
        </w:rPr>
        <w:t xml:space="preserve"> g product x 20 % IR3535</w:t>
      </w:r>
      <w:r w:rsidRPr="00A0086D">
        <w:rPr>
          <w:rFonts w:eastAsia="Calibri"/>
          <w:vertAlign w:val="superscript"/>
          <w:lang w:eastAsia="en-US"/>
        </w:rPr>
        <w:t>®</w:t>
      </w:r>
      <w:r w:rsidRPr="00A0086D">
        <w:rPr>
          <w:rFonts w:eastAsia="Calibri"/>
          <w:lang w:eastAsia="en-US"/>
        </w:rPr>
        <w:t xml:space="preserve"> = 0</w:t>
      </w:r>
      <w:r>
        <w:rPr>
          <w:rFonts w:eastAsia="Calibri"/>
          <w:lang w:eastAsia="en-US"/>
        </w:rPr>
        <w:t>.300</w:t>
      </w:r>
      <w:r w:rsidRPr="00A0086D">
        <w:rPr>
          <w:rFonts w:eastAsia="Calibri"/>
          <w:lang w:eastAsia="en-US"/>
        </w:rPr>
        <w:t xml:space="preserve"> g IR3535</w:t>
      </w:r>
      <w:r w:rsidRPr="00A0086D">
        <w:rPr>
          <w:rFonts w:eastAsia="Calibri"/>
          <w:vertAlign w:val="superscript"/>
          <w:lang w:eastAsia="en-US"/>
        </w:rPr>
        <w:t>®</w:t>
      </w:r>
      <w:r w:rsidRPr="00A0086D">
        <w:rPr>
          <w:rFonts w:eastAsia="Calibri"/>
          <w:lang w:eastAsia="en-US"/>
        </w:rPr>
        <w:t>/day</w:t>
      </w:r>
    </w:p>
    <w:p w14:paraId="7B07A421" w14:textId="77777777" w:rsidR="00422626" w:rsidRPr="00A0086D" w:rsidRDefault="00422626" w:rsidP="00422626">
      <w:pPr>
        <w:rPr>
          <w:rFonts w:eastAsia="Calibri"/>
          <w:lang w:eastAsia="en-US"/>
        </w:rPr>
      </w:pPr>
      <w:r w:rsidRPr="00A0086D">
        <w:rPr>
          <w:rFonts w:eastAsia="Calibri"/>
          <w:lang w:eastAsia="en-US"/>
        </w:rPr>
        <w:t xml:space="preserve">Thereof 14 % penetrates the skin resulting in a </w:t>
      </w:r>
      <w:r w:rsidRPr="00A0086D">
        <w:rPr>
          <w:rFonts w:eastAsia="Calibri"/>
          <w:u w:val="single"/>
          <w:lang w:eastAsia="en-US"/>
        </w:rPr>
        <w:t>systemic exposure</w:t>
      </w:r>
      <w:r w:rsidRPr="00A0086D">
        <w:rPr>
          <w:rFonts w:eastAsia="Calibri"/>
          <w:lang w:eastAsia="en-US"/>
        </w:rPr>
        <w:t xml:space="preserve"> of:</w:t>
      </w:r>
    </w:p>
    <w:p w14:paraId="6F30819E" w14:textId="77777777" w:rsidR="00422626" w:rsidRPr="00A0086D" w:rsidRDefault="00422626" w:rsidP="00422626">
      <w:pPr>
        <w:ind w:firstLine="708"/>
        <w:rPr>
          <w:rFonts w:eastAsia="Calibri"/>
          <w:lang w:eastAsia="en-US"/>
        </w:rPr>
      </w:pPr>
      <w:r>
        <w:rPr>
          <w:rFonts w:eastAsia="Calibri"/>
          <w:lang w:eastAsia="en-US"/>
        </w:rPr>
        <w:t>300</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 xml:space="preserve">/day x 14 % = </w:t>
      </w:r>
      <w:r>
        <w:rPr>
          <w:rFonts w:eastAsia="Calibri"/>
          <w:lang w:eastAsia="en-US"/>
        </w:rPr>
        <w:t>42</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/day.</w:t>
      </w:r>
    </w:p>
    <w:p w14:paraId="32E97F83" w14:textId="77777777" w:rsidR="00422626" w:rsidRPr="00A0086D" w:rsidRDefault="00422626" w:rsidP="00422626">
      <w:pPr>
        <w:rPr>
          <w:rFonts w:eastAsia="Calibri"/>
          <w:lang w:eastAsia="en-US"/>
        </w:rPr>
      </w:pPr>
      <w:r w:rsidRPr="00A0086D">
        <w:rPr>
          <w:rFonts w:eastAsia="Calibri"/>
          <w:lang w:eastAsia="en-US"/>
        </w:rPr>
        <w:t xml:space="preserve">Taking into account a body weight of 8 kg for an infant the </w:t>
      </w:r>
      <w:r w:rsidRPr="00A0086D">
        <w:rPr>
          <w:rFonts w:eastAsia="Calibri"/>
          <w:u w:val="single"/>
          <w:lang w:eastAsia="en-US"/>
        </w:rPr>
        <w:t>dermal systemic exposure</w:t>
      </w:r>
      <w:r w:rsidRPr="00A0086D">
        <w:rPr>
          <w:rFonts w:eastAsia="Calibri"/>
          <w:lang w:eastAsia="en-US"/>
        </w:rPr>
        <w:t xml:space="preserve"> is calculated to be:</w:t>
      </w:r>
    </w:p>
    <w:p w14:paraId="42CD9AD5" w14:textId="77777777" w:rsidR="00422626" w:rsidRPr="00A0086D" w:rsidRDefault="00422626" w:rsidP="00422626">
      <w:pPr>
        <w:ind w:firstLine="708"/>
        <w:rPr>
          <w:rFonts w:eastAsia="Calibri"/>
          <w:lang w:eastAsia="en-US"/>
        </w:rPr>
      </w:pPr>
      <w:r>
        <w:rPr>
          <w:rFonts w:eastAsia="Calibri"/>
          <w:lang w:eastAsia="en-US"/>
        </w:rPr>
        <w:t>42</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 xml:space="preserve">/day / 8 kg = </w:t>
      </w:r>
      <w:r>
        <w:rPr>
          <w:rFonts w:eastAsia="Calibri"/>
          <w:lang w:eastAsia="en-US"/>
        </w:rPr>
        <w:t>5.25</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/kg bw/day</w:t>
      </w:r>
    </w:p>
    <w:p w14:paraId="64B9B9D7" w14:textId="77777777" w:rsidR="00422626" w:rsidRPr="00A0086D" w:rsidRDefault="00422626" w:rsidP="00422626">
      <w:pPr>
        <w:rPr>
          <w:rFonts w:eastAsia="Calibri"/>
          <w:lang w:eastAsia="en-US"/>
        </w:rPr>
      </w:pPr>
      <w:r w:rsidRPr="00A0086D">
        <w:rPr>
          <w:rFonts w:eastAsia="Calibri"/>
          <w:lang w:eastAsia="en-US"/>
        </w:rPr>
        <w:t xml:space="preserve">When </w:t>
      </w:r>
      <w:r>
        <w:rPr>
          <w:rFonts w:eastAsia="Calibri"/>
          <w:lang w:eastAsia="en-US"/>
        </w:rPr>
        <w:t>2</w:t>
      </w:r>
      <w:r w:rsidRPr="00A0086D">
        <w:rPr>
          <w:rFonts w:eastAsia="Calibri"/>
          <w:lang w:eastAsia="en-US"/>
        </w:rPr>
        <w:t xml:space="preserve"> applications/ day of biocidal product results in the following </w:t>
      </w:r>
      <w:r w:rsidRPr="00A0086D">
        <w:rPr>
          <w:rFonts w:eastAsia="Calibri"/>
          <w:u w:val="single"/>
          <w:lang w:eastAsia="en-US"/>
        </w:rPr>
        <w:t>dermal exposure</w:t>
      </w:r>
      <w:r w:rsidRPr="00A0086D">
        <w:rPr>
          <w:rFonts w:eastAsia="Calibri"/>
          <w:lang w:eastAsia="en-US"/>
        </w:rPr>
        <w:t>:</w:t>
      </w:r>
    </w:p>
    <w:p w14:paraId="441B4C7D" w14:textId="77777777" w:rsidR="00422626" w:rsidRPr="00A0086D" w:rsidRDefault="00422626" w:rsidP="00422626">
      <w:pPr>
        <w:ind w:firstLine="708"/>
        <w:rPr>
          <w:rFonts w:eastAsia="Calibri"/>
          <w:lang w:eastAsia="en-US"/>
        </w:rPr>
      </w:pPr>
      <w:r>
        <w:rPr>
          <w:rFonts w:eastAsia="Calibri"/>
          <w:lang w:eastAsia="en-US"/>
        </w:rPr>
        <w:t>1.0</w:t>
      </w:r>
      <w:r w:rsidRPr="00A0086D">
        <w:rPr>
          <w:rFonts w:eastAsia="Calibri"/>
          <w:lang w:eastAsia="en-US"/>
        </w:rPr>
        <w:t xml:space="preserve"> g product x 20 % IR3535</w:t>
      </w:r>
      <w:r w:rsidRPr="00A0086D">
        <w:rPr>
          <w:rFonts w:eastAsia="Calibri"/>
          <w:vertAlign w:val="superscript"/>
          <w:lang w:eastAsia="en-US"/>
        </w:rPr>
        <w:t>®</w:t>
      </w:r>
      <w:r w:rsidRPr="00A0086D">
        <w:rPr>
          <w:rFonts w:eastAsia="Calibri"/>
          <w:lang w:eastAsia="en-US"/>
        </w:rPr>
        <w:t xml:space="preserve"> = 0</w:t>
      </w:r>
      <w:r>
        <w:rPr>
          <w:rFonts w:eastAsia="Calibri"/>
          <w:lang w:eastAsia="en-US"/>
        </w:rPr>
        <w:t>.200</w:t>
      </w:r>
      <w:r w:rsidRPr="00A0086D">
        <w:rPr>
          <w:rFonts w:eastAsia="Calibri"/>
          <w:lang w:eastAsia="en-US"/>
        </w:rPr>
        <w:t xml:space="preserve"> g IR3535</w:t>
      </w:r>
      <w:r w:rsidRPr="00A0086D">
        <w:rPr>
          <w:rFonts w:eastAsia="Calibri"/>
          <w:vertAlign w:val="superscript"/>
          <w:lang w:eastAsia="en-US"/>
        </w:rPr>
        <w:t>®</w:t>
      </w:r>
      <w:r w:rsidRPr="00A0086D">
        <w:rPr>
          <w:rFonts w:eastAsia="Calibri"/>
          <w:lang w:eastAsia="en-US"/>
        </w:rPr>
        <w:t>/day</w:t>
      </w:r>
    </w:p>
    <w:p w14:paraId="66523A04" w14:textId="77777777" w:rsidR="00422626" w:rsidRPr="00A0086D" w:rsidRDefault="00422626" w:rsidP="00422626">
      <w:pPr>
        <w:rPr>
          <w:rFonts w:eastAsia="Calibri"/>
          <w:lang w:eastAsia="en-US"/>
        </w:rPr>
      </w:pPr>
      <w:r w:rsidRPr="00A0086D">
        <w:rPr>
          <w:rFonts w:eastAsia="Calibri"/>
          <w:lang w:eastAsia="en-US"/>
        </w:rPr>
        <w:t xml:space="preserve">Thereof 14 % penetrates the skin resulting in a </w:t>
      </w:r>
      <w:r w:rsidRPr="00A0086D">
        <w:rPr>
          <w:rFonts w:eastAsia="Calibri"/>
          <w:u w:val="single"/>
          <w:lang w:eastAsia="en-US"/>
        </w:rPr>
        <w:t>systemic exposure</w:t>
      </w:r>
      <w:r w:rsidRPr="00A0086D">
        <w:rPr>
          <w:rFonts w:eastAsia="Calibri"/>
          <w:lang w:eastAsia="en-US"/>
        </w:rPr>
        <w:t xml:space="preserve"> of:</w:t>
      </w:r>
    </w:p>
    <w:p w14:paraId="7B8886CA" w14:textId="77777777" w:rsidR="00422626" w:rsidRPr="00A0086D" w:rsidRDefault="00422626" w:rsidP="00422626">
      <w:pPr>
        <w:ind w:firstLine="708"/>
        <w:rPr>
          <w:rFonts w:eastAsia="Calibri"/>
          <w:lang w:eastAsia="en-US"/>
        </w:rPr>
      </w:pPr>
      <w:r>
        <w:rPr>
          <w:rFonts w:eastAsia="Calibri"/>
          <w:lang w:eastAsia="en-US"/>
        </w:rPr>
        <w:t>200</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 xml:space="preserve">/day x 14 % = </w:t>
      </w:r>
      <w:r>
        <w:rPr>
          <w:rFonts w:eastAsia="Calibri"/>
          <w:lang w:eastAsia="en-US"/>
        </w:rPr>
        <w:t>28</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/day.</w:t>
      </w:r>
    </w:p>
    <w:p w14:paraId="3FA7DD55" w14:textId="77777777" w:rsidR="00422626" w:rsidRPr="00A0086D" w:rsidRDefault="00422626" w:rsidP="00422626">
      <w:pPr>
        <w:rPr>
          <w:rFonts w:eastAsia="Calibri"/>
          <w:lang w:eastAsia="en-US"/>
        </w:rPr>
      </w:pPr>
      <w:r w:rsidRPr="00A0086D">
        <w:rPr>
          <w:rFonts w:eastAsia="Calibri"/>
          <w:lang w:eastAsia="en-US"/>
        </w:rPr>
        <w:t xml:space="preserve">Taking into account a body weight of 8 kg for an infant the </w:t>
      </w:r>
      <w:r w:rsidRPr="00A0086D">
        <w:rPr>
          <w:rFonts w:eastAsia="Calibri"/>
          <w:u w:val="single"/>
          <w:lang w:eastAsia="en-US"/>
        </w:rPr>
        <w:t>dermal systemic exposure</w:t>
      </w:r>
      <w:r w:rsidRPr="00A0086D">
        <w:rPr>
          <w:rFonts w:eastAsia="Calibri"/>
          <w:lang w:eastAsia="en-US"/>
        </w:rPr>
        <w:t xml:space="preserve"> is calculated to be:</w:t>
      </w:r>
    </w:p>
    <w:p w14:paraId="25E2D9BA" w14:textId="77777777" w:rsidR="00422626" w:rsidRPr="00A0086D" w:rsidRDefault="00422626" w:rsidP="00422626">
      <w:pPr>
        <w:ind w:firstLine="708"/>
        <w:rPr>
          <w:rFonts w:eastAsia="Calibri"/>
          <w:lang w:eastAsia="en-US"/>
        </w:rPr>
      </w:pPr>
      <w:r>
        <w:rPr>
          <w:rFonts w:eastAsia="Calibri"/>
          <w:lang w:eastAsia="en-US"/>
        </w:rPr>
        <w:t>28</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 xml:space="preserve">/day / 8 kg = </w:t>
      </w:r>
      <w:r>
        <w:rPr>
          <w:rFonts w:eastAsia="Calibri"/>
          <w:lang w:eastAsia="en-US"/>
        </w:rPr>
        <w:t>3.5</w:t>
      </w:r>
      <w:r w:rsidRPr="00A0086D">
        <w:rPr>
          <w:rFonts w:eastAsia="Calibri"/>
          <w:lang w:eastAsia="en-US"/>
        </w:rPr>
        <w:t xml:space="preserve"> mg IR3535</w:t>
      </w:r>
      <w:r w:rsidRPr="00A0086D">
        <w:rPr>
          <w:rFonts w:eastAsia="Calibri"/>
          <w:vertAlign w:val="superscript"/>
          <w:lang w:eastAsia="en-US"/>
        </w:rPr>
        <w:t>®</w:t>
      </w:r>
      <w:r w:rsidRPr="00A0086D">
        <w:rPr>
          <w:rFonts w:eastAsia="Calibri"/>
          <w:lang w:eastAsia="en-US"/>
        </w:rPr>
        <w:t>/kg bw/day</w:t>
      </w:r>
    </w:p>
    <w:p w14:paraId="1240C39A" w14:textId="77777777" w:rsidR="00C41279" w:rsidRDefault="00C41279" w:rsidP="00D471B6">
      <w:pPr>
        <w:rPr>
          <w:rFonts w:eastAsia="Calibri"/>
          <w:lang w:eastAsia="en-US"/>
        </w:rPr>
      </w:pPr>
    </w:p>
    <w:p w14:paraId="599C9F65" w14:textId="77777777" w:rsidR="00C41279" w:rsidRPr="00D471B6" w:rsidRDefault="00C41279" w:rsidP="00D471B6">
      <w:pPr>
        <w:pStyle w:val="Titre5"/>
        <w:numPr>
          <w:ilvl w:val="0"/>
          <w:numId w:val="0"/>
        </w:numPr>
      </w:pPr>
      <w:bookmarkStart w:id="391" w:name="_Toc93326621"/>
      <w:r w:rsidRPr="00D471B6">
        <w:t>Scenario 2: Primary exposure: Inhalation exposure assessment for adults, children, toddlers and infants..</w:t>
      </w:r>
      <w:bookmarkEnd w:id="391"/>
    </w:p>
    <w:p w14:paraId="689BD0B9" w14:textId="77777777" w:rsidR="00C41279" w:rsidRPr="00C41279" w:rsidRDefault="00D471B6" w:rsidP="00C41279">
      <w:pPr>
        <w:pStyle w:val="Titre6"/>
        <w:rPr>
          <w:lang w:val="en-US"/>
        </w:rPr>
      </w:pPr>
      <w:r>
        <w:rPr>
          <w:lang w:val="en-US"/>
        </w:rPr>
        <w:t>a. Adult:</w:t>
      </w:r>
    </w:p>
    <w:p w14:paraId="3CA34870" w14:textId="77777777" w:rsidR="00C41279" w:rsidRPr="00A0086D" w:rsidRDefault="00C41279" w:rsidP="00D471B6">
      <w:pPr>
        <w:rPr>
          <w:rFonts w:eastAsia="Calibri"/>
          <w:lang w:eastAsia="en-US"/>
        </w:rPr>
      </w:pPr>
      <w:r w:rsidRPr="00A0086D">
        <w:rPr>
          <w:rFonts w:eastAsia="Calibri"/>
          <w:lang w:eastAsia="en-US"/>
        </w:rPr>
        <w:t>inhaled product = 1</w:t>
      </w:r>
      <w:r>
        <w:rPr>
          <w:rFonts w:eastAsia="Calibri"/>
          <w:lang w:eastAsia="en-US"/>
        </w:rPr>
        <w:t>.</w:t>
      </w:r>
      <w:r w:rsidRPr="00A0086D">
        <w:rPr>
          <w:rFonts w:eastAsia="Calibri"/>
          <w:lang w:eastAsia="en-US"/>
        </w:rPr>
        <w:t>25 m</w:t>
      </w:r>
      <w:r w:rsidRPr="00A0086D">
        <w:rPr>
          <w:rFonts w:eastAsia="Calibri"/>
          <w:vertAlign w:val="superscript"/>
          <w:lang w:eastAsia="en-US"/>
        </w:rPr>
        <w:t>3</w:t>
      </w:r>
      <w:r w:rsidRPr="00A0086D">
        <w:rPr>
          <w:rFonts w:eastAsia="Calibri"/>
          <w:lang w:eastAsia="en-US"/>
        </w:rPr>
        <w:t xml:space="preserve"> x </w:t>
      </w:r>
      <w:r w:rsidRPr="00293972">
        <w:rPr>
          <w:rFonts w:eastAsia="Calibri"/>
          <w:lang w:eastAsia="en-US"/>
        </w:rPr>
        <w:t>3</w:t>
      </w:r>
      <w:r w:rsidRPr="00A0086D">
        <w:rPr>
          <w:rFonts w:eastAsia="Calibri"/>
          <w:lang w:eastAsia="en-US"/>
        </w:rPr>
        <w:t xml:space="preserve"> applications x 4 min. / 60 min. x 10</w:t>
      </w:r>
      <w:r>
        <w:rPr>
          <w:rFonts w:eastAsia="Calibri"/>
          <w:lang w:eastAsia="en-US"/>
        </w:rPr>
        <w:t>.</w:t>
      </w:r>
      <w:r w:rsidRPr="00A0086D">
        <w:rPr>
          <w:rFonts w:eastAsia="Calibri"/>
          <w:lang w:eastAsia="en-US"/>
        </w:rPr>
        <w:t>5 mg/m</w:t>
      </w:r>
      <w:r w:rsidRPr="00A0086D">
        <w:rPr>
          <w:rFonts w:eastAsia="Calibri"/>
          <w:vertAlign w:val="superscript"/>
          <w:lang w:eastAsia="en-US"/>
        </w:rPr>
        <w:t>3</w:t>
      </w:r>
      <w:r w:rsidRPr="00A0086D">
        <w:rPr>
          <w:rFonts w:eastAsia="Calibri"/>
          <w:lang w:eastAsia="en-US"/>
        </w:rPr>
        <w:t xml:space="preserve"> = 2</w:t>
      </w:r>
      <w:r>
        <w:rPr>
          <w:rFonts w:eastAsia="Calibri"/>
          <w:lang w:eastAsia="en-US"/>
        </w:rPr>
        <w:t>.</w:t>
      </w:r>
      <w:r w:rsidRPr="00A0086D">
        <w:rPr>
          <w:rFonts w:eastAsia="Calibri"/>
          <w:lang w:eastAsia="en-US"/>
        </w:rPr>
        <w:t>625 mg</w:t>
      </w:r>
    </w:p>
    <w:p w14:paraId="5F1EB47F" w14:textId="77777777" w:rsidR="00C41279" w:rsidRPr="00A0086D" w:rsidRDefault="00C41279" w:rsidP="00D471B6">
      <w:pPr>
        <w:rPr>
          <w:rFonts w:eastAsia="Calibri"/>
          <w:lang w:eastAsia="en-US"/>
        </w:rPr>
      </w:pPr>
      <w:r w:rsidRPr="00A0086D">
        <w:rPr>
          <w:rFonts w:eastAsia="Calibri"/>
          <w:lang w:eastAsia="en-US"/>
        </w:rPr>
        <w:t>inhaled active substance = 2</w:t>
      </w:r>
      <w:r>
        <w:rPr>
          <w:rFonts w:eastAsia="Calibri"/>
          <w:lang w:eastAsia="en-US"/>
        </w:rPr>
        <w:t>.</w:t>
      </w:r>
      <w:r w:rsidRPr="00A0086D">
        <w:rPr>
          <w:rFonts w:eastAsia="Calibri"/>
          <w:lang w:eastAsia="en-US"/>
        </w:rPr>
        <w:t>625 x 20 % = 0</w:t>
      </w:r>
      <w:r>
        <w:rPr>
          <w:rFonts w:eastAsia="Calibri"/>
          <w:lang w:eastAsia="en-US"/>
        </w:rPr>
        <w:t>.</w:t>
      </w:r>
      <w:r w:rsidRPr="00A0086D">
        <w:rPr>
          <w:rFonts w:eastAsia="Calibri"/>
          <w:lang w:eastAsia="en-US"/>
        </w:rPr>
        <w:t xml:space="preserve">525 mg </w:t>
      </w:r>
    </w:p>
    <w:p w14:paraId="37FF54BD" w14:textId="77777777" w:rsidR="00C41279" w:rsidRPr="00A0086D" w:rsidRDefault="00C41279" w:rsidP="00D471B6">
      <w:pPr>
        <w:rPr>
          <w:rFonts w:eastAsia="Calibri"/>
          <w:lang w:eastAsia="en-US"/>
        </w:rPr>
      </w:pPr>
      <w:r w:rsidRPr="00A0086D">
        <w:rPr>
          <w:rFonts w:eastAsia="Calibri"/>
          <w:lang w:eastAsia="en-US"/>
        </w:rPr>
        <w:t xml:space="preserve">inhalation systemic exposure: </w:t>
      </w:r>
    </w:p>
    <w:p w14:paraId="5962A004" w14:textId="77777777" w:rsidR="00C41279" w:rsidRPr="00A0086D" w:rsidRDefault="00C41279" w:rsidP="00D471B6">
      <w:pPr>
        <w:ind w:firstLine="708"/>
        <w:rPr>
          <w:rFonts w:eastAsia="Calibri"/>
          <w:lang w:eastAsia="en-US"/>
        </w:rPr>
      </w:pPr>
      <w:r w:rsidRPr="00A0086D">
        <w:rPr>
          <w:rFonts w:eastAsia="Calibri"/>
          <w:lang w:eastAsia="en-US"/>
        </w:rPr>
        <w:t>11</w:t>
      </w:r>
      <w:r>
        <w:rPr>
          <w:rFonts w:eastAsia="Calibri"/>
          <w:lang w:eastAsia="en-US"/>
        </w:rPr>
        <w:t>.</w:t>
      </w:r>
      <w:r w:rsidRPr="00A0086D">
        <w:rPr>
          <w:rFonts w:eastAsia="Calibri"/>
          <w:lang w:eastAsia="en-US"/>
        </w:rPr>
        <w:t>21% x 0</w:t>
      </w:r>
      <w:r>
        <w:rPr>
          <w:rFonts w:eastAsia="Calibri"/>
          <w:lang w:eastAsia="en-US"/>
        </w:rPr>
        <w:t>.</w:t>
      </w:r>
      <w:r w:rsidRPr="00A0086D">
        <w:rPr>
          <w:rFonts w:eastAsia="Calibri"/>
          <w:lang w:eastAsia="en-US"/>
        </w:rPr>
        <w:t>525 x 100% / 60 = 0</w:t>
      </w:r>
      <w:r>
        <w:rPr>
          <w:rFonts w:eastAsia="Calibri"/>
          <w:lang w:eastAsia="en-US"/>
        </w:rPr>
        <w:t>.</w:t>
      </w:r>
      <w:r w:rsidRPr="00A0086D">
        <w:rPr>
          <w:rFonts w:eastAsia="Calibri"/>
          <w:lang w:eastAsia="en-US"/>
        </w:rPr>
        <w:t>000981 mg/kg bw</w:t>
      </w:r>
    </w:p>
    <w:p w14:paraId="37A18CA0" w14:textId="77777777" w:rsidR="00C41279" w:rsidRPr="00A0086D" w:rsidRDefault="00C41279" w:rsidP="00D471B6">
      <w:pPr>
        <w:rPr>
          <w:rFonts w:eastAsia="Calibri"/>
          <w:lang w:eastAsia="en-US"/>
        </w:rPr>
      </w:pPr>
      <w:r w:rsidRPr="00A0086D">
        <w:rPr>
          <w:rFonts w:eastAsia="Calibri"/>
          <w:lang w:eastAsia="en-US"/>
        </w:rPr>
        <w:t>Oral systemic exposure:</w:t>
      </w:r>
    </w:p>
    <w:p w14:paraId="4B9CA16D" w14:textId="77777777" w:rsidR="00C41279" w:rsidRPr="00A0086D" w:rsidRDefault="00C41279" w:rsidP="00D471B6">
      <w:pPr>
        <w:ind w:firstLine="708"/>
        <w:rPr>
          <w:rFonts w:eastAsia="Calibri"/>
          <w:lang w:eastAsia="en-US"/>
        </w:rPr>
      </w:pPr>
      <w:r w:rsidRPr="00A0086D">
        <w:rPr>
          <w:rFonts w:eastAsia="Calibri"/>
          <w:lang w:eastAsia="en-US"/>
        </w:rPr>
        <w:t>88</w:t>
      </w:r>
      <w:r>
        <w:rPr>
          <w:rFonts w:eastAsia="Calibri"/>
          <w:lang w:eastAsia="en-US"/>
        </w:rPr>
        <w:t>.</w:t>
      </w:r>
      <w:r w:rsidRPr="00A0086D">
        <w:rPr>
          <w:rFonts w:eastAsia="Calibri"/>
          <w:lang w:eastAsia="en-US"/>
        </w:rPr>
        <w:t>79 % x 0</w:t>
      </w:r>
      <w:r>
        <w:rPr>
          <w:rFonts w:eastAsia="Calibri"/>
          <w:lang w:eastAsia="en-US"/>
        </w:rPr>
        <w:t>.</w:t>
      </w:r>
      <w:r w:rsidRPr="00A0086D">
        <w:rPr>
          <w:rFonts w:eastAsia="Calibri"/>
          <w:lang w:eastAsia="en-US"/>
        </w:rPr>
        <w:t>525 x 100% / 60 = 0.00777 mg/kg bw</w:t>
      </w:r>
    </w:p>
    <w:p w14:paraId="52E9C17E" w14:textId="77777777" w:rsidR="00C41279" w:rsidRPr="001767AE" w:rsidRDefault="00C41279" w:rsidP="00D471B6">
      <w:pPr>
        <w:rPr>
          <w:rFonts w:eastAsia="Calibri"/>
          <w:lang w:eastAsia="en-US"/>
        </w:rPr>
      </w:pPr>
    </w:p>
    <w:p w14:paraId="6CB0D204" w14:textId="77777777" w:rsidR="00C41279" w:rsidRPr="00C41279" w:rsidRDefault="00C41279" w:rsidP="00C41279">
      <w:pPr>
        <w:pStyle w:val="Titre6"/>
        <w:rPr>
          <w:lang w:val="en-US"/>
        </w:rPr>
      </w:pPr>
      <w:r w:rsidRPr="00C41279">
        <w:rPr>
          <w:lang w:val="en-US"/>
        </w:rPr>
        <w:t>b. Child</w:t>
      </w:r>
    </w:p>
    <w:p w14:paraId="5675DC16" w14:textId="77777777" w:rsidR="00C41279" w:rsidRPr="00A0086D" w:rsidRDefault="00C41279" w:rsidP="00D471B6">
      <w:pPr>
        <w:rPr>
          <w:rFonts w:eastAsia="Calibri"/>
          <w:lang w:eastAsia="en-US"/>
        </w:rPr>
      </w:pPr>
      <w:r w:rsidRPr="00293972">
        <w:rPr>
          <w:rFonts w:eastAsia="Calibri"/>
          <w:lang w:eastAsia="en-US"/>
        </w:rPr>
        <w:t>inhaled product = 1.32 m</w:t>
      </w:r>
      <w:r w:rsidRPr="00293972">
        <w:rPr>
          <w:rFonts w:eastAsia="Calibri"/>
          <w:vertAlign w:val="superscript"/>
          <w:lang w:eastAsia="en-US"/>
        </w:rPr>
        <w:t>3</w:t>
      </w:r>
      <w:r w:rsidRPr="00293972">
        <w:rPr>
          <w:rFonts w:eastAsia="Calibri"/>
          <w:lang w:eastAsia="en-US"/>
        </w:rPr>
        <w:t xml:space="preserve"> x 3 applications x 4 min. / 60 min. x 10.5 mg/m</w:t>
      </w:r>
      <w:r w:rsidRPr="00293972">
        <w:rPr>
          <w:rFonts w:eastAsia="Calibri"/>
          <w:vertAlign w:val="superscript"/>
          <w:lang w:eastAsia="en-US"/>
        </w:rPr>
        <w:t>3</w:t>
      </w:r>
      <w:r w:rsidRPr="00293972">
        <w:rPr>
          <w:rFonts w:eastAsia="Calibri"/>
          <w:lang w:eastAsia="en-US"/>
        </w:rPr>
        <w:t xml:space="preserve"> = 2.772 mg</w:t>
      </w:r>
    </w:p>
    <w:p w14:paraId="028922EB" w14:textId="77777777" w:rsidR="00C41279" w:rsidRPr="00A0086D" w:rsidRDefault="00C41279" w:rsidP="00D471B6">
      <w:pPr>
        <w:rPr>
          <w:rFonts w:eastAsia="Calibri"/>
          <w:lang w:eastAsia="en-US"/>
        </w:rPr>
      </w:pPr>
      <w:r w:rsidRPr="00A0086D">
        <w:rPr>
          <w:rFonts w:eastAsia="Calibri"/>
          <w:lang w:eastAsia="en-US"/>
        </w:rPr>
        <w:t>inhaled active substance = 1</w:t>
      </w:r>
      <w:r>
        <w:rPr>
          <w:rFonts w:eastAsia="Calibri"/>
          <w:lang w:eastAsia="en-US"/>
        </w:rPr>
        <w:t>.</w:t>
      </w:r>
      <w:r w:rsidRPr="00A0086D">
        <w:rPr>
          <w:rFonts w:eastAsia="Calibri"/>
          <w:lang w:eastAsia="en-US"/>
        </w:rPr>
        <w:t>848 x 20 % = 0</w:t>
      </w:r>
      <w:r>
        <w:rPr>
          <w:rFonts w:eastAsia="Calibri"/>
          <w:lang w:eastAsia="en-US"/>
        </w:rPr>
        <w:t>.</w:t>
      </w:r>
      <w:r w:rsidRPr="00A0086D">
        <w:rPr>
          <w:rFonts w:eastAsia="Calibri"/>
          <w:lang w:eastAsia="en-US"/>
        </w:rPr>
        <w:t xml:space="preserve">5544 mg </w:t>
      </w:r>
    </w:p>
    <w:p w14:paraId="620D4C90" w14:textId="77777777" w:rsidR="00C41279" w:rsidRPr="00A0086D" w:rsidRDefault="00C41279" w:rsidP="00D471B6">
      <w:pPr>
        <w:rPr>
          <w:rFonts w:eastAsia="Calibri"/>
          <w:lang w:eastAsia="en-US"/>
        </w:rPr>
      </w:pPr>
      <w:r w:rsidRPr="00A0086D">
        <w:rPr>
          <w:rFonts w:eastAsia="Calibri"/>
          <w:lang w:eastAsia="en-US"/>
        </w:rPr>
        <w:t xml:space="preserve">inhalation systemic exposure: </w:t>
      </w:r>
    </w:p>
    <w:p w14:paraId="333F1D30" w14:textId="77777777" w:rsidR="00C41279" w:rsidRPr="00A0086D" w:rsidRDefault="00C41279" w:rsidP="00D471B6">
      <w:pPr>
        <w:ind w:firstLine="708"/>
        <w:rPr>
          <w:rFonts w:eastAsia="Calibri"/>
          <w:lang w:eastAsia="en-US"/>
        </w:rPr>
      </w:pPr>
      <w:r w:rsidRPr="00A0086D">
        <w:rPr>
          <w:rFonts w:eastAsia="Calibri"/>
          <w:lang w:eastAsia="en-US"/>
        </w:rPr>
        <w:t>11</w:t>
      </w:r>
      <w:r>
        <w:rPr>
          <w:rFonts w:eastAsia="Calibri"/>
          <w:lang w:eastAsia="en-US"/>
        </w:rPr>
        <w:t>.</w:t>
      </w:r>
      <w:r w:rsidRPr="00A0086D">
        <w:rPr>
          <w:rFonts w:eastAsia="Calibri"/>
          <w:lang w:eastAsia="en-US"/>
        </w:rPr>
        <w:t>21% x 0</w:t>
      </w:r>
      <w:r>
        <w:rPr>
          <w:rFonts w:eastAsia="Calibri"/>
          <w:lang w:eastAsia="en-US"/>
        </w:rPr>
        <w:t>.</w:t>
      </w:r>
      <w:r w:rsidRPr="00A0086D">
        <w:rPr>
          <w:rFonts w:eastAsia="Calibri"/>
          <w:lang w:eastAsia="en-US"/>
        </w:rPr>
        <w:t>5544 x 100% / 23</w:t>
      </w:r>
      <w:r>
        <w:rPr>
          <w:rFonts w:eastAsia="Calibri"/>
          <w:lang w:eastAsia="en-US"/>
        </w:rPr>
        <w:t>.</w:t>
      </w:r>
      <w:r w:rsidRPr="00A0086D">
        <w:rPr>
          <w:rFonts w:eastAsia="Calibri"/>
          <w:lang w:eastAsia="en-US"/>
        </w:rPr>
        <w:t>9</w:t>
      </w:r>
      <w:r w:rsidRPr="00A0086D">
        <w:t xml:space="preserve"> </w:t>
      </w:r>
      <w:r w:rsidRPr="00A0086D">
        <w:rPr>
          <w:rFonts w:eastAsia="Calibri"/>
          <w:lang w:eastAsia="en-US"/>
        </w:rPr>
        <w:t>= 0</w:t>
      </w:r>
      <w:r>
        <w:rPr>
          <w:rFonts w:eastAsia="Calibri"/>
          <w:lang w:eastAsia="en-US"/>
        </w:rPr>
        <w:t>.</w:t>
      </w:r>
      <w:r w:rsidRPr="00A0086D">
        <w:rPr>
          <w:rFonts w:eastAsia="Calibri"/>
          <w:lang w:eastAsia="en-US"/>
        </w:rPr>
        <w:t>0026 mg/kg bw</w:t>
      </w:r>
    </w:p>
    <w:p w14:paraId="174F81FF" w14:textId="77777777" w:rsidR="00C41279" w:rsidRPr="00A0086D" w:rsidRDefault="00C41279" w:rsidP="00D471B6">
      <w:pPr>
        <w:rPr>
          <w:rFonts w:eastAsia="Calibri"/>
          <w:lang w:eastAsia="en-US"/>
        </w:rPr>
      </w:pPr>
      <w:r w:rsidRPr="00A0086D">
        <w:rPr>
          <w:rFonts w:eastAsia="Calibri"/>
          <w:lang w:eastAsia="en-US"/>
        </w:rPr>
        <w:t>Oral systemic exposure:</w:t>
      </w:r>
    </w:p>
    <w:p w14:paraId="603AD905" w14:textId="77777777" w:rsidR="00C41279" w:rsidRPr="00A0086D" w:rsidRDefault="00C41279" w:rsidP="00D471B6">
      <w:pPr>
        <w:ind w:firstLine="708"/>
        <w:rPr>
          <w:rFonts w:eastAsia="Calibri"/>
          <w:lang w:eastAsia="en-US"/>
        </w:rPr>
      </w:pPr>
      <w:r w:rsidRPr="00A0086D">
        <w:rPr>
          <w:rFonts w:eastAsia="Calibri"/>
          <w:lang w:eastAsia="en-US"/>
        </w:rPr>
        <w:t>88</w:t>
      </w:r>
      <w:r>
        <w:rPr>
          <w:rFonts w:eastAsia="Calibri"/>
          <w:lang w:eastAsia="en-US"/>
        </w:rPr>
        <w:t>.</w:t>
      </w:r>
      <w:r w:rsidRPr="00A0086D">
        <w:rPr>
          <w:rFonts w:eastAsia="Calibri"/>
          <w:lang w:eastAsia="en-US"/>
        </w:rPr>
        <w:t>79 % x 0</w:t>
      </w:r>
      <w:r>
        <w:rPr>
          <w:rFonts w:eastAsia="Calibri"/>
          <w:lang w:eastAsia="en-US"/>
        </w:rPr>
        <w:t>.</w:t>
      </w:r>
      <w:r w:rsidRPr="00A0086D">
        <w:rPr>
          <w:rFonts w:eastAsia="Calibri"/>
          <w:lang w:eastAsia="en-US"/>
        </w:rPr>
        <w:t>5544</w:t>
      </w:r>
      <w:r w:rsidRPr="00A0086D">
        <w:t xml:space="preserve"> </w:t>
      </w:r>
      <w:r w:rsidRPr="00A0086D">
        <w:rPr>
          <w:rFonts w:eastAsia="Calibri"/>
          <w:lang w:eastAsia="en-US"/>
        </w:rPr>
        <w:t>x 100%  / 23</w:t>
      </w:r>
      <w:r>
        <w:rPr>
          <w:rFonts w:eastAsia="Calibri"/>
          <w:lang w:eastAsia="en-US"/>
        </w:rPr>
        <w:t>.</w:t>
      </w:r>
      <w:r w:rsidRPr="00A0086D">
        <w:rPr>
          <w:rFonts w:eastAsia="Calibri"/>
          <w:lang w:eastAsia="en-US"/>
        </w:rPr>
        <w:t>9</w:t>
      </w:r>
      <w:r w:rsidRPr="00A0086D">
        <w:t xml:space="preserve"> </w:t>
      </w:r>
      <w:r w:rsidRPr="00A0086D">
        <w:rPr>
          <w:rFonts w:eastAsia="Calibri"/>
          <w:lang w:eastAsia="en-US"/>
        </w:rPr>
        <w:t>= 0</w:t>
      </w:r>
      <w:r>
        <w:rPr>
          <w:rFonts w:eastAsia="Calibri"/>
          <w:lang w:eastAsia="en-US"/>
        </w:rPr>
        <w:t>.</w:t>
      </w:r>
      <w:r w:rsidRPr="00A0086D">
        <w:rPr>
          <w:rFonts w:eastAsia="Calibri"/>
          <w:lang w:eastAsia="en-US"/>
        </w:rPr>
        <w:t>021 mg/kg bw</w:t>
      </w:r>
    </w:p>
    <w:p w14:paraId="4CA4764C" w14:textId="77777777" w:rsidR="00C41279" w:rsidRPr="00A0086D" w:rsidRDefault="00C41279" w:rsidP="00D471B6">
      <w:pPr>
        <w:rPr>
          <w:rFonts w:eastAsia="Calibri"/>
          <w:lang w:eastAsia="en-US"/>
        </w:rPr>
      </w:pPr>
    </w:p>
    <w:p w14:paraId="5C5B2783" w14:textId="77777777" w:rsidR="00C41279" w:rsidRPr="00C41279" w:rsidRDefault="00C41279" w:rsidP="00C41279">
      <w:pPr>
        <w:pStyle w:val="Titre6"/>
        <w:rPr>
          <w:lang w:val="en-US"/>
        </w:rPr>
      </w:pPr>
      <w:r w:rsidRPr="00C41279">
        <w:rPr>
          <w:lang w:val="en-US"/>
        </w:rPr>
        <w:t>c. Toddler</w:t>
      </w:r>
    </w:p>
    <w:p w14:paraId="3007A7A1" w14:textId="77777777" w:rsidR="00C41279" w:rsidRPr="00A0086D" w:rsidRDefault="00C41279" w:rsidP="00D471B6">
      <w:pPr>
        <w:rPr>
          <w:rFonts w:eastAsia="Calibri"/>
          <w:lang w:eastAsia="en-US"/>
        </w:rPr>
      </w:pPr>
      <w:r w:rsidRPr="00293972">
        <w:rPr>
          <w:rFonts w:eastAsia="Calibri"/>
          <w:lang w:eastAsia="en-US"/>
        </w:rPr>
        <w:t>inhaled product = 1.26 m</w:t>
      </w:r>
      <w:r w:rsidRPr="00293972">
        <w:rPr>
          <w:rFonts w:eastAsia="Calibri"/>
          <w:vertAlign w:val="superscript"/>
          <w:lang w:eastAsia="en-US"/>
        </w:rPr>
        <w:t>3</w:t>
      </w:r>
      <w:r w:rsidRPr="00293972">
        <w:rPr>
          <w:rFonts w:eastAsia="Calibri"/>
          <w:lang w:eastAsia="en-US"/>
        </w:rPr>
        <w:t xml:space="preserve"> x 3 application x 4 min. / 60 min. x 10.5 mg/m</w:t>
      </w:r>
      <w:r w:rsidRPr="00293972">
        <w:rPr>
          <w:rFonts w:eastAsia="Calibri"/>
          <w:vertAlign w:val="superscript"/>
          <w:lang w:eastAsia="en-US"/>
        </w:rPr>
        <w:t>3</w:t>
      </w:r>
      <w:r w:rsidRPr="00293972">
        <w:rPr>
          <w:rFonts w:eastAsia="Calibri"/>
          <w:lang w:eastAsia="en-US"/>
        </w:rPr>
        <w:t xml:space="preserve"> = 2.646 mg</w:t>
      </w:r>
    </w:p>
    <w:p w14:paraId="30B69991" w14:textId="77777777" w:rsidR="00C41279" w:rsidRPr="00A0086D" w:rsidRDefault="00C41279" w:rsidP="00D471B6">
      <w:pPr>
        <w:rPr>
          <w:rFonts w:eastAsia="Calibri"/>
          <w:lang w:eastAsia="en-US"/>
        </w:rPr>
      </w:pPr>
      <w:r w:rsidRPr="00A0086D">
        <w:rPr>
          <w:rFonts w:eastAsia="Calibri"/>
          <w:lang w:eastAsia="en-US"/>
        </w:rPr>
        <w:t>inhaled active substance = 2</w:t>
      </w:r>
      <w:r>
        <w:rPr>
          <w:rFonts w:eastAsia="Calibri"/>
          <w:lang w:eastAsia="en-US"/>
        </w:rPr>
        <w:t>.</w:t>
      </w:r>
      <w:r w:rsidRPr="00A0086D">
        <w:rPr>
          <w:rFonts w:eastAsia="Calibri"/>
          <w:lang w:eastAsia="en-US"/>
        </w:rPr>
        <w:t>646 x 20 % = 0</w:t>
      </w:r>
      <w:r>
        <w:rPr>
          <w:rFonts w:eastAsia="Calibri"/>
          <w:lang w:eastAsia="en-US"/>
        </w:rPr>
        <w:t>.</w:t>
      </w:r>
      <w:r w:rsidRPr="00A0086D">
        <w:rPr>
          <w:rFonts w:eastAsia="Calibri"/>
          <w:lang w:eastAsia="en-US"/>
        </w:rPr>
        <w:t xml:space="preserve">5292 mg </w:t>
      </w:r>
    </w:p>
    <w:p w14:paraId="682E0D7D" w14:textId="77777777" w:rsidR="00C41279" w:rsidRPr="00A0086D" w:rsidRDefault="00C41279" w:rsidP="00D471B6">
      <w:pPr>
        <w:rPr>
          <w:rFonts w:eastAsia="Calibri"/>
          <w:lang w:eastAsia="en-US"/>
        </w:rPr>
      </w:pPr>
      <w:r w:rsidRPr="00A0086D">
        <w:rPr>
          <w:rFonts w:eastAsia="Calibri"/>
          <w:lang w:eastAsia="en-US"/>
        </w:rPr>
        <w:t xml:space="preserve">inhalation systemic exposure: </w:t>
      </w:r>
    </w:p>
    <w:p w14:paraId="49C86EFE" w14:textId="77777777" w:rsidR="00C41279" w:rsidRPr="00A0086D" w:rsidRDefault="00C41279" w:rsidP="00D471B6">
      <w:pPr>
        <w:ind w:firstLine="708"/>
        <w:rPr>
          <w:rFonts w:eastAsia="Calibri"/>
          <w:lang w:eastAsia="en-US"/>
        </w:rPr>
      </w:pPr>
      <w:r w:rsidRPr="00A0086D">
        <w:rPr>
          <w:rFonts w:eastAsia="Calibri"/>
          <w:lang w:eastAsia="en-US"/>
        </w:rPr>
        <w:t>11</w:t>
      </w:r>
      <w:r>
        <w:rPr>
          <w:rFonts w:eastAsia="Calibri"/>
          <w:lang w:eastAsia="en-US"/>
        </w:rPr>
        <w:t>.</w:t>
      </w:r>
      <w:r w:rsidRPr="00A0086D">
        <w:rPr>
          <w:rFonts w:eastAsia="Calibri"/>
          <w:lang w:eastAsia="en-US"/>
        </w:rPr>
        <w:t>21% x 0</w:t>
      </w:r>
      <w:r>
        <w:rPr>
          <w:rFonts w:eastAsia="Calibri"/>
          <w:lang w:eastAsia="en-US"/>
        </w:rPr>
        <w:t>.</w:t>
      </w:r>
      <w:r w:rsidRPr="00A0086D">
        <w:rPr>
          <w:rFonts w:eastAsia="Calibri"/>
          <w:lang w:eastAsia="en-US"/>
        </w:rPr>
        <w:t>5292</w:t>
      </w:r>
      <w:r w:rsidRPr="00A0086D">
        <w:t xml:space="preserve"> </w:t>
      </w:r>
      <w:r w:rsidRPr="00A0086D">
        <w:rPr>
          <w:rFonts w:eastAsia="Calibri"/>
          <w:lang w:eastAsia="en-US"/>
        </w:rPr>
        <w:t>x 100%  / 10 = 0</w:t>
      </w:r>
      <w:r>
        <w:rPr>
          <w:rFonts w:eastAsia="Calibri"/>
          <w:lang w:eastAsia="en-US"/>
        </w:rPr>
        <w:t>.</w:t>
      </w:r>
      <w:r w:rsidRPr="00A0086D">
        <w:rPr>
          <w:rFonts w:eastAsia="Calibri"/>
          <w:lang w:eastAsia="en-US"/>
        </w:rPr>
        <w:t>00593 mg/kg bw</w:t>
      </w:r>
    </w:p>
    <w:p w14:paraId="2956E668" w14:textId="77777777" w:rsidR="00C41279" w:rsidRPr="00A0086D" w:rsidRDefault="00C41279" w:rsidP="00D471B6">
      <w:pPr>
        <w:rPr>
          <w:rFonts w:eastAsia="Calibri"/>
          <w:lang w:eastAsia="en-US"/>
        </w:rPr>
      </w:pPr>
      <w:r w:rsidRPr="00A0086D">
        <w:rPr>
          <w:rFonts w:eastAsia="Calibri"/>
          <w:lang w:eastAsia="en-US"/>
        </w:rPr>
        <w:t>Oral systemic exposure:</w:t>
      </w:r>
    </w:p>
    <w:p w14:paraId="05D1FF59" w14:textId="77777777" w:rsidR="00C41279" w:rsidRPr="00A0086D" w:rsidRDefault="00C41279" w:rsidP="00D471B6">
      <w:pPr>
        <w:ind w:firstLine="708"/>
        <w:rPr>
          <w:rFonts w:eastAsia="Calibri"/>
          <w:lang w:eastAsia="en-US"/>
        </w:rPr>
      </w:pPr>
      <w:r w:rsidRPr="00A0086D">
        <w:rPr>
          <w:rFonts w:eastAsia="Calibri"/>
          <w:lang w:eastAsia="en-US"/>
        </w:rPr>
        <w:t>88</w:t>
      </w:r>
      <w:r>
        <w:rPr>
          <w:rFonts w:eastAsia="Calibri"/>
          <w:lang w:eastAsia="en-US"/>
        </w:rPr>
        <w:t>.</w:t>
      </w:r>
      <w:r w:rsidRPr="00A0086D">
        <w:rPr>
          <w:rFonts w:eastAsia="Calibri"/>
          <w:lang w:eastAsia="en-US"/>
        </w:rPr>
        <w:t>79 % x 0</w:t>
      </w:r>
      <w:r>
        <w:rPr>
          <w:rFonts w:eastAsia="Calibri"/>
          <w:lang w:eastAsia="en-US"/>
        </w:rPr>
        <w:t>.</w:t>
      </w:r>
      <w:r w:rsidRPr="00A0086D">
        <w:rPr>
          <w:rFonts w:eastAsia="Calibri"/>
          <w:lang w:eastAsia="en-US"/>
        </w:rPr>
        <w:t>5292 x 100% / 10 = 0</w:t>
      </w:r>
      <w:r>
        <w:rPr>
          <w:rFonts w:eastAsia="Calibri"/>
          <w:lang w:eastAsia="en-US"/>
        </w:rPr>
        <w:t>.</w:t>
      </w:r>
      <w:r w:rsidRPr="00A0086D">
        <w:rPr>
          <w:rFonts w:eastAsia="Calibri"/>
          <w:lang w:eastAsia="en-US"/>
        </w:rPr>
        <w:t>0470 mg/kg bw</w:t>
      </w:r>
    </w:p>
    <w:p w14:paraId="643DAB75" w14:textId="77777777" w:rsidR="00C41279" w:rsidRDefault="00C41279" w:rsidP="00D471B6">
      <w:pPr>
        <w:rPr>
          <w:rFonts w:eastAsia="Calibri"/>
          <w:lang w:eastAsia="en-US"/>
        </w:rPr>
      </w:pPr>
    </w:p>
    <w:p w14:paraId="2CE79533" w14:textId="77777777" w:rsidR="00C41279" w:rsidRPr="00C41279" w:rsidRDefault="00C41279" w:rsidP="00C41279">
      <w:pPr>
        <w:pStyle w:val="Titre6"/>
        <w:rPr>
          <w:lang w:val="en-US"/>
        </w:rPr>
      </w:pPr>
      <w:r w:rsidRPr="00C41279">
        <w:rPr>
          <w:lang w:val="en-US"/>
        </w:rPr>
        <w:t>d. Infant</w:t>
      </w:r>
    </w:p>
    <w:p w14:paraId="4B539C5E" w14:textId="77777777" w:rsidR="00C41279" w:rsidRPr="00A0086D" w:rsidRDefault="00C41279" w:rsidP="00D471B6">
      <w:pPr>
        <w:rPr>
          <w:rFonts w:eastAsia="Calibri"/>
          <w:lang w:eastAsia="en-US"/>
        </w:rPr>
      </w:pPr>
      <w:r w:rsidRPr="00293972">
        <w:rPr>
          <w:rFonts w:eastAsia="Calibri"/>
          <w:lang w:eastAsia="en-US"/>
        </w:rPr>
        <w:t>inhaled product = 0.84 m</w:t>
      </w:r>
      <w:r w:rsidRPr="00293972">
        <w:rPr>
          <w:rFonts w:eastAsia="Calibri"/>
          <w:vertAlign w:val="superscript"/>
          <w:lang w:eastAsia="en-US"/>
        </w:rPr>
        <w:t>3</w:t>
      </w:r>
      <w:r w:rsidRPr="00293972">
        <w:rPr>
          <w:rFonts w:eastAsia="Calibri"/>
          <w:lang w:eastAsia="en-US"/>
        </w:rPr>
        <w:t xml:space="preserve"> x 3 application x 4 min. / 60 min. x 10.5 mg/m</w:t>
      </w:r>
      <w:r w:rsidRPr="00293972">
        <w:rPr>
          <w:rFonts w:eastAsia="Calibri"/>
          <w:vertAlign w:val="superscript"/>
          <w:lang w:eastAsia="en-US"/>
        </w:rPr>
        <w:t>3</w:t>
      </w:r>
      <w:r w:rsidRPr="00293972">
        <w:rPr>
          <w:rFonts w:eastAsia="Calibri"/>
          <w:lang w:eastAsia="en-US"/>
        </w:rPr>
        <w:t xml:space="preserve"> = 1.764mg</w:t>
      </w:r>
    </w:p>
    <w:p w14:paraId="61A2AFFE" w14:textId="77777777" w:rsidR="00C41279" w:rsidRPr="00A0086D" w:rsidRDefault="00C41279" w:rsidP="00D471B6">
      <w:pPr>
        <w:rPr>
          <w:rFonts w:eastAsia="Calibri"/>
          <w:lang w:eastAsia="en-US"/>
        </w:rPr>
      </w:pPr>
      <w:r w:rsidRPr="00A0086D">
        <w:rPr>
          <w:rFonts w:eastAsia="Calibri"/>
          <w:lang w:eastAsia="en-US"/>
        </w:rPr>
        <w:t>inhaled active substance = 1</w:t>
      </w:r>
      <w:r>
        <w:rPr>
          <w:rFonts w:eastAsia="Calibri"/>
          <w:lang w:eastAsia="en-US"/>
        </w:rPr>
        <w:t>.</w:t>
      </w:r>
      <w:r w:rsidRPr="00A0086D">
        <w:rPr>
          <w:rFonts w:eastAsia="Calibri"/>
          <w:lang w:eastAsia="en-US"/>
        </w:rPr>
        <w:t>764 x 20 % = 0</w:t>
      </w:r>
      <w:r>
        <w:rPr>
          <w:rFonts w:eastAsia="Calibri"/>
          <w:lang w:eastAsia="en-US"/>
        </w:rPr>
        <w:t>.</w:t>
      </w:r>
      <w:r w:rsidRPr="00A0086D">
        <w:rPr>
          <w:rFonts w:eastAsia="Calibri"/>
          <w:lang w:eastAsia="en-US"/>
        </w:rPr>
        <w:t xml:space="preserve">3528 mg </w:t>
      </w:r>
    </w:p>
    <w:p w14:paraId="3946880D" w14:textId="77777777" w:rsidR="00C41279" w:rsidRPr="00A0086D" w:rsidRDefault="00C41279" w:rsidP="00D471B6">
      <w:pPr>
        <w:rPr>
          <w:rFonts w:eastAsia="Calibri"/>
          <w:lang w:eastAsia="en-US"/>
        </w:rPr>
      </w:pPr>
      <w:r w:rsidRPr="00A0086D">
        <w:rPr>
          <w:rFonts w:eastAsia="Calibri"/>
          <w:lang w:eastAsia="en-US"/>
        </w:rPr>
        <w:t xml:space="preserve">inhalation systemic exposure: </w:t>
      </w:r>
    </w:p>
    <w:p w14:paraId="61DE4053" w14:textId="77777777" w:rsidR="00C41279" w:rsidRPr="00A0086D" w:rsidRDefault="00C41279" w:rsidP="00D471B6">
      <w:pPr>
        <w:ind w:firstLine="708"/>
        <w:rPr>
          <w:rFonts w:eastAsia="Calibri"/>
          <w:lang w:eastAsia="en-US"/>
        </w:rPr>
      </w:pPr>
      <w:r w:rsidRPr="00A0086D">
        <w:rPr>
          <w:rFonts w:eastAsia="Calibri"/>
          <w:lang w:eastAsia="en-US"/>
        </w:rPr>
        <w:t>11</w:t>
      </w:r>
      <w:r>
        <w:rPr>
          <w:rFonts w:eastAsia="Calibri"/>
          <w:lang w:eastAsia="en-US"/>
        </w:rPr>
        <w:t>.</w:t>
      </w:r>
      <w:r w:rsidRPr="00A0086D">
        <w:rPr>
          <w:rFonts w:eastAsia="Calibri"/>
          <w:lang w:eastAsia="en-US"/>
        </w:rPr>
        <w:t>21% x 0</w:t>
      </w:r>
      <w:r>
        <w:rPr>
          <w:rFonts w:eastAsia="Calibri"/>
          <w:lang w:eastAsia="en-US"/>
        </w:rPr>
        <w:t>.</w:t>
      </w:r>
      <w:r w:rsidRPr="00A0086D">
        <w:rPr>
          <w:rFonts w:eastAsia="Calibri"/>
          <w:lang w:eastAsia="en-US"/>
        </w:rPr>
        <w:t>3528</w:t>
      </w:r>
      <w:r w:rsidRPr="00A0086D">
        <w:t xml:space="preserve"> </w:t>
      </w:r>
      <w:r w:rsidRPr="00A0086D">
        <w:rPr>
          <w:rFonts w:eastAsia="Calibri"/>
          <w:lang w:eastAsia="en-US"/>
        </w:rPr>
        <w:t>x 100% / 8 = 0</w:t>
      </w:r>
      <w:r>
        <w:rPr>
          <w:rFonts w:eastAsia="Calibri"/>
          <w:lang w:eastAsia="en-US"/>
        </w:rPr>
        <w:t>.</w:t>
      </w:r>
      <w:r w:rsidRPr="00A0086D">
        <w:rPr>
          <w:rFonts w:eastAsia="Calibri"/>
          <w:lang w:eastAsia="en-US"/>
        </w:rPr>
        <w:t>00494 mg/kg bw</w:t>
      </w:r>
    </w:p>
    <w:p w14:paraId="265695AF" w14:textId="77777777" w:rsidR="00C41279" w:rsidRPr="00A0086D" w:rsidRDefault="00C41279" w:rsidP="00D471B6">
      <w:pPr>
        <w:rPr>
          <w:rFonts w:eastAsia="Calibri"/>
          <w:lang w:eastAsia="en-US"/>
        </w:rPr>
      </w:pPr>
      <w:r w:rsidRPr="00A0086D">
        <w:rPr>
          <w:rFonts w:eastAsia="Calibri"/>
          <w:lang w:eastAsia="en-US"/>
        </w:rPr>
        <w:t>Oral systemic exposure:</w:t>
      </w:r>
    </w:p>
    <w:p w14:paraId="62B912C5" w14:textId="77777777" w:rsidR="00C41279" w:rsidRPr="00A0086D" w:rsidRDefault="00C41279" w:rsidP="00D471B6">
      <w:pPr>
        <w:ind w:firstLine="708"/>
        <w:rPr>
          <w:rFonts w:eastAsia="Calibri"/>
          <w:lang w:eastAsia="en-US"/>
        </w:rPr>
      </w:pPr>
      <w:r w:rsidRPr="00A0086D">
        <w:rPr>
          <w:rFonts w:eastAsia="Calibri"/>
          <w:lang w:eastAsia="en-US"/>
        </w:rPr>
        <w:t>88</w:t>
      </w:r>
      <w:r>
        <w:rPr>
          <w:rFonts w:eastAsia="Calibri"/>
          <w:lang w:eastAsia="en-US"/>
        </w:rPr>
        <w:t>.</w:t>
      </w:r>
      <w:r w:rsidRPr="00A0086D">
        <w:rPr>
          <w:rFonts w:eastAsia="Calibri"/>
          <w:lang w:eastAsia="en-US"/>
        </w:rPr>
        <w:t>79 % x 0</w:t>
      </w:r>
      <w:r>
        <w:rPr>
          <w:rFonts w:eastAsia="Calibri"/>
          <w:lang w:eastAsia="en-US"/>
        </w:rPr>
        <w:t>.</w:t>
      </w:r>
      <w:r w:rsidRPr="00A0086D">
        <w:rPr>
          <w:rFonts w:eastAsia="Calibri"/>
          <w:lang w:eastAsia="en-US"/>
        </w:rPr>
        <w:t>3528 x 100% / 8 = 0</w:t>
      </w:r>
      <w:r>
        <w:rPr>
          <w:rFonts w:eastAsia="Calibri"/>
          <w:lang w:eastAsia="en-US"/>
        </w:rPr>
        <w:t>.</w:t>
      </w:r>
      <w:r w:rsidRPr="00A0086D">
        <w:rPr>
          <w:rFonts w:eastAsia="Calibri"/>
          <w:lang w:eastAsia="en-US"/>
        </w:rPr>
        <w:t>0392 mg/kg bw</w:t>
      </w:r>
    </w:p>
    <w:p w14:paraId="0CF2EB7D" w14:textId="77777777" w:rsidR="00422626" w:rsidRDefault="00422626" w:rsidP="00422626">
      <w:pPr>
        <w:rPr>
          <w:rFonts w:eastAsia="Calibri"/>
          <w:lang w:eastAsia="en-US"/>
        </w:rPr>
      </w:pPr>
    </w:p>
    <w:p w14:paraId="5E40E4D0" w14:textId="77777777" w:rsidR="00422626" w:rsidRPr="00A0086D" w:rsidRDefault="00422626" w:rsidP="00422626">
      <w:pPr>
        <w:rPr>
          <w:rFonts w:eastAsia="Calibri"/>
          <w:lang w:eastAsia="en-US"/>
        </w:rPr>
      </w:pPr>
      <w:r w:rsidRPr="00293972">
        <w:rPr>
          <w:rFonts w:eastAsia="Calibri"/>
          <w:lang w:eastAsia="en-US"/>
        </w:rPr>
        <w:t>inhaled product = 0.84 m</w:t>
      </w:r>
      <w:r w:rsidRPr="00293972">
        <w:rPr>
          <w:rFonts w:eastAsia="Calibri"/>
          <w:vertAlign w:val="superscript"/>
          <w:lang w:eastAsia="en-US"/>
        </w:rPr>
        <w:t>3</w:t>
      </w:r>
      <w:r>
        <w:rPr>
          <w:rFonts w:eastAsia="Calibri"/>
          <w:lang w:eastAsia="en-US"/>
        </w:rPr>
        <w:t xml:space="preserve"> x 2</w:t>
      </w:r>
      <w:r w:rsidRPr="00293972">
        <w:rPr>
          <w:rFonts w:eastAsia="Calibri"/>
          <w:lang w:eastAsia="en-US"/>
        </w:rPr>
        <w:t xml:space="preserve"> application x 4 min. / 60 min. x 10.5 mg/m</w:t>
      </w:r>
      <w:r w:rsidRPr="00293972">
        <w:rPr>
          <w:rFonts w:eastAsia="Calibri"/>
          <w:vertAlign w:val="superscript"/>
          <w:lang w:eastAsia="en-US"/>
        </w:rPr>
        <w:t>3</w:t>
      </w:r>
      <w:r w:rsidRPr="00293972">
        <w:rPr>
          <w:rFonts w:eastAsia="Calibri"/>
          <w:lang w:eastAsia="en-US"/>
        </w:rPr>
        <w:t xml:space="preserve"> = 1.</w:t>
      </w:r>
      <w:r>
        <w:rPr>
          <w:rFonts w:eastAsia="Calibri"/>
          <w:lang w:eastAsia="en-US"/>
        </w:rPr>
        <w:t>176</w:t>
      </w:r>
      <w:r w:rsidRPr="00293972">
        <w:rPr>
          <w:rFonts w:eastAsia="Calibri"/>
          <w:lang w:eastAsia="en-US"/>
        </w:rPr>
        <w:t>mg</w:t>
      </w:r>
    </w:p>
    <w:p w14:paraId="7A96E78F" w14:textId="77777777" w:rsidR="00422626" w:rsidRPr="00A0086D" w:rsidRDefault="00422626" w:rsidP="00422626">
      <w:pPr>
        <w:rPr>
          <w:rFonts w:eastAsia="Calibri"/>
          <w:lang w:eastAsia="en-US"/>
        </w:rPr>
      </w:pPr>
      <w:r w:rsidRPr="00A0086D">
        <w:rPr>
          <w:rFonts w:eastAsia="Calibri"/>
          <w:lang w:eastAsia="en-US"/>
        </w:rPr>
        <w:t>inhaled active substance = 1</w:t>
      </w:r>
      <w:r>
        <w:rPr>
          <w:rFonts w:eastAsia="Calibri"/>
          <w:lang w:eastAsia="en-US"/>
        </w:rPr>
        <w:t>.176</w:t>
      </w:r>
      <w:r w:rsidRPr="00A0086D">
        <w:rPr>
          <w:rFonts w:eastAsia="Calibri"/>
          <w:lang w:eastAsia="en-US"/>
        </w:rPr>
        <w:t xml:space="preserve"> x 20 % = 0</w:t>
      </w:r>
      <w:r>
        <w:rPr>
          <w:rFonts w:eastAsia="Calibri"/>
          <w:lang w:eastAsia="en-US"/>
        </w:rPr>
        <w:t>.2352</w:t>
      </w:r>
      <w:r w:rsidRPr="00A0086D">
        <w:rPr>
          <w:rFonts w:eastAsia="Calibri"/>
          <w:lang w:eastAsia="en-US"/>
        </w:rPr>
        <w:t xml:space="preserve"> mg </w:t>
      </w:r>
    </w:p>
    <w:p w14:paraId="0A3E5DA7" w14:textId="77777777" w:rsidR="00422626" w:rsidRPr="00A0086D" w:rsidRDefault="00422626" w:rsidP="00422626">
      <w:pPr>
        <w:rPr>
          <w:rFonts w:eastAsia="Calibri"/>
          <w:lang w:eastAsia="en-US"/>
        </w:rPr>
      </w:pPr>
      <w:r w:rsidRPr="00A0086D">
        <w:rPr>
          <w:rFonts w:eastAsia="Calibri"/>
          <w:lang w:eastAsia="en-US"/>
        </w:rPr>
        <w:t xml:space="preserve">inhalation systemic exposure: </w:t>
      </w:r>
    </w:p>
    <w:p w14:paraId="159B7728" w14:textId="77777777" w:rsidR="00422626" w:rsidRPr="00A0086D" w:rsidRDefault="00422626" w:rsidP="00422626">
      <w:pPr>
        <w:ind w:firstLine="708"/>
        <w:rPr>
          <w:rFonts w:eastAsia="Calibri"/>
          <w:lang w:eastAsia="en-US"/>
        </w:rPr>
      </w:pPr>
      <w:r w:rsidRPr="00A0086D">
        <w:rPr>
          <w:rFonts w:eastAsia="Calibri"/>
          <w:lang w:eastAsia="en-US"/>
        </w:rPr>
        <w:t>11</w:t>
      </w:r>
      <w:r>
        <w:rPr>
          <w:rFonts w:eastAsia="Calibri"/>
          <w:lang w:eastAsia="en-US"/>
        </w:rPr>
        <w:t>.</w:t>
      </w:r>
      <w:r w:rsidRPr="00A0086D">
        <w:rPr>
          <w:rFonts w:eastAsia="Calibri"/>
          <w:lang w:eastAsia="en-US"/>
        </w:rPr>
        <w:t xml:space="preserve">21% x </w:t>
      </w:r>
      <w:r w:rsidRPr="00530B24">
        <w:rPr>
          <w:rFonts w:eastAsia="Calibri"/>
          <w:lang w:eastAsia="en-US"/>
        </w:rPr>
        <w:t xml:space="preserve">0.2352 </w:t>
      </w:r>
      <w:r w:rsidRPr="00A0086D">
        <w:rPr>
          <w:rFonts w:eastAsia="Calibri"/>
          <w:lang w:eastAsia="en-US"/>
        </w:rPr>
        <w:t>x 100% / 8 = 0</w:t>
      </w:r>
      <w:r>
        <w:rPr>
          <w:rFonts w:eastAsia="Calibri"/>
          <w:lang w:eastAsia="en-US"/>
        </w:rPr>
        <w:t>.</w:t>
      </w:r>
      <w:r w:rsidRPr="00A0086D">
        <w:rPr>
          <w:rFonts w:eastAsia="Calibri"/>
          <w:lang w:eastAsia="en-US"/>
        </w:rPr>
        <w:t>00</w:t>
      </w:r>
      <w:r>
        <w:rPr>
          <w:rFonts w:eastAsia="Calibri"/>
          <w:lang w:eastAsia="en-US"/>
        </w:rPr>
        <w:t>33</w:t>
      </w:r>
      <w:r w:rsidRPr="00A0086D">
        <w:rPr>
          <w:rFonts w:eastAsia="Calibri"/>
          <w:lang w:eastAsia="en-US"/>
        </w:rPr>
        <w:t>mg/kg bw</w:t>
      </w:r>
    </w:p>
    <w:p w14:paraId="083708CF" w14:textId="77777777" w:rsidR="00422626" w:rsidRPr="00A0086D" w:rsidRDefault="00422626" w:rsidP="00422626">
      <w:pPr>
        <w:rPr>
          <w:rFonts w:eastAsia="Calibri"/>
          <w:lang w:eastAsia="en-US"/>
        </w:rPr>
      </w:pPr>
      <w:r w:rsidRPr="00A0086D">
        <w:rPr>
          <w:rFonts w:eastAsia="Calibri"/>
          <w:lang w:eastAsia="en-US"/>
        </w:rPr>
        <w:t>Oral systemic exposure:</w:t>
      </w:r>
    </w:p>
    <w:p w14:paraId="4259A76B" w14:textId="77777777" w:rsidR="00422626" w:rsidRPr="00A0086D" w:rsidRDefault="00422626" w:rsidP="00422626">
      <w:pPr>
        <w:ind w:firstLine="708"/>
        <w:rPr>
          <w:rFonts w:eastAsia="Calibri"/>
          <w:lang w:eastAsia="en-US"/>
        </w:rPr>
      </w:pPr>
      <w:r w:rsidRPr="00A0086D">
        <w:rPr>
          <w:rFonts w:eastAsia="Calibri"/>
          <w:lang w:eastAsia="en-US"/>
        </w:rPr>
        <w:t>88</w:t>
      </w:r>
      <w:r>
        <w:rPr>
          <w:rFonts w:eastAsia="Calibri"/>
          <w:lang w:eastAsia="en-US"/>
        </w:rPr>
        <w:t>.</w:t>
      </w:r>
      <w:r w:rsidRPr="00A0086D">
        <w:rPr>
          <w:rFonts w:eastAsia="Calibri"/>
          <w:lang w:eastAsia="en-US"/>
        </w:rPr>
        <w:t xml:space="preserve">79 % x </w:t>
      </w:r>
      <w:r w:rsidRPr="00530B24">
        <w:rPr>
          <w:rFonts w:eastAsia="Calibri"/>
          <w:lang w:eastAsia="en-US"/>
        </w:rPr>
        <w:t xml:space="preserve">0.2352 </w:t>
      </w:r>
      <w:r w:rsidRPr="00A0086D">
        <w:rPr>
          <w:rFonts w:eastAsia="Calibri"/>
          <w:lang w:eastAsia="en-US"/>
        </w:rPr>
        <w:t>x 100% / 8 = 0</w:t>
      </w:r>
      <w:r>
        <w:rPr>
          <w:rFonts w:eastAsia="Calibri"/>
          <w:lang w:eastAsia="en-US"/>
        </w:rPr>
        <w:t>.</w:t>
      </w:r>
      <w:r w:rsidRPr="00A0086D">
        <w:rPr>
          <w:rFonts w:eastAsia="Calibri"/>
          <w:lang w:eastAsia="en-US"/>
        </w:rPr>
        <w:t>0</w:t>
      </w:r>
      <w:r>
        <w:rPr>
          <w:rFonts w:eastAsia="Calibri"/>
          <w:lang w:eastAsia="en-US"/>
        </w:rPr>
        <w:t>261</w:t>
      </w:r>
      <w:r w:rsidRPr="00A0086D">
        <w:rPr>
          <w:rFonts w:eastAsia="Calibri"/>
          <w:lang w:eastAsia="en-US"/>
        </w:rPr>
        <w:t xml:space="preserve"> mg/kg bw</w:t>
      </w:r>
    </w:p>
    <w:p w14:paraId="206CE752" w14:textId="77777777" w:rsidR="00422626" w:rsidRPr="00A0086D" w:rsidRDefault="00422626" w:rsidP="00D471B6">
      <w:pPr>
        <w:rPr>
          <w:rFonts w:eastAsia="Calibri"/>
          <w:lang w:eastAsia="en-US"/>
        </w:rPr>
      </w:pPr>
    </w:p>
    <w:p w14:paraId="58873D31" w14:textId="77777777" w:rsidR="00C41279" w:rsidRPr="00D471B6" w:rsidRDefault="00C41279" w:rsidP="00D471B6">
      <w:pPr>
        <w:pStyle w:val="Titre5"/>
        <w:numPr>
          <w:ilvl w:val="0"/>
          <w:numId w:val="0"/>
        </w:numPr>
      </w:pPr>
      <w:bookmarkStart w:id="392" w:name="_Toc93326622"/>
      <w:r w:rsidRPr="00D471B6">
        <w:t>Scenario 3: Secondary exposure (indirect exposure as a result of use): Hand-mouth transfer reverse reference scenario (oral exposure</w:t>
      </w:r>
      <w:bookmarkEnd w:id="392"/>
      <w:r w:rsidRPr="00D471B6">
        <w:t xml:space="preserve"> </w:t>
      </w:r>
    </w:p>
    <w:p w14:paraId="574366A1" w14:textId="77777777" w:rsidR="00C41279" w:rsidRPr="000E4F27" w:rsidRDefault="00C41279" w:rsidP="00C41279">
      <w:pPr>
        <w:rPr>
          <w:rFonts w:eastAsia="Calibri"/>
          <w:b/>
          <w:i/>
          <w:u w:val="single"/>
          <w:lang w:eastAsia="en-US"/>
        </w:rPr>
      </w:pPr>
      <w:r>
        <w:rPr>
          <w:b/>
          <w:lang w:val="en-US"/>
        </w:rPr>
        <w:t>Calculations for scenario 3</w:t>
      </w:r>
    </w:p>
    <w:p w14:paraId="4FC5028F" w14:textId="77777777" w:rsidR="00C41279" w:rsidRPr="00C41279" w:rsidRDefault="00C41279" w:rsidP="00C41279">
      <w:pPr>
        <w:pStyle w:val="Titre6"/>
        <w:rPr>
          <w:lang w:val="en-US"/>
        </w:rPr>
      </w:pPr>
      <w:r w:rsidRPr="00C41279">
        <w:rPr>
          <w:lang w:val="en-US"/>
        </w:rPr>
        <w:t>a. Adult:</w:t>
      </w:r>
    </w:p>
    <w:p w14:paraId="53FFFA25" w14:textId="77777777" w:rsidR="00C41279" w:rsidRDefault="00C41279" w:rsidP="00D471B6">
      <w:pPr>
        <w:rPr>
          <w:rFonts w:eastAsia="Calibri"/>
          <w:lang w:eastAsia="en-US"/>
        </w:rPr>
      </w:pPr>
      <w:r w:rsidRPr="001279A2">
        <w:rPr>
          <w:rFonts w:eastAsia="Calibri"/>
          <w:lang w:eastAsia="en-US"/>
        </w:rPr>
        <w:t xml:space="preserve">External dermal dose for adult per application: </w:t>
      </w:r>
    </w:p>
    <w:p w14:paraId="1E2C4140" w14:textId="77777777" w:rsidR="00C41279" w:rsidRDefault="00C41279" w:rsidP="00D471B6">
      <w:pPr>
        <w:ind w:firstLine="708"/>
        <w:rPr>
          <w:rFonts w:eastAsia="Calibri"/>
          <w:lang w:eastAsia="en-US"/>
        </w:rPr>
      </w:pPr>
      <w:r>
        <w:rPr>
          <w:rFonts w:eastAsia="Calibri"/>
          <w:lang w:eastAsia="en-US"/>
        </w:rPr>
        <w:t>1050</w:t>
      </w:r>
      <w:r w:rsidRPr="001279A2">
        <w:rPr>
          <w:rFonts w:eastAsia="Calibri"/>
          <w:lang w:eastAsia="en-US"/>
        </w:rPr>
        <w:t xml:space="preserve"> mg X 20 % /60</w:t>
      </w:r>
      <w:r>
        <w:rPr>
          <w:rFonts w:eastAsia="Calibri"/>
          <w:lang w:eastAsia="en-US"/>
        </w:rPr>
        <w:t xml:space="preserve"> kg = 3.5 mg/kg bw/application </w:t>
      </w:r>
    </w:p>
    <w:p w14:paraId="22CFE5A1" w14:textId="77777777" w:rsidR="00C41279" w:rsidRDefault="00C41279" w:rsidP="00D471B6">
      <w:pPr>
        <w:rPr>
          <w:rFonts w:eastAsia="Calibri"/>
          <w:lang w:eastAsia="en-US"/>
        </w:rPr>
      </w:pPr>
      <w:r w:rsidRPr="001279A2">
        <w:rPr>
          <w:rFonts w:eastAsia="Calibri"/>
          <w:lang w:eastAsia="en-US"/>
        </w:rPr>
        <w:t>Oral systemic exposure</w:t>
      </w:r>
      <w:r>
        <w:rPr>
          <w:rFonts w:eastAsia="Calibri"/>
          <w:lang w:eastAsia="en-US"/>
        </w:rPr>
        <w:t xml:space="preserve"> via hand-mouth transfer</w:t>
      </w:r>
      <w:r w:rsidRPr="001279A2">
        <w:rPr>
          <w:rFonts w:eastAsia="Calibri"/>
          <w:lang w:eastAsia="en-US"/>
        </w:rPr>
        <w:t xml:space="preserve"> is</w:t>
      </w:r>
      <w:r>
        <w:rPr>
          <w:rFonts w:eastAsia="Calibri"/>
          <w:lang w:eastAsia="en-US"/>
        </w:rPr>
        <w:t>:</w:t>
      </w:r>
    </w:p>
    <w:p w14:paraId="675CDB62" w14:textId="77777777" w:rsidR="00422626" w:rsidRPr="001279A2" w:rsidRDefault="00422626" w:rsidP="00422626">
      <w:pPr>
        <w:ind w:firstLine="708"/>
        <w:rPr>
          <w:rFonts w:eastAsia="Calibri"/>
          <w:lang w:eastAsia="en-US"/>
        </w:rPr>
      </w:pPr>
      <w:r>
        <w:rPr>
          <w:rFonts w:eastAsia="Calibri"/>
          <w:lang w:eastAsia="en-US"/>
        </w:rPr>
        <w:t>3.5</w:t>
      </w:r>
      <w:r w:rsidRPr="001279A2">
        <w:rPr>
          <w:rFonts w:eastAsia="Calibri"/>
          <w:lang w:eastAsia="en-US"/>
        </w:rPr>
        <w:t xml:space="preserve"> x </w:t>
      </w:r>
      <w:r>
        <w:rPr>
          <w:rFonts w:eastAsia="Calibri"/>
          <w:lang w:eastAsia="en-US"/>
        </w:rPr>
        <w:t>40%</w:t>
      </w:r>
      <w:r w:rsidRPr="001279A2">
        <w:rPr>
          <w:rFonts w:eastAsia="Calibri"/>
          <w:lang w:eastAsia="en-US"/>
        </w:rPr>
        <w:t xml:space="preserve"> = </w:t>
      </w:r>
      <w:r>
        <w:rPr>
          <w:rFonts w:eastAsia="Calibri"/>
          <w:lang w:eastAsia="en-US"/>
        </w:rPr>
        <w:t>1.4</w:t>
      </w:r>
      <w:r w:rsidRPr="001279A2">
        <w:rPr>
          <w:rFonts w:eastAsia="Calibri"/>
          <w:lang w:eastAsia="en-US"/>
        </w:rPr>
        <w:t xml:space="preserve"> mg/kg bw/ application.</w:t>
      </w:r>
    </w:p>
    <w:p w14:paraId="705937D5" w14:textId="77777777" w:rsidR="00422626" w:rsidRDefault="00422626" w:rsidP="00422626">
      <w:pPr>
        <w:rPr>
          <w:rFonts w:eastAsia="Calibri"/>
          <w:lang w:eastAsia="en-US"/>
        </w:rPr>
      </w:pPr>
      <w:r w:rsidRPr="001279A2">
        <w:rPr>
          <w:rFonts w:eastAsia="Calibri"/>
          <w:lang w:eastAsia="en-US"/>
        </w:rPr>
        <w:t xml:space="preserve">As a consequence, an adult is allowed to apply the repellent </w:t>
      </w:r>
      <w:r>
        <w:rPr>
          <w:rFonts w:eastAsia="Calibri"/>
          <w:lang w:eastAsia="en-US"/>
        </w:rPr>
        <w:t>3.57</w:t>
      </w:r>
      <w:r w:rsidRPr="001279A2">
        <w:rPr>
          <w:rFonts w:eastAsia="Calibri"/>
          <w:lang w:eastAsia="en-US"/>
        </w:rPr>
        <w:t xml:space="preserve"> t</w:t>
      </w:r>
      <w:r>
        <w:rPr>
          <w:rFonts w:eastAsia="Calibri"/>
          <w:lang w:eastAsia="en-US"/>
        </w:rPr>
        <w:t xml:space="preserve">imes before the AEL is exceeded </w:t>
      </w:r>
      <w:r w:rsidRPr="001279A2">
        <w:rPr>
          <w:rFonts w:eastAsia="Calibri"/>
          <w:lang w:eastAsia="en-US"/>
        </w:rPr>
        <w:t>through hand-mouth transfer per day (5/</w:t>
      </w:r>
      <w:r>
        <w:rPr>
          <w:rFonts w:eastAsia="Calibri"/>
          <w:lang w:eastAsia="en-US"/>
        </w:rPr>
        <w:t>1.4</w:t>
      </w:r>
      <w:r w:rsidRPr="001279A2">
        <w:rPr>
          <w:rFonts w:eastAsia="Calibri"/>
          <w:lang w:eastAsia="en-US"/>
        </w:rPr>
        <w:t xml:space="preserve">= </w:t>
      </w:r>
      <w:r>
        <w:rPr>
          <w:rFonts w:eastAsia="Calibri"/>
          <w:lang w:eastAsia="en-US"/>
        </w:rPr>
        <w:t>3.57</w:t>
      </w:r>
      <w:r w:rsidRPr="001279A2">
        <w:rPr>
          <w:rFonts w:eastAsia="Calibri"/>
          <w:lang w:eastAsia="en-US"/>
        </w:rPr>
        <w:t>).</w:t>
      </w:r>
    </w:p>
    <w:p w14:paraId="4B3B4C8E" w14:textId="77777777" w:rsidR="00C41279" w:rsidRDefault="00C41279" w:rsidP="00D471B6">
      <w:pPr>
        <w:rPr>
          <w:rFonts w:eastAsia="Calibri"/>
          <w:lang w:eastAsia="en-US"/>
        </w:rPr>
      </w:pPr>
    </w:p>
    <w:p w14:paraId="3CF4C538" w14:textId="77777777" w:rsidR="00C41279" w:rsidRPr="00C41279" w:rsidRDefault="00C41279" w:rsidP="00C41279">
      <w:pPr>
        <w:pStyle w:val="Titre6"/>
        <w:rPr>
          <w:lang w:val="en-US"/>
        </w:rPr>
      </w:pPr>
      <w:r w:rsidRPr="00C41279">
        <w:rPr>
          <w:lang w:val="en-US"/>
        </w:rPr>
        <w:t>b. Child</w:t>
      </w:r>
    </w:p>
    <w:p w14:paraId="153EC2D3" w14:textId="77777777" w:rsidR="00C41279" w:rsidRDefault="00C41279" w:rsidP="00D471B6">
      <w:pPr>
        <w:rPr>
          <w:rFonts w:eastAsia="Calibri"/>
          <w:lang w:eastAsia="en-US"/>
        </w:rPr>
      </w:pPr>
      <w:r w:rsidRPr="001279A2">
        <w:rPr>
          <w:rFonts w:eastAsia="Calibri"/>
          <w:lang w:eastAsia="en-US"/>
        </w:rPr>
        <w:t xml:space="preserve">External dermal dose for adult per application: </w:t>
      </w:r>
    </w:p>
    <w:p w14:paraId="40B1733D" w14:textId="77777777" w:rsidR="00422626" w:rsidRDefault="00422626" w:rsidP="00422626">
      <w:pPr>
        <w:ind w:firstLine="708"/>
        <w:rPr>
          <w:rFonts w:eastAsia="Calibri"/>
          <w:lang w:eastAsia="en-US"/>
        </w:rPr>
      </w:pPr>
      <w:r>
        <w:rPr>
          <w:rFonts w:eastAsia="Calibri"/>
          <w:lang w:eastAsia="en-US"/>
        </w:rPr>
        <w:t>500</w:t>
      </w:r>
      <w:r w:rsidRPr="001279A2">
        <w:rPr>
          <w:rFonts w:eastAsia="Calibri"/>
          <w:lang w:eastAsia="en-US"/>
        </w:rPr>
        <w:t xml:space="preserve"> mg X 20 % /</w:t>
      </w:r>
      <w:r>
        <w:rPr>
          <w:rFonts w:eastAsia="Calibri"/>
          <w:lang w:eastAsia="en-US"/>
        </w:rPr>
        <w:t xml:space="preserve"> 23.9 kg = 4.18 mg/kg bw/application </w:t>
      </w:r>
    </w:p>
    <w:p w14:paraId="4EC9ABD1" w14:textId="77777777" w:rsidR="00C41279" w:rsidRDefault="00C41279" w:rsidP="00D471B6">
      <w:pPr>
        <w:rPr>
          <w:rFonts w:eastAsia="Calibri"/>
          <w:lang w:eastAsia="en-US"/>
        </w:rPr>
      </w:pPr>
      <w:r w:rsidRPr="001279A2">
        <w:rPr>
          <w:rFonts w:eastAsia="Calibri"/>
          <w:lang w:eastAsia="en-US"/>
        </w:rPr>
        <w:t>Oral systemic exposure</w:t>
      </w:r>
      <w:r>
        <w:rPr>
          <w:rFonts w:eastAsia="Calibri"/>
          <w:lang w:eastAsia="en-US"/>
        </w:rPr>
        <w:t xml:space="preserve"> via hand-mouth transfer</w:t>
      </w:r>
      <w:r w:rsidRPr="001279A2">
        <w:rPr>
          <w:rFonts w:eastAsia="Calibri"/>
          <w:lang w:eastAsia="en-US"/>
        </w:rPr>
        <w:t xml:space="preserve"> is</w:t>
      </w:r>
      <w:r>
        <w:rPr>
          <w:rFonts w:eastAsia="Calibri"/>
          <w:lang w:eastAsia="en-US"/>
        </w:rPr>
        <w:t>:</w:t>
      </w:r>
    </w:p>
    <w:p w14:paraId="3F6F54AF" w14:textId="77777777" w:rsidR="00422626" w:rsidRPr="001279A2" w:rsidRDefault="00422626" w:rsidP="00422626">
      <w:pPr>
        <w:ind w:firstLine="708"/>
        <w:rPr>
          <w:rFonts w:eastAsia="Calibri"/>
          <w:lang w:eastAsia="en-US"/>
        </w:rPr>
      </w:pPr>
      <w:r>
        <w:rPr>
          <w:rFonts w:eastAsia="Calibri"/>
          <w:lang w:eastAsia="en-US"/>
        </w:rPr>
        <w:t>4.18</w:t>
      </w:r>
      <w:r w:rsidRPr="001279A2">
        <w:rPr>
          <w:rFonts w:eastAsia="Calibri"/>
          <w:lang w:eastAsia="en-US"/>
        </w:rPr>
        <w:t xml:space="preserve"> x </w:t>
      </w:r>
      <w:r>
        <w:rPr>
          <w:rFonts w:eastAsia="Calibri"/>
          <w:lang w:eastAsia="en-US"/>
        </w:rPr>
        <w:t>40 %</w:t>
      </w:r>
      <w:r w:rsidRPr="001279A2">
        <w:rPr>
          <w:rFonts w:eastAsia="Calibri"/>
          <w:lang w:eastAsia="en-US"/>
        </w:rPr>
        <w:t xml:space="preserve"> = </w:t>
      </w:r>
      <w:r>
        <w:rPr>
          <w:rFonts w:eastAsia="Calibri"/>
          <w:lang w:eastAsia="en-US"/>
        </w:rPr>
        <w:t>1.67</w:t>
      </w:r>
      <w:r w:rsidRPr="001279A2">
        <w:rPr>
          <w:rFonts w:eastAsia="Calibri"/>
          <w:lang w:eastAsia="en-US"/>
        </w:rPr>
        <w:t xml:space="preserve"> mg/kg bw/ application.</w:t>
      </w:r>
    </w:p>
    <w:p w14:paraId="2D10861B" w14:textId="77777777" w:rsidR="00422626" w:rsidRDefault="00422626" w:rsidP="00422626">
      <w:pPr>
        <w:rPr>
          <w:rFonts w:eastAsia="Calibri"/>
          <w:lang w:eastAsia="en-US"/>
        </w:rPr>
      </w:pPr>
      <w:r w:rsidRPr="001279A2">
        <w:rPr>
          <w:rFonts w:eastAsia="Calibri"/>
          <w:lang w:eastAsia="en-US"/>
        </w:rPr>
        <w:t xml:space="preserve">As a consequence, </w:t>
      </w:r>
      <w:r w:rsidRPr="008F79BA">
        <w:rPr>
          <w:rFonts w:eastAsia="Calibri"/>
          <w:lang w:eastAsia="en-US"/>
        </w:rPr>
        <w:t xml:space="preserve">it is allowed to apply the repellent to a 6-11 year-old child </w:t>
      </w:r>
      <w:r>
        <w:rPr>
          <w:rFonts w:eastAsia="Calibri"/>
          <w:lang w:eastAsia="en-US"/>
        </w:rPr>
        <w:t>2.99</w:t>
      </w:r>
      <w:r w:rsidRPr="001279A2">
        <w:rPr>
          <w:rFonts w:eastAsia="Calibri"/>
          <w:lang w:eastAsia="en-US"/>
        </w:rPr>
        <w:t xml:space="preserve"> t</w:t>
      </w:r>
      <w:r>
        <w:rPr>
          <w:rFonts w:eastAsia="Calibri"/>
          <w:lang w:eastAsia="en-US"/>
        </w:rPr>
        <w:t xml:space="preserve">imes before the AEL is exceeded </w:t>
      </w:r>
      <w:r w:rsidRPr="001279A2">
        <w:rPr>
          <w:rFonts w:eastAsia="Calibri"/>
          <w:lang w:eastAsia="en-US"/>
        </w:rPr>
        <w:t>through hand-mouth transfer per day (5/</w:t>
      </w:r>
      <w:r>
        <w:rPr>
          <w:rFonts w:eastAsia="Calibri"/>
          <w:lang w:eastAsia="en-US"/>
        </w:rPr>
        <w:t>1.67</w:t>
      </w:r>
      <w:r w:rsidRPr="001279A2">
        <w:rPr>
          <w:rFonts w:eastAsia="Calibri"/>
          <w:lang w:eastAsia="en-US"/>
        </w:rPr>
        <w:t xml:space="preserve">= </w:t>
      </w:r>
      <w:r>
        <w:rPr>
          <w:rFonts w:eastAsia="Calibri"/>
          <w:lang w:eastAsia="en-US"/>
        </w:rPr>
        <w:t>2.99</w:t>
      </w:r>
      <w:r w:rsidRPr="001279A2">
        <w:rPr>
          <w:rFonts w:eastAsia="Calibri"/>
          <w:lang w:eastAsia="en-US"/>
        </w:rPr>
        <w:t>).</w:t>
      </w:r>
    </w:p>
    <w:p w14:paraId="3FB127F4" w14:textId="77777777" w:rsidR="00C41279" w:rsidRDefault="00C41279" w:rsidP="00D471B6">
      <w:pPr>
        <w:rPr>
          <w:rFonts w:eastAsia="Calibri"/>
          <w:lang w:eastAsia="en-US"/>
        </w:rPr>
      </w:pPr>
    </w:p>
    <w:p w14:paraId="0A569A5B" w14:textId="77777777" w:rsidR="00C41279" w:rsidRPr="00C41279" w:rsidRDefault="00C41279" w:rsidP="00C41279">
      <w:pPr>
        <w:pStyle w:val="Titre6"/>
        <w:rPr>
          <w:lang w:val="en-US"/>
        </w:rPr>
      </w:pPr>
      <w:r w:rsidRPr="00C41279">
        <w:rPr>
          <w:lang w:val="en-US"/>
        </w:rPr>
        <w:t>c. Toddler</w:t>
      </w:r>
    </w:p>
    <w:p w14:paraId="376C38F3" w14:textId="77777777" w:rsidR="00C41279" w:rsidRDefault="00C41279" w:rsidP="00D471B6">
      <w:pPr>
        <w:rPr>
          <w:rFonts w:eastAsia="Calibri"/>
          <w:lang w:eastAsia="en-US"/>
        </w:rPr>
      </w:pPr>
      <w:r w:rsidRPr="001279A2">
        <w:rPr>
          <w:rFonts w:eastAsia="Calibri"/>
          <w:lang w:eastAsia="en-US"/>
        </w:rPr>
        <w:t xml:space="preserve">External dermal dose for adult per application: </w:t>
      </w:r>
    </w:p>
    <w:p w14:paraId="47A2B8C5" w14:textId="77777777" w:rsidR="00422626" w:rsidRDefault="00422626" w:rsidP="00422626">
      <w:pPr>
        <w:ind w:firstLine="708"/>
        <w:rPr>
          <w:rFonts w:eastAsia="Calibri"/>
          <w:lang w:eastAsia="en-US"/>
        </w:rPr>
      </w:pPr>
      <w:r>
        <w:rPr>
          <w:rFonts w:eastAsia="Calibri"/>
          <w:lang w:eastAsia="en-US"/>
        </w:rPr>
        <w:t>500</w:t>
      </w:r>
      <w:r w:rsidRPr="001279A2">
        <w:rPr>
          <w:rFonts w:eastAsia="Calibri"/>
          <w:lang w:eastAsia="en-US"/>
        </w:rPr>
        <w:t xml:space="preserve"> mg X 20 % /</w:t>
      </w:r>
      <w:r>
        <w:rPr>
          <w:rFonts w:eastAsia="Calibri"/>
          <w:lang w:eastAsia="en-US"/>
        </w:rPr>
        <w:t xml:space="preserve"> 10 kg = 10 mg/kg bw/application </w:t>
      </w:r>
    </w:p>
    <w:p w14:paraId="7D679C2E" w14:textId="77777777" w:rsidR="00C41279" w:rsidRDefault="00C41279" w:rsidP="00D471B6">
      <w:pPr>
        <w:rPr>
          <w:rFonts w:eastAsia="Calibri"/>
          <w:lang w:eastAsia="en-US"/>
        </w:rPr>
      </w:pPr>
      <w:r w:rsidRPr="001279A2">
        <w:rPr>
          <w:rFonts w:eastAsia="Calibri"/>
          <w:lang w:eastAsia="en-US"/>
        </w:rPr>
        <w:t>Oral systemic exposure</w:t>
      </w:r>
      <w:r>
        <w:rPr>
          <w:rFonts w:eastAsia="Calibri"/>
          <w:lang w:eastAsia="en-US"/>
        </w:rPr>
        <w:t xml:space="preserve"> via hand-mouth transfer</w:t>
      </w:r>
      <w:r w:rsidRPr="001279A2">
        <w:rPr>
          <w:rFonts w:eastAsia="Calibri"/>
          <w:lang w:eastAsia="en-US"/>
        </w:rPr>
        <w:t xml:space="preserve"> is</w:t>
      </w:r>
      <w:r>
        <w:rPr>
          <w:rFonts w:eastAsia="Calibri"/>
          <w:lang w:eastAsia="en-US"/>
        </w:rPr>
        <w:t>:</w:t>
      </w:r>
    </w:p>
    <w:p w14:paraId="7D457645" w14:textId="77777777" w:rsidR="00422626" w:rsidRPr="001279A2" w:rsidRDefault="00422626" w:rsidP="00422626">
      <w:pPr>
        <w:ind w:firstLine="708"/>
        <w:rPr>
          <w:rFonts w:eastAsia="Calibri"/>
          <w:lang w:eastAsia="en-US"/>
        </w:rPr>
      </w:pPr>
      <w:r>
        <w:rPr>
          <w:rFonts w:eastAsia="Calibri"/>
          <w:lang w:eastAsia="en-US"/>
        </w:rPr>
        <w:t>10</w:t>
      </w:r>
      <w:r w:rsidRPr="001279A2">
        <w:rPr>
          <w:rFonts w:eastAsia="Calibri"/>
          <w:lang w:eastAsia="en-US"/>
        </w:rPr>
        <w:t xml:space="preserve"> x </w:t>
      </w:r>
      <w:r>
        <w:rPr>
          <w:rFonts w:eastAsia="Calibri"/>
          <w:lang w:eastAsia="en-US"/>
        </w:rPr>
        <w:t>29 %</w:t>
      </w:r>
      <w:r w:rsidRPr="001279A2">
        <w:rPr>
          <w:rFonts w:eastAsia="Calibri"/>
          <w:lang w:eastAsia="en-US"/>
        </w:rPr>
        <w:t xml:space="preserve"> = </w:t>
      </w:r>
      <w:r>
        <w:rPr>
          <w:rFonts w:eastAsia="Calibri"/>
          <w:lang w:eastAsia="en-US"/>
        </w:rPr>
        <w:t>2.9</w:t>
      </w:r>
      <w:r w:rsidRPr="001279A2">
        <w:rPr>
          <w:rFonts w:eastAsia="Calibri"/>
          <w:lang w:eastAsia="en-US"/>
        </w:rPr>
        <w:t xml:space="preserve"> mg/kg bw/ application.</w:t>
      </w:r>
    </w:p>
    <w:p w14:paraId="6CD73BC9" w14:textId="77777777" w:rsidR="00422626" w:rsidRDefault="00422626" w:rsidP="00422626">
      <w:pPr>
        <w:rPr>
          <w:rFonts w:eastAsia="Calibri"/>
          <w:lang w:eastAsia="en-US"/>
        </w:rPr>
      </w:pPr>
      <w:r w:rsidRPr="001279A2">
        <w:rPr>
          <w:rFonts w:eastAsia="Calibri"/>
          <w:lang w:eastAsia="en-US"/>
        </w:rPr>
        <w:t xml:space="preserve">As a consequence, </w:t>
      </w:r>
      <w:r w:rsidRPr="008F79BA">
        <w:rPr>
          <w:rFonts w:eastAsia="Calibri"/>
          <w:lang w:eastAsia="en-US"/>
        </w:rPr>
        <w:t xml:space="preserve">it is allowed to apply the repellent to a </w:t>
      </w:r>
      <w:r>
        <w:rPr>
          <w:rFonts w:eastAsia="Calibri"/>
          <w:lang w:eastAsia="en-US"/>
        </w:rPr>
        <w:t xml:space="preserve">1-2 </w:t>
      </w:r>
      <w:r w:rsidRPr="008F79BA">
        <w:rPr>
          <w:rFonts w:eastAsia="Calibri"/>
          <w:lang w:eastAsia="en-US"/>
        </w:rPr>
        <w:t xml:space="preserve">year-old </w:t>
      </w:r>
      <w:r>
        <w:rPr>
          <w:rFonts w:eastAsia="Calibri"/>
          <w:lang w:eastAsia="en-US"/>
        </w:rPr>
        <w:t>toddler</w:t>
      </w:r>
      <w:r w:rsidRPr="008F79BA">
        <w:rPr>
          <w:rFonts w:eastAsia="Calibri"/>
          <w:lang w:eastAsia="en-US"/>
        </w:rPr>
        <w:t xml:space="preserve"> </w:t>
      </w:r>
      <w:r>
        <w:rPr>
          <w:rFonts w:eastAsia="Calibri"/>
          <w:lang w:eastAsia="en-US"/>
        </w:rPr>
        <w:t>1.72</w:t>
      </w:r>
      <w:r w:rsidRPr="001279A2">
        <w:rPr>
          <w:rFonts w:eastAsia="Calibri"/>
          <w:lang w:eastAsia="en-US"/>
        </w:rPr>
        <w:t xml:space="preserve"> t</w:t>
      </w:r>
      <w:r>
        <w:rPr>
          <w:rFonts w:eastAsia="Calibri"/>
          <w:lang w:eastAsia="en-US"/>
        </w:rPr>
        <w:t xml:space="preserve">imes before the AEL is exceeded </w:t>
      </w:r>
      <w:r w:rsidRPr="001279A2">
        <w:rPr>
          <w:rFonts w:eastAsia="Calibri"/>
          <w:lang w:eastAsia="en-US"/>
        </w:rPr>
        <w:t>through hand-mouth transfer per day (5/</w:t>
      </w:r>
      <w:r>
        <w:rPr>
          <w:rFonts w:eastAsia="Calibri"/>
          <w:lang w:eastAsia="en-US"/>
        </w:rPr>
        <w:t>2.9</w:t>
      </w:r>
      <w:r w:rsidRPr="009E3AC3">
        <w:rPr>
          <w:rFonts w:eastAsia="Calibri"/>
          <w:lang w:eastAsia="en-US"/>
        </w:rPr>
        <w:t xml:space="preserve"> </w:t>
      </w:r>
      <w:r w:rsidRPr="001279A2">
        <w:rPr>
          <w:rFonts w:eastAsia="Calibri"/>
          <w:lang w:eastAsia="en-US"/>
        </w:rPr>
        <w:t xml:space="preserve">= </w:t>
      </w:r>
      <w:r>
        <w:rPr>
          <w:rFonts w:eastAsia="Calibri"/>
          <w:lang w:eastAsia="en-US"/>
        </w:rPr>
        <w:t>1.72</w:t>
      </w:r>
      <w:r w:rsidRPr="001279A2">
        <w:rPr>
          <w:rFonts w:eastAsia="Calibri"/>
          <w:lang w:eastAsia="en-US"/>
        </w:rPr>
        <w:t>).</w:t>
      </w:r>
    </w:p>
    <w:p w14:paraId="74E75B4B" w14:textId="77777777" w:rsidR="00C41279" w:rsidRDefault="00C41279" w:rsidP="00D471B6">
      <w:pPr>
        <w:rPr>
          <w:rFonts w:eastAsia="Calibri"/>
          <w:lang w:eastAsia="en-US"/>
        </w:rPr>
      </w:pPr>
    </w:p>
    <w:p w14:paraId="6AA64D7F" w14:textId="77777777" w:rsidR="00C41279" w:rsidRPr="00C41279" w:rsidRDefault="00C41279" w:rsidP="00C41279">
      <w:pPr>
        <w:pStyle w:val="Titre6"/>
        <w:rPr>
          <w:lang w:val="en-US"/>
        </w:rPr>
      </w:pPr>
      <w:r w:rsidRPr="00C41279">
        <w:rPr>
          <w:lang w:val="en-US"/>
        </w:rPr>
        <w:t>d. Infant</w:t>
      </w:r>
    </w:p>
    <w:p w14:paraId="08F7E7B8" w14:textId="77777777" w:rsidR="00C41279" w:rsidRDefault="00C41279" w:rsidP="00D471B6">
      <w:pPr>
        <w:rPr>
          <w:rFonts w:eastAsia="Calibri"/>
          <w:lang w:eastAsia="en-US"/>
        </w:rPr>
      </w:pPr>
      <w:r w:rsidRPr="001279A2">
        <w:rPr>
          <w:rFonts w:eastAsia="Calibri"/>
          <w:lang w:eastAsia="en-US"/>
        </w:rPr>
        <w:t xml:space="preserve">External dermal dose for adult per application: </w:t>
      </w:r>
    </w:p>
    <w:p w14:paraId="2F18AF3B" w14:textId="77777777" w:rsidR="00422626" w:rsidRDefault="00422626" w:rsidP="00422626">
      <w:pPr>
        <w:ind w:firstLine="708"/>
        <w:rPr>
          <w:rFonts w:eastAsia="Calibri"/>
          <w:lang w:eastAsia="en-US"/>
        </w:rPr>
      </w:pPr>
      <w:r>
        <w:rPr>
          <w:rFonts w:eastAsia="Calibri"/>
          <w:lang w:eastAsia="en-US"/>
        </w:rPr>
        <w:t>500</w:t>
      </w:r>
      <w:r w:rsidRPr="001279A2">
        <w:rPr>
          <w:rFonts w:eastAsia="Calibri"/>
          <w:lang w:eastAsia="en-US"/>
        </w:rPr>
        <w:t xml:space="preserve"> mg X 20 % /</w:t>
      </w:r>
      <w:r>
        <w:rPr>
          <w:rFonts w:eastAsia="Calibri"/>
          <w:lang w:eastAsia="en-US"/>
        </w:rPr>
        <w:t xml:space="preserve"> 8 kg = 12.5 mg/kg bw/application </w:t>
      </w:r>
    </w:p>
    <w:p w14:paraId="5A625E93" w14:textId="77777777" w:rsidR="00C41279" w:rsidRDefault="00C41279" w:rsidP="00D471B6">
      <w:pPr>
        <w:rPr>
          <w:rFonts w:eastAsia="Calibri"/>
          <w:lang w:eastAsia="en-US"/>
        </w:rPr>
      </w:pPr>
      <w:r w:rsidRPr="001279A2">
        <w:rPr>
          <w:rFonts w:eastAsia="Calibri"/>
          <w:lang w:eastAsia="en-US"/>
        </w:rPr>
        <w:t>Oral systemic exposure</w:t>
      </w:r>
      <w:r>
        <w:rPr>
          <w:rFonts w:eastAsia="Calibri"/>
          <w:lang w:eastAsia="en-US"/>
        </w:rPr>
        <w:t xml:space="preserve"> via hand-mouth transfer</w:t>
      </w:r>
      <w:r w:rsidRPr="001279A2">
        <w:rPr>
          <w:rFonts w:eastAsia="Calibri"/>
          <w:lang w:eastAsia="en-US"/>
        </w:rPr>
        <w:t xml:space="preserve"> is</w:t>
      </w:r>
      <w:r>
        <w:rPr>
          <w:rFonts w:eastAsia="Calibri"/>
          <w:lang w:eastAsia="en-US"/>
        </w:rPr>
        <w:t>:</w:t>
      </w:r>
    </w:p>
    <w:p w14:paraId="493A51F4" w14:textId="77777777" w:rsidR="00422626" w:rsidRPr="001279A2" w:rsidRDefault="00422626" w:rsidP="00422626">
      <w:pPr>
        <w:ind w:firstLine="708"/>
        <w:rPr>
          <w:rFonts w:eastAsia="Calibri"/>
          <w:lang w:eastAsia="en-US"/>
        </w:rPr>
      </w:pPr>
      <w:r>
        <w:rPr>
          <w:rFonts w:eastAsia="Calibri"/>
          <w:lang w:eastAsia="en-US"/>
        </w:rPr>
        <w:t>12.5</w:t>
      </w:r>
      <w:r w:rsidRPr="001279A2">
        <w:rPr>
          <w:rFonts w:eastAsia="Calibri"/>
          <w:lang w:eastAsia="en-US"/>
        </w:rPr>
        <w:t xml:space="preserve"> x </w:t>
      </w:r>
      <w:r>
        <w:rPr>
          <w:rFonts w:eastAsia="Calibri"/>
          <w:lang w:eastAsia="en-US"/>
        </w:rPr>
        <w:t>29%</w:t>
      </w:r>
      <w:r w:rsidRPr="001279A2">
        <w:rPr>
          <w:rFonts w:eastAsia="Calibri"/>
          <w:lang w:eastAsia="en-US"/>
        </w:rPr>
        <w:t xml:space="preserve"> = </w:t>
      </w:r>
      <w:r>
        <w:rPr>
          <w:rFonts w:eastAsia="Calibri"/>
          <w:lang w:eastAsia="en-US"/>
        </w:rPr>
        <w:t>3.625</w:t>
      </w:r>
      <w:r w:rsidRPr="001279A2">
        <w:rPr>
          <w:rFonts w:eastAsia="Calibri"/>
          <w:lang w:eastAsia="en-US"/>
        </w:rPr>
        <w:t xml:space="preserve"> mg/kg bw/ application.</w:t>
      </w:r>
    </w:p>
    <w:p w14:paraId="5D66D9E0" w14:textId="77777777" w:rsidR="00422626" w:rsidRDefault="00422626" w:rsidP="00422626">
      <w:pPr>
        <w:rPr>
          <w:rFonts w:eastAsia="Calibri"/>
          <w:lang w:eastAsia="en-US"/>
        </w:rPr>
      </w:pPr>
      <w:r w:rsidRPr="001279A2">
        <w:rPr>
          <w:rFonts w:eastAsia="Calibri"/>
          <w:lang w:eastAsia="en-US"/>
        </w:rPr>
        <w:t xml:space="preserve">As a consequence, </w:t>
      </w:r>
      <w:r w:rsidRPr="008F79BA">
        <w:rPr>
          <w:rFonts w:eastAsia="Calibri"/>
          <w:lang w:eastAsia="en-US"/>
        </w:rPr>
        <w:t>it is allowed to a</w:t>
      </w:r>
      <w:r>
        <w:rPr>
          <w:rFonts w:eastAsia="Calibri"/>
          <w:lang w:eastAsia="en-US"/>
        </w:rPr>
        <w:t>pply the repellent to an infant</w:t>
      </w:r>
      <w:r w:rsidRPr="001279A2">
        <w:rPr>
          <w:rFonts w:eastAsia="Calibri"/>
          <w:lang w:eastAsia="en-US"/>
        </w:rPr>
        <w:t xml:space="preserve"> </w:t>
      </w:r>
      <w:r>
        <w:rPr>
          <w:rFonts w:eastAsia="Calibri"/>
          <w:lang w:eastAsia="en-US"/>
        </w:rPr>
        <w:t xml:space="preserve">1.38 </w:t>
      </w:r>
      <w:r w:rsidRPr="001279A2">
        <w:rPr>
          <w:rFonts w:eastAsia="Calibri"/>
          <w:lang w:eastAsia="en-US"/>
        </w:rPr>
        <w:t>t</w:t>
      </w:r>
      <w:r>
        <w:rPr>
          <w:rFonts w:eastAsia="Calibri"/>
          <w:lang w:eastAsia="en-US"/>
        </w:rPr>
        <w:t xml:space="preserve">imes before the AEL is exceeded </w:t>
      </w:r>
      <w:r w:rsidRPr="001279A2">
        <w:rPr>
          <w:rFonts w:eastAsia="Calibri"/>
          <w:lang w:eastAsia="en-US"/>
        </w:rPr>
        <w:t>through hand-mouth transfer per day (5/</w:t>
      </w:r>
      <w:r>
        <w:rPr>
          <w:rFonts w:eastAsia="Calibri"/>
          <w:lang w:eastAsia="en-US"/>
        </w:rPr>
        <w:t xml:space="preserve">3.625 </w:t>
      </w:r>
      <w:r w:rsidRPr="001279A2">
        <w:rPr>
          <w:rFonts w:eastAsia="Calibri"/>
          <w:lang w:eastAsia="en-US"/>
        </w:rPr>
        <w:t xml:space="preserve">= </w:t>
      </w:r>
      <w:r>
        <w:rPr>
          <w:rFonts w:eastAsia="Calibri"/>
          <w:lang w:eastAsia="en-US"/>
        </w:rPr>
        <w:t>1.38</w:t>
      </w:r>
      <w:r w:rsidRPr="001279A2">
        <w:rPr>
          <w:rFonts w:eastAsia="Calibri"/>
          <w:lang w:eastAsia="en-US"/>
        </w:rPr>
        <w:t>).</w:t>
      </w:r>
    </w:p>
    <w:p w14:paraId="1375B48C" w14:textId="77777777" w:rsidR="00C41279" w:rsidRDefault="00C41279" w:rsidP="00D471B6">
      <w:pPr>
        <w:rPr>
          <w:rFonts w:eastAsia="Calibri"/>
          <w:lang w:eastAsia="en-US"/>
        </w:rPr>
      </w:pPr>
    </w:p>
    <w:p w14:paraId="259C24EB" w14:textId="77777777" w:rsidR="00C41279" w:rsidRPr="00D471B6" w:rsidRDefault="00C41279" w:rsidP="00D471B6">
      <w:pPr>
        <w:pStyle w:val="Titre5"/>
        <w:numPr>
          <w:ilvl w:val="0"/>
          <w:numId w:val="0"/>
        </w:numPr>
      </w:pPr>
      <w:bookmarkStart w:id="393" w:name="_Toc93326623"/>
      <w:r w:rsidRPr="00D471B6">
        <w:t>Scenario 4: Parent treating two children and himself/herself (spraying) (combined inhalative and oral exposure)</w:t>
      </w:r>
      <w:bookmarkEnd w:id="393"/>
    </w:p>
    <w:p w14:paraId="72411ED7" w14:textId="77777777" w:rsidR="00C41279" w:rsidRPr="000E4F27" w:rsidRDefault="00C41279" w:rsidP="00C41279">
      <w:pPr>
        <w:rPr>
          <w:rFonts w:eastAsia="Calibri"/>
          <w:b/>
          <w:i/>
          <w:u w:val="single"/>
          <w:lang w:eastAsia="en-US"/>
        </w:rPr>
      </w:pPr>
      <w:r>
        <w:rPr>
          <w:b/>
          <w:lang w:val="en-US"/>
        </w:rPr>
        <w:t>Calculations for scenario 4</w:t>
      </w:r>
    </w:p>
    <w:p w14:paraId="47490548" w14:textId="77777777" w:rsidR="00C41279" w:rsidRPr="00C41279" w:rsidRDefault="00D471B6" w:rsidP="00C41279">
      <w:pPr>
        <w:pStyle w:val="Titre6"/>
        <w:rPr>
          <w:lang w:val="en-US"/>
        </w:rPr>
      </w:pPr>
      <w:r>
        <w:rPr>
          <w:lang w:val="en-US"/>
        </w:rPr>
        <w:t>a. Adult:</w:t>
      </w:r>
    </w:p>
    <w:p w14:paraId="575C79A4" w14:textId="77777777" w:rsidR="00C41279" w:rsidRPr="001767AE" w:rsidRDefault="00C41279" w:rsidP="00D471B6">
      <w:pPr>
        <w:rPr>
          <w:rFonts w:eastAsia="Calibri"/>
          <w:lang w:eastAsia="en-US"/>
        </w:rPr>
      </w:pPr>
      <w:r>
        <w:rPr>
          <w:rFonts w:eastAsia="Calibri"/>
          <w:lang w:eastAsia="en-US"/>
        </w:rPr>
        <w:t>inhaled product = 1.</w:t>
      </w:r>
      <w:r w:rsidRPr="001767AE">
        <w:rPr>
          <w:rFonts w:eastAsia="Calibri"/>
          <w:lang w:eastAsia="en-US"/>
        </w:rPr>
        <w:t>25 m</w:t>
      </w:r>
      <w:r w:rsidRPr="000E4F27">
        <w:rPr>
          <w:rFonts w:eastAsia="Calibri"/>
          <w:vertAlign w:val="superscript"/>
          <w:lang w:eastAsia="en-US"/>
        </w:rPr>
        <w:t>3</w:t>
      </w:r>
      <w:r w:rsidRPr="001767AE">
        <w:rPr>
          <w:rFonts w:eastAsia="Calibri"/>
          <w:lang w:eastAsia="en-US"/>
        </w:rPr>
        <w:t xml:space="preserve"> x </w:t>
      </w:r>
      <w:r>
        <w:rPr>
          <w:rFonts w:eastAsia="Calibri"/>
          <w:lang w:eastAsia="en-US"/>
        </w:rPr>
        <w:t>9</w:t>
      </w:r>
      <w:r w:rsidRPr="001767AE">
        <w:rPr>
          <w:rFonts w:eastAsia="Calibri"/>
          <w:lang w:eastAsia="en-US"/>
        </w:rPr>
        <w:t xml:space="preserve"> applications x </w:t>
      </w:r>
      <w:r>
        <w:rPr>
          <w:rFonts w:eastAsia="Calibri"/>
          <w:lang w:eastAsia="en-US"/>
        </w:rPr>
        <w:t>4</w:t>
      </w:r>
      <w:r w:rsidRPr="001767AE">
        <w:rPr>
          <w:rFonts w:eastAsia="Calibri"/>
          <w:lang w:eastAsia="en-US"/>
        </w:rPr>
        <w:t xml:space="preserve"> min. / 60 min</w:t>
      </w:r>
      <w:r>
        <w:rPr>
          <w:rFonts w:eastAsia="Calibri"/>
          <w:lang w:eastAsia="en-US"/>
        </w:rPr>
        <w:t>. x 10.</w:t>
      </w:r>
      <w:r w:rsidRPr="001767AE">
        <w:rPr>
          <w:rFonts w:eastAsia="Calibri"/>
          <w:lang w:eastAsia="en-US"/>
        </w:rPr>
        <w:t>5 mg/m</w:t>
      </w:r>
      <w:r w:rsidRPr="000E4F27">
        <w:rPr>
          <w:rFonts w:eastAsia="Calibri"/>
          <w:vertAlign w:val="superscript"/>
          <w:lang w:eastAsia="en-US"/>
        </w:rPr>
        <w:t>3</w:t>
      </w:r>
      <w:r w:rsidRPr="001767AE">
        <w:rPr>
          <w:rFonts w:eastAsia="Calibri"/>
          <w:lang w:eastAsia="en-US"/>
        </w:rPr>
        <w:t xml:space="preserve"> = </w:t>
      </w:r>
      <w:r>
        <w:rPr>
          <w:rFonts w:eastAsia="Calibri"/>
          <w:lang w:eastAsia="en-US"/>
        </w:rPr>
        <w:t>7.875</w:t>
      </w:r>
      <w:r w:rsidRPr="001767AE">
        <w:rPr>
          <w:rFonts w:eastAsia="Calibri"/>
          <w:lang w:eastAsia="en-US"/>
        </w:rPr>
        <w:t xml:space="preserve"> mg</w:t>
      </w:r>
    </w:p>
    <w:p w14:paraId="11B3644B" w14:textId="77777777" w:rsidR="00C41279" w:rsidRDefault="00C41279" w:rsidP="00D471B6">
      <w:pPr>
        <w:rPr>
          <w:rFonts w:eastAsia="Calibri"/>
          <w:lang w:eastAsia="en-US"/>
        </w:rPr>
      </w:pPr>
      <w:r w:rsidRPr="001767AE">
        <w:rPr>
          <w:rFonts w:eastAsia="Calibri"/>
          <w:lang w:eastAsia="en-US"/>
        </w:rPr>
        <w:t xml:space="preserve">inhaled active substance = </w:t>
      </w:r>
      <w:r>
        <w:rPr>
          <w:rFonts w:eastAsia="Calibri"/>
          <w:lang w:eastAsia="en-US"/>
        </w:rPr>
        <w:t xml:space="preserve">7.875 </w:t>
      </w:r>
      <w:r w:rsidRPr="001767AE">
        <w:rPr>
          <w:rFonts w:eastAsia="Calibri"/>
          <w:lang w:eastAsia="en-US"/>
        </w:rPr>
        <w:t xml:space="preserve">x 20 % = </w:t>
      </w:r>
      <w:r>
        <w:rPr>
          <w:rFonts w:eastAsia="Calibri"/>
          <w:lang w:eastAsia="en-US"/>
        </w:rPr>
        <w:t>1.575</w:t>
      </w:r>
      <w:r w:rsidRPr="001767AE">
        <w:rPr>
          <w:rFonts w:eastAsia="Calibri"/>
          <w:lang w:eastAsia="en-US"/>
        </w:rPr>
        <w:t xml:space="preserve"> mg</w:t>
      </w:r>
      <w:r>
        <w:rPr>
          <w:rFonts w:eastAsia="Calibri"/>
          <w:lang w:eastAsia="en-US"/>
        </w:rPr>
        <w:t xml:space="preserve"> </w:t>
      </w:r>
    </w:p>
    <w:p w14:paraId="2A1B5150" w14:textId="77777777" w:rsidR="00C41279" w:rsidRPr="003721DD" w:rsidRDefault="00C41279" w:rsidP="00D471B6">
      <w:pPr>
        <w:rPr>
          <w:rFonts w:eastAsia="Calibri"/>
          <w:lang w:eastAsia="en-US"/>
        </w:rPr>
      </w:pPr>
      <w:r w:rsidRPr="003721DD">
        <w:rPr>
          <w:rFonts w:eastAsia="Calibri"/>
          <w:lang w:eastAsia="en-US"/>
        </w:rPr>
        <w:t xml:space="preserve">inhalation systemic exposure: </w:t>
      </w:r>
    </w:p>
    <w:p w14:paraId="750B2926" w14:textId="77777777" w:rsidR="00C41279" w:rsidRPr="003721DD" w:rsidRDefault="00C41279" w:rsidP="00D471B6">
      <w:pPr>
        <w:ind w:firstLine="708"/>
        <w:rPr>
          <w:rFonts w:eastAsia="Calibri"/>
          <w:lang w:eastAsia="en-US"/>
        </w:rPr>
      </w:pPr>
      <w:r>
        <w:rPr>
          <w:rFonts w:eastAsia="Calibri"/>
          <w:lang w:eastAsia="en-US"/>
        </w:rPr>
        <w:t>11.21</w:t>
      </w:r>
      <w:r w:rsidRPr="003721DD">
        <w:rPr>
          <w:rFonts w:eastAsia="Calibri"/>
          <w:lang w:eastAsia="en-US"/>
        </w:rPr>
        <w:t xml:space="preserve">% x </w:t>
      </w:r>
      <w:r>
        <w:rPr>
          <w:rFonts w:eastAsia="Calibri"/>
          <w:lang w:eastAsia="en-US"/>
        </w:rPr>
        <w:t>1.575 x 100% / 60 = 0.</w:t>
      </w:r>
      <w:r w:rsidRPr="003721DD">
        <w:rPr>
          <w:rFonts w:eastAsia="Calibri"/>
          <w:lang w:eastAsia="en-US"/>
        </w:rPr>
        <w:t>00</w:t>
      </w:r>
      <w:r>
        <w:rPr>
          <w:rFonts w:eastAsia="Calibri"/>
          <w:lang w:eastAsia="en-US"/>
        </w:rPr>
        <w:t>294</w:t>
      </w:r>
      <w:r w:rsidRPr="003721DD">
        <w:rPr>
          <w:rFonts w:eastAsia="Calibri"/>
          <w:lang w:eastAsia="en-US"/>
        </w:rPr>
        <w:t xml:space="preserve"> mg/kg</w:t>
      </w:r>
      <w:r>
        <w:rPr>
          <w:rFonts w:eastAsia="Calibri"/>
          <w:lang w:eastAsia="en-US"/>
        </w:rPr>
        <w:t xml:space="preserve"> </w:t>
      </w:r>
      <w:r w:rsidRPr="003721DD">
        <w:rPr>
          <w:rFonts w:eastAsia="Calibri"/>
          <w:lang w:eastAsia="en-US"/>
        </w:rPr>
        <w:t>bw</w:t>
      </w:r>
    </w:p>
    <w:p w14:paraId="483694C2" w14:textId="77777777" w:rsidR="00C41279" w:rsidRPr="003721DD" w:rsidRDefault="00C41279" w:rsidP="00D471B6">
      <w:pPr>
        <w:rPr>
          <w:rFonts w:eastAsia="Calibri"/>
          <w:lang w:eastAsia="en-US"/>
        </w:rPr>
      </w:pPr>
      <w:r w:rsidRPr="003721DD">
        <w:rPr>
          <w:rFonts w:eastAsia="Calibri"/>
          <w:lang w:eastAsia="en-US"/>
        </w:rPr>
        <w:t>Oral systemic exposure:</w:t>
      </w:r>
    </w:p>
    <w:p w14:paraId="70F5BD5A" w14:textId="77777777" w:rsidR="00C41279" w:rsidRDefault="00C41279" w:rsidP="00D471B6">
      <w:pPr>
        <w:ind w:firstLine="708"/>
        <w:rPr>
          <w:rFonts w:eastAsia="Calibri"/>
          <w:lang w:eastAsia="en-US"/>
        </w:rPr>
      </w:pPr>
      <w:r>
        <w:rPr>
          <w:rFonts w:eastAsia="Calibri"/>
          <w:lang w:eastAsia="en-US"/>
        </w:rPr>
        <w:t>88.79</w:t>
      </w:r>
      <w:r w:rsidRPr="003721DD">
        <w:rPr>
          <w:rFonts w:eastAsia="Calibri"/>
          <w:lang w:eastAsia="en-US"/>
        </w:rPr>
        <w:t xml:space="preserve"> % x </w:t>
      </w:r>
      <w:r w:rsidRPr="002E0BA7">
        <w:rPr>
          <w:rFonts w:eastAsia="Calibri"/>
          <w:lang w:eastAsia="en-US"/>
        </w:rPr>
        <w:t>1</w:t>
      </w:r>
      <w:r>
        <w:rPr>
          <w:rFonts w:eastAsia="Calibri"/>
          <w:lang w:eastAsia="en-US"/>
        </w:rPr>
        <w:t>.</w:t>
      </w:r>
      <w:r w:rsidRPr="002E0BA7">
        <w:rPr>
          <w:rFonts w:eastAsia="Calibri"/>
          <w:lang w:eastAsia="en-US"/>
        </w:rPr>
        <w:t xml:space="preserve">575 </w:t>
      </w:r>
      <w:r>
        <w:rPr>
          <w:rFonts w:eastAsia="Calibri"/>
          <w:lang w:eastAsia="en-US"/>
        </w:rPr>
        <w:t>x 100% / 60 = 0.0233</w:t>
      </w:r>
      <w:r w:rsidRPr="003721DD">
        <w:rPr>
          <w:rFonts w:eastAsia="Calibri"/>
          <w:lang w:eastAsia="en-US"/>
        </w:rPr>
        <w:t xml:space="preserve"> mg/kg bw</w:t>
      </w:r>
    </w:p>
    <w:p w14:paraId="1E6E0E99" w14:textId="77777777" w:rsidR="00C41279" w:rsidRPr="003721DD" w:rsidRDefault="00C41279" w:rsidP="00D471B6">
      <w:pPr>
        <w:rPr>
          <w:rFonts w:eastAsia="Calibri"/>
          <w:lang w:eastAsia="en-US"/>
        </w:rPr>
      </w:pPr>
      <w:r>
        <w:rPr>
          <w:rFonts w:eastAsia="Calibri"/>
          <w:lang w:eastAsia="en-US"/>
        </w:rPr>
        <w:t>Combined inhalative and oral</w:t>
      </w:r>
      <w:r w:rsidRPr="003721DD">
        <w:rPr>
          <w:rFonts w:eastAsia="Calibri"/>
          <w:lang w:eastAsia="en-US"/>
        </w:rPr>
        <w:t xml:space="preserve"> systemic exposure:</w:t>
      </w:r>
    </w:p>
    <w:p w14:paraId="7F32C271" w14:textId="77777777" w:rsidR="00C41279" w:rsidRDefault="00C41279" w:rsidP="00D471B6">
      <w:pPr>
        <w:ind w:firstLine="708"/>
        <w:rPr>
          <w:rFonts w:eastAsia="Calibri"/>
          <w:lang w:eastAsia="en-US"/>
        </w:rPr>
      </w:pPr>
      <w:r w:rsidRPr="0091022F">
        <w:rPr>
          <w:rFonts w:eastAsia="Calibri"/>
          <w:lang w:eastAsia="en-US"/>
        </w:rPr>
        <w:t>0</w:t>
      </w:r>
      <w:r>
        <w:rPr>
          <w:rFonts w:eastAsia="Calibri"/>
          <w:lang w:eastAsia="en-US"/>
        </w:rPr>
        <w:t>.</w:t>
      </w:r>
      <w:r w:rsidRPr="0091022F">
        <w:rPr>
          <w:rFonts w:eastAsia="Calibri"/>
          <w:lang w:eastAsia="en-US"/>
        </w:rPr>
        <w:t>00</w:t>
      </w:r>
      <w:r>
        <w:rPr>
          <w:rFonts w:eastAsia="Calibri"/>
          <w:lang w:eastAsia="en-US"/>
        </w:rPr>
        <w:t>294</w:t>
      </w:r>
      <w:r w:rsidRPr="0091022F">
        <w:rPr>
          <w:rFonts w:eastAsia="Calibri"/>
          <w:lang w:eastAsia="en-US"/>
        </w:rPr>
        <w:t xml:space="preserve"> </w:t>
      </w:r>
      <w:r>
        <w:rPr>
          <w:rFonts w:eastAsia="Calibri"/>
          <w:lang w:eastAsia="en-US"/>
        </w:rPr>
        <w:t xml:space="preserve">+ </w:t>
      </w:r>
      <w:r w:rsidRPr="0091022F">
        <w:rPr>
          <w:rFonts w:eastAsia="Calibri"/>
          <w:lang w:eastAsia="en-US"/>
        </w:rPr>
        <w:t>0</w:t>
      </w:r>
      <w:r>
        <w:rPr>
          <w:rFonts w:eastAsia="Calibri"/>
          <w:lang w:eastAsia="en-US"/>
        </w:rPr>
        <w:t>.</w:t>
      </w:r>
      <w:r w:rsidRPr="0091022F">
        <w:rPr>
          <w:rFonts w:eastAsia="Calibri"/>
          <w:lang w:eastAsia="en-US"/>
        </w:rPr>
        <w:t>0</w:t>
      </w:r>
      <w:r>
        <w:rPr>
          <w:rFonts w:eastAsia="Calibri"/>
          <w:lang w:eastAsia="en-US"/>
        </w:rPr>
        <w:t>233</w:t>
      </w:r>
      <w:r w:rsidRPr="0091022F">
        <w:rPr>
          <w:rFonts w:eastAsia="Calibri"/>
          <w:lang w:eastAsia="en-US"/>
        </w:rPr>
        <w:t xml:space="preserve"> </w:t>
      </w:r>
      <w:r>
        <w:rPr>
          <w:rFonts w:eastAsia="Calibri"/>
          <w:lang w:eastAsia="en-US"/>
        </w:rPr>
        <w:t>= 0.0262</w:t>
      </w:r>
      <w:r w:rsidRPr="003721DD">
        <w:rPr>
          <w:rFonts w:eastAsia="Calibri"/>
          <w:lang w:eastAsia="en-US"/>
        </w:rPr>
        <w:t xml:space="preserve"> mg/kg bw</w:t>
      </w:r>
    </w:p>
    <w:p w14:paraId="595A7876" w14:textId="77777777" w:rsidR="00C41279" w:rsidRDefault="00C41279" w:rsidP="00D471B6">
      <w:pPr>
        <w:rPr>
          <w:rFonts w:eastAsia="Calibri"/>
          <w:lang w:eastAsia="en-US"/>
        </w:rPr>
      </w:pPr>
    </w:p>
    <w:p w14:paraId="7ECC3A2E" w14:textId="77777777" w:rsidR="00C41279" w:rsidRPr="00D471B6" w:rsidRDefault="00C41279" w:rsidP="00D471B6">
      <w:pPr>
        <w:pStyle w:val="Titre5"/>
        <w:numPr>
          <w:ilvl w:val="0"/>
          <w:numId w:val="0"/>
        </w:numPr>
      </w:pPr>
      <w:bookmarkStart w:id="394" w:name="_Toc93326624"/>
      <w:r w:rsidRPr="00D471B6">
        <w:t>Scenario 5: Inhalation of volatilised residues after application (inhalative exposure)</w:t>
      </w:r>
      <w:bookmarkEnd w:id="394"/>
    </w:p>
    <w:p w14:paraId="7BE0E574" w14:textId="77777777" w:rsidR="00C41279" w:rsidRPr="000E4F27" w:rsidRDefault="00C41279" w:rsidP="00C41279">
      <w:pPr>
        <w:rPr>
          <w:rFonts w:eastAsia="Calibri"/>
          <w:b/>
          <w:i/>
          <w:u w:val="single"/>
          <w:lang w:eastAsia="en-US"/>
        </w:rPr>
      </w:pPr>
      <w:r>
        <w:rPr>
          <w:b/>
          <w:lang w:val="en-US"/>
        </w:rPr>
        <w:t>Calculations for scenario 5</w:t>
      </w:r>
    </w:p>
    <w:p w14:paraId="15548701" w14:textId="77777777" w:rsidR="00422626" w:rsidRPr="00DC097E" w:rsidRDefault="00422626" w:rsidP="00422626">
      <w:pPr>
        <w:pStyle w:val="Titre6"/>
        <w:rPr>
          <w:lang w:val="en-US"/>
        </w:rPr>
      </w:pPr>
      <w:r>
        <w:rPr>
          <w:lang w:val="en-US"/>
        </w:rPr>
        <w:t>a. Adult:</w:t>
      </w:r>
    </w:p>
    <w:tbl>
      <w:tblPr>
        <w:tblStyle w:val="Grilledutableau"/>
        <w:tblW w:w="0" w:type="auto"/>
        <w:tblLook w:val="04A0" w:firstRow="1" w:lastRow="0" w:firstColumn="1" w:lastColumn="0" w:noHBand="0" w:noVBand="1"/>
      </w:tblPr>
      <w:tblGrid>
        <w:gridCol w:w="9402"/>
      </w:tblGrid>
      <w:tr w:rsidR="00422626" w14:paraId="309792F7" w14:textId="77777777" w:rsidTr="00B534E4">
        <w:tc>
          <w:tcPr>
            <w:tcW w:w="9402" w:type="dxa"/>
          </w:tcPr>
          <w:p w14:paraId="66CBDF11" w14:textId="77777777" w:rsidR="00422626" w:rsidRPr="00F84A66" w:rsidRDefault="00422626" w:rsidP="006176F8">
            <w:pPr>
              <w:pStyle w:val="Standaard-Tabellen"/>
              <w:rPr>
                <w:lang w:val="en-US"/>
              </w:rPr>
            </w:pPr>
            <w:r w:rsidRPr="00F84A66">
              <w:rPr>
                <w:lang w:val="en-US"/>
              </w:rPr>
              <w:t>Report for assessment PUMP SPRAY LICE 20%</w:t>
            </w:r>
          </w:p>
          <w:p w14:paraId="363987BC" w14:textId="77777777" w:rsidR="00422626" w:rsidRPr="00F84A66" w:rsidRDefault="00422626" w:rsidP="006176F8">
            <w:pPr>
              <w:pStyle w:val="Standaard-Tabellen"/>
              <w:rPr>
                <w:lang w:val="en-US"/>
              </w:rPr>
            </w:pPr>
            <w:r w:rsidRPr="00F84A66">
              <w:rPr>
                <w:lang w:val="en-US"/>
              </w:rPr>
              <w:t xml:space="preserve">ConsExpo Web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7"/>
              <w:gridCol w:w="1277"/>
            </w:tblGrid>
            <w:tr w:rsidR="00422626" w:rsidRPr="00EC20C2" w14:paraId="56318C2F" w14:textId="77777777" w:rsidTr="00B534E4">
              <w:trPr>
                <w:gridAfter w:val="1"/>
                <w:tblCellSpacing w:w="15" w:type="dxa"/>
              </w:trPr>
              <w:tc>
                <w:tcPr>
                  <w:tcW w:w="0" w:type="auto"/>
                  <w:vAlign w:val="center"/>
                  <w:hideMark/>
                </w:tcPr>
                <w:p w14:paraId="58191B1A" w14:textId="77777777" w:rsidR="00422626" w:rsidRPr="00F84A66" w:rsidRDefault="00422626" w:rsidP="006176F8">
                  <w:pPr>
                    <w:pStyle w:val="Standaard-Tabellen"/>
                    <w:rPr>
                      <w:lang w:val="en-US"/>
                    </w:rPr>
                  </w:pPr>
                  <w:r w:rsidRPr="00F84A66">
                    <w:rPr>
                      <w:lang w:val="en-US"/>
                    </w:rPr>
                    <w:t>Substance</w:t>
                  </w:r>
                </w:p>
              </w:tc>
            </w:tr>
            <w:tr w:rsidR="00422626" w:rsidRPr="00EC20C2" w14:paraId="1220455A" w14:textId="77777777" w:rsidTr="00B534E4">
              <w:trPr>
                <w:tblCellSpacing w:w="15" w:type="dxa"/>
              </w:trPr>
              <w:tc>
                <w:tcPr>
                  <w:tcW w:w="0" w:type="auto"/>
                  <w:vAlign w:val="center"/>
                  <w:hideMark/>
                </w:tcPr>
                <w:p w14:paraId="45DBDBD0"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1E8C9441" w14:textId="77777777" w:rsidR="00422626" w:rsidRPr="00F84A66" w:rsidRDefault="00422626" w:rsidP="006176F8">
                  <w:pPr>
                    <w:pStyle w:val="Standaard-Tabellen"/>
                    <w:rPr>
                      <w:lang w:val="en-US"/>
                    </w:rPr>
                  </w:pPr>
                  <w:r w:rsidRPr="00F84A66">
                    <w:rPr>
                      <w:lang w:val="en-US"/>
                    </w:rPr>
                    <w:t>IR3535</w:t>
                  </w:r>
                </w:p>
              </w:tc>
            </w:tr>
            <w:tr w:rsidR="00422626" w:rsidRPr="00EC20C2" w14:paraId="7BED3932" w14:textId="77777777" w:rsidTr="00B534E4">
              <w:trPr>
                <w:tblCellSpacing w:w="15" w:type="dxa"/>
              </w:trPr>
              <w:tc>
                <w:tcPr>
                  <w:tcW w:w="0" w:type="auto"/>
                  <w:vAlign w:val="center"/>
                  <w:hideMark/>
                </w:tcPr>
                <w:p w14:paraId="7B1148F6" w14:textId="77777777" w:rsidR="00422626" w:rsidRPr="00F84A66" w:rsidRDefault="00422626" w:rsidP="006176F8">
                  <w:pPr>
                    <w:pStyle w:val="Standaard-Tabellen"/>
                    <w:rPr>
                      <w:lang w:val="en-US"/>
                    </w:rPr>
                  </w:pPr>
                  <w:r w:rsidRPr="00F84A66">
                    <w:rPr>
                      <w:lang w:val="en-US"/>
                    </w:rPr>
                    <w:t xml:space="preserve">Molecular weight </w:t>
                  </w:r>
                </w:p>
              </w:tc>
              <w:tc>
                <w:tcPr>
                  <w:tcW w:w="0" w:type="auto"/>
                  <w:vAlign w:val="center"/>
                  <w:hideMark/>
                </w:tcPr>
                <w:p w14:paraId="6128F934" w14:textId="77777777" w:rsidR="00422626" w:rsidRPr="00F84A66" w:rsidRDefault="00422626" w:rsidP="006176F8">
                  <w:pPr>
                    <w:pStyle w:val="Standaard-Tabellen"/>
                    <w:rPr>
                      <w:lang w:val="en-US"/>
                    </w:rPr>
                  </w:pPr>
                  <w:r w:rsidRPr="00F84A66">
                    <w:rPr>
                      <w:lang w:val="en-US"/>
                    </w:rPr>
                    <w:t xml:space="preserve">215 g/mol </w:t>
                  </w:r>
                </w:p>
              </w:tc>
            </w:tr>
            <w:tr w:rsidR="00422626" w:rsidRPr="00EC20C2" w14:paraId="60432927" w14:textId="77777777" w:rsidTr="00B534E4">
              <w:trPr>
                <w:tblCellSpacing w:w="15" w:type="dxa"/>
              </w:trPr>
              <w:tc>
                <w:tcPr>
                  <w:tcW w:w="0" w:type="auto"/>
                  <w:vAlign w:val="center"/>
                  <w:hideMark/>
                </w:tcPr>
                <w:p w14:paraId="56B8364A" w14:textId="77777777" w:rsidR="00422626" w:rsidRPr="00F84A66" w:rsidRDefault="00422626" w:rsidP="006176F8">
                  <w:pPr>
                    <w:pStyle w:val="Standaard-Tabellen"/>
                    <w:rPr>
                      <w:lang w:val="en-US"/>
                    </w:rPr>
                  </w:pPr>
                  <w:r w:rsidRPr="00F84A66">
                    <w:rPr>
                      <w:lang w:val="en-US"/>
                    </w:rPr>
                    <w:t>K</w:t>
                  </w:r>
                  <w:r w:rsidRPr="00F84A66">
                    <w:rPr>
                      <w:vertAlign w:val="subscript"/>
                      <w:lang w:val="en-US"/>
                    </w:rPr>
                    <w:t>OW</w:t>
                  </w:r>
                </w:p>
              </w:tc>
              <w:tc>
                <w:tcPr>
                  <w:tcW w:w="0" w:type="auto"/>
                  <w:vAlign w:val="center"/>
                  <w:hideMark/>
                </w:tcPr>
                <w:p w14:paraId="740789EC"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24E33EE7" w14:textId="77777777" w:rsidTr="00B534E4">
              <w:trPr>
                <w:tblCellSpacing w:w="15" w:type="dxa"/>
              </w:trPr>
              <w:tc>
                <w:tcPr>
                  <w:tcW w:w="0" w:type="auto"/>
                  <w:vAlign w:val="center"/>
                  <w:hideMark/>
                </w:tcPr>
                <w:p w14:paraId="0B8EB847" w14:textId="77777777" w:rsidR="00422626" w:rsidRPr="00F84A66" w:rsidRDefault="00422626" w:rsidP="006176F8">
                  <w:pPr>
                    <w:pStyle w:val="Standaard-Tabellen"/>
                    <w:rPr>
                      <w:lang w:val="en-US"/>
                    </w:rPr>
                  </w:pPr>
                  <w:r w:rsidRPr="00F84A66">
                    <w:rPr>
                      <w:lang w:val="en-US"/>
                    </w:rPr>
                    <w:t>Product</w:t>
                  </w:r>
                </w:p>
              </w:tc>
              <w:tc>
                <w:tcPr>
                  <w:tcW w:w="0" w:type="auto"/>
                  <w:vAlign w:val="center"/>
                  <w:hideMark/>
                </w:tcPr>
                <w:p w14:paraId="7D403FF9" w14:textId="77777777" w:rsidR="00422626" w:rsidRPr="00F84A66" w:rsidRDefault="00422626" w:rsidP="006176F8">
                  <w:pPr>
                    <w:pStyle w:val="Standaard-Tabellen"/>
                    <w:rPr>
                      <w:lang w:val="en-US"/>
                    </w:rPr>
                  </w:pPr>
                </w:p>
              </w:tc>
            </w:tr>
            <w:tr w:rsidR="00422626" w:rsidRPr="00EC20C2" w14:paraId="6C41AE34" w14:textId="77777777" w:rsidTr="00B534E4">
              <w:trPr>
                <w:tblCellSpacing w:w="15" w:type="dxa"/>
              </w:trPr>
              <w:tc>
                <w:tcPr>
                  <w:tcW w:w="0" w:type="auto"/>
                  <w:vAlign w:val="center"/>
                  <w:hideMark/>
                </w:tcPr>
                <w:p w14:paraId="3CF0D8BE"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7EB7CD08" w14:textId="77777777" w:rsidR="00422626" w:rsidRPr="00F84A66" w:rsidRDefault="00422626" w:rsidP="006176F8">
                  <w:pPr>
                    <w:pStyle w:val="Standaard-Tabellen"/>
                    <w:rPr>
                      <w:lang w:val="en-US"/>
                    </w:rPr>
                  </w:pPr>
                  <w:r w:rsidRPr="00F84A66">
                    <w:rPr>
                      <w:lang w:val="en-US"/>
                    </w:rPr>
                    <w:t>IR PS Lice 20</w:t>
                  </w:r>
                </w:p>
              </w:tc>
            </w:tr>
            <w:tr w:rsidR="00422626" w:rsidRPr="00EC20C2" w14:paraId="37A18796" w14:textId="77777777" w:rsidTr="00B534E4">
              <w:trPr>
                <w:tblCellSpacing w:w="15" w:type="dxa"/>
              </w:trPr>
              <w:tc>
                <w:tcPr>
                  <w:tcW w:w="0" w:type="auto"/>
                  <w:vAlign w:val="center"/>
                  <w:hideMark/>
                </w:tcPr>
                <w:p w14:paraId="2EC4FC4D" w14:textId="77777777" w:rsidR="00422626" w:rsidRPr="00F84A66" w:rsidRDefault="00422626" w:rsidP="006176F8">
                  <w:pPr>
                    <w:pStyle w:val="Standaard-Tabellen"/>
                    <w:rPr>
                      <w:lang w:val="en-US"/>
                    </w:rPr>
                  </w:pPr>
                  <w:r w:rsidRPr="00F84A66">
                    <w:rPr>
                      <w:lang w:val="en-US"/>
                    </w:rPr>
                    <w:t>Weight fraction substance</w:t>
                  </w:r>
                </w:p>
              </w:tc>
              <w:tc>
                <w:tcPr>
                  <w:tcW w:w="0" w:type="auto"/>
                  <w:vAlign w:val="center"/>
                  <w:hideMark/>
                </w:tcPr>
                <w:p w14:paraId="560FCFBE" w14:textId="77777777" w:rsidR="00422626" w:rsidRPr="00F84A66" w:rsidRDefault="00422626" w:rsidP="006176F8">
                  <w:pPr>
                    <w:pStyle w:val="Standaard-Tabellen"/>
                    <w:rPr>
                      <w:lang w:val="en-US"/>
                    </w:rPr>
                  </w:pPr>
                  <w:r w:rsidRPr="00F84A66">
                    <w:rPr>
                      <w:lang w:val="en-US"/>
                    </w:rPr>
                    <w:t xml:space="preserve">20 % </w:t>
                  </w:r>
                </w:p>
              </w:tc>
            </w:tr>
            <w:tr w:rsidR="00422626" w:rsidRPr="00EC20C2" w14:paraId="19EBB595" w14:textId="77777777" w:rsidTr="00B534E4">
              <w:trPr>
                <w:tblCellSpacing w:w="15" w:type="dxa"/>
              </w:trPr>
              <w:tc>
                <w:tcPr>
                  <w:tcW w:w="0" w:type="auto"/>
                  <w:vAlign w:val="center"/>
                  <w:hideMark/>
                </w:tcPr>
                <w:p w14:paraId="4ADB5DFB" w14:textId="77777777" w:rsidR="00422626" w:rsidRPr="00F84A66" w:rsidRDefault="00422626" w:rsidP="006176F8">
                  <w:pPr>
                    <w:pStyle w:val="Standaard-Tabellen"/>
                    <w:rPr>
                      <w:lang w:val="en-US"/>
                    </w:rPr>
                  </w:pPr>
                  <w:r w:rsidRPr="00F84A66">
                    <w:rPr>
                      <w:lang w:val="en-US"/>
                    </w:rPr>
                    <w:t>Population</w:t>
                  </w:r>
                </w:p>
              </w:tc>
              <w:tc>
                <w:tcPr>
                  <w:tcW w:w="0" w:type="auto"/>
                  <w:vAlign w:val="center"/>
                  <w:hideMark/>
                </w:tcPr>
                <w:p w14:paraId="5CB153E1" w14:textId="77777777" w:rsidR="00422626" w:rsidRPr="00F84A66" w:rsidRDefault="00422626" w:rsidP="006176F8">
                  <w:pPr>
                    <w:pStyle w:val="Standaard-Tabellen"/>
                    <w:rPr>
                      <w:lang w:val="en-US"/>
                    </w:rPr>
                  </w:pPr>
                </w:p>
              </w:tc>
            </w:tr>
            <w:tr w:rsidR="00422626" w:rsidRPr="00EC20C2" w14:paraId="0E0AEE63" w14:textId="77777777" w:rsidTr="00B534E4">
              <w:trPr>
                <w:tblCellSpacing w:w="15" w:type="dxa"/>
              </w:trPr>
              <w:tc>
                <w:tcPr>
                  <w:tcW w:w="0" w:type="auto"/>
                  <w:vAlign w:val="center"/>
                  <w:hideMark/>
                </w:tcPr>
                <w:p w14:paraId="02A1DC9D"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16993174" w14:textId="77777777" w:rsidR="00422626" w:rsidRPr="00F84A66" w:rsidRDefault="00422626" w:rsidP="006176F8">
                  <w:pPr>
                    <w:pStyle w:val="Standaard-Tabellen"/>
                    <w:rPr>
                      <w:lang w:val="en-US"/>
                    </w:rPr>
                  </w:pPr>
                  <w:r w:rsidRPr="00F84A66">
                    <w:rPr>
                      <w:lang w:val="en-US"/>
                    </w:rPr>
                    <w:t>ADULT</w:t>
                  </w:r>
                </w:p>
              </w:tc>
            </w:tr>
            <w:tr w:rsidR="00422626" w:rsidRPr="00EC20C2" w14:paraId="11E744F5" w14:textId="77777777" w:rsidTr="00B534E4">
              <w:trPr>
                <w:tblCellSpacing w:w="15" w:type="dxa"/>
              </w:trPr>
              <w:tc>
                <w:tcPr>
                  <w:tcW w:w="0" w:type="auto"/>
                  <w:vAlign w:val="center"/>
                  <w:hideMark/>
                </w:tcPr>
                <w:p w14:paraId="5467FBC5" w14:textId="77777777" w:rsidR="00422626" w:rsidRPr="00F84A66" w:rsidRDefault="00422626" w:rsidP="006176F8">
                  <w:pPr>
                    <w:pStyle w:val="Standaard-Tabellen"/>
                    <w:rPr>
                      <w:lang w:val="en-US"/>
                    </w:rPr>
                  </w:pPr>
                  <w:r w:rsidRPr="00F84A66">
                    <w:rPr>
                      <w:lang w:val="en-US"/>
                    </w:rPr>
                    <w:t>Body weight</w:t>
                  </w:r>
                </w:p>
              </w:tc>
              <w:tc>
                <w:tcPr>
                  <w:tcW w:w="0" w:type="auto"/>
                  <w:vAlign w:val="center"/>
                  <w:hideMark/>
                </w:tcPr>
                <w:p w14:paraId="34328A10" w14:textId="77777777" w:rsidR="00422626" w:rsidRPr="00F84A66" w:rsidRDefault="00422626" w:rsidP="006176F8">
                  <w:pPr>
                    <w:pStyle w:val="Standaard-Tabellen"/>
                    <w:rPr>
                      <w:lang w:val="en-US"/>
                    </w:rPr>
                  </w:pPr>
                  <w:r w:rsidRPr="00F84A66">
                    <w:rPr>
                      <w:lang w:val="en-US"/>
                    </w:rPr>
                    <w:t xml:space="preserve">kg </w:t>
                  </w:r>
                </w:p>
              </w:tc>
            </w:tr>
          </w:tbl>
          <w:p w14:paraId="704D26DE" w14:textId="77777777" w:rsidR="00422626" w:rsidRPr="00F84A66" w:rsidRDefault="00422626" w:rsidP="006176F8">
            <w:pPr>
              <w:pStyle w:val="Standaard-Tabellen"/>
              <w:rPr>
                <w:lang w:val="en-US"/>
              </w:rPr>
            </w:pPr>
            <w:r w:rsidRPr="00F84A66">
              <w:rPr>
                <w:lang w:val="en-US"/>
              </w:rPr>
              <w:t>Scenario Inhalation of volatilised residues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1"/>
              <w:gridCol w:w="190"/>
            </w:tblGrid>
            <w:tr w:rsidR="00422626" w:rsidRPr="00EC20C2" w14:paraId="1C48C275" w14:textId="77777777" w:rsidTr="00B534E4">
              <w:trPr>
                <w:tblCellSpacing w:w="15" w:type="dxa"/>
              </w:trPr>
              <w:tc>
                <w:tcPr>
                  <w:tcW w:w="0" w:type="auto"/>
                  <w:vAlign w:val="center"/>
                  <w:hideMark/>
                </w:tcPr>
                <w:p w14:paraId="5AD917DF" w14:textId="77777777" w:rsidR="00422626" w:rsidRPr="00F84A66" w:rsidRDefault="00422626" w:rsidP="006176F8">
                  <w:pPr>
                    <w:pStyle w:val="Standaard-Tabellen"/>
                    <w:rPr>
                      <w:lang w:val="en-US"/>
                    </w:rPr>
                  </w:pPr>
                  <w:r w:rsidRPr="00F84A66">
                    <w:rPr>
                      <w:lang w:val="en-US"/>
                    </w:rPr>
                    <w:t>Frequency</w:t>
                  </w:r>
                </w:p>
              </w:tc>
              <w:tc>
                <w:tcPr>
                  <w:tcW w:w="0" w:type="auto"/>
                  <w:vAlign w:val="center"/>
                  <w:hideMark/>
                </w:tcPr>
                <w:p w14:paraId="55759E5A"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0C5BB24C" w14:textId="77777777" w:rsidTr="00B534E4">
              <w:trPr>
                <w:tblCellSpacing w:w="15" w:type="dxa"/>
              </w:trPr>
              <w:tc>
                <w:tcPr>
                  <w:tcW w:w="0" w:type="auto"/>
                  <w:vAlign w:val="center"/>
                  <w:hideMark/>
                </w:tcPr>
                <w:p w14:paraId="2E58BB3A" w14:textId="77777777" w:rsidR="00422626" w:rsidRPr="00F84A66" w:rsidRDefault="00422626" w:rsidP="006176F8">
                  <w:pPr>
                    <w:pStyle w:val="Standaard-Tabellen"/>
                    <w:rPr>
                      <w:lang w:val="en-US"/>
                    </w:rPr>
                  </w:pPr>
                  <w:r w:rsidRPr="00F84A66">
                    <w:rPr>
                      <w:lang w:val="en-US"/>
                    </w:rPr>
                    <w:t>Description</w:t>
                  </w:r>
                </w:p>
              </w:tc>
              <w:tc>
                <w:tcPr>
                  <w:tcW w:w="0" w:type="auto"/>
                  <w:vAlign w:val="center"/>
                  <w:hideMark/>
                </w:tcPr>
                <w:p w14:paraId="1D1366CE" w14:textId="77777777" w:rsidR="00422626" w:rsidRPr="00F84A66" w:rsidRDefault="00422626" w:rsidP="006176F8">
                  <w:pPr>
                    <w:pStyle w:val="Standaard-Tabellen"/>
                    <w:rPr>
                      <w:lang w:val="en-US"/>
                    </w:rPr>
                  </w:pPr>
                </w:p>
              </w:tc>
            </w:tr>
          </w:tbl>
          <w:p w14:paraId="34D3CFB2" w14:textId="77777777" w:rsidR="00422626" w:rsidRPr="00F84A66" w:rsidRDefault="00422626" w:rsidP="006176F8">
            <w:pPr>
              <w:pStyle w:val="Standaard-Tabellen"/>
              <w:rPr>
                <w:lang w:val="en-US"/>
              </w:rPr>
            </w:pPr>
            <w:r w:rsidRPr="00F84A66">
              <w:rPr>
                <w:lang w:val="en-US"/>
              </w:rPr>
              <w:t>Inhalation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6"/>
              <w:gridCol w:w="4057"/>
            </w:tblGrid>
            <w:tr w:rsidR="00422626" w:rsidRPr="00EC20C2" w14:paraId="7D6C4891" w14:textId="77777777" w:rsidTr="00B534E4">
              <w:trPr>
                <w:tblCellSpacing w:w="15" w:type="dxa"/>
              </w:trPr>
              <w:tc>
                <w:tcPr>
                  <w:tcW w:w="0" w:type="auto"/>
                  <w:vAlign w:val="center"/>
                  <w:hideMark/>
                </w:tcPr>
                <w:p w14:paraId="3CD3C172"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22B10DD4" w14:textId="77777777" w:rsidR="00422626" w:rsidRPr="00F84A66" w:rsidRDefault="00422626" w:rsidP="006176F8">
                  <w:pPr>
                    <w:pStyle w:val="Standaard-Tabellen"/>
                    <w:rPr>
                      <w:lang w:val="en-US"/>
                    </w:rPr>
                  </w:pPr>
                  <w:r w:rsidRPr="00F84A66">
                    <w:rPr>
                      <w:lang w:val="en-US"/>
                    </w:rPr>
                    <w:t xml:space="preserve">Exposure to vapour - Instantaneous release </w:t>
                  </w:r>
                </w:p>
              </w:tc>
            </w:tr>
            <w:tr w:rsidR="00422626" w:rsidRPr="00EC20C2" w14:paraId="7AA4E140" w14:textId="77777777" w:rsidTr="00B534E4">
              <w:trPr>
                <w:tblCellSpacing w:w="15" w:type="dxa"/>
              </w:trPr>
              <w:tc>
                <w:tcPr>
                  <w:tcW w:w="0" w:type="auto"/>
                  <w:vAlign w:val="center"/>
                  <w:hideMark/>
                </w:tcPr>
                <w:p w14:paraId="3E28D89D" w14:textId="77777777" w:rsidR="00422626" w:rsidRPr="00F84A66" w:rsidRDefault="00422626" w:rsidP="006176F8">
                  <w:pPr>
                    <w:pStyle w:val="Standaard-Tabellen"/>
                    <w:rPr>
                      <w:lang w:val="en-US"/>
                    </w:rPr>
                  </w:pPr>
                  <w:r w:rsidRPr="00F84A66">
                    <w:rPr>
                      <w:lang w:val="en-US"/>
                    </w:rPr>
                    <w:t>Exposure duration</w:t>
                  </w:r>
                </w:p>
              </w:tc>
              <w:tc>
                <w:tcPr>
                  <w:tcW w:w="0" w:type="auto"/>
                  <w:vAlign w:val="center"/>
                  <w:hideMark/>
                </w:tcPr>
                <w:p w14:paraId="400AD547" w14:textId="77777777" w:rsidR="00422626" w:rsidRPr="00F84A66" w:rsidRDefault="00422626" w:rsidP="006176F8">
                  <w:pPr>
                    <w:pStyle w:val="Standaard-Tabellen"/>
                    <w:rPr>
                      <w:lang w:val="en-US"/>
                    </w:rPr>
                  </w:pPr>
                  <w:r w:rsidRPr="00F84A66">
                    <w:rPr>
                      <w:lang w:val="en-US"/>
                    </w:rPr>
                    <w:t xml:space="preserve">24 hour </w:t>
                  </w:r>
                </w:p>
              </w:tc>
            </w:tr>
            <w:tr w:rsidR="00422626" w:rsidRPr="00EC20C2" w14:paraId="144BFBBC" w14:textId="77777777" w:rsidTr="00B534E4">
              <w:trPr>
                <w:tblCellSpacing w:w="15" w:type="dxa"/>
              </w:trPr>
              <w:tc>
                <w:tcPr>
                  <w:tcW w:w="0" w:type="auto"/>
                  <w:vAlign w:val="center"/>
                  <w:hideMark/>
                </w:tcPr>
                <w:p w14:paraId="22625A00" w14:textId="77777777" w:rsidR="00422626" w:rsidRPr="00F84A66" w:rsidRDefault="00422626" w:rsidP="006176F8">
                  <w:pPr>
                    <w:pStyle w:val="Standaard-Tabellen"/>
                    <w:rPr>
                      <w:lang w:val="en-US"/>
                    </w:rPr>
                  </w:pPr>
                  <w:r w:rsidRPr="00F84A66">
                    <w:rPr>
                      <w:lang w:val="en-US"/>
                    </w:rPr>
                    <w:t>Product amount</w:t>
                  </w:r>
                </w:p>
              </w:tc>
              <w:tc>
                <w:tcPr>
                  <w:tcW w:w="0" w:type="auto"/>
                  <w:vAlign w:val="center"/>
                  <w:hideMark/>
                </w:tcPr>
                <w:p w14:paraId="32236E52" w14:textId="77777777" w:rsidR="00422626" w:rsidRPr="00F84A66" w:rsidRDefault="00422626" w:rsidP="006176F8">
                  <w:pPr>
                    <w:pStyle w:val="Standaard-Tabellen"/>
                    <w:rPr>
                      <w:lang w:val="en-US"/>
                    </w:rPr>
                  </w:pPr>
                  <w:r w:rsidRPr="00F84A66">
                    <w:rPr>
                      <w:lang w:val="en-US"/>
                    </w:rPr>
                    <w:t xml:space="preserve">3.15 g </w:t>
                  </w:r>
                </w:p>
              </w:tc>
            </w:tr>
            <w:tr w:rsidR="00422626" w:rsidRPr="00EC20C2" w14:paraId="377182D7" w14:textId="77777777" w:rsidTr="00B534E4">
              <w:trPr>
                <w:tblCellSpacing w:w="15" w:type="dxa"/>
              </w:trPr>
              <w:tc>
                <w:tcPr>
                  <w:tcW w:w="0" w:type="auto"/>
                  <w:vAlign w:val="center"/>
                  <w:hideMark/>
                </w:tcPr>
                <w:p w14:paraId="42051AC3" w14:textId="77777777" w:rsidR="00422626" w:rsidRPr="00F84A66" w:rsidRDefault="00422626" w:rsidP="006176F8">
                  <w:pPr>
                    <w:pStyle w:val="Standaard-Tabellen"/>
                    <w:rPr>
                      <w:lang w:val="en-US"/>
                    </w:rPr>
                  </w:pPr>
                  <w:r w:rsidRPr="00F84A66">
                    <w:rPr>
                      <w:lang w:val="en-US"/>
                    </w:rPr>
                    <w:t>Weight fraction substance</w:t>
                  </w:r>
                </w:p>
              </w:tc>
              <w:tc>
                <w:tcPr>
                  <w:tcW w:w="0" w:type="auto"/>
                  <w:vAlign w:val="center"/>
                  <w:hideMark/>
                </w:tcPr>
                <w:p w14:paraId="58E07EE8" w14:textId="77777777" w:rsidR="00422626" w:rsidRPr="00F84A66" w:rsidRDefault="00422626" w:rsidP="006176F8">
                  <w:pPr>
                    <w:pStyle w:val="Standaard-Tabellen"/>
                    <w:rPr>
                      <w:lang w:val="en-US"/>
                    </w:rPr>
                  </w:pPr>
                  <w:r w:rsidRPr="00F84A66">
                    <w:rPr>
                      <w:lang w:val="en-US"/>
                    </w:rPr>
                    <w:t xml:space="preserve">20 % </w:t>
                  </w:r>
                </w:p>
              </w:tc>
            </w:tr>
            <w:tr w:rsidR="00422626" w:rsidRPr="00EC20C2" w14:paraId="4361DB57" w14:textId="77777777" w:rsidTr="00B534E4">
              <w:trPr>
                <w:tblCellSpacing w:w="15" w:type="dxa"/>
              </w:trPr>
              <w:tc>
                <w:tcPr>
                  <w:tcW w:w="0" w:type="auto"/>
                  <w:vAlign w:val="center"/>
                  <w:hideMark/>
                </w:tcPr>
                <w:p w14:paraId="18B555EA" w14:textId="77777777" w:rsidR="00422626" w:rsidRPr="00F84A66" w:rsidRDefault="00422626" w:rsidP="006176F8">
                  <w:pPr>
                    <w:pStyle w:val="Standaard-Tabellen"/>
                    <w:rPr>
                      <w:lang w:val="en-US"/>
                    </w:rPr>
                  </w:pPr>
                  <w:r w:rsidRPr="00F84A66">
                    <w:rPr>
                      <w:lang w:val="en-US"/>
                    </w:rPr>
                    <w:t>Room volume</w:t>
                  </w:r>
                </w:p>
              </w:tc>
              <w:tc>
                <w:tcPr>
                  <w:tcW w:w="0" w:type="auto"/>
                  <w:vAlign w:val="center"/>
                  <w:hideMark/>
                </w:tcPr>
                <w:p w14:paraId="7FADA362" w14:textId="77777777" w:rsidR="00422626" w:rsidRPr="00F84A66" w:rsidRDefault="00422626" w:rsidP="006176F8">
                  <w:pPr>
                    <w:pStyle w:val="Standaard-Tabellen"/>
                    <w:rPr>
                      <w:lang w:val="en-US"/>
                    </w:rPr>
                  </w:pPr>
                  <w:r w:rsidRPr="00F84A66">
                    <w:rPr>
                      <w:lang w:val="en-US"/>
                    </w:rPr>
                    <w:t xml:space="preserve">20 m³ </w:t>
                  </w:r>
                </w:p>
              </w:tc>
            </w:tr>
            <w:tr w:rsidR="00422626" w:rsidRPr="00EC20C2" w14:paraId="6B229261" w14:textId="77777777" w:rsidTr="00B534E4">
              <w:trPr>
                <w:tblCellSpacing w:w="15" w:type="dxa"/>
              </w:trPr>
              <w:tc>
                <w:tcPr>
                  <w:tcW w:w="0" w:type="auto"/>
                  <w:vAlign w:val="center"/>
                  <w:hideMark/>
                </w:tcPr>
                <w:p w14:paraId="1C287272" w14:textId="77777777" w:rsidR="00422626" w:rsidRPr="00F84A66" w:rsidRDefault="00422626" w:rsidP="006176F8">
                  <w:pPr>
                    <w:pStyle w:val="Standaard-Tabellen"/>
                    <w:rPr>
                      <w:lang w:val="en-US"/>
                    </w:rPr>
                  </w:pPr>
                  <w:r w:rsidRPr="00F84A66">
                    <w:rPr>
                      <w:lang w:val="en-US"/>
                    </w:rPr>
                    <w:t>Ventilation rate</w:t>
                  </w:r>
                </w:p>
              </w:tc>
              <w:tc>
                <w:tcPr>
                  <w:tcW w:w="0" w:type="auto"/>
                  <w:vAlign w:val="center"/>
                  <w:hideMark/>
                </w:tcPr>
                <w:p w14:paraId="56BB5116" w14:textId="77777777" w:rsidR="00422626" w:rsidRPr="00F84A66" w:rsidRDefault="00422626" w:rsidP="006176F8">
                  <w:pPr>
                    <w:pStyle w:val="Standaard-Tabellen"/>
                    <w:rPr>
                      <w:lang w:val="en-US"/>
                    </w:rPr>
                  </w:pPr>
                  <w:r w:rsidRPr="00F84A66">
                    <w:rPr>
                      <w:lang w:val="en-US"/>
                    </w:rPr>
                    <w:t xml:space="preserve">0.6 per hour </w:t>
                  </w:r>
                </w:p>
              </w:tc>
            </w:tr>
            <w:tr w:rsidR="00422626" w:rsidRPr="00EC20C2" w14:paraId="5E55A08B" w14:textId="77777777" w:rsidTr="00B534E4">
              <w:trPr>
                <w:tblCellSpacing w:w="15" w:type="dxa"/>
              </w:trPr>
              <w:tc>
                <w:tcPr>
                  <w:tcW w:w="0" w:type="auto"/>
                  <w:vAlign w:val="center"/>
                  <w:hideMark/>
                </w:tcPr>
                <w:p w14:paraId="285687D4" w14:textId="77777777" w:rsidR="00422626" w:rsidRPr="00F84A66" w:rsidRDefault="00422626" w:rsidP="006176F8">
                  <w:pPr>
                    <w:pStyle w:val="Standaard-Tabellen"/>
                    <w:rPr>
                      <w:lang w:val="en-US"/>
                    </w:rPr>
                  </w:pPr>
                  <w:r w:rsidRPr="00F84A66">
                    <w:rPr>
                      <w:lang w:val="en-US"/>
                    </w:rPr>
                    <w:t>Inhalation rate</w:t>
                  </w:r>
                </w:p>
              </w:tc>
              <w:tc>
                <w:tcPr>
                  <w:tcW w:w="0" w:type="auto"/>
                  <w:vAlign w:val="center"/>
                  <w:hideMark/>
                </w:tcPr>
                <w:p w14:paraId="1AA59BC5" w14:textId="77777777" w:rsidR="00422626" w:rsidRPr="00F84A66" w:rsidRDefault="00422626" w:rsidP="006176F8">
                  <w:pPr>
                    <w:pStyle w:val="Standaard-Tabellen"/>
                    <w:rPr>
                      <w:lang w:val="en-US"/>
                    </w:rPr>
                  </w:pPr>
                  <w:r w:rsidRPr="00F84A66">
                    <w:rPr>
                      <w:lang w:val="en-US"/>
                    </w:rPr>
                    <w:t xml:space="preserve">1.25 m³/hr </w:t>
                  </w:r>
                </w:p>
              </w:tc>
            </w:tr>
            <w:tr w:rsidR="00422626" w:rsidRPr="00EC20C2" w14:paraId="5BACEE1E" w14:textId="77777777" w:rsidTr="00B534E4">
              <w:trPr>
                <w:tblCellSpacing w:w="15" w:type="dxa"/>
              </w:trPr>
              <w:tc>
                <w:tcPr>
                  <w:tcW w:w="0" w:type="auto"/>
                  <w:vAlign w:val="center"/>
                  <w:hideMark/>
                </w:tcPr>
                <w:p w14:paraId="15FCD562" w14:textId="77777777" w:rsidR="00422626" w:rsidRPr="00F84A66" w:rsidRDefault="00422626" w:rsidP="006176F8">
                  <w:pPr>
                    <w:pStyle w:val="Standaard-Tabellen"/>
                    <w:rPr>
                      <w:lang w:val="en-US"/>
                    </w:rPr>
                  </w:pPr>
                  <w:r w:rsidRPr="00F84A66">
                    <w:rPr>
                      <w:lang w:val="en-US"/>
                    </w:rPr>
                    <w:t>Limit concentration to saturated air concentration</w:t>
                  </w:r>
                </w:p>
              </w:tc>
              <w:tc>
                <w:tcPr>
                  <w:tcW w:w="0" w:type="auto"/>
                  <w:vAlign w:val="center"/>
                  <w:hideMark/>
                </w:tcPr>
                <w:p w14:paraId="1F92BEC2" w14:textId="77777777" w:rsidR="00422626" w:rsidRPr="00F84A66" w:rsidRDefault="00422626" w:rsidP="006176F8">
                  <w:pPr>
                    <w:pStyle w:val="Standaard-Tabellen"/>
                    <w:rPr>
                      <w:lang w:val="en-US"/>
                    </w:rPr>
                  </w:pPr>
                  <w:r w:rsidRPr="00F84A66">
                    <w:rPr>
                      <w:lang w:val="en-US"/>
                    </w:rPr>
                    <w:t xml:space="preserve">No </w:t>
                  </w:r>
                </w:p>
              </w:tc>
            </w:tr>
            <w:tr w:rsidR="00422626" w:rsidRPr="00EC20C2" w14:paraId="09EEB3D5" w14:textId="77777777" w:rsidTr="00B534E4">
              <w:trPr>
                <w:tblCellSpacing w:w="15" w:type="dxa"/>
              </w:trPr>
              <w:tc>
                <w:tcPr>
                  <w:tcW w:w="0" w:type="auto"/>
                  <w:vAlign w:val="center"/>
                  <w:hideMark/>
                </w:tcPr>
                <w:p w14:paraId="1437E658"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3F8C7198" w14:textId="77777777" w:rsidR="00422626" w:rsidRPr="00F84A66" w:rsidRDefault="00422626" w:rsidP="006176F8">
                  <w:pPr>
                    <w:pStyle w:val="Standaard-Tabellen"/>
                    <w:rPr>
                      <w:lang w:val="en-US"/>
                    </w:rPr>
                  </w:pPr>
                  <w:r w:rsidRPr="00F84A66">
                    <w:rPr>
                      <w:lang w:val="en-US"/>
                    </w:rPr>
                    <w:t xml:space="preserve">Fixed fraction </w:t>
                  </w:r>
                </w:p>
              </w:tc>
            </w:tr>
            <w:tr w:rsidR="00422626" w:rsidRPr="00EC20C2" w14:paraId="28237982" w14:textId="77777777" w:rsidTr="00B534E4">
              <w:trPr>
                <w:tblCellSpacing w:w="15" w:type="dxa"/>
              </w:trPr>
              <w:tc>
                <w:tcPr>
                  <w:tcW w:w="0" w:type="auto"/>
                  <w:vAlign w:val="center"/>
                  <w:hideMark/>
                </w:tcPr>
                <w:p w14:paraId="25759D2A" w14:textId="77777777" w:rsidR="00422626" w:rsidRPr="00F84A66" w:rsidRDefault="00422626" w:rsidP="006176F8">
                  <w:pPr>
                    <w:pStyle w:val="Standaard-Tabellen"/>
                    <w:rPr>
                      <w:lang w:val="en-US"/>
                    </w:rPr>
                  </w:pPr>
                  <w:r w:rsidRPr="00F84A66">
                    <w:rPr>
                      <w:lang w:val="en-US"/>
                    </w:rPr>
                    <w:t>Absorption fraction</w:t>
                  </w:r>
                </w:p>
              </w:tc>
              <w:tc>
                <w:tcPr>
                  <w:tcW w:w="0" w:type="auto"/>
                  <w:vAlign w:val="center"/>
                  <w:hideMark/>
                </w:tcPr>
                <w:p w14:paraId="2C1B233C" w14:textId="77777777" w:rsidR="00422626" w:rsidRPr="00F84A66" w:rsidRDefault="00422626" w:rsidP="006176F8">
                  <w:pPr>
                    <w:pStyle w:val="Standaard-Tabellen"/>
                    <w:rPr>
                      <w:lang w:val="en-US"/>
                    </w:rPr>
                  </w:pPr>
                  <w:r w:rsidRPr="00F84A66">
                    <w:rPr>
                      <w:lang w:val="en-US"/>
                    </w:rPr>
                    <w:t xml:space="preserve">100 % </w:t>
                  </w:r>
                </w:p>
              </w:tc>
            </w:tr>
          </w:tbl>
          <w:p w14:paraId="73F9395B" w14:textId="77777777" w:rsidR="00422626" w:rsidRPr="00F84A66" w:rsidRDefault="00422626" w:rsidP="006176F8">
            <w:pPr>
              <w:pStyle w:val="Standaard-Tabellen"/>
              <w:rPr>
                <w:lang w:val="en-US"/>
              </w:rPr>
            </w:pPr>
            <w:r w:rsidRPr="00F84A66">
              <w:rPr>
                <w:lang w:val="en-US"/>
              </w:rPr>
              <w:t>Dermal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428"/>
            </w:tblGrid>
            <w:tr w:rsidR="00422626" w:rsidRPr="00EC20C2" w14:paraId="5474F896" w14:textId="77777777" w:rsidTr="00B534E4">
              <w:trPr>
                <w:tblCellSpacing w:w="15" w:type="dxa"/>
              </w:trPr>
              <w:tc>
                <w:tcPr>
                  <w:tcW w:w="0" w:type="auto"/>
                  <w:vAlign w:val="center"/>
                  <w:hideMark/>
                </w:tcPr>
                <w:p w14:paraId="3B1A3CB0"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789703AD" w14:textId="77777777" w:rsidR="00422626" w:rsidRPr="00F84A66" w:rsidRDefault="00422626" w:rsidP="006176F8">
                  <w:pPr>
                    <w:pStyle w:val="Standaard-Tabellen"/>
                    <w:rPr>
                      <w:lang w:val="en-US"/>
                    </w:rPr>
                  </w:pPr>
                  <w:r w:rsidRPr="00F84A66">
                    <w:rPr>
                      <w:lang w:val="en-US"/>
                    </w:rPr>
                    <w:t xml:space="preserve">n.a. </w:t>
                  </w:r>
                </w:p>
              </w:tc>
            </w:tr>
            <w:tr w:rsidR="00422626" w:rsidRPr="00EC20C2" w14:paraId="3E485C9D" w14:textId="77777777" w:rsidTr="00B534E4">
              <w:trPr>
                <w:tblCellSpacing w:w="15" w:type="dxa"/>
              </w:trPr>
              <w:tc>
                <w:tcPr>
                  <w:tcW w:w="0" w:type="auto"/>
                  <w:vAlign w:val="center"/>
                  <w:hideMark/>
                </w:tcPr>
                <w:p w14:paraId="26716C55"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6855CA8C" w14:textId="77777777" w:rsidR="00422626" w:rsidRPr="00F84A66" w:rsidRDefault="00422626" w:rsidP="006176F8">
                  <w:pPr>
                    <w:pStyle w:val="Standaard-Tabellen"/>
                    <w:rPr>
                      <w:lang w:val="en-US"/>
                    </w:rPr>
                  </w:pPr>
                  <w:r w:rsidRPr="00F84A66">
                    <w:rPr>
                      <w:lang w:val="en-US"/>
                    </w:rPr>
                    <w:t xml:space="preserve">n.a. </w:t>
                  </w:r>
                </w:p>
              </w:tc>
            </w:tr>
          </w:tbl>
          <w:p w14:paraId="7915C142" w14:textId="77777777" w:rsidR="00422626" w:rsidRPr="00F84A66" w:rsidRDefault="00422626" w:rsidP="006176F8">
            <w:pPr>
              <w:pStyle w:val="Standaard-Tabellen"/>
              <w:rPr>
                <w:lang w:val="en-US"/>
              </w:rPr>
            </w:pPr>
            <w:r w:rsidRPr="00F84A66">
              <w:rPr>
                <w:lang w:val="en-US"/>
              </w:rPr>
              <w:t>Oral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428"/>
            </w:tblGrid>
            <w:tr w:rsidR="00422626" w:rsidRPr="00EC20C2" w14:paraId="19178C6B" w14:textId="77777777" w:rsidTr="00B534E4">
              <w:trPr>
                <w:tblCellSpacing w:w="15" w:type="dxa"/>
              </w:trPr>
              <w:tc>
                <w:tcPr>
                  <w:tcW w:w="0" w:type="auto"/>
                  <w:vAlign w:val="center"/>
                  <w:hideMark/>
                </w:tcPr>
                <w:p w14:paraId="52A3F317"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76B1ABC5" w14:textId="77777777" w:rsidR="00422626" w:rsidRPr="00F84A66" w:rsidRDefault="00422626" w:rsidP="006176F8">
                  <w:pPr>
                    <w:pStyle w:val="Standaard-Tabellen"/>
                    <w:rPr>
                      <w:lang w:val="en-US"/>
                    </w:rPr>
                  </w:pPr>
                  <w:r w:rsidRPr="00F84A66">
                    <w:rPr>
                      <w:lang w:val="en-US"/>
                    </w:rPr>
                    <w:t xml:space="preserve">n.a. </w:t>
                  </w:r>
                </w:p>
              </w:tc>
            </w:tr>
            <w:tr w:rsidR="00422626" w:rsidRPr="00EC20C2" w14:paraId="03675D56" w14:textId="77777777" w:rsidTr="00B534E4">
              <w:trPr>
                <w:tblCellSpacing w:w="15" w:type="dxa"/>
              </w:trPr>
              <w:tc>
                <w:tcPr>
                  <w:tcW w:w="0" w:type="auto"/>
                  <w:vAlign w:val="center"/>
                  <w:hideMark/>
                </w:tcPr>
                <w:p w14:paraId="3772B56B"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46A6ADD3" w14:textId="77777777" w:rsidR="00422626" w:rsidRPr="00F84A66" w:rsidRDefault="00422626" w:rsidP="006176F8">
                  <w:pPr>
                    <w:pStyle w:val="Standaard-Tabellen"/>
                    <w:rPr>
                      <w:lang w:val="en-US"/>
                    </w:rPr>
                  </w:pPr>
                  <w:r w:rsidRPr="00F84A66">
                    <w:rPr>
                      <w:lang w:val="en-US"/>
                    </w:rPr>
                    <w:t xml:space="preserve">n.a. </w:t>
                  </w:r>
                </w:p>
              </w:tc>
            </w:tr>
          </w:tbl>
          <w:p w14:paraId="2F744C03" w14:textId="77777777" w:rsidR="00422626" w:rsidRPr="00F84A66" w:rsidRDefault="00422626" w:rsidP="006176F8">
            <w:pPr>
              <w:pStyle w:val="Standaard-Tabellen"/>
              <w:rPr>
                <w:lang w:val="en-US"/>
              </w:rPr>
            </w:pPr>
            <w:r w:rsidRPr="00F84A66">
              <w:rPr>
                <w:lang w:val="en-US"/>
              </w:rPr>
              <w:t>Results for scenario Inhalation of volatilised residues</w:t>
            </w:r>
          </w:p>
          <w:p w14:paraId="1B94E988" w14:textId="77777777" w:rsidR="00422626" w:rsidRPr="00F84A66" w:rsidRDefault="00422626" w:rsidP="006176F8">
            <w:pPr>
              <w:pStyle w:val="Standaard-Tabellen"/>
              <w:rPr>
                <w:lang w:val="en-US"/>
              </w:rPr>
            </w:pPr>
            <w:r w:rsidRPr="00F84A66">
              <w:rPr>
                <w:lang w:val="en-US"/>
              </w:rPr>
              <w:t>Inhalation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3"/>
              <w:gridCol w:w="1343"/>
            </w:tblGrid>
            <w:tr w:rsidR="00422626" w:rsidRPr="00EC20C2" w14:paraId="749C39DE" w14:textId="77777777" w:rsidTr="00B534E4">
              <w:trPr>
                <w:tblCellSpacing w:w="15" w:type="dxa"/>
              </w:trPr>
              <w:tc>
                <w:tcPr>
                  <w:tcW w:w="0" w:type="auto"/>
                  <w:vAlign w:val="center"/>
                  <w:hideMark/>
                </w:tcPr>
                <w:p w14:paraId="3ACFC319" w14:textId="77777777" w:rsidR="00422626" w:rsidRPr="00F84A66" w:rsidRDefault="00422626" w:rsidP="006176F8">
                  <w:pPr>
                    <w:pStyle w:val="Standaard-Tabellen"/>
                    <w:rPr>
                      <w:lang w:val="en-US"/>
                    </w:rPr>
                  </w:pPr>
                  <w:r w:rsidRPr="00F84A66">
                    <w:rPr>
                      <w:lang w:val="en-US"/>
                    </w:rPr>
                    <w:t>Mean event concentration</w:t>
                  </w:r>
                </w:p>
              </w:tc>
              <w:tc>
                <w:tcPr>
                  <w:tcW w:w="0" w:type="auto"/>
                  <w:vAlign w:val="center"/>
                  <w:hideMark/>
                </w:tcPr>
                <w:p w14:paraId="4F7C74DE" w14:textId="77777777" w:rsidR="00422626" w:rsidRPr="00F84A66" w:rsidRDefault="00422626" w:rsidP="006176F8">
                  <w:pPr>
                    <w:pStyle w:val="Standaard-Tabellen"/>
                    <w:rPr>
                      <w:lang w:val="en-US"/>
                    </w:rPr>
                  </w:pPr>
                  <w:r w:rsidRPr="00F84A66">
                    <w:rPr>
                      <w:lang w:val="en-US"/>
                    </w:rPr>
                    <w:t xml:space="preserve">2.2 mg/m³ </w:t>
                  </w:r>
                </w:p>
              </w:tc>
            </w:tr>
            <w:tr w:rsidR="00422626" w:rsidRPr="00EC20C2" w14:paraId="5EEE0898" w14:textId="77777777" w:rsidTr="00B534E4">
              <w:trPr>
                <w:tblCellSpacing w:w="15" w:type="dxa"/>
              </w:trPr>
              <w:tc>
                <w:tcPr>
                  <w:tcW w:w="0" w:type="auto"/>
                  <w:vAlign w:val="center"/>
                  <w:hideMark/>
                </w:tcPr>
                <w:p w14:paraId="2864F5F5" w14:textId="77777777" w:rsidR="00422626" w:rsidRPr="00F84A66" w:rsidRDefault="00422626" w:rsidP="006176F8">
                  <w:pPr>
                    <w:pStyle w:val="Standaard-Tabellen"/>
                    <w:rPr>
                      <w:lang w:val="en-US"/>
                    </w:rPr>
                  </w:pPr>
                  <w:r w:rsidRPr="00F84A66">
                    <w:rPr>
                      <w:lang w:val="en-US"/>
                    </w:rPr>
                    <w:t>Mean concentration on day of exposure</w:t>
                  </w:r>
                </w:p>
              </w:tc>
              <w:tc>
                <w:tcPr>
                  <w:tcW w:w="0" w:type="auto"/>
                  <w:vAlign w:val="center"/>
                  <w:hideMark/>
                </w:tcPr>
                <w:p w14:paraId="443C78AB"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685A9C0F" w14:textId="77777777" w:rsidTr="00B534E4">
              <w:trPr>
                <w:tblCellSpacing w:w="15" w:type="dxa"/>
              </w:trPr>
              <w:tc>
                <w:tcPr>
                  <w:tcW w:w="0" w:type="auto"/>
                  <w:vAlign w:val="center"/>
                  <w:hideMark/>
                </w:tcPr>
                <w:p w14:paraId="6CCC8C34" w14:textId="77777777" w:rsidR="00422626" w:rsidRPr="00F84A66" w:rsidRDefault="00422626" w:rsidP="006176F8">
                  <w:pPr>
                    <w:pStyle w:val="Standaard-Tabellen"/>
                    <w:rPr>
                      <w:lang w:val="en-US"/>
                    </w:rPr>
                  </w:pPr>
                  <w:r w:rsidRPr="00F84A66">
                    <w:rPr>
                      <w:lang w:val="en-US"/>
                    </w:rPr>
                    <w:t>Year average concentration</w:t>
                  </w:r>
                </w:p>
              </w:tc>
              <w:tc>
                <w:tcPr>
                  <w:tcW w:w="0" w:type="auto"/>
                  <w:vAlign w:val="center"/>
                  <w:hideMark/>
                </w:tcPr>
                <w:p w14:paraId="7E2B90B0"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119D4001" w14:textId="77777777" w:rsidTr="00B534E4">
              <w:trPr>
                <w:tblCellSpacing w:w="15" w:type="dxa"/>
              </w:trPr>
              <w:tc>
                <w:tcPr>
                  <w:tcW w:w="0" w:type="auto"/>
                  <w:vAlign w:val="center"/>
                  <w:hideMark/>
                </w:tcPr>
                <w:p w14:paraId="7721C97B" w14:textId="77777777" w:rsidR="00422626" w:rsidRPr="00F84A66" w:rsidRDefault="00422626" w:rsidP="006176F8">
                  <w:pPr>
                    <w:pStyle w:val="Standaard-Tabellen"/>
                    <w:rPr>
                      <w:lang w:val="en-US"/>
                    </w:rPr>
                  </w:pPr>
                  <w:r w:rsidRPr="00F84A66">
                    <w:rPr>
                      <w:lang w:val="en-US"/>
                    </w:rPr>
                    <w:t>External event dose</w:t>
                  </w:r>
                </w:p>
              </w:tc>
              <w:tc>
                <w:tcPr>
                  <w:tcW w:w="0" w:type="auto"/>
                  <w:vAlign w:val="center"/>
                  <w:hideMark/>
                </w:tcPr>
                <w:p w14:paraId="663B724F" w14:textId="77777777" w:rsidR="00422626" w:rsidRPr="00F84A66" w:rsidRDefault="00422626" w:rsidP="006176F8">
                  <w:pPr>
                    <w:pStyle w:val="Standaard-Tabellen"/>
                    <w:rPr>
                      <w:lang w:val="en-US"/>
                    </w:rPr>
                  </w:pPr>
                  <w:r w:rsidRPr="00F84A66">
                    <w:rPr>
                      <w:lang w:val="en-US"/>
                    </w:rPr>
                    <w:t xml:space="preserve">1.1 mg/kg bw </w:t>
                  </w:r>
                </w:p>
              </w:tc>
            </w:tr>
            <w:tr w:rsidR="00422626" w:rsidRPr="00EC20C2" w14:paraId="33C535AE" w14:textId="77777777" w:rsidTr="00B534E4">
              <w:trPr>
                <w:tblCellSpacing w:w="15" w:type="dxa"/>
              </w:trPr>
              <w:tc>
                <w:tcPr>
                  <w:tcW w:w="0" w:type="auto"/>
                  <w:vAlign w:val="center"/>
                  <w:hideMark/>
                </w:tcPr>
                <w:p w14:paraId="58AD3124" w14:textId="77777777" w:rsidR="00422626" w:rsidRPr="00F84A66" w:rsidRDefault="00422626" w:rsidP="006176F8">
                  <w:pPr>
                    <w:pStyle w:val="Standaard-Tabellen"/>
                    <w:rPr>
                      <w:lang w:val="en-US"/>
                    </w:rPr>
                  </w:pPr>
                  <w:r w:rsidRPr="00F84A66">
                    <w:rPr>
                      <w:lang w:val="en-US"/>
                    </w:rPr>
                    <w:t>External dose on day of exposure</w:t>
                  </w:r>
                </w:p>
              </w:tc>
              <w:tc>
                <w:tcPr>
                  <w:tcW w:w="0" w:type="auto"/>
                  <w:vAlign w:val="center"/>
                  <w:hideMark/>
                </w:tcPr>
                <w:p w14:paraId="07431690"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2FF40CF4" w14:textId="77777777" w:rsidTr="00B534E4">
              <w:trPr>
                <w:tblCellSpacing w:w="15" w:type="dxa"/>
              </w:trPr>
              <w:tc>
                <w:tcPr>
                  <w:tcW w:w="0" w:type="auto"/>
                  <w:vAlign w:val="center"/>
                  <w:hideMark/>
                </w:tcPr>
                <w:p w14:paraId="2FA923DC" w14:textId="77777777" w:rsidR="00422626" w:rsidRPr="00F84A66" w:rsidRDefault="00422626" w:rsidP="006176F8">
                  <w:pPr>
                    <w:pStyle w:val="Standaard-Tabellen"/>
                    <w:rPr>
                      <w:lang w:val="en-US"/>
                    </w:rPr>
                  </w:pPr>
                  <w:r w:rsidRPr="00F84A66">
                    <w:rPr>
                      <w:lang w:val="en-US"/>
                    </w:rPr>
                    <w:t>Internal event dose</w:t>
                  </w:r>
                </w:p>
              </w:tc>
              <w:tc>
                <w:tcPr>
                  <w:tcW w:w="0" w:type="auto"/>
                  <w:vAlign w:val="center"/>
                  <w:hideMark/>
                </w:tcPr>
                <w:p w14:paraId="06D18BFD" w14:textId="77777777" w:rsidR="00422626" w:rsidRPr="00F84A66" w:rsidRDefault="00422626" w:rsidP="006176F8">
                  <w:pPr>
                    <w:pStyle w:val="Standaard-Tabellen"/>
                    <w:rPr>
                      <w:lang w:val="en-US"/>
                    </w:rPr>
                  </w:pPr>
                  <w:r w:rsidRPr="00F84A66">
                    <w:rPr>
                      <w:lang w:val="en-US"/>
                    </w:rPr>
                    <w:t xml:space="preserve">1.1 mg/kg bw </w:t>
                  </w:r>
                </w:p>
              </w:tc>
            </w:tr>
            <w:tr w:rsidR="00422626" w:rsidRPr="00EC20C2" w14:paraId="5E4F97C3" w14:textId="77777777" w:rsidTr="00B534E4">
              <w:trPr>
                <w:tblCellSpacing w:w="15" w:type="dxa"/>
              </w:trPr>
              <w:tc>
                <w:tcPr>
                  <w:tcW w:w="0" w:type="auto"/>
                  <w:vAlign w:val="center"/>
                  <w:hideMark/>
                </w:tcPr>
                <w:p w14:paraId="40A1AE47" w14:textId="77777777" w:rsidR="00422626" w:rsidRPr="00F84A66" w:rsidRDefault="00422626" w:rsidP="006176F8">
                  <w:pPr>
                    <w:pStyle w:val="Standaard-Tabellen"/>
                    <w:rPr>
                      <w:lang w:val="en-US"/>
                    </w:rPr>
                  </w:pPr>
                  <w:r w:rsidRPr="00F84A66">
                    <w:rPr>
                      <w:lang w:val="en-US"/>
                    </w:rPr>
                    <w:t>Internal dose on day of exposure</w:t>
                  </w:r>
                </w:p>
              </w:tc>
              <w:tc>
                <w:tcPr>
                  <w:tcW w:w="0" w:type="auto"/>
                  <w:vAlign w:val="center"/>
                  <w:hideMark/>
                </w:tcPr>
                <w:p w14:paraId="15A7B821"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4A769E18" w14:textId="77777777" w:rsidTr="00B534E4">
              <w:trPr>
                <w:tblCellSpacing w:w="15" w:type="dxa"/>
              </w:trPr>
              <w:tc>
                <w:tcPr>
                  <w:tcW w:w="0" w:type="auto"/>
                  <w:vAlign w:val="center"/>
                  <w:hideMark/>
                </w:tcPr>
                <w:p w14:paraId="2E7E0283" w14:textId="77777777" w:rsidR="00422626" w:rsidRPr="00F84A66" w:rsidRDefault="00422626" w:rsidP="006176F8">
                  <w:pPr>
                    <w:pStyle w:val="Standaard-Tabellen"/>
                    <w:rPr>
                      <w:lang w:val="en-US"/>
                    </w:rPr>
                  </w:pPr>
                  <w:r w:rsidRPr="00F84A66">
                    <w:rPr>
                      <w:lang w:val="en-US"/>
                    </w:rPr>
                    <w:t>Internal year average dose</w:t>
                  </w:r>
                </w:p>
              </w:tc>
              <w:tc>
                <w:tcPr>
                  <w:tcW w:w="0" w:type="auto"/>
                  <w:vAlign w:val="center"/>
                  <w:hideMark/>
                </w:tcPr>
                <w:p w14:paraId="333319EE" w14:textId="77777777" w:rsidR="00422626" w:rsidRPr="00F84A66" w:rsidRDefault="00422626" w:rsidP="006176F8">
                  <w:pPr>
                    <w:pStyle w:val="Standaard-Tabellen"/>
                    <w:rPr>
                      <w:lang w:val="en-US"/>
                    </w:rPr>
                  </w:pPr>
                  <w:r w:rsidRPr="00F84A66">
                    <w:rPr>
                      <w:lang w:val="en-US"/>
                    </w:rPr>
                    <w:t xml:space="preserve">– </w:t>
                  </w:r>
                </w:p>
              </w:tc>
            </w:tr>
          </w:tbl>
          <w:p w14:paraId="439BE85E" w14:textId="77777777" w:rsidR="00422626" w:rsidRPr="00F84A66" w:rsidRDefault="00422626" w:rsidP="006176F8">
            <w:pPr>
              <w:pStyle w:val="Standaard-Tabellen"/>
              <w:rPr>
                <w:lang w:val="en-US"/>
              </w:rPr>
            </w:pPr>
            <w:r w:rsidRPr="00F84A66">
              <w:rPr>
                <w:lang w:val="en-US"/>
              </w:rPr>
              <w:t>Integrated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0"/>
              <w:gridCol w:w="1343"/>
            </w:tblGrid>
            <w:tr w:rsidR="00422626" w:rsidRPr="00EC20C2" w14:paraId="532B492D" w14:textId="77777777" w:rsidTr="00B534E4">
              <w:trPr>
                <w:tblCellSpacing w:w="15" w:type="dxa"/>
              </w:trPr>
              <w:tc>
                <w:tcPr>
                  <w:tcW w:w="0" w:type="auto"/>
                  <w:vAlign w:val="center"/>
                  <w:hideMark/>
                </w:tcPr>
                <w:p w14:paraId="4F2E3C55" w14:textId="77777777" w:rsidR="00422626" w:rsidRPr="00F84A66" w:rsidRDefault="00422626" w:rsidP="006176F8">
                  <w:pPr>
                    <w:pStyle w:val="Standaard-Tabellen"/>
                    <w:rPr>
                      <w:lang w:val="en-US"/>
                    </w:rPr>
                  </w:pPr>
                  <w:r w:rsidRPr="00F84A66">
                    <w:rPr>
                      <w:lang w:val="en-US"/>
                    </w:rPr>
                    <w:t>Internal event dose</w:t>
                  </w:r>
                </w:p>
              </w:tc>
              <w:tc>
                <w:tcPr>
                  <w:tcW w:w="0" w:type="auto"/>
                  <w:vAlign w:val="center"/>
                  <w:hideMark/>
                </w:tcPr>
                <w:p w14:paraId="3BCD6F15" w14:textId="77777777" w:rsidR="00422626" w:rsidRPr="00F84A66" w:rsidRDefault="00422626" w:rsidP="006176F8">
                  <w:pPr>
                    <w:pStyle w:val="Standaard-Tabellen"/>
                    <w:rPr>
                      <w:lang w:val="en-US"/>
                    </w:rPr>
                  </w:pPr>
                  <w:r w:rsidRPr="00F84A66">
                    <w:rPr>
                      <w:lang w:val="en-US"/>
                    </w:rPr>
                    <w:t xml:space="preserve">1.1 mg/kg bw </w:t>
                  </w:r>
                </w:p>
              </w:tc>
            </w:tr>
            <w:tr w:rsidR="00422626" w:rsidRPr="00EC20C2" w14:paraId="4E64BECD" w14:textId="77777777" w:rsidTr="00B534E4">
              <w:trPr>
                <w:tblCellSpacing w:w="15" w:type="dxa"/>
              </w:trPr>
              <w:tc>
                <w:tcPr>
                  <w:tcW w:w="0" w:type="auto"/>
                  <w:vAlign w:val="center"/>
                  <w:hideMark/>
                </w:tcPr>
                <w:p w14:paraId="3EA3274D" w14:textId="77777777" w:rsidR="00422626" w:rsidRPr="00F84A66" w:rsidRDefault="00422626" w:rsidP="006176F8">
                  <w:pPr>
                    <w:pStyle w:val="Standaard-Tabellen"/>
                    <w:rPr>
                      <w:lang w:val="en-US"/>
                    </w:rPr>
                  </w:pPr>
                  <w:r w:rsidRPr="00F84A66">
                    <w:rPr>
                      <w:lang w:val="en-US"/>
                    </w:rPr>
                    <w:t>Internal dose on day of exposure</w:t>
                  </w:r>
                </w:p>
              </w:tc>
              <w:tc>
                <w:tcPr>
                  <w:tcW w:w="0" w:type="auto"/>
                  <w:vAlign w:val="center"/>
                  <w:hideMark/>
                </w:tcPr>
                <w:p w14:paraId="14279AA7"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585A82CF" w14:textId="77777777" w:rsidTr="00B534E4">
              <w:trPr>
                <w:tblCellSpacing w:w="15" w:type="dxa"/>
              </w:trPr>
              <w:tc>
                <w:tcPr>
                  <w:tcW w:w="0" w:type="auto"/>
                  <w:vAlign w:val="center"/>
                  <w:hideMark/>
                </w:tcPr>
                <w:p w14:paraId="09F898EA" w14:textId="77777777" w:rsidR="00422626" w:rsidRPr="00F84A66" w:rsidRDefault="00422626" w:rsidP="006176F8">
                  <w:pPr>
                    <w:pStyle w:val="Standaard-Tabellen"/>
                    <w:rPr>
                      <w:lang w:val="en-US"/>
                    </w:rPr>
                  </w:pPr>
                  <w:r w:rsidRPr="00F84A66">
                    <w:rPr>
                      <w:lang w:val="en-US"/>
                    </w:rPr>
                    <w:t>Internal year average dose</w:t>
                  </w:r>
                </w:p>
              </w:tc>
              <w:tc>
                <w:tcPr>
                  <w:tcW w:w="0" w:type="auto"/>
                  <w:vAlign w:val="center"/>
                  <w:hideMark/>
                </w:tcPr>
                <w:p w14:paraId="210F05B4" w14:textId="77777777" w:rsidR="00422626" w:rsidRPr="00F84A66" w:rsidRDefault="00422626" w:rsidP="006176F8">
                  <w:pPr>
                    <w:pStyle w:val="Standaard-Tabellen"/>
                    <w:rPr>
                      <w:lang w:val="en-US"/>
                    </w:rPr>
                  </w:pPr>
                  <w:r w:rsidRPr="00F84A66">
                    <w:rPr>
                      <w:lang w:val="en-US"/>
                    </w:rPr>
                    <w:t xml:space="preserve">– </w:t>
                  </w:r>
                </w:p>
              </w:tc>
            </w:tr>
          </w:tbl>
          <w:p w14:paraId="235936C9" w14:textId="77777777" w:rsidR="00422626" w:rsidRDefault="00422626" w:rsidP="006176F8">
            <w:pPr>
              <w:pStyle w:val="Standaard-Tabellen"/>
              <w:rPr>
                <w:rFonts w:eastAsia="Calibri"/>
              </w:rPr>
            </w:pPr>
          </w:p>
        </w:tc>
      </w:tr>
    </w:tbl>
    <w:p w14:paraId="41EDCE52" w14:textId="77777777" w:rsidR="00422626" w:rsidRPr="001767AE" w:rsidRDefault="00422626" w:rsidP="00422626">
      <w:pPr>
        <w:rPr>
          <w:rFonts w:eastAsia="Calibri"/>
          <w:lang w:eastAsia="en-US"/>
        </w:rPr>
      </w:pPr>
    </w:p>
    <w:p w14:paraId="5B10E94B" w14:textId="77777777" w:rsidR="00422626" w:rsidRPr="00DC097E" w:rsidRDefault="00422626" w:rsidP="00422626">
      <w:pPr>
        <w:pStyle w:val="Titre6"/>
        <w:rPr>
          <w:lang w:val="en-US"/>
        </w:rPr>
      </w:pPr>
      <w:r w:rsidRPr="00DC097E">
        <w:rPr>
          <w:lang w:val="en-US"/>
        </w:rPr>
        <w:t>b. Child</w:t>
      </w:r>
    </w:p>
    <w:tbl>
      <w:tblPr>
        <w:tblStyle w:val="Grilledutableau"/>
        <w:tblW w:w="0" w:type="auto"/>
        <w:tblLook w:val="04A0" w:firstRow="1" w:lastRow="0" w:firstColumn="1" w:lastColumn="0" w:noHBand="0" w:noVBand="1"/>
      </w:tblPr>
      <w:tblGrid>
        <w:gridCol w:w="9402"/>
      </w:tblGrid>
      <w:tr w:rsidR="00422626" w14:paraId="194DB38B" w14:textId="77777777" w:rsidTr="00B534E4">
        <w:tc>
          <w:tcPr>
            <w:tcW w:w="9402" w:type="dxa"/>
          </w:tcPr>
          <w:p w14:paraId="32D2C35B" w14:textId="77777777" w:rsidR="00422626" w:rsidRPr="00F84A66" w:rsidRDefault="00422626" w:rsidP="006176F8">
            <w:pPr>
              <w:pStyle w:val="Standaard-Tabellen"/>
              <w:rPr>
                <w:lang w:val="en-US"/>
              </w:rPr>
            </w:pPr>
            <w:r w:rsidRPr="00F84A66">
              <w:rPr>
                <w:lang w:val="en-US"/>
              </w:rPr>
              <w:t>Report for assessment PUMP SPRAY LICE 20%</w:t>
            </w:r>
          </w:p>
          <w:p w14:paraId="5A9D3D1E" w14:textId="77777777" w:rsidR="00422626" w:rsidRPr="00F84A66" w:rsidRDefault="00422626" w:rsidP="006176F8">
            <w:pPr>
              <w:pStyle w:val="Standaard-Tabellen"/>
              <w:rPr>
                <w:lang w:val="en-US"/>
              </w:rPr>
            </w:pPr>
            <w:r w:rsidRPr="00F84A66">
              <w:rPr>
                <w:lang w:val="en-US"/>
              </w:rPr>
              <w:t>ConsExpo Web - Mon Feb 13 2017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7"/>
              <w:gridCol w:w="1277"/>
            </w:tblGrid>
            <w:tr w:rsidR="00422626" w:rsidRPr="00EC20C2" w14:paraId="45487BB3" w14:textId="77777777" w:rsidTr="00B534E4">
              <w:trPr>
                <w:gridAfter w:val="1"/>
                <w:tblCellSpacing w:w="15" w:type="dxa"/>
              </w:trPr>
              <w:tc>
                <w:tcPr>
                  <w:tcW w:w="0" w:type="auto"/>
                  <w:vAlign w:val="center"/>
                  <w:hideMark/>
                </w:tcPr>
                <w:p w14:paraId="5D3E978A" w14:textId="77777777" w:rsidR="00422626" w:rsidRPr="00F84A66" w:rsidRDefault="00422626" w:rsidP="006176F8">
                  <w:pPr>
                    <w:pStyle w:val="Standaard-Tabellen"/>
                    <w:rPr>
                      <w:lang w:val="en-US"/>
                    </w:rPr>
                  </w:pPr>
                  <w:r w:rsidRPr="00F84A66">
                    <w:rPr>
                      <w:lang w:val="en-US"/>
                    </w:rPr>
                    <w:t>Substance</w:t>
                  </w:r>
                </w:p>
              </w:tc>
            </w:tr>
            <w:tr w:rsidR="00422626" w:rsidRPr="00EC20C2" w14:paraId="3D841560" w14:textId="77777777" w:rsidTr="00B534E4">
              <w:trPr>
                <w:tblCellSpacing w:w="15" w:type="dxa"/>
              </w:trPr>
              <w:tc>
                <w:tcPr>
                  <w:tcW w:w="0" w:type="auto"/>
                  <w:vAlign w:val="center"/>
                  <w:hideMark/>
                </w:tcPr>
                <w:p w14:paraId="08BE5174"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0847974D" w14:textId="77777777" w:rsidR="00422626" w:rsidRPr="00F84A66" w:rsidRDefault="00422626" w:rsidP="006176F8">
                  <w:pPr>
                    <w:pStyle w:val="Standaard-Tabellen"/>
                    <w:rPr>
                      <w:lang w:val="en-US"/>
                    </w:rPr>
                  </w:pPr>
                  <w:r w:rsidRPr="00F84A66">
                    <w:rPr>
                      <w:lang w:val="en-US"/>
                    </w:rPr>
                    <w:t>IR3535</w:t>
                  </w:r>
                </w:p>
              </w:tc>
            </w:tr>
            <w:tr w:rsidR="00422626" w:rsidRPr="00EC20C2" w14:paraId="406BB588" w14:textId="77777777" w:rsidTr="00B534E4">
              <w:trPr>
                <w:tblCellSpacing w:w="15" w:type="dxa"/>
              </w:trPr>
              <w:tc>
                <w:tcPr>
                  <w:tcW w:w="0" w:type="auto"/>
                  <w:vAlign w:val="center"/>
                  <w:hideMark/>
                </w:tcPr>
                <w:p w14:paraId="0F34EAC1" w14:textId="77777777" w:rsidR="00422626" w:rsidRPr="00F84A66" w:rsidRDefault="00422626" w:rsidP="006176F8">
                  <w:pPr>
                    <w:pStyle w:val="Standaard-Tabellen"/>
                    <w:rPr>
                      <w:lang w:val="en-US"/>
                    </w:rPr>
                  </w:pPr>
                  <w:r w:rsidRPr="00F84A66">
                    <w:rPr>
                      <w:lang w:val="en-US"/>
                    </w:rPr>
                    <w:t xml:space="preserve">Molecular weight </w:t>
                  </w:r>
                </w:p>
              </w:tc>
              <w:tc>
                <w:tcPr>
                  <w:tcW w:w="0" w:type="auto"/>
                  <w:vAlign w:val="center"/>
                  <w:hideMark/>
                </w:tcPr>
                <w:p w14:paraId="7C1EB0A5" w14:textId="77777777" w:rsidR="00422626" w:rsidRPr="00F84A66" w:rsidRDefault="00422626" w:rsidP="006176F8">
                  <w:pPr>
                    <w:pStyle w:val="Standaard-Tabellen"/>
                    <w:rPr>
                      <w:lang w:val="en-US"/>
                    </w:rPr>
                  </w:pPr>
                  <w:r w:rsidRPr="00F84A66">
                    <w:rPr>
                      <w:lang w:val="en-US"/>
                    </w:rPr>
                    <w:t xml:space="preserve">215 g/mol </w:t>
                  </w:r>
                </w:p>
              </w:tc>
            </w:tr>
            <w:tr w:rsidR="00422626" w:rsidRPr="00EC20C2" w14:paraId="11497F30" w14:textId="77777777" w:rsidTr="00B534E4">
              <w:trPr>
                <w:tblCellSpacing w:w="15" w:type="dxa"/>
              </w:trPr>
              <w:tc>
                <w:tcPr>
                  <w:tcW w:w="0" w:type="auto"/>
                  <w:vAlign w:val="center"/>
                  <w:hideMark/>
                </w:tcPr>
                <w:p w14:paraId="7F200B87" w14:textId="77777777" w:rsidR="00422626" w:rsidRPr="00F84A66" w:rsidRDefault="00422626" w:rsidP="006176F8">
                  <w:pPr>
                    <w:pStyle w:val="Standaard-Tabellen"/>
                    <w:rPr>
                      <w:lang w:val="en-US"/>
                    </w:rPr>
                  </w:pPr>
                  <w:r w:rsidRPr="00F84A66">
                    <w:rPr>
                      <w:lang w:val="en-US"/>
                    </w:rPr>
                    <w:t>K</w:t>
                  </w:r>
                  <w:r w:rsidRPr="00F84A66">
                    <w:rPr>
                      <w:vertAlign w:val="subscript"/>
                      <w:lang w:val="en-US"/>
                    </w:rPr>
                    <w:t>OW</w:t>
                  </w:r>
                </w:p>
              </w:tc>
              <w:tc>
                <w:tcPr>
                  <w:tcW w:w="0" w:type="auto"/>
                  <w:vAlign w:val="center"/>
                  <w:hideMark/>
                </w:tcPr>
                <w:p w14:paraId="0B67342E"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351EB0A6" w14:textId="77777777" w:rsidTr="00B534E4">
              <w:trPr>
                <w:tblCellSpacing w:w="15" w:type="dxa"/>
              </w:trPr>
              <w:tc>
                <w:tcPr>
                  <w:tcW w:w="0" w:type="auto"/>
                  <w:vAlign w:val="center"/>
                  <w:hideMark/>
                </w:tcPr>
                <w:p w14:paraId="4BA109F0" w14:textId="77777777" w:rsidR="00422626" w:rsidRPr="00F84A66" w:rsidRDefault="00422626" w:rsidP="006176F8">
                  <w:pPr>
                    <w:pStyle w:val="Standaard-Tabellen"/>
                    <w:rPr>
                      <w:lang w:val="en-US"/>
                    </w:rPr>
                  </w:pPr>
                  <w:r w:rsidRPr="00F84A66">
                    <w:rPr>
                      <w:lang w:val="en-US"/>
                    </w:rPr>
                    <w:t>Product</w:t>
                  </w:r>
                </w:p>
              </w:tc>
              <w:tc>
                <w:tcPr>
                  <w:tcW w:w="0" w:type="auto"/>
                  <w:vAlign w:val="center"/>
                  <w:hideMark/>
                </w:tcPr>
                <w:p w14:paraId="7C070A2F" w14:textId="77777777" w:rsidR="00422626" w:rsidRPr="00F84A66" w:rsidRDefault="00422626" w:rsidP="006176F8">
                  <w:pPr>
                    <w:pStyle w:val="Standaard-Tabellen"/>
                    <w:rPr>
                      <w:lang w:val="en-US"/>
                    </w:rPr>
                  </w:pPr>
                </w:p>
              </w:tc>
            </w:tr>
            <w:tr w:rsidR="00422626" w:rsidRPr="00EC20C2" w14:paraId="11152F44" w14:textId="77777777" w:rsidTr="00B534E4">
              <w:trPr>
                <w:tblCellSpacing w:w="15" w:type="dxa"/>
              </w:trPr>
              <w:tc>
                <w:tcPr>
                  <w:tcW w:w="0" w:type="auto"/>
                  <w:vAlign w:val="center"/>
                  <w:hideMark/>
                </w:tcPr>
                <w:p w14:paraId="756BA8A4"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3E31A1B3" w14:textId="77777777" w:rsidR="00422626" w:rsidRPr="00F84A66" w:rsidRDefault="00422626" w:rsidP="006176F8">
                  <w:pPr>
                    <w:pStyle w:val="Standaard-Tabellen"/>
                    <w:rPr>
                      <w:lang w:val="en-US"/>
                    </w:rPr>
                  </w:pPr>
                  <w:r w:rsidRPr="00F84A66">
                    <w:rPr>
                      <w:lang w:val="en-US"/>
                    </w:rPr>
                    <w:t>IR PS Lice 20</w:t>
                  </w:r>
                </w:p>
              </w:tc>
            </w:tr>
            <w:tr w:rsidR="00422626" w:rsidRPr="00EC20C2" w14:paraId="0BBD0B9D" w14:textId="77777777" w:rsidTr="00B534E4">
              <w:trPr>
                <w:tblCellSpacing w:w="15" w:type="dxa"/>
              </w:trPr>
              <w:tc>
                <w:tcPr>
                  <w:tcW w:w="0" w:type="auto"/>
                  <w:vAlign w:val="center"/>
                  <w:hideMark/>
                </w:tcPr>
                <w:p w14:paraId="74C2F202" w14:textId="77777777" w:rsidR="00422626" w:rsidRPr="00F84A66" w:rsidRDefault="00422626" w:rsidP="006176F8">
                  <w:pPr>
                    <w:pStyle w:val="Standaard-Tabellen"/>
                    <w:rPr>
                      <w:lang w:val="en-US"/>
                    </w:rPr>
                  </w:pPr>
                  <w:r w:rsidRPr="00F84A66">
                    <w:rPr>
                      <w:lang w:val="en-US"/>
                    </w:rPr>
                    <w:t>Weight fraction substance</w:t>
                  </w:r>
                </w:p>
              </w:tc>
              <w:tc>
                <w:tcPr>
                  <w:tcW w:w="0" w:type="auto"/>
                  <w:vAlign w:val="center"/>
                  <w:hideMark/>
                </w:tcPr>
                <w:p w14:paraId="75CB1A4E" w14:textId="77777777" w:rsidR="00422626" w:rsidRPr="00F84A66" w:rsidRDefault="00422626" w:rsidP="006176F8">
                  <w:pPr>
                    <w:pStyle w:val="Standaard-Tabellen"/>
                    <w:rPr>
                      <w:lang w:val="en-US"/>
                    </w:rPr>
                  </w:pPr>
                  <w:r w:rsidRPr="00F84A66">
                    <w:rPr>
                      <w:lang w:val="en-US"/>
                    </w:rPr>
                    <w:t xml:space="preserve">20 % </w:t>
                  </w:r>
                </w:p>
              </w:tc>
            </w:tr>
            <w:tr w:rsidR="00422626" w:rsidRPr="00EC20C2" w14:paraId="40A74424" w14:textId="77777777" w:rsidTr="00B534E4">
              <w:trPr>
                <w:tblCellSpacing w:w="15" w:type="dxa"/>
              </w:trPr>
              <w:tc>
                <w:tcPr>
                  <w:tcW w:w="0" w:type="auto"/>
                  <w:vAlign w:val="center"/>
                  <w:hideMark/>
                </w:tcPr>
                <w:p w14:paraId="6E734173" w14:textId="77777777" w:rsidR="00422626" w:rsidRPr="00F84A66" w:rsidRDefault="00422626" w:rsidP="006176F8">
                  <w:pPr>
                    <w:pStyle w:val="Standaard-Tabellen"/>
                    <w:rPr>
                      <w:lang w:val="en-US"/>
                    </w:rPr>
                  </w:pPr>
                  <w:r w:rsidRPr="00F84A66">
                    <w:rPr>
                      <w:lang w:val="en-US"/>
                    </w:rPr>
                    <w:t>Population</w:t>
                  </w:r>
                </w:p>
              </w:tc>
              <w:tc>
                <w:tcPr>
                  <w:tcW w:w="0" w:type="auto"/>
                  <w:vAlign w:val="center"/>
                  <w:hideMark/>
                </w:tcPr>
                <w:p w14:paraId="56A2DA8D" w14:textId="77777777" w:rsidR="00422626" w:rsidRPr="00F84A66" w:rsidRDefault="00422626" w:rsidP="006176F8">
                  <w:pPr>
                    <w:pStyle w:val="Standaard-Tabellen"/>
                    <w:rPr>
                      <w:lang w:val="en-US"/>
                    </w:rPr>
                  </w:pPr>
                </w:p>
              </w:tc>
            </w:tr>
            <w:tr w:rsidR="00422626" w:rsidRPr="00EC20C2" w14:paraId="10A61B71" w14:textId="77777777" w:rsidTr="00B534E4">
              <w:trPr>
                <w:tblCellSpacing w:w="15" w:type="dxa"/>
              </w:trPr>
              <w:tc>
                <w:tcPr>
                  <w:tcW w:w="0" w:type="auto"/>
                  <w:vAlign w:val="center"/>
                  <w:hideMark/>
                </w:tcPr>
                <w:p w14:paraId="6BEDE8A6"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210324C3" w14:textId="77777777" w:rsidR="00422626" w:rsidRPr="00F84A66" w:rsidRDefault="00422626" w:rsidP="006176F8">
                  <w:pPr>
                    <w:pStyle w:val="Standaard-Tabellen"/>
                    <w:rPr>
                      <w:lang w:val="en-US"/>
                    </w:rPr>
                  </w:pPr>
                  <w:r w:rsidRPr="00F84A66">
                    <w:rPr>
                      <w:lang w:val="en-US"/>
                    </w:rPr>
                    <w:t>CHILD</w:t>
                  </w:r>
                </w:p>
              </w:tc>
            </w:tr>
            <w:tr w:rsidR="00422626" w:rsidRPr="00EC20C2" w14:paraId="1256EE96" w14:textId="77777777" w:rsidTr="00B534E4">
              <w:trPr>
                <w:tblCellSpacing w:w="15" w:type="dxa"/>
              </w:trPr>
              <w:tc>
                <w:tcPr>
                  <w:tcW w:w="0" w:type="auto"/>
                  <w:vAlign w:val="center"/>
                  <w:hideMark/>
                </w:tcPr>
                <w:p w14:paraId="4F778648" w14:textId="77777777" w:rsidR="00422626" w:rsidRPr="00F84A66" w:rsidRDefault="00422626" w:rsidP="006176F8">
                  <w:pPr>
                    <w:pStyle w:val="Standaard-Tabellen"/>
                    <w:rPr>
                      <w:lang w:val="en-US"/>
                    </w:rPr>
                  </w:pPr>
                  <w:r w:rsidRPr="00F84A66">
                    <w:rPr>
                      <w:lang w:val="en-US"/>
                    </w:rPr>
                    <w:t>Body weight</w:t>
                  </w:r>
                </w:p>
              </w:tc>
              <w:tc>
                <w:tcPr>
                  <w:tcW w:w="0" w:type="auto"/>
                  <w:vAlign w:val="center"/>
                  <w:hideMark/>
                </w:tcPr>
                <w:p w14:paraId="376755E4" w14:textId="77777777" w:rsidR="00422626" w:rsidRPr="00F84A66" w:rsidRDefault="00422626" w:rsidP="006176F8">
                  <w:pPr>
                    <w:pStyle w:val="Standaard-Tabellen"/>
                    <w:rPr>
                      <w:lang w:val="en-US"/>
                    </w:rPr>
                  </w:pPr>
                  <w:r w:rsidRPr="00F84A66">
                    <w:rPr>
                      <w:lang w:val="en-US"/>
                    </w:rPr>
                    <w:t xml:space="preserve">23.9 kg </w:t>
                  </w:r>
                </w:p>
              </w:tc>
            </w:tr>
          </w:tbl>
          <w:p w14:paraId="2C0BB368" w14:textId="77777777" w:rsidR="00422626" w:rsidRPr="00F84A66" w:rsidRDefault="00422626" w:rsidP="006176F8">
            <w:pPr>
              <w:pStyle w:val="Standaard-Tabellen"/>
              <w:rPr>
                <w:lang w:val="en-US"/>
              </w:rPr>
            </w:pPr>
            <w:r w:rsidRPr="00F84A66">
              <w:rPr>
                <w:lang w:val="en-US"/>
              </w:rPr>
              <w:t>Scenario Inhalation of volatilised residues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1"/>
              <w:gridCol w:w="190"/>
            </w:tblGrid>
            <w:tr w:rsidR="00422626" w:rsidRPr="00EC20C2" w14:paraId="3751B937" w14:textId="77777777" w:rsidTr="00B534E4">
              <w:trPr>
                <w:tblCellSpacing w:w="15" w:type="dxa"/>
              </w:trPr>
              <w:tc>
                <w:tcPr>
                  <w:tcW w:w="0" w:type="auto"/>
                  <w:vAlign w:val="center"/>
                  <w:hideMark/>
                </w:tcPr>
                <w:p w14:paraId="57EE5820" w14:textId="77777777" w:rsidR="00422626" w:rsidRPr="00F84A66" w:rsidRDefault="00422626" w:rsidP="006176F8">
                  <w:pPr>
                    <w:pStyle w:val="Standaard-Tabellen"/>
                    <w:rPr>
                      <w:lang w:val="en-US"/>
                    </w:rPr>
                  </w:pPr>
                  <w:r w:rsidRPr="00F84A66">
                    <w:rPr>
                      <w:lang w:val="en-US"/>
                    </w:rPr>
                    <w:t>Frequency</w:t>
                  </w:r>
                </w:p>
              </w:tc>
              <w:tc>
                <w:tcPr>
                  <w:tcW w:w="0" w:type="auto"/>
                  <w:vAlign w:val="center"/>
                  <w:hideMark/>
                </w:tcPr>
                <w:p w14:paraId="6DB79811"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2546FF11" w14:textId="77777777" w:rsidTr="00B534E4">
              <w:trPr>
                <w:tblCellSpacing w:w="15" w:type="dxa"/>
              </w:trPr>
              <w:tc>
                <w:tcPr>
                  <w:tcW w:w="0" w:type="auto"/>
                  <w:vAlign w:val="center"/>
                  <w:hideMark/>
                </w:tcPr>
                <w:p w14:paraId="553B4254" w14:textId="77777777" w:rsidR="00422626" w:rsidRPr="00F84A66" w:rsidRDefault="00422626" w:rsidP="006176F8">
                  <w:pPr>
                    <w:pStyle w:val="Standaard-Tabellen"/>
                    <w:rPr>
                      <w:lang w:val="en-US"/>
                    </w:rPr>
                  </w:pPr>
                  <w:r w:rsidRPr="00F84A66">
                    <w:rPr>
                      <w:lang w:val="en-US"/>
                    </w:rPr>
                    <w:t>Description</w:t>
                  </w:r>
                </w:p>
              </w:tc>
              <w:tc>
                <w:tcPr>
                  <w:tcW w:w="0" w:type="auto"/>
                  <w:vAlign w:val="center"/>
                  <w:hideMark/>
                </w:tcPr>
                <w:p w14:paraId="5D6C7811" w14:textId="77777777" w:rsidR="00422626" w:rsidRPr="00F84A66" w:rsidRDefault="00422626" w:rsidP="006176F8">
                  <w:pPr>
                    <w:pStyle w:val="Standaard-Tabellen"/>
                    <w:rPr>
                      <w:lang w:val="en-US"/>
                    </w:rPr>
                  </w:pPr>
                </w:p>
              </w:tc>
            </w:tr>
          </w:tbl>
          <w:p w14:paraId="2FB3EF51" w14:textId="77777777" w:rsidR="00422626" w:rsidRPr="00F84A66" w:rsidRDefault="00422626" w:rsidP="006176F8">
            <w:pPr>
              <w:pStyle w:val="Standaard-Tabellen"/>
              <w:rPr>
                <w:lang w:val="en-US"/>
              </w:rPr>
            </w:pPr>
            <w:r w:rsidRPr="00F84A66">
              <w:rPr>
                <w:lang w:val="en-US"/>
              </w:rPr>
              <w:t>Inhalation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6"/>
              <w:gridCol w:w="4057"/>
            </w:tblGrid>
            <w:tr w:rsidR="00422626" w:rsidRPr="00EC20C2" w14:paraId="1EC91322" w14:textId="77777777" w:rsidTr="00B534E4">
              <w:trPr>
                <w:tblCellSpacing w:w="15" w:type="dxa"/>
              </w:trPr>
              <w:tc>
                <w:tcPr>
                  <w:tcW w:w="0" w:type="auto"/>
                  <w:vAlign w:val="center"/>
                  <w:hideMark/>
                </w:tcPr>
                <w:p w14:paraId="24F0BC7C"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427BB484" w14:textId="77777777" w:rsidR="00422626" w:rsidRPr="00F84A66" w:rsidRDefault="00422626" w:rsidP="006176F8">
                  <w:pPr>
                    <w:pStyle w:val="Standaard-Tabellen"/>
                    <w:rPr>
                      <w:lang w:val="en-US"/>
                    </w:rPr>
                  </w:pPr>
                  <w:r w:rsidRPr="00F84A66">
                    <w:rPr>
                      <w:lang w:val="en-US"/>
                    </w:rPr>
                    <w:t xml:space="preserve">Exposure to vapour - Instantaneous release </w:t>
                  </w:r>
                </w:p>
              </w:tc>
            </w:tr>
            <w:tr w:rsidR="00422626" w:rsidRPr="00EC20C2" w14:paraId="1201B4A9" w14:textId="77777777" w:rsidTr="00B534E4">
              <w:trPr>
                <w:tblCellSpacing w:w="15" w:type="dxa"/>
              </w:trPr>
              <w:tc>
                <w:tcPr>
                  <w:tcW w:w="0" w:type="auto"/>
                  <w:vAlign w:val="center"/>
                  <w:hideMark/>
                </w:tcPr>
                <w:p w14:paraId="22EFB766" w14:textId="77777777" w:rsidR="00422626" w:rsidRPr="00F84A66" w:rsidRDefault="00422626" w:rsidP="006176F8">
                  <w:pPr>
                    <w:pStyle w:val="Standaard-Tabellen"/>
                    <w:rPr>
                      <w:lang w:val="en-US"/>
                    </w:rPr>
                  </w:pPr>
                  <w:r w:rsidRPr="00F84A66">
                    <w:rPr>
                      <w:lang w:val="en-US"/>
                    </w:rPr>
                    <w:t>Exposure duration</w:t>
                  </w:r>
                </w:p>
              </w:tc>
              <w:tc>
                <w:tcPr>
                  <w:tcW w:w="0" w:type="auto"/>
                  <w:vAlign w:val="center"/>
                  <w:hideMark/>
                </w:tcPr>
                <w:p w14:paraId="615B98CC" w14:textId="77777777" w:rsidR="00422626" w:rsidRPr="00F84A66" w:rsidRDefault="00422626" w:rsidP="006176F8">
                  <w:pPr>
                    <w:pStyle w:val="Standaard-Tabellen"/>
                    <w:rPr>
                      <w:lang w:val="en-US"/>
                    </w:rPr>
                  </w:pPr>
                  <w:r w:rsidRPr="00F84A66">
                    <w:rPr>
                      <w:lang w:val="en-US"/>
                    </w:rPr>
                    <w:t xml:space="preserve">24 hour </w:t>
                  </w:r>
                </w:p>
              </w:tc>
            </w:tr>
            <w:tr w:rsidR="00422626" w:rsidRPr="00EC20C2" w14:paraId="5D0E2490" w14:textId="77777777" w:rsidTr="00B534E4">
              <w:trPr>
                <w:tblCellSpacing w:w="15" w:type="dxa"/>
              </w:trPr>
              <w:tc>
                <w:tcPr>
                  <w:tcW w:w="0" w:type="auto"/>
                  <w:vAlign w:val="center"/>
                  <w:hideMark/>
                </w:tcPr>
                <w:p w14:paraId="667C761C" w14:textId="77777777" w:rsidR="00422626" w:rsidRPr="00F84A66" w:rsidRDefault="00422626" w:rsidP="006176F8">
                  <w:pPr>
                    <w:pStyle w:val="Standaard-Tabellen"/>
                    <w:rPr>
                      <w:lang w:val="en-US"/>
                    </w:rPr>
                  </w:pPr>
                  <w:r w:rsidRPr="00F84A66">
                    <w:rPr>
                      <w:lang w:val="en-US"/>
                    </w:rPr>
                    <w:t>Product amount</w:t>
                  </w:r>
                </w:p>
              </w:tc>
              <w:tc>
                <w:tcPr>
                  <w:tcW w:w="0" w:type="auto"/>
                  <w:vAlign w:val="center"/>
                  <w:hideMark/>
                </w:tcPr>
                <w:p w14:paraId="4FCBEB49" w14:textId="77777777" w:rsidR="00422626" w:rsidRPr="00F84A66" w:rsidRDefault="00422626" w:rsidP="006176F8">
                  <w:pPr>
                    <w:pStyle w:val="Standaard-Tabellen"/>
                    <w:rPr>
                      <w:lang w:val="en-US"/>
                    </w:rPr>
                  </w:pPr>
                  <w:r w:rsidRPr="00F84A66">
                    <w:rPr>
                      <w:lang w:val="en-US"/>
                    </w:rPr>
                    <w:t xml:space="preserve">1.5 g </w:t>
                  </w:r>
                </w:p>
              </w:tc>
            </w:tr>
            <w:tr w:rsidR="00422626" w:rsidRPr="00EC20C2" w14:paraId="4B83DD6C" w14:textId="77777777" w:rsidTr="00B534E4">
              <w:trPr>
                <w:tblCellSpacing w:w="15" w:type="dxa"/>
              </w:trPr>
              <w:tc>
                <w:tcPr>
                  <w:tcW w:w="0" w:type="auto"/>
                  <w:vAlign w:val="center"/>
                  <w:hideMark/>
                </w:tcPr>
                <w:p w14:paraId="029D8860" w14:textId="77777777" w:rsidR="00422626" w:rsidRPr="00F84A66" w:rsidRDefault="00422626" w:rsidP="006176F8">
                  <w:pPr>
                    <w:pStyle w:val="Standaard-Tabellen"/>
                    <w:rPr>
                      <w:lang w:val="en-US"/>
                    </w:rPr>
                  </w:pPr>
                  <w:r w:rsidRPr="00F84A66">
                    <w:rPr>
                      <w:lang w:val="en-US"/>
                    </w:rPr>
                    <w:t>Weight fraction substance</w:t>
                  </w:r>
                </w:p>
              </w:tc>
              <w:tc>
                <w:tcPr>
                  <w:tcW w:w="0" w:type="auto"/>
                  <w:vAlign w:val="center"/>
                  <w:hideMark/>
                </w:tcPr>
                <w:p w14:paraId="7085791A" w14:textId="77777777" w:rsidR="00422626" w:rsidRPr="00F84A66" w:rsidRDefault="00422626" w:rsidP="006176F8">
                  <w:pPr>
                    <w:pStyle w:val="Standaard-Tabellen"/>
                    <w:rPr>
                      <w:lang w:val="en-US"/>
                    </w:rPr>
                  </w:pPr>
                  <w:r w:rsidRPr="00F84A66">
                    <w:rPr>
                      <w:lang w:val="en-US"/>
                    </w:rPr>
                    <w:t xml:space="preserve">20 % </w:t>
                  </w:r>
                </w:p>
              </w:tc>
            </w:tr>
            <w:tr w:rsidR="00422626" w:rsidRPr="00EC20C2" w14:paraId="78232EAA" w14:textId="77777777" w:rsidTr="00B534E4">
              <w:trPr>
                <w:tblCellSpacing w:w="15" w:type="dxa"/>
              </w:trPr>
              <w:tc>
                <w:tcPr>
                  <w:tcW w:w="0" w:type="auto"/>
                  <w:vAlign w:val="center"/>
                  <w:hideMark/>
                </w:tcPr>
                <w:p w14:paraId="1CD25646" w14:textId="77777777" w:rsidR="00422626" w:rsidRPr="00F84A66" w:rsidRDefault="00422626" w:rsidP="006176F8">
                  <w:pPr>
                    <w:pStyle w:val="Standaard-Tabellen"/>
                    <w:rPr>
                      <w:lang w:val="en-US"/>
                    </w:rPr>
                  </w:pPr>
                  <w:r w:rsidRPr="00F84A66">
                    <w:rPr>
                      <w:lang w:val="en-US"/>
                    </w:rPr>
                    <w:t>Room volume</w:t>
                  </w:r>
                </w:p>
              </w:tc>
              <w:tc>
                <w:tcPr>
                  <w:tcW w:w="0" w:type="auto"/>
                  <w:vAlign w:val="center"/>
                  <w:hideMark/>
                </w:tcPr>
                <w:p w14:paraId="4C446D55" w14:textId="77777777" w:rsidR="00422626" w:rsidRPr="00F84A66" w:rsidRDefault="00422626" w:rsidP="006176F8">
                  <w:pPr>
                    <w:pStyle w:val="Standaard-Tabellen"/>
                    <w:rPr>
                      <w:lang w:val="en-US"/>
                    </w:rPr>
                  </w:pPr>
                  <w:r w:rsidRPr="00F84A66">
                    <w:rPr>
                      <w:lang w:val="en-US"/>
                    </w:rPr>
                    <w:t xml:space="preserve">20 m³ </w:t>
                  </w:r>
                </w:p>
              </w:tc>
            </w:tr>
            <w:tr w:rsidR="00422626" w:rsidRPr="00EC20C2" w14:paraId="72A0876D" w14:textId="77777777" w:rsidTr="00B534E4">
              <w:trPr>
                <w:tblCellSpacing w:w="15" w:type="dxa"/>
              </w:trPr>
              <w:tc>
                <w:tcPr>
                  <w:tcW w:w="0" w:type="auto"/>
                  <w:vAlign w:val="center"/>
                  <w:hideMark/>
                </w:tcPr>
                <w:p w14:paraId="78C23953" w14:textId="77777777" w:rsidR="00422626" w:rsidRPr="00F84A66" w:rsidRDefault="00422626" w:rsidP="006176F8">
                  <w:pPr>
                    <w:pStyle w:val="Standaard-Tabellen"/>
                    <w:rPr>
                      <w:lang w:val="en-US"/>
                    </w:rPr>
                  </w:pPr>
                  <w:r w:rsidRPr="00F84A66">
                    <w:rPr>
                      <w:lang w:val="en-US"/>
                    </w:rPr>
                    <w:t>Ventilation rate</w:t>
                  </w:r>
                </w:p>
              </w:tc>
              <w:tc>
                <w:tcPr>
                  <w:tcW w:w="0" w:type="auto"/>
                  <w:vAlign w:val="center"/>
                  <w:hideMark/>
                </w:tcPr>
                <w:p w14:paraId="4E1E11DF" w14:textId="77777777" w:rsidR="00422626" w:rsidRPr="00F84A66" w:rsidRDefault="00422626" w:rsidP="006176F8">
                  <w:pPr>
                    <w:pStyle w:val="Standaard-Tabellen"/>
                    <w:rPr>
                      <w:lang w:val="en-US"/>
                    </w:rPr>
                  </w:pPr>
                  <w:r w:rsidRPr="00F84A66">
                    <w:rPr>
                      <w:lang w:val="en-US"/>
                    </w:rPr>
                    <w:t xml:space="preserve">0.6 per hour </w:t>
                  </w:r>
                </w:p>
              </w:tc>
            </w:tr>
            <w:tr w:rsidR="00422626" w:rsidRPr="00EC20C2" w14:paraId="30CFBEFF" w14:textId="77777777" w:rsidTr="00B534E4">
              <w:trPr>
                <w:tblCellSpacing w:w="15" w:type="dxa"/>
              </w:trPr>
              <w:tc>
                <w:tcPr>
                  <w:tcW w:w="0" w:type="auto"/>
                  <w:vAlign w:val="center"/>
                  <w:hideMark/>
                </w:tcPr>
                <w:p w14:paraId="137864A0" w14:textId="77777777" w:rsidR="00422626" w:rsidRPr="00F84A66" w:rsidRDefault="00422626" w:rsidP="006176F8">
                  <w:pPr>
                    <w:pStyle w:val="Standaard-Tabellen"/>
                    <w:rPr>
                      <w:lang w:val="en-US"/>
                    </w:rPr>
                  </w:pPr>
                  <w:r w:rsidRPr="00F84A66">
                    <w:rPr>
                      <w:lang w:val="en-US"/>
                    </w:rPr>
                    <w:t>Inhalation rate</w:t>
                  </w:r>
                </w:p>
              </w:tc>
              <w:tc>
                <w:tcPr>
                  <w:tcW w:w="0" w:type="auto"/>
                  <w:vAlign w:val="center"/>
                  <w:hideMark/>
                </w:tcPr>
                <w:p w14:paraId="0CB903B4" w14:textId="77777777" w:rsidR="00422626" w:rsidRPr="00F84A66" w:rsidRDefault="00422626" w:rsidP="006176F8">
                  <w:pPr>
                    <w:pStyle w:val="Standaard-Tabellen"/>
                    <w:rPr>
                      <w:lang w:val="en-US"/>
                    </w:rPr>
                  </w:pPr>
                  <w:r w:rsidRPr="00F84A66">
                    <w:rPr>
                      <w:lang w:val="en-US"/>
                    </w:rPr>
                    <w:t xml:space="preserve">1.32 m³/hr </w:t>
                  </w:r>
                </w:p>
              </w:tc>
            </w:tr>
            <w:tr w:rsidR="00422626" w:rsidRPr="00EC20C2" w14:paraId="1CDB21C2" w14:textId="77777777" w:rsidTr="00B534E4">
              <w:trPr>
                <w:tblCellSpacing w:w="15" w:type="dxa"/>
              </w:trPr>
              <w:tc>
                <w:tcPr>
                  <w:tcW w:w="0" w:type="auto"/>
                  <w:vAlign w:val="center"/>
                  <w:hideMark/>
                </w:tcPr>
                <w:p w14:paraId="2CDF15BA" w14:textId="77777777" w:rsidR="00422626" w:rsidRPr="00F84A66" w:rsidRDefault="00422626" w:rsidP="006176F8">
                  <w:pPr>
                    <w:pStyle w:val="Standaard-Tabellen"/>
                    <w:rPr>
                      <w:lang w:val="en-US"/>
                    </w:rPr>
                  </w:pPr>
                  <w:r w:rsidRPr="00F84A66">
                    <w:rPr>
                      <w:lang w:val="en-US"/>
                    </w:rPr>
                    <w:t>Limit concentration to saturated air concentration</w:t>
                  </w:r>
                </w:p>
              </w:tc>
              <w:tc>
                <w:tcPr>
                  <w:tcW w:w="0" w:type="auto"/>
                  <w:vAlign w:val="center"/>
                  <w:hideMark/>
                </w:tcPr>
                <w:p w14:paraId="0551594A" w14:textId="77777777" w:rsidR="00422626" w:rsidRPr="00F84A66" w:rsidRDefault="00422626" w:rsidP="006176F8">
                  <w:pPr>
                    <w:pStyle w:val="Standaard-Tabellen"/>
                    <w:rPr>
                      <w:lang w:val="en-US"/>
                    </w:rPr>
                  </w:pPr>
                  <w:r w:rsidRPr="00F84A66">
                    <w:rPr>
                      <w:lang w:val="en-US"/>
                    </w:rPr>
                    <w:t xml:space="preserve">No </w:t>
                  </w:r>
                </w:p>
              </w:tc>
            </w:tr>
            <w:tr w:rsidR="00422626" w:rsidRPr="00EC20C2" w14:paraId="2952BEE3" w14:textId="77777777" w:rsidTr="00B534E4">
              <w:trPr>
                <w:tblCellSpacing w:w="15" w:type="dxa"/>
              </w:trPr>
              <w:tc>
                <w:tcPr>
                  <w:tcW w:w="0" w:type="auto"/>
                  <w:vAlign w:val="center"/>
                  <w:hideMark/>
                </w:tcPr>
                <w:p w14:paraId="1DAAD9F5"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3E78549C" w14:textId="77777777" w:rsidR="00422626" w:rsidRPr="00F84A66" w:rsidRDefault="00422626" w:rsidP="006176F8">
                  <w:pPr>
                    <w:pStyle w:val="Standaard-Tabellen"/>
                    <w:rPr>
                      <w:lang w:val="en-US"/>
                    </w:rPr>
                  </w:pPr>
                  <w:r w:rsidRPr="00F84A66">
                    <w:rPr>
                      <w:lang w:val="en-US"/>
                    </w:rPr>
                    <w:t xml:space="preserve">Fixed fraction </w:t>
                  </w:r>
                </w:p>
              </w:tc>
            </w:tr>
            <w:tr w:rsidR="00422626" w:rsidRPr="00EC20C2" w14:paraId="0417DD2D" w14:textId="77777777" w:rsidTr="00B534E4">
              <w:trPr>
                <w:tblCellSpacing w:w="15" w:type="dxa"/>
              </w:trPr>
              <w:tc>
                <w:tcPr>
                  <w:tcW w:w="0" w:type="auto"/>
                  <w:vAlign w:val="center"/>
                  <w:hideMark/>
                </w:tcPr>
                <w:p w14:paraId="6671D89D" w14:textId="77777777" w:rsidR="00422626" w:rsidRPr="00F84A66" w:rsidRDefault="00422626" w:rsidP="006176F8">
                  <w:pPr>
                    <w:pStyle w:val="Standaard-Tabellen"/>
                    <w:rPr>
                      <w:lang w:val="en-US"/>
                    </w:rPr>
                  </w:pPr>
                  <w:r w:rsidRPr="00F84A66">
                    <w:rPr>
                      <w:lang w:val="en-US"/>
                    </w:rPr>
                    <w:t>Absorption fraction</w:t>
                  </w:r>
                </w:p>
              </w:tc>
              <w:tc>
                <w:tcPr>
                  <w:tcW w:w="0" w:type="auto"/>
                  <w:vAlign w:val="center"/>
                  <w:hideMark/>
                </w:tcPr>
                <w:p w14:paraId="388FEA2F" w14:textId="77777777" w:rsidR="00422626" w:rsidRPr="00F84A66" w:rsidRDefault="00422626" w:rsidP="006176F8">
                  <w:pPr>
                    <w:pStyle w:val="Standaard-Tabellen"/>
                    <w:rPr>
                      <w:lang w:val="en-US"/>
                    </w:rPr>
                  </w:pPr>
                  <w:r w:rsidRPr="00F84A66">
                    <w:rPr>
                      <w:lang w:val="en-US"/>
                    </w:rPr>
                    <w:t xml:space="preserve">100 % </w:t>
                  </w:r>
                </w:p>
              </w:tc>
            </w:tr>
          </w:tbl>
          <w:p w14:paraId="228CC17E" w14:textId="77777777" w:rsidR="00422626" w:rsidRPr="00F84A66" w:rsidRDefault="00422626" w:rsidP="006176F8">
            <w:pPr>
              <w:pStyle w:val="Standaard-Tabellen"/>
              <w:rPr>
                <w:lang w:val="en-US"/>
              </w:rPr>
            </w:pPr>
            <w:r w:rsidRPr="00F84A66">
              <w:rPr>
                <w:lang w:val="en-US"/>
              </w:rPr>
              <w:t>Dermal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428"/>
            </w:tblGrid>
            <w:tr w:rsidR="00422626" w:rsidRPr="00EC20C2" w14:paraId="7A529BC4" w14:textId="77777777" w:rsidTr="00B534E4">
              <w:trPr>
                <w:tblCellSpacing w:w="15" w:type="dxa"/>
              </w:trPr>
              <w:tc>
                <w:tcPr>
                  <w:tcW w:w="0" w:type="auto"/>
                  <w:vAlign w:val="center"/>
                  <w:hideMark/>
                </w:tcPr>
                <w:p w14:paraId="0CE7D6D1"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3528D3D0" w14:textId="77777777" w:rsidR="00422626" w:rsidRPr="00F84A66" w:rsidRDefault="00422626" w:rsidP="006176F8">
                  <w:pPr>
                    <w:pStyle w:val="Standaard-Tabellen"/>
                    <w:rPr>
                      <w:lang w:val="en-US"/>
                    </w:rPr>
                  </w:pPr>
                  <w:r w:rsidRPr="00F84A66">
                    <w:rPr>
                      <w:lang w:val="en-US"/>
                    </w:rPr>
                    <w:t xml:space="preserve">n.a. </w:t>
                  </w:r>
                </w:p>
              </w:tc>
            </w:tr>
            <w:tr w:rsidR="00422626" w:rsidRPr="00EC20C2" w14:paraId="61328499" w14:textId="77777777" w:rsidTr="00B534E4">
              <w:trPr>
                <w:tblCellSpacing w:w="15" w:type="dxa"/>
              </w:trPr>
              <w:tc>
                <w:tcPr>
                  <w:tcW w:w="0" w:type="auto"/>
                  <w:vAlign w:val="center"/>
                  <w:hideMark/>
                </w:tcPr>
                <w:p w14:paraId="4E2E99CD"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6CCF2104" w14:textId="77777777" w:rsidR="00422626" w:rsidRPr="00F84A66" w:rsidRDefault="00422626" w:rsidP="006176F8">
                  <w:pPr>
                    <w:pStyle w:val="Standaard-Tabellen"/>
                    <w:rPr>
                      <w:lang w:val="en-US"/>
                    </w:rPr>
                  </w:pPr>
                  <w:r w:rsidRPr="00F84A66">
                    <w:rPr>
                      <w:lang w:val="en-US"/>
                    </w:rPr>
                    <w:t xml:space="preserve">n.a. </w:t>
                  </w:r>
                </w:p>
              </w:tc>
            </w:tr>
          </w:tbl>
          <w:p w14:paraId="6A15BC05" w14:textId="77777777" w:rsidR="00422626" w:rsidRPr="00F84A66" w:rsidRDefault="00422626" w:rsidP="006176F8">
            <w:pPr>
              <w:pStyle w:val="Standaard-Tabellen"/>
              <w:rPr>
                <w:lang w:val="en-US"/>
              </w:rPr>
            </w:pPr>
            <w:r w:rsidRPr="00F84A66">
              <w:rPr>
                <w:lang w:val="en-US"/>
              </w:rPr>
              <w:t>Oral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428"/>
            </w:tblGrid>
            <w:tr w:rsidR="00422626" w:rsidRPr="00EC20C2" w14:paraId="076CC656" w14:textId="77777777" w:rsidTr="00B534E4">
              <w:trPr>
                <w:tblCellSpacing w:w="15" w:type="dxa"/>
              </w:trPr>
              <w:tc>
                <w:tcPr>
                  <w:tcW w:w="0" w:type="auto"/>
                  <w:vAlign w:val="center"/>
                  <w:hideMark/>
                </w:tcPr>
                <w:p w14:paraId="5EDAEEDF"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100ABFCD" w14:textId="77777777" w:rsidR="00422626" w:rsidRPr="00F84A66" w:rsidRDefault="00422626" w:rsidP="006176F8">
                  <w:pPr>
                    <w:pStyle w:val="Standaard-Tabellen"/>
                    <w:rPr>
                      <w:lang w:val="en-US"/>
                    </w:rPr>
                  </w:pPr>
                  <w:r w:rsidRPr="00F84A66">
                    <w:rPr>
                      <w:lang w:val="en-US"/>
                    </w:rPr>
                    <w:t xml:space="preserve">n.a. </w:t>
                  </w:r>
                </w:p>
              </w:tc>
            </w:tr>
            <w:tr w:rsidR="00422626" w:rsidRPr="00EC20C2" w14:paraId="77FC172D" w14:textId="77777777" w:rsidTr="00B534E4">
              <w:trPr>
                <w:tblCellSpacing w:w="15" w:type="dxa"/>
              </w:trPr>
              <w:tc>
                <w:tcPr>
                  <w:tcW w:w="0" w:type="auto"/>
                  <w:vAlign w:val="center"/>
                  <w:hideMark/>
                </w:tcPr>
                <w:p w14:paraId="730180D2"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1BB7DF3E" w14:textId="77777777" w:rsidR="00422626" w:rsidRPr="00F84A66" w:rsidRDefault="00422626" w:rsidP="006176F8">
                  <w:pPr>
                    <w:pStyle w:val="Standaard-Tabellen"/>
                    <w:rPr>
                      <w:lang w:val="en-US"/>
                    </w:rPr>
                  </w:pPr>
                  <w:r w:rsidRPr="00F84A66">
                    <w:rPr>
                      <w:lang w:val="en-US"/>
                    </w:rPr>
                    <w:t xml:space="preserve">n.a. </w:t>
                  </w:r>
                </w:p>
              </w:tc>
            </w:tr>
          </w:tbl>
          <w:p w14:paraId="1D120865" w14:textId="77777777" w:rsidR="00422626" w:rsidRPr="00F84A66" w:rsidRDefault="00422626" w:rsidP="006176F8">
            <w:pPr>
              <w:pStyle w:val="Standaard-Tabellen"/>
              <w:rPr>
                <w:lang w:val="en-US"/>
              </w:rPr>
            </w:pPr>
            <w:r w:rsidRPr="00F84A66">
              <w:rPr>
                <w:lang w:val="en-US"/>
              </w:rPr>
              <w:t>Results for scenario Inhalation of volatilised residues</w:t>
            </w:r>
          </w:p>
          <w:p w14:paraId="57D8C5A9" w14:textId="77777777" w:rsidR="00422626" w:rsidRPr="00F84A66" w:rsidRDefault="00422626" w:rsidP="006176F8">
            <w:pPr>
              <w:pStyle w:val="Standaard-Tabellen"/>
              <w:rPr>
                <w:lang w:val="en-US"/>
              </w:rPr>
            </w:pPr>
            <w:r w:rsidRPr="00F84A66">
              <w:rPr>
                <w:lang w:val="en-US"/>
              </w:rPr>
              <w:t>Inhalation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3"/>
              <w:gridCol w:w="1343"/>
            </w:tblGrid>
            <w:tr w:rsidR="00422626" w:rsidRPr="00EC20C2" w14:paraId="6D3ADEB7" w14:textId="77777777" w:rsidTr="00B534E4">
              <w:trPr>
                <w:tblCellSpacing w:w="15" w:type="dxa"/>
              </w:trPr>
              <w:tc>
                <w:tcPr>
                  <w:tcW w:w="0" w:type="auto"/>
                  <w:vAlign w:val="center"/>
                  <w:hideMark/>
                </w:tcPr>
                <w:p w14:paraId="3223BC5D" w14:textId="77777777" w:rsidR="00422626" w:rsidRPr="00F84A66" w:rsidRDefault="00422626" w:rsidP="006176F8">
                  <w:pPr>
                    <w:pStyle w:val="Standaard-Tabellen"/>
                    <w:rPr>
                      <w:lang w:val="en-US"/>
                    </w:rPr>
                  </w:pPr>
                  <w:r w:rsidRPr="00F84A66">
                    <w:rPr>
                      <w:lang w:val="en-US"/>
                    </w:rPr>
                    <w:t>Mean event concentration</w:t>
                  </w:r>
                </w:p>
              </w:tc>
              <w:tc>
                <w:tcPr>
                  <w:tcW w:w="0" w:type="auto"/>
                  <w:vAlign w:val="center"/>
                  <w:hideMark/>
                </w:tcPr>
                <w:p w14:paraId="1FFDF8B4" w14:textId="77777777" w:rsidR="00422626" w:rsidRPr="00F84A66" w:rsidRDefault="00422626" w:rsidP="006176F8">
                  <w:pPr>
                    <w:pStyle w:val="Standaard-Tabellen"/>
                    <w:rPr>
                      <w:lang w:val="en-US"/>
                    </w:rPr>
                  </w:pPr>
                  <w:r w:rsidRPr="00F84A66">
                    <w:rPr>
                      <w:lang w:val="en-US"/>
                    </w:rPr>
                    <w:t xml:space="preserve">1.0 mg/m³ </w:t>
                  </w:r>
                </w:p>
              </w:tc>
            </w:tr>
            <w:tr w:rsidR="00422626" w:rsidRPr="00EC20C2" w14:paraId="7EF579C2" w14:textId="77777777" w:rsidTr="00B534E4">
              <w:trPr>
                <w:tblCellSpacing w:w="15" w:type="dxa"/>
              </w:trPr>
              <w:tc>
                <w:tcPr>
                  <w:tcW w:w="0" w:type="auto"/>
                  <w:vAlign w:val="center"/>
                  <w:hideMark/>
                </w:tcPr>
                <w:p w14:paraId="067EFDB5" w14:textId="77777777" w:rsidR="00422626" w:rsidRPr="00F84A66" w:rsidRDefault="00422626" w:rsidP="006176F8">
                  <w:pPr>
                    <w:pStyle w:val="Standaard-Tabellen"/>
                    <w:rPr>
                      <w:lang w:val="en-US"/>
                    </w:rPr>
                  </w:pPr>
                  <w:r w:rsidRPr="00F84A66">
                    <w:rPr>
                      <w:lang w:val="en-US"/>
                    </w:rPr>
                    <w:t>Mean concentration on day of exposure</w:t>
                  </w:r>
                </w:p>
              </w:tc>
              <w:tc>
                <w:tcPr>
                  <w:tcW w:w="0" w:type="auto"/>
                  <w:vAlign w:val="center"/>
                  <w:hideMark/>
                </w:tcPr>
                <w:p w14:paraId="50D7B988"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2B754E74" w14:textId="77777777" w:rsidTr="00B534E4">
              <w:trPr>
                <w:tblCellSpacing w:w="15" w:type="dxa"/>
              </w:trPr>
              <w:tc>
                <w:tcPr>
                  <w:tcW w:w="0" w:type="auto"/>
                  <w:vAlign w:val="center"/>
                  <w:hideMark/>
                </w:tcPr>
                <w:p w14:paraId="2A4D0223" w14:textId="77777777" w:rsidR="00422626" w:rsidRPr="00F84A66" w:rsidRDefault="00422626" w:rsidP="006176F8">
                  <w:pPr>
                    <w:pStyle w:val="Standaard-Tabellen"/>
                    <w:rPr>
                      <w:lang w:val="en-US"/>
                    </w:rPr>
                  </w:pPr>
                  <w:r w:rsidRPr="00F84A66">
                    <w:rPr>
                      <w:lang w:val="en-US"/>
                    </w:rPr>
                    <w:t>Year average concentration</w:t>
                  </w:r>
                </w:p>
              </w:tc>
              <w:tc>
                <w:tcPr>
                  <w:tcW w:w="0" w:type="auto"/>
                  <w:vAlign w:val="center"/>
                  <w:hideMark/>
                </w:tcPr>
                <w:p w14:paraId="6757B987"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17A55963" w14:textId="77777777" w:rsidTr="00B534E4">
              <w:trPr>
                <w:tblCellSpacing w:w="15" w:type="dxa"/>
              </w:trPr>
              <w:tc>
                <w:tcPr>
                  <w:tcW w:w="0" w:type="auto"/>
                  <w:vAlign w:val="center"/>
                  <w:hideMark/>
                </w:tcPr>
                <w:p w14:paraId="4E4F8CE2" w14:textId="77777777" w:rsidR="00422626" w:rsidRPr="00F84A66" w:rsidRDefault="00422626" w:rsidP="006176F8">
                  <w:pPr>
                    <w:pStyle w:val="Standaard-Tabellen"/>
                    <w:rPr>
                      <w:lang w:val="en-US"/>
                    </w:rPr>
                  </w:pPr>
                  <w:r w:rsidRPr="00F84A66">
                    <w:rPr>
                      <w:lang w:val="en-US"/>
                    </w:rPr>
                    <w:t>External event dose</w:t>
                  </w:r>
                </w:p>
              </w:tc>
              <w:tc>
                <w:tcPr>
                  <w:tcW w:w="0" w:type="auto"/>
                  <w:vAlign w:val="center"/>
                  <w:hideMark/>
                </w:tcPr>
                <w:p w14:paraId="5CDCA4A6" w14:textId="77777777" w:rsidR="00422626" w:rsidRPr="00F84A66" w:rsidRDefault="00422626" w:rsidP="006176F8">
                  <w:pPr>
                    <w:pStyle w:val="Standaard-Tabellen"/>
                    <w:rPr>
                      <w:lang w:val="en-US"/>
                    </w:rPr>
                  </w:pPr>
                  <w:r w:rsidRPr="00F84A66">
                    <w:rPr>
                      <w:lang w:val="en-US"/>
                    </w:rPr>
                    <w:t xml:space="preserve">1.4 mg/kg bw </w:t>
                  </w:r>
                </w:p>
              </w:tc>
            </w:tr>
            <w:tr w:rsidR="00422626" w:rsidRPr="00EC20C2" w14:paraId="04AAA8BE" w14:textId="77777777" w:rsidTr="00B534E4">
              <w:trPr>
                <w:tblCellSpacing w:w="15" w:type="dxa"/>
              </w:trPr>
              <w:tc>
                <w:tcPr>
                  <w:tcW w:w="0" w:type="auto"/>
                  <w:vAlign w:val="center"/>
                  <w:hideMark/>
                </w:tcPr>
                <w:p w14:paraId="3D62DFB7" w14:textId="77777777" w:rsidR="00422626" w:rsidRPr="00F84A66" w:rsidRDefault="00422626" w:rsidP="006176F8">
                  <w:pPr>
                    <w:pStyle w:val="Standaard-Tabellen"/>
                    <w:rPr>
                      <w:lang w:val="en-US"/>
                    </w:rPr>
                  </w:pPr>
                  <w:r w:rsidRPr="00F84A66">
                    <w:rPr>
                      <w:lang w:val="en-US"/>
                    </w:rPr>
                    <w:t>External dose on day of exposure</w:t>
                  </w:r>
                </w:p>
              </w:tc>
              <w:tc>
                <w:tcPr>
                  <w:tcW w:w="0" w:type="auto"/>
                  <w:vAlign w:val="center"/>
                  <w:hideMark/>
                </w:tcPr>
                <w:p w14:paraId="152D4487"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7DD75106" w14:textId="77777777" w:rsidTr="00B534E4">
              <w:trPr>
                <w:tblCellSpacing w:w="15" w:type="dxa"/>
              </w:trPr>
              <w:tc>
                <w:tcPr>
                  <w:tcW w:w="0" w:type="auto"/>
                  <w:vAlign w:val="center"/>
                  <w:hideMark/>
                </w:tcPr>
                <w:p w14:paraId="22182F42" w14:textId="77777777" w:rsidR="00422626" w:rsidRPr="00F84A66" w:rsidRDefault="00422626" w:rsidP="006176F8">
                  <w:pPr>
                    <w:pStyle w:val="Standaard-Tabellen"/>
                    <w:rPr>
                      <w:lang w:val="en-US"/>
                    </w:rPr>
                  </w:pPr>
                  <w:r w:rsidRPr="00F84A66">
                    <w:rPr>
                      <w:lang w:val="en-US"/>
                    </w:rPr>
                    <w:t>Internal event dose</w:t>
                  </w:r>
                </w:p>
              </w:tc>
              <w:tc>
                <w:tcPr>
                  <w:tcW w:w="0" w:type="auto"/>
                  <w:vAlign w:val="center"/>
                  <w:hideMark/>
                </w:tcPr>
                <w:p w14:paraId="14D9AD3A" w14:textId="77777777" w:rsidR="00422626" w:rsidRPr="00F84A66" w:rsidRDefault="00422626" w:rsidP="006176F8">
                  <w:pPr>
                    <w:pStyle w:val="Standaard-Tabellen"/>
                    <w:rPr>
                      <w:lang w:val="en-US"/>
                    </w:rPr>
                  </w:pPr>
                  <w:r w:rsidRPr="00F84A66">
                    <w:rPr>
                      <w:lang w:val="en-US"/>
                    </w:rPr>
                    <w:t xml:space="preserve">1.4 mg/kg bw </w:t>
                  </w:r>
                </w:p>
              </w:tc>
            </w:tr>
            <w:tr w:rsidR="00422626" w:rsidRPr="00EC20C2" w14:paraId="176203CC" w14:textId="77777777" w:rsidTr="00B534E4">
              <w:trPr>
                <w:tblCellSpacing w:w="15" w:type="dxa"/>
              </w:trPr>
              <w:tc>
                <w:tcPr>
                  <w:tcW w:w="0" w:type="auto"/>
                  <w:vAlign w:val="center"/>
                  <w:hideMark/>
                </w:tcPr>
                <w:p w14:paraId="484C53E8" w14:textId="77777777" w:rsidR="00422626" w:rsidRPr="00F84A66" w:rsidRDefault="00422626" w:rsidP="006176F8">
                  <w:pPr>
                    <w:pStyle w:val="Standaard-Tabellen"/>
                    <w:rPr>
                      <w:lang w:val="en-US"/>
                    </w:rPr>
                  </w:pPr>
                  <w:r w:rsidRPr="00F84A66">
                    <w:rPr>
                      <w:lang w:val="en-US"/>
                    </w:rPr>
                    <w:t>Internal dose on day of exposure</w:t>
                  </w:r>
                </w:p>
              </w:tc>
              <w:tc>
                <w:tcPr>
                  <w:tcW w:w="0" w:type="auto"/>
                  <w:vAlign w:val="center"/>
                  <w:hideMark/>
                </w:tcPr>
                <w:p w14:paraId="333BC785"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6FEAA1D0" w14:textId="77777777" w:rsidTr="00B534E4">
              <w:trPr>
                <w:tblCellSpacing w:w="15" w:type="dxa"/>
              </w:trPr>
              <w:tc>
                <w:tcPr>
                  <w:tcW w:w="0" w:type="auto"/>
                  <w:vAlign w:val="center"/>
                  <w:hideMark/>
                </w:tcPr>
                <w:p w14:paraId="263871B7" w14:textId="77777777" w:rsidR="00422626" w:rsidRPr="00F84A66" w:rsidRDefault="00422626" w:rsidP="006176F8">
                  <w:pPr>
                    <w:pStyle w:val="Standaard-Tabellen"/>
                    <w:rPr>
                      <w:lang w:val="en-US"/>
                    </w:rPr>
                  </w:pPr>
                  <w:r w:rsidRPr="00F84A66">
                    <w:rPr>
                      <w:lang w:val="en-US"/>
                    </w:rPr>
                    <w:t>Internal year average dose</w:t>
                  </w:r>
                </w:p>
              </w:tc>
              <w:tc>
                <w:tcPr>
                  <w:tcW w:w="0" w:type="auto"/>
                  <w:vAlign w:val="center"/>
                  <w:hideMark/>
                </w:tcPr>
                <w:p w14:paraId="5E6F53B1" w14:textId="77777777" w:rsidR="00422626" w:rsidRPr="00F84A66" w:rsidRDefault="00422626" w:rsidP="006176F8">
                  <w:pPr>
                    <w:pStyle w:val="Standaard-Tabellen"/>
                    <w:rPr>
                      <w:lang w:val="en-US"/>
                    </w:rPr>
                  </w:pPr>
                  <w:r w:rsidRPr="00F84A66">
                    <w:rPr>
                      <w:lang w:val="en-US"/>
                    </w:rPr>
                    <w:t xml:space="preserve">– </w:t>
                  </w:r>
                </w:p>
              </w:tc>
            </w:tr>
          </w:tbl>
          <w:p w14:paraId="174E93B6" w14:textId="77777777" w:rsidR="00422626" w:rsidRPr="00F84A66" w:rsidRDefault="00422626" w:rsidP="006176F8">
            <w:pPr>
              <w:pStyle w:val="Standaard-Tabellen"/>
              <w:rPr>
                <w:lang w:val="en-US"/>
              </w:rPr>
            </w:pPr>
            <w:r w:rsidRPr="00F84A66">
              <w:rPr>
                <w:lang w:val="en-US"/>
              </w:rPr>
              <w:t>Integrated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0"/>
              <w:gridCol w:w="1343"/>
            </w:tblGrid>
            <w:tr w:rsidR="00422626" w:rsidRPr="00EC20C2" w14:paraId="45E4723B" w14:textId="77777777" w:rsidTr="00B534E4">
              <w:trPr>
                <w:tblCellSpacing w:w="15" w:type="dxa"/>
              </w:trPr>
              <w:tc>
                <w:tcPr>
                  <w:tcW w:w="0" w:type="auto"/>
                  <w:vAlign w:val="center"/>
                  <w:hideMark/>
                </w:tcPr>
                <w:p w14:paraId="3C857D5E" w14:textId="77777777" w:rsidR="00422626" w:rsidRPr="00F84A66" w:rsidRDefault="00422626" w:rsidP="006176F8">
                  <w:pPr>
                    <w:pStyle w:val="Standaard-Tabellen"/>
                    <w:rPr>
                      <w:lang w:val="en-US"/>
                    </w:rPr>
                  </w:pPr>
                  <w:r w:rsidRPr="00F84A66">
                    <w:rPr>
                      <w:lang w:val="en-US"/>
                    </w:rPr>
                    <w:t>Internal event dose</w:t>
                  </w:r>
                </w:p>
              </w:tc>
              <w:tc>
                <w:tcPr>
                  <w:tcW w:w="0" w:type="auto"/>
                  <w:vAlign w:val="center"/>
                  <w:hideMark/>
                </w:tcPr>
                <w:p w14:paraId="6827473A" w14:textId="77777777" w:rsidR="00422626" w:rsidRPr="00F84A66" w:rsidRDefault="00422626" w:rsidP="006176F8">
                  <w:pPr>
                    <w:pStyle w:val="Standaard-Tabellen"/>
                    <w:rPr>
                      <w:lang w:val="en-US"/>
                    </w:rPr>
                  </w:pPr>
                  <w:r w:rsidRPr="00F84A66">
                    <w:rPr>
                      <w:lang w:val="en-US"/>
                    </w:rPr>
                    <w:t xml:space="preserve">1.4 mg/kg bw </w:t>
                  </w:r>
                </w:p>
              </w:tc>
            </w:tr>
            <w:tr w:rsidR="00422626" w:rsidRPr="00EC20C2" w14:paraId="307A5DCC" w14:textId="77777777" w:rsidTr="00B534E4">
              <w:trPr>
                <w:tblCellSpacing w:w="15" w:type="dxa"/>
              </w:trPr>
              <w:tc>
                <w:tcPr>
                  <w:tcW w:w="0" w:type="auto"/>
                  <w:vAlign w:val="center"/>
                  <w:hideMark/>
                </w:tcPr>
                <w:p w14:paraId="67FF2C6E" w14:textId="77777777" w:rsidR="00422626" w:rsidRPr="00F84A66" w:rsidRDefault="00422626" w:rsidP="006176F8">
                  <w:pPr>
                    <w:pStyle w:val="Standaard-Tabellen"/>
                    <w:rPr>
                      <w:lang w:val="en-US"/>
                    </w:rPr>
                  </w:pPr>
                  <w:r w:rsidRPr="00F84A66">
                    <w:rPr>
                      <w:lang w:val="en-US"/>
                    </w:rPr>
                    <w:t>Internal dose on day of exposure</w:t>
                  </w:r>
                </w:p>
              </w:tc>
              <w:tc>
                <w:tcPr>
                  <w:tcW w:w="0" w:type="auto"/>
                  <w:vAlign w:val="center"/>
                  <w:hideMark/>
                </w:tcPr>
                <w:p w14:paraId="4358607C"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0F9D7663" w14:textId="77777777" w:rsidTr="00B534E4">
              <w:trPr>
                <w:tblCellSpacing w:w="15" w:type="dxa"/>
              </w:trPr>
              <w:tc>
                <w:tcPr>
                  <w:tcW w:w="0" w:type="auto"/>
                  <w:vAlign w:val="center"/>
                  <w:hideMark/>
                </w:tcPr>
                <w:p w14:paraId="616D3266" w14:textId="77777777" w:rsidR="00422626" w:rsidRPr="00F84A66" w:rsidRDefault="00422626" w:rsidP="006176F8">
                  <w:pPr>
                    <w:pStyle w:val="Standaard-Tabellen"/>
                    <w:rPr>
                      <w:lang w:val="en-US"/>
                    </w:rPr>
                  </w:pPr>
                  <w:r w:rsidRPr="00F84A66">
                    <w:rPr>
                      <w:lang w:val="en-US"/>
                    </w:rPr>
                    <w:t>Internal year average dose</w:t>
                  </w:r>
                </w:p>
              </w:tc>
              <w:tc>
                <w:tcPr>
                  <w:tcW w:w="0" w:type="auto"/>
                  <w:vAlign w:val="center"/>
                  <w:hideMark/>
                </w:tcPr>
                <w:p w14:paraId="35336459" w14:textId="77777777" w:rsidR="00422626" w:rsidRPr="00F84A66" w:rsidRDefault="00422626" w:rsidP="006176F8">
                  <w:pPr>
                    <w:pStyle w:val="Standaard-Tabellen"/>
                    <w:rPr>
                      <w:lang w:val="en-US"/>
                    </w:rPr>
                  </w:pPr>
                  <w:r w:rsidRPr="00F84A66">
                    <w:rPr>
                      <w:lang w:val="en-US"/>
                    </w:rPr>
                    <w:t xml:space="preserve">– </w:t>
                  </w:r>
                </w:p>
              </w:tc>
            </w:tr>
          </w:tbl>
          <w:p w14:paraId="26D37574" w14:textId="77777777" w:rsidR="00422626" w:rsidRDefault="00422626" w:rsidP="006176F8">
            <w:pPr>
              <w:pStyle w:val="Standaard-Tabellen"/>
              <w:rPr>
                <w:rFonts w:eastAsia="Calibri"/>
              </w:rPr>
            </w:pPr>
          </w:p>
        </w:tc>
      </w:tr>
    </w:tbl>
    <w:p w14:paraId="54ED8B26" w14:textId="77777777" w:rsidR="00422626" w:rsidRDefault="00422626" w:rsidP="00422626">
      <w:pPr>
        <w:rPr>
          <w:rFonts w:eastAsia="Calibri"/>
          <w:lang w:eastAsia="en-US"/>
        </w:rPr>
      </w:pPr>
    </w:p>
    <w:p w14:paraId="38001EBA" w14:textId="77777777" w:rsidR="00422626" w:rsidRPr="00DC097E" w:rsidRDefault="00422626" w:rsidP="00422626">
      <w:pPr>
        <w:pStyle w:val="Titre6"/>
        <w:rPr>
          <w:lang w:val="en-US"/>
        </w:rPr>
      </w:pPr>
      <w:r w:rsidRPr="00DC097E">
        <w:rPr>
          <w:lang w:val="en-US"/>
        </w:rPr>
        <w:t>c. Toddler</w:t>
      </w:r>
    </w:p>
    <w:tbl>
      <w:tblPr>
        <w:tblStyle w:val="Grilledutableau"/>
        <w:tblW w:w="0" w:type="auto"/>
        <w:tblLook w:val="04A0" w:firstRow="1" w:lastRow="0" w:firstColumn="1" w:lastColumn="0" w:noHBand="0" w:noVBand="1"/>
      </w:tblPr>
      <w:tblGrid>
        <w:gridCol w:w="9402"/>
      </w:tblGrid>
      <w:tr w:rsidR="00422626" w14:paraId="677A0D76" w14:textId="77777777" w:rsidTr="00B534E4">
        <w:tc>
          <w:tcPr>
            <w:tcW w:w="9402" w:type="dxa"/>
          </w:tcPr>
          <w:p w14:paraId="77A78AF3" w14:textId="77777777" w:rsidR="00422626" w:rsidRPr="00F84A66" w:rsidRDefault="00422626" w:rsidP="006176F8">
            <w:pPr>
              <w:pStyle w:val="Standaard-Tabellen"/>
              <w:rPr>
                <w:lang w:val="en-US"/>
              </w:rPr>
            </w:pPr>
            <w:r w:rsidRPr="00F84A66">
              <w:rPr>
                <w:lang w:val="en-US"/>
              </w:rPr>
              <w:t>Report for assessment PUMP SPRAY LICE 20%</w:t>
            </w:r>
          </w:p>
          <w:p w14:paraId="718A941F" w14:textId="77777777" w:rsidR="00422626" w:rsidRPr="00F84A66" w:rsidRDefault="00422626" w:rsidP="006176F8">
            <w:pPr>
              <w:pStyle w:val="Standaard-Tabellen"/>
              <w:rPr>
                <w:lang w:val="en-US"/>
              </w:rPr>
            </w:pPr>
            <w:r w:rsidRPr="00F84A66">
              <w:rPr>
                <w:lang w:val="en-US"/>
              </w:rPr>
              <w:t>ConsExpo Web - Mon Feb 13 2017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7"/>
              <w:gridCol w:w="1277"/>
            </w:tblGrid>
            <w:tr w:rsidR="00422626" w:rsidRPr="00EC20C2" w14:paraId="6C29B93D" w14:textId="77777777" w:rsidTr="00B534E4">
              <w:trPr>
                <w:gridAfter w:val="1"/>
                <w:tblCellSpacing w:w="15" w:type="dxa"/>
              </w:trPr>
              <w:tc>
                <w:tcPr>
                  <w:tcW w:w="0" w:type="auto"/>
                  <w:vAlign w:val="center"/>
                  <w:hideMark/>
                </w:tcPr>
                <w:p w14:paraId="6C614F3D" w14:textId="77777777" w:rsidR="00422626" w:rsidRPr="00F84A66" w:rsidRDefault="00422626" w:rsidP="006176F8">
                  <w:pPr>
                    <w:pStyle w:val="Standaard-Tabellen"/>
                    <w:rPr>
                      <w:lang w:val="en-US"/>
                    </w:rPr>
                  </w:pPr>
                  <w:r w:rsidRPr="00F84A66">
                    <w:rPr>
                      <w:lang w:val="en-US"/>
                    </w:rPr>
                    <w:t>Substance</w:t>
                  </w:r>
                </w:p>
              </w:tc>
            </w:tr>
            <w:tr w:rsidR="00422626" w:rsidRPr="00EC20C2" w14:paraId="415970AB" w14:textId="77777777" w:rsidTr="00B534E4">
              <w:trPr>
                <w:tblCellSpacing w:w="15" w:type="dxa"/>
              </w:trPr>
              <w:tc>
                <w:tcPr>
                  <w:tcW w:w="0" w:type="auto"/>
                  <w:vAlign w:val="center"/>
                  <w:hideMark/>
                </w:tcPr>
                <w:p w14:paraId="17B45086"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7B81E5CA" w14:textId="77777777" w:rsidR="00422626" w:rsidRPr="00F84A66" w:rsidRDefault="00422626" w:rsidP="006176F8">
                  <w:pPr>
                    <w:pStyle w:val="Standaard-Tabellen"/>
                    <w:rPr>
                      <w:lang w:val="en-US"/>
                    </w:rPr>
                  </w:pPr>
                  <w:r w:rsidRPr="00F84A66">
                    <w:rPr>
                      <w:lang w:val="en-US"/>
                    </w:rPr>
                    <w:t>IR3535</w:t>
                  </w:r>
                </w:p>
              </w:tc>
            </w:tr>
            <w:tr w:rsidR="00422626" w:rsidRPr="00EC20C2" w14:paraId="42A6FC83" w14:textId="77777777" w:rsidTr="00B534E4">
              <w:trPr>
                <w:tblCellSpacing w:w="15" w:type="dxa"/>
              </w:trPr>
              <w:tc>
                <w:tcPr>
                  <w:tcW w:w="0" w:type="auto"/>
                  <w:vAlign w:val="center"/>
                  <w:hideMark/>
                </w:tcPr>
                <w:p w14:paraId="1F441462" w14:textId="77777777" w:rsidR="00422626" w:rsidRPr="00F84A66" w:rsidRDefault="00422626" w:rsidP="006176F8">
                  <w:pPr>
                    <w:pStyle w:val="Standaard-Tabellen"/>
                    <w:rPr>
                      <w:lang w:val="en-US"/>
                    </w:rPr>
                  </w:pPr>
                  <w:r w:rsidRPr="00F84A66">
                    <w:rPr>
                      <w:lang w:val="en-US"/>
                    </w:rPr>
                    <w:t xml:space="preserve">Molecular weight </w:t>
                  </w:r>
                </w:p>
              </w:tc>
              <w:tc>
                <w:tcPr>
                  <w:tcW w:w="0" w:type="auto"/>
                  <w:vAlign w:val="center"/>
                  <w:hideMark/>
                </w:tcPr>
                <w:p w14:paraId="11CEB94A" w14:textId="77777777" w:rsidR="00422626" w:rsidRPr="00F84A66" w:rsidRDefault="00422626" w:rsidP="006176F8">
                  <w:pPr>
                    <w:pStyle w:val="Standaard-Tabellen"/>
                    <w:rPr>
                      <w:lang w:val="en-US"/>
                    </w:rPr>
                  </w:pPr>
                  <w:r w:rsidRPr="00F84A66">
                    <w:rPr>
                      <w:lang w:val="en-US"/>
                    </w:rPr>
                    <w:t xml:space="preserve">215 g/mol </w:t>
                  </w:r>
                </w:p>
              </w:tc>
            </w:tr>
            <w:tr w:rsidR="00422626" w:rsidRPr="00EC20C2" w14:paraId="667030B1" w14:textId="77777777" w:rsidTr="00B534E4">
              <w:trPr>
                <w:tblCellSpacing w:w="15" w:type="dxa"/>
              </w:trPr>
              <w:tc>
                <w:tcPr>
                  <w:tcW w:w="0" w:type="auto"/>
                  <w:vAlign w:val="center"/>
                  <w:hideMark/>
                </w:tcPr>
                <w:p w14:paraId="1B320303" w14:textId="77777777" w:rsidR="00422626" w:rsidRPr="00F84A66" w:rsidRDefault="00422626" w:rsidP="006176F8">
                  <w:pPr>
                    <w:pStyle w:val="Standaard-Tabellen"/>
                    <w:rPr>
                      <w:lang w:val="en-US"/>
                    </w:rPr>
                  </w:pPr>
                  <w:r w:rsidRPr="00F84A66">
                    <w:rPr>
                      <w:lang w:val="en-US"/>
                    </w:rPr>
                    <w:t>K</w:t>
                  </w:r>
                  <w:r w:rsidRPr="00F84A66">
                    <w:rPr>
                      <w:vertAlign w:val="subscript"/>
                      <w:lang w:val="en-US"/>
                    </w:rPr>
                    <w:t>OW</w:t>
                  </w:r>
                </w:p>
              </w:tc>
              <w:tc>
                <w:tcPr>
                  <w:tcW w:w="0" w:type="auto"/>
                  <w:vAlign w:val="center"/>
                  <w:hideMark/>
                </w:tcPr>
                <w:p w14:paraId="68AA4043"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1354325D" w14:textId="77777777" w:rsidTr="00B534E4">
              <w:trPr>
                <w:tblCellSpacing w:w="15" w:type="dxa"/>
              </w:trPr>
              <w:tc>
                <w:tcPr>
                  <w:tcW w:w="0" w:type="auto"/>
                  <w:vAlign w:val="center"/>
                  <w:hideMark/>
                </w:tcPr>
                <w:p w14:paraId="7908D4C8" w14:textId="77777777" w:rsidR="00422626" w:rsidRPr="00F84A66" w:rsidRDefault="00422626" w:rsidP="006176F8">
                  <w:pPr>
                    <w:pStyle w:val="Standaard-Tabellen"/>
                    <w:rPr>
                      <w:lang w:val="en-US"/>
                    </w:rPr>
                  </w:pPr>
                  <w:r w:rsidRPr="00F84A66">
                    <w:rPr>
                      <w:lang w:val="en-US"/>
                    </w:rPr>
                    <w:t>Product</w:t>
                  </w:r>
                </w:p>
              </w:tc>
              <w:tc>
                <w:tcPr>
                  <w:tcW w:w="0" w:type="auto"/>
                  <w:vAlign w:val="center"/>
                  <w:hideMark/>
                </w:tcPr>
                <w:p w14:paraId="62D7FEBB" w14:textId="77777777" w:rsidR="00422626" w:rsidRPr="00F84A66" w:rsidRDefault="00422626" w:rsidP="006176F8">
                  <w:pPr>
                    <w:pStyle w:val="Standaard-Tabellen"/>
                    <w:rPr>
                      <w:lang w:val="en-US"/>
                    </w:rPr>
                  </w:pPr>
                </w:p>
              </w:tc>
            </w:tr>
            <w:tr w:rsidR="00422626" w:rsidRPr="00EC20C2" w14:paraId="089B4A89" w14:textId="77777777" w:rsidTr="00B534E4">
              <w:trPr>
                <w:tblCellSpacing w:w="15" w:type="dxa"/>
              </w:trPr>
              <w:tc>
                <w:tcPr>
                  <w:tcW w:w="0" w:type="auto"/>
                  <w:vAlign w:val="center"/>
                  <w:hideMark/>
                </w:tcPr>
                <w:p w14:paraId="201CD8E1"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0DB8E0F8" w14:textId="77777777" w:rsidR="00422626" w:rsidRPr="00F84A66" w:rsidRDefault="00422626" w:rsidP="006176F8">
                  <w:pPr>
                    <w:pStyle w:val="Standaard-Tabellen"/>
                    <w:rPr>
                      <w:lang w:val="en-US"/>
                    </w:rPr>
                  </w:pPr>
                  <w:r w:rsidRPr="00F84A66">
                    <w:rPr>
                      <w:lang w:val="en-US"/>
                    </w:rPr>
                    <w:t>IR PS Lice 20</w:t>
                  </w:r>
                </w:p>
              </w:tc>
            </w:tr>
            <w:tr w:rsidR="00422626" w:rsidRPr="00EC20C2" w14:paraId="1B37B288" w14:textId="77777777" w:rsidTr="00B534E4">
              <w:trPr>
                <w:tblCellSpacing w:w="15" w:type="dxa"/>
              </w:trPr>
              <w:tc>
                <w:tcPr>
                  <w:tcW w:w="0" w:type="auto"/>
                  <w:vAlign w:val="center"/>
                  <w:hideMark/>
                </w:tcPr>
                <w:p w14:paraId="48872556" w14:textId="77777777" w:rsidR="00422626" w:rsidRPr="00F84A66" w:rsidRDefault="00422626" w:rsidP="006176F8">
                  <w:pPr>
                    <w:pStyle w:val="Standaard-Tabellen"/>
                    <w:rPr>
                      <w:lang w:val="en-US"/>
                    </w:rPr>
                  </w:pPr>
                  <w:r w:rsidRPr="00F84A66">
                    <w:rPr>
                      <w:lang w:val="en-US"/>
                    </w:rPr>
                    <w:t>Weight fraction substance</w:t>
                  </w:r>
                </w:p>
              </w:tc>
              <w:tc>
                <w:tcPr>
                  <w:tcW w:w="0" w:type="auto"/>
                  <w:vAlign w:val="center"/>
                  <w:hideMark/>
                </w:tcPr>
                <w:p w14:paraId="03B03D98" w14:textId="77777777" w:rsidR="00422626" w:rsidRPr="00F84A66" w:rsidRDefault="00422626" w:rsidP="006176F8">
                  <w:pPr>
                    <w:pStyle w:val="Standaard-Tabellen"/>
                    <w:rPr>
                      <w:lang w:val="en-US"/>
                    </w:rPr>
                  </w:pPr>
                  <w:r w:rsidRPr="00F84A66">
                    <w:rPr>
                      <w:lang w:val="en-US"/>
                    </w:rPr>
                    <w:t xml:space="preserve">20 % </w:t>
                  </w:r>
                </w:p>
              </w:tc>
            </w:tr>
            <w:tr w:rsidR="00422626" w:rsidRPr="00EC20C2" w14:paraId="26E2863A" w14:textId="77777777" w:rsidTr="00B534E4">
              <w:trPr>
                <w:tblCellSpacing w:w="15" w:type="dxa"/>
              </w:trPr>
              <w:tc>
                <w:tcPr>
                  <w:tcW w:w="0" w:type="auto"/>
                  <w:vAlign w:val="center"/>
                  <w:hideMark/>
                </w:tcPr>
                <w:p w14:paraId="42C8DBBB" w14:textId="77777777" w:rsidR="00422626" w:rsidRPr="00F84A66" w:rsidRDefault="00422626" w:rsidP="006176F8">
                  <w:pPr>
                    <w:pStyle w:val="Standaard-Tabellen"/>
                    <w:rPr>
                      <w:lang w:val="en-US"/>
                    </w:rPr>
                  </w:pPr>
                  <w:r w:rsidRPr="00F84A66">
                    <w:rPr>
                      <w:lang w:val="en-US"/>
                    </w:rPr>
                    <w:t>Population</w:t>
                  </w:r>
                </w:p>
              </w:tc>
              <w:tc>
                <w:tcPr>
                  <w:tcW w:w="0" w:type="auto"/>
                  <w:vAlign w:val="center"/>
                  <w:hideMark/>
                </w:tcPr>
                <w:p w14:paraId="2EA263FC" w14:textId="77777777" w:rsidR="00422626" w:rsidRPr="00F84A66" w:rsidRDefault="00422626" w:rsidP="006176F8">
                  <w:pPr>
                    <w:pStyle w:val="Standaard-Tabellen"/>
                    <w:rPr>
                      <w:lang w:val="en-US"/>
                    </w:rPr>
                  </w:pPr>
                </w:p>
              </w:tc>
            </w:tr>
            <w:tr w:rsidR="00422626" w:rsidRPr="00EC20C2" w14:paraId="1EC94337" w14:textId="77777777" w:rsidTr="00B534E4">
              <w:trPr>
                <w:tblCellSpacing w:w="15" w:type="dxa"/>
              </w:trPr>
              <w:tc>
                <w:tcPr>
                  <w:tcW w:w="0" w:type="auto"/>
                  <w:vAlign w:val="center"/>
                  <w:hideMark/>
                </w:tcPr>
                <w:p w14:paraId="5B442414"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6028F844" w14:textId="77777777" w:rsidR="00422626" w:rsidRPr="00F84A66" w:rsidRDefault="00422626" w:rsidP="006176F8">
                  <w:pPr>
                    <w:pStyle w:val="Standaard-Tabellen"/>
                    <w:rPr>
                      <w:lang w:val="en-US"/>
                    </w:rPr>
                  </w:pPr>
                  <w:r w:rsidRPr="00F84A66">
                    <w:rPr>
                      <w:lang w:val="en-US"/>
                    </w:rPr>
                    <w:t>TODDLER</w:t>
                  </w:r>
                </w:p>
              </w:tc>
            </w:tr>
            <w:tr w:rsidR="00422626" w:rsidRPr="00EC20C2" w14:paraId="2DA118B9" w14:textId="77777777" w:rsidTr="00B534E4">
              <w:trPr>
                <w:tblCellSpacing w:w="15" w:type="dxa"/>
              </w:trPr>
              <w:tc>
                <w:tcPr>
                  <w:tcW w:w="0" w:type="auto"/>
                  <w:vAlign w:val="center"/>
                  <w:hideMark/>
                </w:tcPr>
                <w:p w14:paraId="2A2447C9" w14:textId="77777777" w:rsidR="00422626" w:rsidRPr="00F84A66" w:rsidRDefault="00422626" w:rsidP="006176F8">
                  <w:pPr>
                    <w:pStyle w:val="Standaard-Tabellen"/>
                    <w:rPr>
                      <w:lang w:val="en-US"/>
                    </w:rPr>
                  </w:pPr>
                  <w:r w:rsidRPr="00F84A66">
                    <w:rPr>
                      <w:lang w:val="en-US"/>
                    </w:rPr>
                    <w:t>Body weight</w:t>
                  </w:r>
                </w:p>
              </w:tc>
              <w:tc>
                <w:tcPr>
                  <w:tcW w:w="0" w:type="auto"/>
                  <w:vAlign w:val="center"/>
                  <w:hideMark/>
                </w:tcPr>
                <w:p w14:paraId="4CE2A357" w14:textId="77777777" w:rsidR="00422626" w:rsidRPr="00F84A66" w:rsidRDefault="00422626" w:rsidP="006176F8">
                  <w:pPr>
                    <w:pStyle w:val="Standaard-Tabellen"/>
                    <w:rPr>
                      <w:lang w:val="en-US"/>
                    </w:rPr>
                  </w:pPr>
                  <w:r w:rsidRPr="00F84A66">
                    <w:rPr>
                      <w:lang w:val="en-US"/>
                    </w:rPr>
                    <w:t xml:space="preserve">10 kg </w:t>
                  </w:r>
                </w:p>
              </w:tc>
            </w:tr>
          </w:tbl>
          <w:p w14:paraId="183E3C10" w14:textId="77777777" w:rsidR="00422626" w:rsidRPr="00F84A66" w:rsidRDefault="00422626" w:rsidP="006176F8">
            <w:pPr>
              <w:pStyle w:val="Standaard-Tabellen"/>
              <w:rPr>
                <w:lang w:val="en-US"/>
              </w:rPr>
            </w:pPr>
            <w:r w:rsidRPr="00F84A66">
              <w:rPr>
                <w:lang w:val="en-US"/>
              </w:rPr>
              <w:t>Scenario Inhalation of volatilised residues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1"/>
              <w:gridCol w:w="190"/>
            </w:tblGrid>
            <w:tr w:rsidR="00422626" w:rsidRPr="00EC20C2" w14:paraId="514B6A48" w14:textId="77777777" w:rsidTr="00B534E4">
              <w:trPr>
                <w:tblCellSpacing w:w="15" w:type="dxa"/>
              </w:trPr>
              <w:tc>
                <w:tcPr>
                  <w:tcW w:w="0" w:type="auto"/>
                  <w:vAlign w:val="center"/>
                  <w:hideMark/>
                </w:tcPr>
                <w:p w14:paraId="2692F6E6" w14:textId="77777777" w:rsidR="00422626" w:rsidRPr="00F84A66" w:rsidRDefault="00422626" w:rsidP="006176F8">
                  <w:pPr>
                    <w:pStyle w:val="Standaard-Tabellen"/>
                    <w:rPr>
                      <w:lang w:val="en-US"/>
                    </w:rPr>
                  </w:pPr>
                  <w:r w:rsidRPr="00F84A66">
                    <w:rPr>
                      <w:lang w:val="en-US"/>
                    </w:rPr>
                    <w:t>Frequency</w:t>
                  </w:r>
                </w:p>
              </w:tc>
              <w:tc>
                <w:tcPr>
                  <w:tcW w:w="0" w:type="auto"/>
                  <w:vAlign w:val="center"/>
                  <w:hideMark/>
                </w:tcPr>
                <w:p w14:paraId="6F169B29"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0BE7FD88" w14:textId="77777777" w:rsidTr="00B534E4">
              <w:trPr>
                <w:tblCellSpacing w:w="15" w:type="dxa"/>
              </w:trPr>
              <w:tc>
                <w:tcPr>
                  <w:tcW w:w="0" w:type="auto"/>
                  <w:vAlign w:val="center"/>
                  <w:hideMark/>
                </w:tcPr>
                <w:p w14:paraId="553925B2" w14:textId="77777777" w:rsidR="00422626" w:rsidRPr="00F84A66" w:rsidRDefault="00422626" w:rsidP="006176F8">
                  <w:pPr>
                    <w:pStyle w:val="Standaard-Tabellen"/>
                    <w:rPr>
                      <w:lang w:val="en-US"/>
                    </w:rPr>
                  </w:pPr>
                  <w:r w:rsidRPr="00F84A66">
                    <w:rPr>
                      <w:lang w:val="en-US"/>
                    </w:rPr>
                    <w:t>Description</w:t>
                  </w:r>
                </w:p>
              </w:tc>
              <w:tc>
                <w:tcPr>
                  <w:tcW w:w="0" w:type="auto"/>
                  <w:vAlign w:val="center"/>
                  <w:hideMark/>
                </w:tcPr>
                <w:p w14:paraId="0C67F9D4" w14:textId="77777777" w:rsidR="00422626" w:rsidRPr="00F84A66" w:rsidRDefault="00422626" w:rsidP="006176F8">
                  <w:pPr>
                    <w:pStyle w:val="Standaard-Tabellen"/>
                    <w:rPr>
                      <w:lang w:val="en-US"/>
                    </w:rPr>
                  </w:pPr>
                </w:p>
              </w:tc>
            </w:tr>
          </w:tbl>
          <w:p w14:paraId="5DF5F0C5" w14:textId="77777777" w:rsidR="00422626" w:rsidRPr="00F84A66" w:rsidRDefault="00422626" w:rsidP="006176F8">
            <w:pPr>
              <w:pStyle w:val="Standaard-Tabellen"/>
              <w:rPr>
                <w:lang w:val="en-US"/>
              </w:rPr>
            </w:pPr>
            <w:r w:rsidRPr="00F84A66">
              <w:rPr>
                <w:lang w:val="en-US"/>
              </w:rPr>
              <w:t>Inhalation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6"/>
              <w:gridCol w:w="4057"/>
            </w:tblGrid>
            <w:tr w:rsidR="00422626" w:rsidRPr="00EC20C2" w14:paraId="726EED87" w14:textId="77777777" w:rsidTr="00B534E4">
              <w:trPr>
                <w:tblCellSpacing w:w="15" w:type="dxa"/>
              </w:trPr>
              <w:tc>
                <w:tcPr>
                  <w:tcW w:w="0" w:type="auto"/>
                  <w:vAlign w:val="center"/>
                  <w:hideMark/>
                </w:tcPr>
                <w:p w14:paraId="3F228F68"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2BE45A74" w14:textId="77777777" w:rsidR="00422626" w:rsidRPr="00F84A66" w:rsidRDefault="00422626" w:rsidP="006176F8">
                  <w:pPr>
                    <w:pStyle w:val="Standaard-Tabellen"/>
                    <w:rPr>
                      <w:lang w:val="en-US"/>
                    </w:rPr>
                  </w:pPr>
                  <w:r w:rsidRPr="00F84A66">
                    <w:rPr>
                      <w:lang w:val="en-US"/>
                    </w:rPr>
                    <w:t xml:space="preserve">Exposure to vapour - Instantaneous release </w:t>
                  </w:r>
                </w:p>
              </w:tc>
            </w:tr>
            <w:tr w:rsidR="00422626" w:rsidRPr="00EC20C2" w14:paraId="125B184A" w14:textId="77777777" w:rsidTr="00B534E4">
              <w:trPr>
                <w:tblCellSpacing w:w="15" w:type="dxa"/>
              </w:trPr>
              <w:tc>
                <w:tcPr>
                  <w:tcW w:w="0" w:type="auto"/>
                  <w:vAlign w:val="center"/>
                  <w:hideMark/>
                </w:tcPr>
                <w:p w14:paraId="249B48A2" w14:textId="77777777" w:rsidR="00422626" w:rsidRPr="00F84A66" w:rsidRDefault="00422626" w:rsidP="006176F8">
                  <w:pPr>
                    <w:pStyle w:val="Standaard-Tabellen"/>
                    <w:rPr>
                      <w:lang w:val="en-US"/>
                    </w:rPr>
                  </w:pPr>
                  <w:r w:rsidRPr="00F84A66">
                    <w:rPr>
                      <w:lang w:val="en-US"/>
                    </w:rPr>
                    <w:t>Exposure duration</w:t>
                  </w:r>
                </w:p>
              </w:tc>
              <w:tc>
                <w:tcPr>
                  <w:tcW w:w="0" w:type="auto"/>
                  <w:vAlign w:val="center"/>
                  <w:hideMark/>
                </w:tcPr>
                <w:p w14:paraId="743E3A9A" w14:textId="77777777" w:rsidR="00422626" w:rsidRPr="00F84A66" w:rsidRDefault="00422626" w:rsidP="006176F8">
                  <w:pPr>
                    <w:pStyle w:val="Standaard-Tabellen"/>
                    <w:rPr>
                      <w:lang w:val="en-US"/>
                    </w:rPr>
                  </w:pPr>
                  <w:r w:rsidRPr="00F84A66">
                    <w:rPr>
                      <w:lang w:val="en-US"/>
                    </w:rPr>
                    <w:t xml:space="preserve">24 hour </w:t>
                  </w:r>
                </w:p>
              </w:tc>
            </w:tr>
            <w:tr w:rsidR="00422626" w:rsidRPr="00EC20C2" w14:paraId="1B7B889D" w14:textId="77777777" w:rsidTr="00B534E4">
              <w:trPr>
                <w:tblCellSpacing w:w="15" w:type="dxa"/>
              </w:trPr>
              <w:tc>
                <w:tcPr>
                  <w:tcW w:w="0" w:type="auto"/>
                  <w:vAlign w:val="center"/>
                  <w:hideMark/>
                </w:tcPr>
                <w:p w14:paraId="4BBF898D" w14:textId="77777777" w:rsidR="00422626" w:rsidRPr="00F84A66" w:rsidRDefault="00422626" w:rsidP="006176F8">
                  <w:pPr>
                    <w:pStyle w:val="Standaard-Tabellen"/>
                    <w:rPr>
                      <w:lang w:val="en-US"/>
                    </w:rPr>
                  </w:pPr>
                  <w:r w:rsidRPr="00F84A66">
                    <w:rPr>
                      <w:lang w:val="en-US"/>
                    </w:rPr>
                    <w:t>Product amount</w:t>
                  </w:r>
                </w:p>
              </w:tc>
              <w:tc>
                <w:tcPr>
                  <w:tcW w:w="0" w:type="auto"/>
                  <w:vAlign w:val="center"/>
                  <w:hideMark/>
                </w:tcPr>
                <w:p w14:paraId="0E0CC8AF" w14:textId="77777777" w:rsidR="00422626" w:rsidRPr="00F84A66" w:rsidRDefault="00422626" w:rsidP="006176F8">
                  <w:pPr>
                    <w:pStyle w:val="Standaard-Tabellen"/>
                    <w:rPr>
                      <w:lang w:val="en-US"/>
                    </w:rPr>
                  </w:pPr>
                  <w:r w:rsidRPr="00F84A66">
                    <w:rPr>
                      <w:lang w:val="en-US"/>
                    </w:rPr>
                    <w:t xml:space="preserve">1.5 g </w:t>
                  </w:r>
                </w:p>
              </w:tc>
            </w:tr>
            <w:tr w:rsidR="00422626" w:rsidRPr="00EC20C2" w14:paraId="3E444B45" w14:textId="77777777" w:rsidTr="00B534E4">
              <w:trPr>
                <w:tblCellSpacing w:w="15" w:type="dxa"/>
              </w:trPr>
              <w:tc>
                <w:tcPr>
                  <w:tcW w:w="0" w:type="auto"/>
                  <w:vAlign w:val="center"/>
                  <w:hideMark/>
                </w:tcPr>
                <w:p w14:paraId="6D34BADC" w14:textId="77777777" w:rsidR="00422626" w:rsidRPr="00F84A66" w:rsidRDefault="00422626" w:rsidP="006176F8">
                  <w:pPr>
                    <w:pStyle w:val="Standaard-Tabellen"/>
                    <w:rPr>
                      <w:lang w:val="en-US"/>
                    </w:rPr>
                  </w:pPr>
                  <w:r w:rsidRPr="00F84A66">
                    <w:rPr>
                      <w:lang w:val="en-US"/>
                    </w:rPr>
                    <w:t>Weight fraction substance</w:t>
                  </w:r>
                </w:p>
              </w:tc>
              <w:tc>
                <w:tcPr>
                  <w:tcW w:w="0" w:type="auto"/>
                  <w:vAlign w:val="center"/>
                  <w:hideMark/>
                </w:tcPr>
                <w:p w14:paraId="1AF1833C" w14:textId="77777777" w:rsidR="00422626" w:rsidRPr="00F84A66" w:rsidRDefault="00422626" w:rsidP="006176F8">
                  <w:pPr>
                    <w:pStyle w:val="Standaard-Tabellen"/>
                    <w:rPr>
                      <w:lang w:val="en-US"/>
                    </w:rPr>
                  </w:pPr>
                  <w:r w:rsidRPr="00F84A66">
                    <w:rPr>
                      <w:lang w:val="en-US"/>
                    </w:rPr>
                    <w:t xml:space="preserve">20 % </w:t>
                  </w:r>
                </w:p>
              </w:tc>
            </w:tr>
            <w:tr w:rsidR="00422626" w:rsidRPr="00EC20C2" w14:paraId="4397DD14" w14:textId="77777777" w:rsidTr="00B534E4">
              <w:trPr>
                <w:tblCellSpacing w:w="15" w:type="dxa"/>
              </w:trPr>
              <w:tc>
                <w:tcPr>
                  <w:tcW w:w="0" w:type="auto"/>
                  <w:vAlign w:val="center"/>
                  <w:hideMark/>
                </w:tcPr>
                <w:p w14:paraId="5D0871ED" w14:textId="77777777" w:rsidR="00422626" w:rsidRPr="00F84A66" w:rsidRDefault="00422626" w:rsidP="006176F8">
                  <w:pPr>
                    <w:pStyle w:val="Standaard-Tabellen"/>
                    <w:rPr>
                      <w:lang w:val="en-US"/>
                    </w:rPr>
                  </w:pPr>
                  <w:r w:rsidRPr="00F84A66">
                    <w:rPr>
                      <w:lang w:val="en-US"/>
                    </w:rPr>
                    <w:t>Room volume</w:t>
                  </w:r>
                </w:p>
              </w:tc>
              <w:tc>
                <w:tcPr>
                  <w:tcW w:w="0" w:type="auto"/>
                  <w:vAlign w:val="center"/>
                  <w:hideMark/>
                </w:tcPr>
                <w:p w14:paraId="28078577" w14:textId="77777777" w:rsidR="00422626" w:rsidRPr="00F84A66" w:rsidRDefault="00422626" w:rsidP="006176F8">
                  <w:pPr>
                    <w:pStyle w:val="Standaard-Tabellen"/>
                    <w:rPr>
                      <w:lang w:val="en-US"/>
                    </w:rPr>
                  </w:pPr>
                  <w:r w:rsidRPr="00F84A66">
                    <w:rPr>
                      <w:lang w:val="en-US"/>
                    </w:rPr>
                    <w:t xml:space="preserve">20 m³ </w:t>
                  </w:r>
                </w:p>
              </w:tc>
            </w:tr>
            <w:tr w:rsidR="00422626" w:rsidRPr="00EC20C2" w14:paraId="4AD2FD42" w14:textId="77777777" w:rsidTr="00B534E4">
              <w:trPr>
                <w:tblCellSpacing w:w="15" w:type="dxa"/>
              </w:trPr>
              <w:tc>
                <w:tcPr>
                  <w:tcW w:w="0" w:type="auto"/>
                  <w:vAlign w:val="center"/>
                  <w:hideMark/>
                </w:tcPr>
                <w:p w14:paraId="3409209B" w14:textId="77777777" w:rsidR="00422626" w:rsidRPr="00F84A66" w:rsidRDefault="00422626" w:rsidP="006176F8">
                  <w:pPr>
                    <w:pStyle w:val="Standaard-Tabellen"/>
                    <w:rPr>
                      <w:lang w:val="en-US"/>
                    </w:rPr>
                  </w:pPr>
                  <w:r w:rsidRPr="00F84A66">
                    <w:rPr>
                      <w:lang w:val="en-US"/>
                    </w:rPr>
                    <w:t>Ventilation rate</w:t>
                  </w:r>
                </w:p>
              </w:tc>
              <w:tc>
                <w:tcPr>
                  <w:tcW w:w="0" w:type="auto"/>
                  <w:vAlign w:val="center"/>
                  <w:hideMark/>
                </w:tcPr>
                <w:p w14:paraId="5D34BA11" w14:textId="77777777" w:rsidR="00422626" w:rsidRPr="00F84A66" w:rsidRDefault="00422626" w:rsidP="006176F8">
                  <w:pPr>
                    <w:pStyle w:val="Standaard-Tabellen"/>
                    <w:rPr>
                      <w:lang w:val="en-US"/>
                    </w:rPr>
                  </w:pPr>
                  <w:r w:rsidRPr="00F84A66">
                    <w:rPr>
                      <w:lang w:val="en-US"/>
                    </w:rPr>
                    <w:t xml:space="preserve">0.6 per hour </w:t>
                  </w:r>
                </w:p>
              </w:tc>
            </w:tr>
            <w:tr w:rsidR="00422626" w:rsidRPr="00EC20C2" w14:paraId="203921E0" w14:textId="77777777" w:rsidTr="00B534E4">
              <w:trPr>
                <w:tblCellSpacing w:w="15" w:type="dxa"/>
              </w:trPr>
              <w:tc>
                <w:tcPr>
                  <w:tcW w:w="0" w:type="auto"/>
                  <w:vAlign w:val="center"/>
                  <w:hideMark/>
                </w:tcPr>
                <w:p w14:paraId="1B4ABA13" w14:textId="77777777" w:rsidR="00422626" w:rsidRPr="00F84A66" w:rsidRDefault="00422626" w:rsidP="006176F8">
                  <w:pPr>
                    <w:pStyle w:val="Standaard-Tabellen"/>
                    <w:rPr>
                      <w:lang w:val="en-US"/>
                    </w:rPr>
                  </w:pPr>
                  <w:r w:rsidRPr="00F84A66">
                    <w:rPr>
                      <w:lang w:val="en-US"/>
                    </w:rPr>
                    <w:t>Inhalation rate</w:t>
                  </w:r>
                </w:p>
              </w:tc>
              <w:tc>
                <w:tcPr>
                  <w:tcW w:w="0" w:type="auto"/>
                  <w:vAlign w:val="center"/>
                  <w:hideMark/>
                </w:tcPr>
                <w:p w14:paraId="1CD1305D" w14:textId="77777777" w:rsidR="00422626" w:rsidRPr="00F84A66" w:rsidRDefault="00422626" w:rsidP="006176F8">
                  <w:pPr>
                    <w:pStyle w:val="Standaard-Tabellen"/>
                    <w:rPr>
                      <w:lang w:val="en-US"/>
                    </w:rPr>
                  </w:pPr>
                  <w:r w:rsidRPr="00F84A66">
                    <w:rPr>
                      <w:lang w:val="en-US"/>
                    </w:rPr>
                    <w:t xml:space="preserve">1.26 m³/hr </w:t>
                  </w:r>
                </w:p>
              </w:tc>
            </w:tr>
            <w:tr w:rsidR="00422626" w:rsidRPr="00EC20C2" w14:paraId="15B10B73" w14:textId="77777777" w:rsidTr="00B534E4">
              <w:trPr>
                <w:tblCellSpacing w:w="15" w:type="dxa"/>
              </w:trPr>
              <w:tc>
                <w:tcPr>
                  <w:tcW w:w="0" w:type="auto"/>
                  <w:vAlign w:val="center"/>
                  <w:hideMark/>
                </w:tcPr>
                <w:p w14:paraId="4AD549CB" w14:textId="77777777" w:rsidR="00422626" w:rsidRPr="00F84A66" w:rsidRDefault="00422626" w:rsidP="006176F8">
                  <w:pPr>
                    <w:pStyle w:val="Standaard-Tabellen"/>
                    <w:rPr>
                      <w:lang w:val="en-US"/>
                    </w:rPr>
                  </w:pPr>
                  <w:r w:rsidRPr="00F84A66">
                    <w:rPr>
                      <w:lang w:val="en-US"/>
                    </w:rPr>
                    <w:t>Limit concentration to saturated air concentration</w:t>
                  </w:r>
                </w:p>
              </w:tc>
              <w:tc>
                <w:tcPr>
                  <w:tcW w:w="0" w:type="auto"/>
                  <w:vAlign w:val="center"/>
                  <w:hideMark/>
                </w:tcPr>
                <w:p w14:paraId="737CCC28" w14:textId="77777777" w:rsidR="00422626" w:rsidRPr="00F84A66" w:rsidRDefault="00422626" w:rsidP="006176F8">
                  <w:pPr>
                    <w:pStyle w:val="Standaard-Tabellen"/>
                    <w:rPr>
                      <w:lang w:val="en-US"/>
                    </w:rPr>
                  </w:pPr>
                  <w:r w:rsidRPr="00F84A66">
                    <w:rPr>
                      <w:lang w:val="en-US"/>
                    </w:rPr>
                    <w:t xml:space="preserve">No </w:t>
                  </w:r>
                </w:p>
              </w:tc>
            </w:tr>
            <w:tr w:rsidR="00422626" w:rsidRPr="00EC20C2" w14:paraId="45F021CC" w14:textId="77777777" w:rsidTr="00B534E4">
              <w:trPr>
                <w:tblCellSpacing w:w="15" w:type="dxa"/>
              </w:trPr>
              <w:tc>
                <w:tcPr>
                  <w:tcW w:w="0" w:type="auto"/>
                  <w:vAlign w:val="center"/>
                  <w:hideMark/>
                </w:tcPr>
                <w:p w14:paraId="44110A6D"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5CC9D4A8" w14:textId="77777777" w:rsidR="00422626" w:rsidRPr="00F84A66" w:rsidRDefault="00422626" w:rsidP="006176F8">
                  <w:pPr>
                    <w:pStyle w:val="Standaard-Tabellen"/>
                    <w:rPr>
                      <w:lang w:val="en-US"/>
                    </w:rPr>
                  </w:pPr>
                  <w:r w:rsidRPr="00F84A66">
                    <w:rPr>
                      <w:lang w:val="en-US"/>
                    </w:rPr>
                    <w:t xml:space="preserve">Fixed fraction </w:t>
                  </w:r>
                </w:p>
              </w:tc>
            </w:tr>
            <w:tr w:rsidR="00422626" w:rsidRPr="00EC20C2" w14:paraId="17608801" w14:textId="77777777" w:rsidTr="00B534E4">
              <w:trPr>
                <w:tblCellSpacing w:w="15" w:type="dxa"/>
              </w:trPr>
              <w:tc>
                <w:tcPr>
                  <w:tcW w:w="0" w:type="auto"/>
                  <w:vAlign w:val="center"/>
                  <w:hideMark/>
                </w:tcPr>
                <w:p w14:paraId="284D771D" w14:textId="77777777" w:rsidR="00422626" w:rsidRPr="00F84A66" w:rsidRDefault="00422626" w:rsidP="006176F8">
                  <w:pPr>
                    <w:pStyle w:val="Standaard-Tabellen"/>
                    <w:rPr>
                      <w:lang w:val="en-US"/>
                    </w:rPr>
                  </w:pPr>
                  <w:r w:rsidRPr="00F84A66">
                    <w:rPr>
                      <w:lang w:val="en-US"/>
                    </w:rPr>
                    <w:t>Absorption fraction</w:t>
                  </w:r>
                </w:p>
              </w:tc>
              <w:tc>
                <w:tcPr>
                  <w:tcW w:w="0" w:type="auto"/>
                  <w:vAlign w:val="center"/>
                  <w:hideMark/>
                </w:tcPr>
                <w:p w14:paraId="3EDF4B82" w14:textId="77777777" w:rsidR="00422626" w:rsidRPr="00F84A66" w:rsidRDefault="00422626" w:rsidP="006176F8">
                  <w:pPr>
                    <w:pStyle w:val="Standaard-Tabellen"/>
                    <w:rPr>
                      <w:lang w:val="en-US"/>
                    </w:rPr>
                  </w:pPr>
                  <w:r w:rsidRPr="00F84A66">
                    <w:rPr>
                      <w:lang w:val="en-US"/>
                    </w:rPr>
                    <w:t xml:space="preserve">100 % </w:t>
                  </w:r>
                </w:p>
              </w:tc>
            </w:tr>
          </w:tbl>
          <w:p w14:paraId="6D4E56AB" w14:textId="77777777" w:rsidR="00422626" w:rsidRPr="00F84A66" w:rsidRDefault="00422626" w:rsidP="006176F8">
            <w:pPr>
              <w:pStyle w:val="Standaard-Tabellen"/>
              <w:rPr>
                <w:lang w:val="en-US"/>
              </w:rPr>
            </w:pPr>
            <w:r w:rsidRPr="00F84A66">
              <w:rPr>
                <w:lang w:val="en-US"/>
              </w:rPr>
              <w:t>Dermal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428"/>
            </w:tblGrid>
            <w:tr w:rsidR="00422626" w:rsidRPr="00EC20C2" w14:paraId="0938953F" w14:textId="77777777" w:rsidTr="00B534E4">
              <w:trPr>
                <w:tblCellSpacing w:w="15" w:type="dxa"/>
              </w:trPr>
              <w:tc>
                <w:tcPr>
                  <w:tcW w:w="0" w:type="auto"/>
                  <w:vAlign w:val="center"/>
                  <w:hideMark/>
                </w:tcPr>
                <w:p w14:paraId="715FC2D2"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01C1F74A" w14:textId="77777777" w:rsidR="00422626" w:rsidRPr="00F84A66" w:rsidRDefault="00422626" w:rsidP="006176F8">
                  <w:pPr>
                    <w:pStyle w:val="Standaard-Tabellen"/>
                    <w:rPr>
                      <w:lang w:val="en-US"/>
                    </w:rPr>
                  </w:pPr>
                  <w:r w:rsidRPr="00F84A66">
                    <w:rPr>
                      <w:lang w:val="en-US"/>
                    </w:rPr>
                    <w:t xml:space="preserve">n.a. </w:t>
                  </w:r>
                </w:p>
              </w:tc>
            </w:tr>
            <w:tr w:rsidR="00422626" w:rsidRPr="00EC20C2" w14:paraId="25F03DAC" w14:textId="77777777" w:rsidTr="00B534E4">
              <w:trPr>
                <w:tblCellSpacing w:w="15" w:type="dxa"/>
              </w:trPr>
              <w:tc>
                <w:tcPr>
                  <w:tcW w:w="0" w:type="auto"/>
                  <w:vAlign w:val="center"/>
                  <w:hideMark/>
                </w:tcPr>
                <w:p w14:paraId="5AC250AD"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6B9DF5EC" w14:textId="77777777" w:rsidR="00422626" w:rsidRPr="00F84A66" w:rsidRDefault="00422626" w:rsidP="006176F8">
                  <w:pPr>
                    <w:pStyle w:val="Standaard-Tabellen"/>
                    <w:rPr>
                      <w:lang w:val="en-US"/>
                    </w:rPr>
                  </w:pPr>
                  <w:r w:rsidRPr="00F84A66">
                    <w:rPr>
                      <w:lang w:val="en-US"/>
                    </w:rPr>
                    <w:t xml:space="preserve">n.a. </w:t>
                  </w:r>
                </w:p>
              </w:tc>
            </w:tr>
          </w:tbl>
          <w:p w14:paraId="0C7AA85C" w14:textId="77777777" w:rsidR="00422626" w:rsidRPr="00F84A66" w:rsidRDefault="00422626" w:rsidP="006176F8">
            <w:pPr>
              <w:pStyle w:val="Standaard-Tabellen"/>
              <w:rPr>
                <w:lang w:val="en-US"/>
              </w:rPr>
            </w:pPr>
            <w:r w:rsidRPr="00F84A66">
              <w:rPr>
                <w:lang w:val="en-US"/>
              </w:rPr>
              <w:t>Oral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428"/>
            </w:tblGrid>
            <w:tr w:rsidR="00422626" w:rsidRPr="00EC20C2" w14:paraId="2A1B2901" w14:textId="77777777" w:rsidTr="00B534E4">
              <w:trPr>
                <w:tblCellSpacing w:w="15" w:type="dxa"/>
              </w:trPr>
              <w:tc>
                <w:tcPr>
                  <w:tcW w:w="0" w:type="auto"/>
                  <w:vAlign w:val="center"/>
                  <w:hideMark/>
                </w:tcPr>
                <w:p w14:paraId="58997FBA"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13C5E627" w14:textId="77777777" w:rsidR="00422626" w:rsidRPr="00F84A66" w:rsidRDefault="00422626" w:rsidP="006176F8">
                  <w:pPr>
                    <w:pStyle w:val="Standaard-Tabellen"/>
                    <w:rPr>
                      <w:lang w:val="en-US"/>
                    </w:rPr>
                  </w:pPr>
                  <w:r w:rsidRPr="00F84A66">
                    <w:rPr>
                      <w:lang w:val="en-US"/>
                    </w:rPr>
                    <w:t xml:space="preserve">n.a. </w:t>
                  </w:r>
                </w:p>
              </w:tc>
            </w:tr>
            <w:tr w:rsidR="00422626" w:rsidRPr="00EC20C2" w14:paraId="57D8DD8A" w14:textId="77777777" w:rsidTr="00B534E4">
              <w:trPr>
                <w:tblCellSpacing w:w="15" w:type="dxa"/>
              </w:trPr>
              <w:tc>
                <w:tcPr>
                  <w:tcW w:w="0" w:type="auto"/>
                  <w:vAlign w:val="center"/>
                  <w:hideMark/>
                </w:tcPr>
                <w:p w14:paraId="6F00E619"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10884C04" w14:textId="77777777" w:rsidR="00422626" w:rsidRPr="00F84A66" w:rsidRDefault="00422626" w:rsidP="006176F8">
                  <w:pPr>
                    <w:pStyle w:val="Standaard-Tabellen"/>
                    <w:rPr>
                      <w:lang w:val="en-US"/>
                    </w:rPr>
                  </w:pPr>
                  <w:r w:rsidRPr="00F84A66">
                    <w:rPr>
                      <w:lang w:val="en-US"/>
                    </w:rPr>
                    <w:t xml:space="preserve">n.a. </w:t>
                  </w:r>
                </w:p>
              </w:tc>
            </w:tr>
          </w:tbl>
          <w:p w14:paraId="35B7D7CB" w14:textId="77777777" w:rsidR="00422626" w:rsidRPr="00F84A66" w:rsidRDefault="00422626" w:rsidP="006176F8">
            <w:pPr>
              <w:pStyle w:val="Standaard-Tabellen"/>
              <w:rPr>
                <w:lang w:val="en-US"/>
              </w:rPr>
            </w:pPr>
            <w:r w:rsidRPr="00F84A66">
              <w:rPr>
                <w:lang w:val="en-US"/>
              </w:rPr>
              <w:t>Results for scenario Inhalation of volatilised residues</w:t>
            </w:r>
          </w:p>
          <w:p w14:paraId="68DE465C" w14:textId="77777777" w:rsidR="00422626" w:rsidRPr="00F84A66" w:rsidRDefault="00422626" w:rsidP="006176F8">
            <w:pPr>
              <w:pStyle w:val="Standaard-Tabellen"/>
              <w:rPr>
                <w:lang w:val="en-US"/>
              </w:rPr>
            </w:pPr>
            <w:r w:rsidRPr="00F84A66">
              <w:rPr>
                <w:lang w:val="en-US"/>
              </w:rPr>
              <w:t>Inhalation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3"/>
              <w:gridCol w:w="1343"/>
            </w:tblGrid>
            <w:tr w:rsidR="00422626" w:rsidRPr="00EC20C2" w14:paraId="3F46A790" w14:textId="77777777" w:rsidTr="00B534E4">
              <w:trPr>
                <w:tblCellSpacing w:w="15" w:type="dxa"/>
              </w:trPr>
              <w:tc>
                <w:tcPr>
                  <w:tcW w:w="0" w:type="auto"/>
                  <w:vAlign w:val="center"/>
                  <w:hideMark/>
                </w:tcPr>
                <w:p w14:paraId="323E196E" w14:textId="77777777" w:rsidR="00422626" w:rsidRPr="00F84A66" w:rsidRDefault="00422626" w:rsidP="006176F8">
                  <w:pPr>
                    <w:pStyle w:val="Standaard-Tabellen"/>
                    <w:rPr>
                      <w:lang w:val="en-US"/>
                    </w:rPr>
                  </w:pPr>
                  <w:r w:rsidRPr="00F84A66">
                    <w:rPr>
                      <w:lang w:val="en-US"/>
                    </w:rPr>
                    <w:t>Mean event concentration</w:t>
                  </w:r>
                </w:p>
              </w:tc>
              <w:tc>
                <w:tcPr>
                  <w:tcW w:w="0" w:type="auto"/>
                  <w:vAlign w:val="center"/>
                  <w:hideMark/>
                </w:tcPr>
                <w:p w14:paraId="13625AEB" w14:textId="77777777" w:rsidR="00422626" w:rsidRPr="00F84A66" w:rsidRDefault="00422626" w:rsidP="006176F8">
                  <w:pPr>
                    <w:pStyle w:val="Standaard-Tabellen"/>
                    <w:rPr>
                      <w:lang w:val="en-US"/>
                    </w:rPr>
                  </w:pPr>
                  <w:r w:rsidRPr="00F84A66">
                    <w:rPr>
                      <w:lang w:val="en-US"/>
                    </w:rPr>
                    <w:t xml:space="preserve">1.0 mg/m³ </w:t>
                  </w:r>
                </w:p>
              </w:tc>
            </w:tr>
            <w:tr w:rsidR="00422626" w:rsidRPr="00EC20C2" w14:paraId="0793A0D6" w14:textId="77777777" w:rsidTr="00B534E4">
              <w:trPr>
                <w:tblCellSpacing w:w="15" w:type="dxa"/>
              </w:trPr>
              <w:tc>
                <w:tcPr>
                  <w:tcW w:w="0" w:type="auto"/>
                  <w:vAlign w:val="center"/>
                  <w:hideMark/>
                </w:tcPr>
                <w:p w14:paraId="14971003" w14:textId="77777777" w:rsidR="00422626" w:rsidRPr="00F84A66" w:rsidRDefault="00422626" w:rsidP="006176F8">
                  <w:pPr>
                    <w:pStyle w:val="Standaard-Tabellen"/>
                    <w:rPr>
                      <w:lang w:val="en-US"/>
                    </w:rPr>
                  </w:pPr>
                  <w:r w:rsidRPr="00F84A66">
                    <w:rPr>
                      <w:lang w:val="en-US"/>
                    </w:rPr>
                    <w:t>Mean concentration on day of exposure</w:t>
                  </w:r>
                </w:p>
              </w:tc>
              <w:tc>
                <w:tcPr>
                  <w:tcW w:w="0" w:type="auto"/>
                  <w:vAlign w:val="center"/>
                  <w:hideMark/>
                </w:tcPr>
                <w:p w14:paraId="024E0E9F"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65EF1BCF" w14:textId="77777777" w:rsidTr="00B534E4">
              <w:trPr>
                <w:tblCellSpacing w:w="15" w:type="dxa"/>
              </w:trPr>
              <w:tc>
                <w:tcPr>
                  <w:tcW w:w="0" w:type="auto"/>
                  <w:vAlign w:val="center"/>
                  <w:hideMark/>
                </w:tcPr>
                <w:p w14:paraId="458DF8A0" w14:textId="77777777" w:rsidR="00422626" w:rsidRPr="00F84A66" w:rsidRDefault="00422626" w:rsidP="006176F8">
                  <w:pPr>
                    <w:pStyle w:val="Standaard-Tabellen"/>
                    <w:rPr>
                      <w:lang w:val="en-US"/>
                    </w:rPr>
                  </w:pPr>
                  <w:r w:rsidRPr="00F84A66">
                    <w:rPr>
                      <w:lang w:val="en-US"/>
                    </w:rPr>
                    <w:t>Year average concentration</w:t>
                  </w:r>
                </w:p>
              </w:tc>
              <w:tc>
                <w:tcPr>
                  <w:tcW w:w="0" w:type="auto"/>
                  <w:vAlign w:val="center"/>
                  <w:hideMark/>
                </w:tcPr>
                <w:p w14:paraId="7287FC83"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48ABF1CB" w14:textId="77777777" w:rsidTr="00B534E4">
              <w:trPr>
                <w:tblCellSpacing w:w="15" w:type="dxa"/>
              </w:trPr>
              <w:tc>
                <w:tcPr>
                  <w:tcW w:w="0" w:type="auto"/>
                  <w:vAlign w:val="center"/>
                  <w:hideMark/>
                </w:tcPr>
                <w:p w14:paraId="210AB589" w14:textId="77777777" w:rsidR="00422626" w:rsidRPr="00F84A66" w:rsidRDefault="00422626" w:rsidP="006176F8">
                  <w:pPr>
                    <w:pStyle w:val="Standaard-Tabellen"/>
                    <w:rPr>
                      <w:lang w:val="en-US"/>
                    </w:rPr>
                  </w:pPr>
                  <w:r w:rsidRPr="00F84A66">
                    <w:rPr>
                      <w:lang w:val="en-US"/>
                    </w:rPr>
                    <w:t>External event dose</w:t>
                  </w:r>
                </w:p>
              </w:tc>
              <w:tc>
                <w:tcPr>
                  <w:tcW w:w="0" w:type="auto"/>
                  <w:vAlign w:val="center"/>
                  <w:hideMark/>
                </w:tcPr>
                <w:p w14:paraId="32E2FA60" w14:textId="77777777" w:rsidR="00422626" w:rsidRPr="00F84A66" w:rsidRDefault="00422626" w:rsidP="006176F8">
                  <w:pPr>
                    <w:pStyle w:val="Standaard-Tabellen"/>
                    <w:rPr>
                      <w:lang w:val="en-US"/>
                    </w:rPr>
                  </w:pPr>
                  <w:r w:rsidRPr="00F84A66">
                    <w:rPr>
                      <w:lang w:val="en-US"/>
                    </w:rPr>
                    <w:t xml:space="preserve">3.1 mg/kg bw </w:t>
                  </w:r>
                </w:p>
              </w:tc>
            </w:tr>
            <w:tr w:rsidR="00422626" w:rsidRPr="00EC20C2" w14:paraId="68CC8EE8" w14:textId="77777777" w:rsidTr="00B534E4">
              <w:trPr>
                <w:tblCellSpacing w:w="15" w:type="dxa"/>
              </w:trPr>
              <w:tc>
                <w:tcPr>
                  <w:tcW w:w="0" w:type="auto"/>
                  <w:vAlign w:val="center"/>
                  <w:hideMark/>
                </w:tcPr>
                <w:p w14:paraId="0767C613" w14:textId="77777777" w:rsidR="00422626" w:rsidRPr="00F84A66" w:rsidRDefault="00422626" w:rsidP="006176F8">
                  <w:pPr>
                    <w:pStyle w:val="Standaard-Tabellen"/>
                    <w:rPr>
                      <w:lang w:val="en-US"/>
                    </w:rPr>
                  </w:pPr>
                  <w:r w:rsidRPr="00F84A66">
                    <w:rPr>
                      <w:lang w:val="en-US"/>
                    </w:rPr>
                    <w:t>External dose on day of exposure</w:t>
                  </w:r>
                </w:p>
              </w:tc>
              <w:tc>
                <w:tcPr>
                  <w:tcW w:w="0" w:type="auto"/>
                  <w:vAlign w:val="center"/>
                  <w:hideMark/>
                </w:tcPr>
                <w:p w14:paraId="33268BC3"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745E6C7E" w14:textId="77777777" w:rsidTr="00B534E4">
              <w:trPr>
                <w:tblCellSpacing w:w="15" w:type="dxa"/>
              </w:trPr>
              <w:tc>
                <w:tcPr>
                  <w:tcW w:w="0" w:type="auto"/>
                  <w:vAlign w:val="center"/>
                  <w:hideMark/>
                </w:tcPr>
                <w:p w14:paraId="0A9336AC" w14:textId="77777777" w:rsidR="00422626" w:rsidRPr="00F84A66" w:rsidRDefault="00422626" w:rsidP="006176F8">
                  <w:pPr>
                    <w:pStyle w:val="Standaard-Tabellen"/>
                    <w:rPr>
                      <w:lang w:val="en-US"/>
                    </w:rPr>
                  </w:pPr>
                  <w:r w:rsidRPr="00F84A66">
                    <w:rPr>
                      <w:lang w:val="en-US"/>
                    </w:rPr>
                    <w:t>Internal event dose</w:t>
                  </w:r>
                </w:p>
              </w:tc>
              <w:tc>
                <w:tcPr>
                  <w:tcW w:w="0" w:type="auto"/>
                  <w:vAlign w:val="center"/>
                  <w:hideMark/>
                </w:tcPr>
                <w:p w14:paraId="4CA51689" w14:textId="77777777" w:rsidR="00422626" w:rsidRPr="00F84A66" w:rsidRDefault="00422626" w:rsidP="006176F8">
                  <w:pPr>
                    <w:pStyle w:val="Standaard-Tabellen"/>
                    <w:rPr>
                      <w:lang w:val="en-US"/>
                    </w:rPr>
                  </w:pPr>
                  <w:r w:rsidRPr="00F84A66">
                    <w:rPr>
                      <w:lang w:val="en-US"/>
                    </w:rPr>
                    <w:t xml:space="preserve">3.1 mg/kg bw </w:t>
                  </w:r>
                </w:p>
              </w:tc>
            </w:tr>
            <w:tr w:rsidR="00422626" w:rsidRPr="00EC20C2" w14:paraId="2B969C44" w14:textId="77777777" w:rsidTr="00B534E4">
              <w:trPr>
                <w:tblCellSpacing w:w="15" w:type="dxa"/>
              </w:trPr>
              <w:tc>
                <w:tcPr>
                  <w:tcW w:w="0" w:type="auto"/>
                  <w:vAlign w:val="center"/>
                  <w:hideMark/>
                </w:tcPr>
                <w:p w14:paraId="65751F19" w14:textId="77777777" w:rsidR="00422626" w:rsidRPr="00F84A66" w:rsidRDefault="00422626" w:rsidP="006176F8">
                  <w:pPr>
                    <w:pStyle w:val="Standaard-Tabellen"/>
                    <w:rPr>
                      <w:lang w:val="en-US"/>
                    </w:rPr>
                  </w:pPr>
                  <w:r w:rsidRPr="00F84A66">
                    <w:rPr>
                      <w:lang w:val="en-US"/>
                    </w:rPr>
                    <w:t>Internal dose on day of exposure</w:t>
                  </w:r>
                </w:p>
              </w:tc>
              <w:tc>
                <w:tcPr>
                  <w:tcW w:w="0" w:type="auto"/>
                  <w:vAlign w:val="center"/>
                  <w:hideMark/>
                </w:tcPr>
                <w:p w14:paraId="5936EFB3"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71F7E7C8" w14:textId="77777777" w:rsidTr="00B534E4">
              <w:trPr>
                <w:tblCellSpacing w:w="15" w:type="dxa"/>
              </w:trPr>
              <w:tc>
                <w:tcPr>
                  <w:tcW w:w="0" w:type="auto"/>
                  <w:vAlign w:val="center"/>
                  <w:hideMark/>
                </w:tcPr>
                <w:p w14:paraId="4BF5A84E" w14:textId="77777777" w:rsidR="00422626" w:rsidRPr="00F84A66" w:rsidRDefault="00422626" w:rsidP="006176F8">
                  <w:pPr>
                    <w:pStyle w:val="Standaard-Tabellen"/>
                    <w:rPr>
                      <w:lang w:val="en-US"/>
                    </w:rPr>
                  </w:pPr>
                  <w:r w:rsidRPr="00F84A66">
                    <w:rPr>
                      <w:lang w:val="en-US"/>
                    </w:rPr>
                    <w:t>Internal year average dose</w:t>
                  </w:r>
                </w:p>
              </w:tc>
              <w:tc>
                <w:tcPr>
                  <w:tcW w:w="0" w:type="auto"/>
                  <w:vAlign w:val="center"/>
                  <w:hideMark/>
                </w:tcPr>
                <w:p w14:paraId="2A469CBE" w14:textId="77777777" w:rsidR="00422626" w:rsidRPr="00F84A66" w:rsidRDefault="00422626" w:rsidP="006176F8">
                  <w:pPr>
                    <w:pStyle w:val="Standaard-Tabellen"/>
                    <w:rPr>
                      <w:lang w:val="en-US"/>
                    </w:rPr>
                  </w:pPr>
                  <w:r w:rsidRPr="00F84A66">
                    <w:rPr>
                      <w:lang w:val="en-US"/>
                    </w:rPr>
                    <w:t xml:space="preserve">– </w:t>
                  </w:r>
                </w:p>
              </w:tc>
            </w:tr>
          </w:tbl>
          <w:p w14:paraId="4E83DDCA" w14:textId="77777777" w:rsidR="00422626" w:rsidRPr="00F84A66" w:rsidRDefault="00422626" w:rsidP="006176F8">
            <w:pPr>
              <w:pStyle w:val="Standaard-Tabellen"/>
              <w:rPr>
                <w:lang w:val="en-US"/>
              </w:rPr>
            </w:pPr>
            <w:r w:rsidRPr="00F84A66">
              <w:rPr>
                <w:lang w:val="en-US"/>
              </w:rPr>
              <w:t>Integrated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0"/>
              <w:gridCol w:w="1343"/>
            </w:tblGrid>
            <w:tr w:rsidR="00422626" w:rsidRPr="00EC20C2" w14:paraId="58800241" w14:textId="77777777" w:rsidTr="00B534E4">
              <w:trPr>
                <w:tblCellSpacing w:w="15" w:type="dxa"/>
              </w:trPr>
              <w:tc>
                <w:tcPr>
                  <w:tcW w:w="0" w:type="auto"/>
                  <w:vAlign w:val="center"/>
                  <w:hideMark/>
                </w:tcPr>
                <w:p w14:paraId="33E06B38" w14:textId="77777777" w:rsidR="00422626" w:rsidRPr="00F84A66" w:rsidRDefault="00422626" w:rsidP="006176F8">
                  <w:pPr>
                    <w:pStyle w:val="Standaard-Tabellen"/>
                    <w:rPr>
                      <w:lang w:val="en-US"/>
                    </w:rPr>
                  </w:pPr>
                  <w:r w:rsidRPr="00F84A66">
                    <w:rPr>
                      <w:lang w:val="en-US"/>
                    </w:rPr>
                    <w:t>Internal event dose</w:t>
                  </w:r>
                </w:p>
              </w:tc>
              <w:tc>
                <w:tcPr>
                  <w:tcW w:w="0" w:type="auto"/>
                  <w:vAlign w:val="center"/>
                  <w:hideMark/>
                </w:tcPr>
                <w:p w14:paraId="437E1F35" w14:textId="77777777" w:rsidR="00422626" w:rsidRPr="00F84A66" w:rsidRDefault="00422626" w:rsidP="006176F8">
                  <w:pPr>
                    <w:pStyle w:val="Standaard-Tabellen"/>
                    <w:rPr>
                      <w:lang w:val="en-US"/>
                    </w:rPr>
                  </w:pPr>
                  <w:r w:rsidRPr="00F84A66">
                    <w:rPr>
                      <w:lang w:val="en-US"/>
                    </w:rPr>
                    <w:t xml:space="preserve">3.1 mg/kg bw </w:t>
                  </w:r>
                </w:p>
              </w:tc>
            </w:tr>
            <w:tr w:rsidR="00422626" w:rsidRPr="00EC20C2" w14:paraId="505EC208" w14:textId="77777777" w:rsidTr="00B534E4">
              <w:trPr>
                <w:tblCellSpacing w:w="15" w:type="dxa"/>
              </w:trPr>
              <w:tc>
                <w:tcPr>
                  <w:tcW w:w="0" w:type="auto"/>
                  <w:vAlign w:val="center"/>
                  <w:hideMark/>
                </w:tcPr>
                <w:p w14:paraId="41E354D3" w14:textId="77777777" w:rsidR="00422626" w:rsidRPr="00F84A66" w:rsidRDefault="00422626" w:rsidP="006176F8">
                  <w:pPr>
                    <w:pStyle w:val="Standaard-Tabellen"/>
                    <w:rPr>
                      <w:lang w:val="en-US"/>
                    </w:rPr>
                  </w:pPr>
                  <w:r w:rsidRPr="00F84A66">
                    <w:rPr>
                      <w:lang w:val="en-US"/>
                    </w:rPr>
                    <w:t>Internal dose on day of exposure</w:t>
                  </w:r>
                </w:p>
              </w:tc>
              <w:tc>
                <w:tcPr>
                  <w:tcW w:w="0" w:type="auto"/>
                  <w:vAlign w:val="center"/>
                  <w:hideMark/>
                </w:tcPr>
                <w:p w14:paraId="4939FAFE"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5771502F" w14:textId="77777777" w:rsidTr="00B534E4">
              <w:trPr>
                <w:tblCellSpacing w:w="15" w:type="dxa"/>
              </w:trPr>
              <w:tc>
                <w:tcPr>
                  <w:tcW w:w="0" w:type="auto"/>
                  <w:vAlign w:val="center"/>
                  <w:hideMark/>
                </w:tcPr>
                <w:p w14:paraId="5E468BFD" w14:textId="77777777" w:rsidR="00422626" w:rsidRPr="00F84A66" w:rsidRDefault="00422626" w:rsidP="006176F8">
                  <w:pPr>
                    <w:pStyle w:val="Standaard-Tabellen"/>
                    <w:rPr>
                      <w:lang w:val="en-US"/>
                    </w:rPr>
                  </w:pPr>
                  <w:r w:rsidRPr="00F84A66">
                    <w:rPr>
                      <w:lang w:val="en-US"/>
                    </w:rPr>
                    <w:t>Internal year average dose</w:t>
                  </w:r>
                </w:p>
              </w:tc>
              <w:tc>
                <w:tcPr>
                  <w:tcW w:w="0" w:type="auto"/>
                  <w:vAlign w:val="center"/>
                  <w:hideMark/>
                </w:tcPr>
                <w:p w14:paraId="53755601" w14:textId="77777777" w:rsidR="00422626" w:rsidRPr="00F84A66" w:rsidRDefault="00422626" w:rsidP="006176F8">
                  <w:pPr>
                    <w:pStyle w:val="Standaard-Tabellen"/>
                    <w:rPr>
                      <w:lang w:val="en-US"/>
                    </w:rPr>
                  </w:pPr>
                  <w:r w:rsidRPr="00F84A66">
                    <w:rPr>
                      <w:lang w:val="en-US"/>
                    </w:rPr>
                    <w:t xml:space="preserve">– </w:t>
                  </w:r>
                </w:p>
              </w:tc>
            </w:tr>
          </w:tbl>
          <w:p w14:paraId="311E0387" w14:textId="77777777" w:rsidR="00422626" w:rsidRDefault="00422626" w:rsidP="006176F8">
            <w:pPr>
              <w:pStyle w:val="Standaard-Tabellen"/>
              <w:rPr>
                <w:rFonts w:eastAsia="Calibri"/>
              </w:rPr>
            </w:pPr>
          </w:p>
        </w:tc>
      </w:tr>
    </w:tbl>
    <w:p w14:paraId="50634347" w14:textId="77777777" w:rsidR="00422626" w:rsidRDefault="00422626" w:rsidP="00422626">
      <w:pPr>
        <w:rPr>
          <w:rFonts w:eastAsia="Calibri"/>
          <w:lang w:eastAsia="en-US"/>
        </w:rPr>
      </w:pPr>
    </w:p>
    <w:p w14:paraId="0B18EBB7" w14:textId="77777777" w:rsidR="00422626" w:rsidRPr="00D471B6" w:rsidRDefault="00422626" w:rsidP="00422626">
      <w:pPr>
        <w:pStyle w:val="Titre6"/>
        <w:rPr>
          <w:lang w:val="en-US"/>
        </w:rPr>
      </w:pPr>
      <w:r w:rsidRPr="00D471B6">
        <w:rPr>
          <w:lang w:val="en-US"/>
        </w:rPr>
        <w:t>d. Infant</w:t>
      </w:r>
    </w:p>
    <w:tbl>
      <w:tblPr>
        <w:tblStyle w:val="Grilledutableau"/>
        <w:tblW w:w="0" w:type="auto"/>
        <w:tblLook w:val="04A0" w:firstRow="1" w:lastRow="0" w:firstColumn="1" w:lastColumn="0" w:noHBand="0" w:noVBand="1"/>
      </w:tblPr>
      <w:tblGrid>
        <w:gridCol w:w="9402"/>
      </w:tblGrid>
      <w:tr w:rsidR="00422626" w14:paraId="1E8086E2" w14:textId="77777777" w:rsidTr="00B534E4">
        <w:tc>
          <w:tcPr>
            <w:tcW w:w="9402" w:type="dxa"/>
          </w:tcPr>
          <w:p w14:paraId="561774B1" w14:textId="77777777" w:rsidR="00422626" w:rsidRPr="00F84A66" w:rsidRDefault="00422626" w:rsidP="006176F8">
            <w:pPr>
              <w:pStyle w:val="Standaard-Tabellen"/>
              <w:rPr>
                <w:lang w:val="en-US"/>
              </w:rPr>
            </w:pPr>
            <w:r w:rsidRPr="00F84A66">
              <w:rPr>
                <w:lang w:val="en-US"/>
              </w:rPr>
              <w:t>Report for assessment PUMP SPRAY LICE 20%</w:t>
            </w:r>
          </w:p>
          <w:p w14:paraId="5CE48064" w14:textId="77777777" w:rsidR="00422626" w:rsidRPr="00F84A66" w:rsidRDefault="00422626" w:rsidP="006176F8">
            <w:pPr>
              <w:pStyle w:val="Standaard-Tabellen"/>
              <w:rPr>
                <w:lang w:val="en-US"/>
              </w:rPr>
            </w:pPr>
            <w:r w:rsidRPr="00F84A66">
              <w:rPr>
                <w:lang w:val="en-US"/>
              </w:rPr>
              <w:t>ConsExpo Web - Mon Feb 13 2017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7"/>
              <w:gridCol w:w="1277"/>
            </w:tblGrid>
            <w:tr w:rsidR="00422626" w:rsidRPr="00EC20C2" w14:paraId="3BEA329B" w14:textId="77777777" w:rsidTr="00B534E4">
              <w:trPr>
                <w:gridAfter w:val="1"/>
                <w:tblCellSpacing w:w="15" w:type="dxa"/>
              </w:trPr>
              <w:tc>
                <w:tcPr>
                  <w:tcW w:w="0" w:type="auto"/>
                  <w:vAlign w:val="center"/>
                  <w:hideMark/>
                </w:tcPr>
                <w:p w14:paraId="451E7137" w14:textId="77777777" w:rsidR="00422626" w:rsidRPr="00F84A66" w:rsidRDefault="00422626" w:rsidP="006176F8">
                  <w:pPr>
                    <w:pStyle w:val="Standaard-Tabellen"/>
                    <w:rPr>
                      <w:lang w:val="en-US"/>
                    </w:rPr>
                  </w:pPr>
                  <w:r w:rsidRPr="00F84A66">
                    <w:rPr>
                      <w:lang w:val="en-US"/>
                    </w:rPr>
                    <w:t>Substance</w:t>
                  </w:r>
                </w:p>
              </w:tc>
            </w:tr>
            <w:tr w:rsidR="00422626" w:rsidRPr="00EC20C2" w14:paraId="7E73A902" w14:textId="77777777" w:rsidTr="00B534E4">
              <w:trPr>
                <w:tblCellSpacing w:w="15" w:type="dxa"/>
              </w:trPr>
              <w:tc>
                <w:tcPr>
                  <w:tcW w:w="0" w:type="auto"/>
                  <w:vAlign w:val="center"/>
                  <w:hideMark/>
                </w:tcPr>
                <w:p w14:paraId="22A4462B"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13249BA4" w14:textId="77777777" w:rsidR="00422626" w:rsidRPr="00F84A66" w:rsidRDefault="00422626" w:rsidP="006176F8">
                  <w:pPr>
                    <w:pStyle w:val="Standaard-Tabellen"/>
                    <w:rPr>
                      <w:lang w:val="en-US"/>
                    </w:rPr>
                  </w:pPr>
                  <w:r w:rsidRPr="00F84A66">
                    <w:rPr>
                      <w:lang w:val="en-US"/>
                    </w:rPr>
                    <w:t>IR3535</w:t>
                  </w:r>
                </w:p>
              </w:tc>
            </w:tr>
            <w:tr w:rsidR="00422626" w:rsidRPr="00EC20C2" w14:paraId="33A23D0C" w14:textId="77777777" w:rsidTr="00B534E4">
              <w:trPr>
                <w:tblCellSpacing w:w="15" w:type="dxa"/>
              </w:trPr>
              <w:tc>
                <w:tcPr>
                  <w:tcW w:w="0" w:type="auto"/>
                  <w:vAlign w:val="center"/>
                  <w:hideMark/>
                </w:tcPr>
                <w:p w14:paraId="3627A80A" w14:textId="77777777" w:rsidR="00422626" w:rsidRPr="00F84A66" w:rsidRDefault="00422626" w:rsidP="006176F8">
                  <w:pPr>
                    <w:pStyle w:val="Standaard-Tabellen"/>
                    <w:rPr>
                      <w:lang w:val="en-US"/>
                    </w:rPr>
                  </w:pPr>
                  <w:r w:rsidRPr="00F84A66">
                    <w:rPr>
                      <w:lang w:val="en-US"/>
                    </w:rPr>
                    <w:t xml:space="preserve">Molecular weight </w:t>
                  </w:r>
                </w:p>
              </w:tc>
              <w:tc>
                <w:tcPr>
                  <w:tcW w:w="0" w:type="auto"/>
                  <w:vAlign w:val="center"/>
                  <w:hideMark/>
                </w:tcPr>
                <w:p w14:paraId="2A665A48" w14:textId="77777777" w:rsidR="00422626" w:rsidRPr="00F84A66" w:rsidRDefault="00422626" w:rsidP="006176F8">
                  <w:pPr>
                    <w:pStyle w:val="Standaard-Tabellen"/>
                    <w:rPr>
                      <w:lang w:val="en-US"/>
                    </w:rPr>
                  </w:pPr>
                  <w:r w:rsidRPr="00F84A66">
                    <w:rPr>
                      <w:lang w:val="en-US"/>
                    </w:rPr>
                    <w:t xml:space="preserve">215 g/mol </w:t>
                  </w:r>
                </w:p>
              </w:tc>
            </w:tr>
            <w:tr w:rsidR="00422626" w:rsidRPr="00EC20C2" w14:paraId="3670CE0F" w14:textId="77777777" w:rsidTr="00B534E4">
              <w:trPr>
                <w:tblCellSpacing w:w="15" w:type="dxa"/>
              </w:trPr>
              <w:tc>
                <w:tcPr>
                  <w:tcW w:w="0" w:type="auto"/>
                  <w:vAlign w:val="center"/>
                  <w:hideMark/>
                </w:tcPr>
                <w:p w14:paraId="720CB45F" w14:textId="77777777" w:rsidR="00422626" w:rsidRPr="00F84A66" w:rsidRDefault="00422626" w:rsidP="006176F8">
                  <w:pPr>
                    <w:pStyle w:val="Standaard-Tabellen"/>
                    <w:rPr>
                      <w:lang w:val="en-US"/>
                    </w:rPr>
                  </w:pPr>
                  <w:r w:rsidRPr="00F84A66">
                    <w:rPr>
                      <w:lang w:val="en-US"/>
                    </w:rPr>
                    <w:t>K</w:t>
                  </w:r>
                  <w:r w:rsidRPr="00F84A66">
                    <w:rPr>
                      <w:vertAlign w:val="subscript"/>
                      <w:lang w:val="en-US"/>
                    </w:rPr>
                    <w:t>OW</w:t>
                  </w:r>
                </w:p>
              </w:tc>
              <w:tc>
                <w:tcPr>
                  <w:tcW w:w="0" w:type="auto"/>
                  <w:vAlign w:val="center"/>
                  <w:hideMark/>
                </w:tcPr>
                <w:p w14:paraId="6C70977F"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5250149B" w14:textId="77777777" w:rsidTr="00B534E4">
              <w:trPr>
                <w:tblCellSpacing w:w="15" w:type="dxa"/>
              </w:trPr>
              <w:tc>
                <w:tcPr>
                  <w:tcW w:w="0" w:type="auto"/>
                  <w:vAlign w:val="center"/>
                  <w:hideMark/>
                </w:tcPr>
                <w:p w14:paraId="209DF715" w14:textId="77777777" w:rsidR="00422626" w:rsidRPr="00F84A66" w:rsidRDefault="00422626" w:rsidP="006176F8">
                  <w:pPr>
                    <w:pStyle w:val="Standaard-Tabellen"/>
                    <w:rPr>
                      <w:lang w:val="en-US"/>
                    </w:rPr>
                  </w:pPr>
                  <w:r w:rsidRPr="00F84A66">
                    <w:rPr>
                      <w:lang w:val="en-US"/>
                    </w:rPr>
                    <w:t>Product</w:t>
                  </w:r>
                </w:p>
              </w:tc>
              <w:tc>
                <w:tcPr>
                  <w:tcW w:w="0" w:type="auto"/>
                  <w:vAlign w:val="center"/>
                  <w:hideMark/>
                </w:tcPr>
                <w:p w14:paraId="671CAE1A" w14:textId="77777777" w:rsidR="00422626" w:rsidRPr="00F84A66" w:rsidRDefault="00422626" w:rsidP="006176F8">
                  <w:pPr>
                    <w:pStyle w:val="Standaard-Tabellen"/>
                    <w:rPr>
                      <w:lang w:val="en-US"/>
                    </w:rPr>
                  </w:pPr>
                </w:p>
              </w:tc>
            </w:tr>
            <w:tr w:rsidR="00422626" w:rsidRPr="00EC20C2" w14:paraId="632402C8" w14:textId="77777777" w:rsidTr="00B534E4">
              <w:trPr>
                <w:tblCellSpacing w:w="15" w:type="dxa"/>
              </w:trPr>
              <w:tc>
                <w:tcPr>
                  <w:tcW w:w="0" w:type="auto"/>
                  <w:vAlign w:val="center"/>
                  <w:hideMark/>
                </w:tcPr>
                <w:p w14:paraId="65334D22"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7C22EE7C" w14:textId="77777777" w:rsidR="00422626" w:rsidRPr="00F84A66" w:rsidRDefault="00422626" w:rsidP="006176F8">
                  <w:pPr>
                    <w:pStyle w:val="Standaard-Tabellen"/>
                    <w:rPr>
                      <w:lang w:val="en-US"/>
                    </w:rPr>
                  </w:pPr>
                  <w:r w:rsidRPr="00F84A66">
                    <w:rPr>
                      <w:lang w:val="en-US"/>
                    </w:rPr>
                    <w:t>IR PS Lice 20</w:t>
                  </w:r>
                </w:p>
              </w:tc>
            </w:tr>
            <w:tr w:rsidR="00422626" w:rsidRPr="00EC20C2" w14:paraId="1C48E0DF" w14:textId="77777777" w:rsidTr="00B534E4">
              <w:trPr>
                <w:tblCellSpacing w:w="15" w:type="dxa"/>
              </w:trPr>
              <w:tc>
                <w:tcPr>
                  <w:tcW w:w="0" w:type="auto"/>
                  <w:vAlign w:val="center"/>
                  <w:hideMark/>
                </w:tcPr>
                <w:p w14:paraId="778B96AF" w14:textId="77777777" w:rsidR="00422626" w:rsidRPr="00F84A66" w:rsidRDefault="00422626" w:rsidP="006176F8">
                  <w:pPr>
                    <w:pStyle w:val="Standaard-Tabellen"/>
                    <w:rPr>
                      <w:lang w:val="en-US"/>
                    </w:rPr>
                  </w:pPr>
                  <w:r w:rsidRPr="00F84A66">
                    <w:rPr>
                      <w:lang w:val="en-US"/>
                    </w:rPr>
                    <w:t>Weight fraction substance</w:t>
                  </w:r>
                </w:p>
              </w:tc>
              <w:tc>
                <w:tcPr>
                  <w:tcW w:w="0" w:type="auto"/>
                  <w:vAlign w:val="center"/>
                  <w:hideMark/>
                </w:tcPr>
                <w:p w14:paraId="4120A438" w14:textId="77777777" w:rsidR="00422626" w:rsidRPr="00F84A66" w:rsidRDefault="00422626" w:rsidP="006176F8">
                  <w:pPr>
                    <w:pStyle w:val="Standaard-Tabellen"/>
                    <w:rPr>
                      <w:lang w:val="en-US"/>
                    </w:rPr>
                  </w:pPr>
                  <w:r w:rsidRPr="00F84A66">
                    <w:rPr>
                      <w:lang w:val="en-US"/>
                    </w:rPr>
                    <w:t xml:space="preserve">20 % </w:t>
                  </w:r>
                </w:p>
              </w:tc>
            </w:tr>
            <w:tr w:rsidR="00422626" w:rsidRPr="00EC20C2" w14:paraId="3EF87643" w14:textId="77777777" w:rsidTr="00B534E4">
              <w:trPr>
                <w:tblCellSpacing w:w="15" w:type="dxa"/>
              </w:trPr>
              <w:tc>
                <w:tcPr>
                  <w:tcW w:w="0" w:type="auto"/>
                  <w:vAlign w:val="center"/>
                  <w:hideMark/>
                </w:tcPr>
                <w:p w14:paraId="32E78D66" w14:textId="77777777" w:rsidR="00422626" w:rsidRPr="00F84A66" w:rsidRDefault="00422626" w:rsidP="006176F8">
                  <w:pPr>
                    <w:pStyle w:val="Standaard-Tabellen"/>
                    <w:rPr>
                      <w:lang w:val="en-US"/>
                    </w:rPr>
                  </w:pPr>
                  <w:r w:rsidRPr="00F84A66">
                    <w:rPr>
                      <w:lang w:val="en-US"/>
                    </w:rPr>
                    <w:t>Population</w:t>
                  </w:r>
                </w:p>
              </w:tc>
              <w:tc>
                <w:tcPr>
                  <w:tcW w:w="0" w:type="auto"/>
                  <w:vAlign w:val="center"/>
                  <w:hideMark/>
                </w:tcPr>
                <w:p w14:paraId="78285958" w14:textId="77777777" w:rsidR="00422626" w:rsidRPr="00F84A66" w:rsidRDefault="00422626" w:rsidP="006176F8">
                  <w:pPr>
                    <w:pStyle w:val="Standaard-Tabellen"/>
                    <w:rPr>
                      <w:lang w:val="en-US"/>
                    </w:rPr>
                  </w:pPr>
                </w:p>
              </w:tc>
            </w:tr>
            <w:tr w:rsidR="00422626" w:rsidRPr="00EC20C2" w14:paraId="7C03DD1B" w14:textId="77777777" w:rsidTr="00B534E4">
              <w:trPr>
                <w:tblCellSpacing w:w="15" w:type="dxa"/>
              </w:trPr>
              <w:tc>
                <w:tcPr>
                  <w:tcW w:w="0" w:type="auto"/>
                  <w:vAlign w:val="center"/>
                  <w:hideMark/>
                </w:tcPr>
                <w:p w14:paraId="5CDDB464" w14:textId="77777777" w:rsidR="00422626" w:rsidRPr="00F84A66" w:rsidRDefault="00422626" w:rsidP="006176F8">
                  <w:pPr>
                    <w:pStyle w:val="Standaard-Tabellen"/>
                    <w:rPr>
                      <w:lang w:val="en-US"/>
                    </w:rPr>
                  </w:pPr>
                  <w:r w:rsidRPr="00F84A66">
                    <w:rPr>
                      <w:lang w:val="en-US"/>
                    </w:rPr>
                    <w:t>Name</w:t>
                  </w:r>
                </w:p>
              </w:tc>
              <w:tc>
                <w:tcPr>
                  <w:tcW w:w="0" w:type="auto"/>
                  <w:vAlign w:val="center"/>
                  <w:hideMark/>
                </w:tcPr>
                <w:p w14:paraId="405E482E" w14:textId="77777777" w:rsidR="00422626" w:rsidRPr="00F84A66" w:rsidRDefault="00422626" w:rsidP="006176F8">
                  <w:pPr>
                    <w:pStyle w:val="Standaard-Tabellen"/>
                    <w:rPr>
                      <w:lang w:val="en-US"/>
                    </w:rPr>
                  </w:pPr>
                  <w:r w:rsidRPr="00F84A66">
                    <w:rPr>
                      <w:lang w:val="en-US"/>
                    </w:rPr>
                    <w:t>INFANT</w:t>
                  </w:r>
                </w:p>
              </w:tc>
            </w:tr>
            <w:tr w:rsidR="00422626" w:rsidRPr="00EC20C2" w14:paraId="51066ACE" w14:textId="77777777" w:rsidTr="00B534E4">
              <w:trPr>
                <w:tblCellSpacing w:w="15" w:type="dxa"/>
              </w:trPr>
              <w:tc>
                <w:tcPr>
                  <w:tcW w:w="0" w:type="auto"/>
                  <w:vAlign w:val="center"/>
                  <w:hideMark/>
                </w:tcPr>
                <w:p w14:paraId="3B465131" w14:textId="77777777" w:rsidR="00422626" w:rsidRPr="00F84A66" w:rsidRDefault="00422626" w:rsidP="006176F8">
                  <w:pPr>
                    <w:pStyle w:val="Standaard-Tabellen"/>
                    <w:rPr>
                      <w:lang w:val="en-US"/>
                    </w:rPr>
                  </w:pPr>
                  <w:r w:rsidRPr="00F84A66">
                    <w:rPr>
                      <w:lang w:val="en-US"/>
                    </w:rPr>
                    <w:t>Body weight</w:t>
                  </w:r>
                </w:p>
              </w:tc>
              <w:tc>
                <w:tcPr>
                  <w:tcW w:w="0" w:type="auto"/>
                  <w:vAlign w:val="center"/>
                  <w:hideMark/>
                </w:tcPr>
                <w:p w14:paraId="13A58C5C" w14:textId="77777777" w:rsidR="00422626" w:rsidRPr="00F84A66" w:rsidRDefault="00422626" w:rsidP="006176F8">
                  <w:pPr>
                    <w:pStyle w:val="Standaard-Tabellen"/>
                    <w:rPr>
                      <w:lang w:val="en-US"/>
                    </w:rPr>
                  </w:pPr>
                  <w:r w:rsidRPr="00F84A66">
                    <w:rPr>
                      <w:lang w:val="en-US"/>
                    </w:rPr>
                    <w:t xml:space="preserve">8 kg </w:t>
                  </w:r>
                </w:p>
              </w:tc>
            </w:tr>
          </w:tbl>
          <w:p w14:paraId="7E3C4250" w14:textId="77777777" w:rsidR="00422626" w:rsidRPr="00F84A66" w:rsidRDefault="00422626" w:rsidP="006176F8">
            <w:pPr>
              <w:pStyle w:val="Standaard-Tabellen"/>
              <w:rPr>
                <w:lang w:val="en-US"/>
              </w:rPr>
            </w:pPr>
            <w:r w:rsidRPr="00F84A66">
              <w:rPr>
                <w:lang w:val="en-US"/>
              </w:rPr>
              <w:t>Scenario Inhalation of volatilised residues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1"/>
              <w:gridCol w:w="190"/>
            </w:tblGrid>
            <w:tr w:rsidR="00422626" w:rsidRPr="00EC20C2" w14:paraId="24307DAA" w14:textId="77777777" w:rsidTr="00B534E4">
              <w:trPr>
                <w:tblCellSpacing w:w="15" w:type="dxa"/>
              </w:trPr>
              <w:tc>
                <w:tcPr>
                  <w:tcW w:w="0" w:type="auto"/>
                  <w:vAlign w:val="center"/>
                  <w:hideMark/>
                </w:tcPr>
                <w:p w14:paraId="68C90353" w14:textId="77777777" w:rsidR="00422626" w:rsidRPr="00F84A66" w:rsidRDefault="00422626" w:rsidP="006176F8">
                  <w:pPr>
                    <w:pStyle w:val="Standaard-Tabellen"/>
                    <w:rPr>
                      <w:lang w:val="en-US"/>
                    </w:rPr>
                  </w:pPr>
                  <w:r w:rsidRPr="00F84A66">
                    <w:rPr>
                      <w:lang w:val="en-US"/>
                    </w:rPr>
                    <w:t>Frequency</w:t>
                  </w:r>
                </w:p>
              </w:tc>
              <w:tc>
                <w:tcPr>
                  <w:tcW w:w="0" w:type="auto"/>
                  <w:vAlign w:val="center"/>
                  <w:hideMark/>
                </w:tcPr>
                <w:p w14:paraId="0291888F"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54F95B44" w14:textId="77777777" w:rsidTr="00B534E4">
              <w:trPr>
                <w:tblCellSpacing w:w="15" w:type="dxa"/>
              </w:trPr>
              <w:tc>
                <w:tcPr>
                  <w:tcW w:w="0" w:type="auto"/>
                  <w:vAlign w:val="center"/>
                  <w:hideMark/>
                </w:tcPr>
                <w:p w14:paraId="7351A093" w14:textId="77777777" w:rsidR="00422626" w:rsidRPr="00F84A66" w:rsidRDefault="00422626" w:rsidP="006176F8">
                  <w:pPr>
                    <w:pStyle w:val="Standaard-Tabellen"/>
                    <w:rPr>
                      <w:lang w:val="en-US"/>
                    </w:rPr>
                  </w:pPr>
                  <w:r w:rsidRPr="00F84A66">
                    <w:rPr>
                      <w:lang w:val="en-US"/>
                    </w:rPr>
                    <w:t>Description</w:t>
                  </w:r>
                </w:p>
              </w:tc>
              <w:tc>
                <w:tcPr>
                  <w:tcW w:w="0" w:type="auto"/>
                  <w:vAlign w:val="center"/>
                  <w:hideMark/>
                </w:tcPr>
                <w:p w14:paraId="1D8A12A1" w14:textId="77777777" w:rsidR="00422626" w:rsidRPr="00F84A66" w:rsidRDefault="00422626" w:rsidP="006176F8">
                  <w:pPr>
                    <w:pStyle w:val="Standaard-Tabellen"/>
                    <w:rPr>
                      <w:lang w:val="en-US"/>
                    </w:rPr>
                  </w:pPr>
                </w:p>
              </w:tc>
            </w:tr>
          </w:tbl>
          <w:p w14:paraId="7D2F230E" w14:textId="77777777" w:rsidR="00422626" w:rsidRPr="00F84A66" w:rsidRDefault="00422626" w:rsidP="006176F8">
            <w:pPr>
              <w:pStyle w:val="Standaard-Tabellen"/>
              <w:rPr>
                <w:lang w:val="en-US"/>
              </w:rPr>
            </w:pPr>
            <w:r w:rsidRPr="00F84A66">
              <w:rPr>
                <w:lang w:val="en-US"/>
              </w:rPr>
              <w:t>Inhalation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6"/>
              <w:gridCol w:w="4057"/>
            </w:tblGrid>
            <w:tr w:rsidR="00422626" w:rsidRPr="00EC20C2" w14:paraId="487CFCF0" w14:textId="77777777" w:rsidTr="00B534E4">
              <w:trPr>
                <w:tblCellSpacing w:w="15" w:type="dxa"/>
              </w:trPr>
              <w:tc>
                <w:tcPr>
                  <w:tcW w:w="0" w:type="auto"/>
                  <w:vAlign w:val="center"/>
                  <w:hideMark/>
                </w:tcPr>
                <w:p w14:paraId="1460CABF"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604EC233" w14:textId="77777777" w:rsidR="00422626" w:rsidRPr="00F84A66" w:rsidRDefault="00422626" w:rsidP="006176F8">
                  <w:pPr>
                    <w:pStyle w:val="Standaard-Tabellen"/>
                    <w:rPr>
                      <w:lang w:val="en-US"/>
                    </w:rPr>
                  </w:pPr>
                  <w:r w:rsidRPr="00F84A66">
                    <w:rPr>
                      <w:lang w:val="en-US"/>
                    </w:rPr>
                    <w:t xml:space="preserve">Exposure to vapour - Instantaneous release </w:t>
                  </w:r>
                </w:p>
              </w:tc>
            </w:tr>
            <w:tr w:rsidR="00422626" w:rsidRPr="00EC20C2" w14:paraId="4950A1F4" w14:textId="77777777" w:rsidTr="00B534E4">
              <w:trPr>
                <w:tblCellSpacing w:w="15" w:type="dxa"/>
              </w:trPr>
              <w:tc>
                <w:tcPr>
                  <w:tcW w:w="0" w:type="auto"/>
                  <w:vAlign w:val="center"/>
                  <w:hideMark/>
                </w:tcPr>
                <w:p w14:paraId="7E0057EE" w14:textId="77777777" w:rsidR="00422626" w:rsidRPr="00F84A66" w:rsidRDefault="00422626" w:rsidP="006176F8">
                  <w:pPr>
                    <w:pStyle w:val="Standaard-Tabellen"/>
                    <w:rPr>
                      <w:lang w:val="en-US"/>
                    </w:rPr>
                  </w:pPr>
                  <w:r w:rsidRPr="00F84A66">
                    <w:rPr>
                      <w:lang w:val="en-US"/>
                    </w:rPr>
                    <w:t>Exposure duration</w:t>
                  </w:r>
                </w:p>
              </w:tc>
              <w:tc>
                <w:tcPr>
                  <w:tcW w:w="0" w:type="auto"/>
                  <w:vAlign w:val="center"/>
                  <w:hideMark/>
                </w:tcPr>
                <w:p w14:paraId="6E3A3002" w14:textId="77777777" w:rsidR="00422626" w:rsidRPr="00F84A66" w:rsidRDefault="00422626" w:rsidP="006176F8">
                  <w:pPr>
                    <w:pStyle w:val="Standaard-Tabellen"/>
                    <w:rPr>
                      <w:lang w:val="en-US"/>
                    </w:rPr>
                  </w:pPr>
                  <w:r w:rsidRPr="00F84A66">
                    <w:rPr>
                      <w:lang w:val="en-US"/>
                    </w:rPr>
                    <w:t xml:space="preserve">24 hour </w:t>
                  </w:r>
                </w:p>
              </w:tc>
            </w:tr>
            <w:tr w:rsidR="00422626" w:rsidRPr="00EC20C2" w14:paraId="037A7D26" w14:textId="77777777" w:rsidTr="00B534E4">
              <w:trPr>
                <w:tblCellSpacing w:w="15" w:type="dxa"/>
              </w:trPr>
              <w:tc>
                <w:tcPr>
                  <w:tcW w:w="0" w:type="auto"/>
                  <w:vAlign w:val="center"/>
                  <w:hideMark/>
                </w:tcPr>
                <w:p w14:paraId="3561F6C4" w14:textId="77777777" w:rsidR="00422626" w:rsidRPr="00F84A66" w:rsidRDefault="00422626" w:rsidP="006176F8">
                  <w:pPr>
                    <w:pStyle w:val="Standaard-Tabellen"/>
                    <w:rPr>
                      <w:lang w:val="en-US"/>
                    </w:rPr>
                  </w:pPr>
                  <w:r w:rsidRPr="00F84A66">
                    <w:rPr>
                      <w:lang w:val="en-US"/>
                    </w:rPr>
                    <w:t>Product amount</w:t>
                  </w:r>
                </w:p>
              </w:tc>
              <w:tc>
                <w:tcPr>
                  <w:tcW w:w="0" w:type="auto"/>
                  <w:vAlign w:val="center"/>
                  <w:hideMark/>
                </w:tcPr>
                <w:p w14:paraId="0A4490FA" w14:textId="77777777" w:rsidR="00422626" w:rsidRPr="00F84A66" w:rsidRDefault="00422626" w:rsidP="006176F8">
                  <w:pPr>
                    <w:pStyle w:val="Standaard-Tabellen"/>
                    <w:rPr>
                      <w:lang w:val="en-US"/>
                    </w:rPr>
                  </w:pPr>
                  <w:r w:rsidRPr="00F84A66">
                    <w:rPr>
                      <w:lang w:val="en-US"/>
                    </w:rPr>
                    <w:t xml:space="preserve">1.5 g </w:t>
                  </w:r>
                </w:p>
              </w:tc>
            </w:tr>
            <w:tr w:rsidR="00422626" w:rsidRPr="00EC20C2" w14:paraId="7114E6C9" w14:textId="77777777" w:rsidTr="00B534E4">
              <w:trPr>
                <w:tblCellSpacing w:w="15" w:type="dxa"/>
              </w:trPr>
              <w:tc>
                <w:tcPr>
                  <w:tcW w:w="0" w:type="auto"/>
                  <w:vAlign w:val="center"/>
                  <w:hideMark/>
                </w:tcPr>
                <w:p w14:paraId="0D1FC25F" w14:textId="77777777" w:rsidR="00422626" w:rsidRPr="00F84A66" w:rsidRDefault="00422626" w:rsidP="006176F8">
                  <w:pPr>
                    <w:pStyle w:val="Standaard-Tabellen"/>
                    <w:rPr>
                      <w:lang w:val="en-US"/>
                    </w:rPr>
                  </w:pPr>
                  <w:r w:rsidRPr="00F84A66">
                    <w:rPr>
                      <w:lang w:val="en-US"/>
                    </w:rPr>
                    <w:t>Weight fraction substance</w:t>
                  </w:r>
                </w:p>
              </w:tc>
              <w:tc>
                <w:tcPr>
                  <w:tcW w:w="0" w:type="auto"/>
                  <w:vAlign w:val="center"/>
                  <w:hideMark/>
                </w:tcPr>
                <w:p w14:paraId="16706665" w14:textId="77777777" w:rsidR="00422626" w:rsidRPr="00F84A66" w:rsidRDefault="00422626" w:rsidP="006176F8">
                  <w:pPr>
                    <w:pStyle w:val="Standaard-Tabellen"/>
                    <w:rPr>
                      <w:lang w:val="en-US"/>
                    </w:rPr>
                  </w:pPr>
                  <w:r w:rsidRPr="00F84A66">
                    <w:rPr>
                      <w:lang w:val="en-US"/>
                    </w:rPr>
                    <w:t xml:space="preserve">20 % </w:t>
                  </w:r>
                </w:p>
              </w:tc>
            </w:tr>
            <w:tr w:rsidR="00422626" w:rsidRPr="00EC20C2" w14:paraId="64BA1F68" w14:textId="77777777" w:rsidTr="00B534E4">
              <w:trPr>
                <w:tblCellSpacing w:w="15" w:type="dxa"/>
              </w:trPr>
              <w:tc>
                <w:tcPr>
                  <w:tcW w:w="0" w:type="auto"/>
                  <w:vAlign w:val="center"/>
                  <w:hideMark/>
                </w:tcPr>
                <w:p w14:paraId="49E6B2C4" w14:textId="77777777" w:rsidR="00422626" w:rsidRPr="00F84A66" w:rsidRDefault="00422626" w:rsidP="006176F8">
                  <w:pPr>
                    <w:pStyle w:val="Standaard-Tabellen"/>
                    <w:rPr>
                      <w:lang w:val="en-US"/>
                    </w:rPr>
                  </w:pPr>
                  <w:r w:rsidRPr="00F84A66">
                    <w:rPr>
                      <w:lang w:val="en-US"/>
                    </w:rPr>
                    <w:t>Room volume</w:t>
                  </w:r>
                </w:p>
              </w:tc>
              <w:tc>
                <w:tcPr>
                  <w:tcW w:w="0" w:type="auto"/>
                  <w:vAlign w:val="center"/>
                  <w:hideMark/>
                </w:tcPr>
                <w:p w14:paraId="3264EBE3" w14:textId="77777777" w:rsidR="00422626" w:rsidRPr="00F84A66" w:rsidRDefault="00422626" w:rsidP="006176F8">
                  <w:pPr>
                    <w:pStyle w:val="Standaard-Tabellen"/>
                    <w:rPr>
                      <w:lang w:val="en-US"/>
                    </w:rPr>
                  </w:pPr>
                  <w:r w:rsidRPr="00F84A66">
                    <w:rPr>
                      <w:lang w:val="en-US"/>
                    </w:rPr>
                    <w:t xml:space="preserve">20 m³ </w:t>
                  </w:r>
                </w:p>
              </w:tc>
            </w:tr>
            <w:tr w:rsidR="00422626" w:rsidRPr="00EC20C2" w14:paraId="590E5D38" w14:textId="77777777" w:rsidTr="00B534E4">
              <w:trPr>
                <w:tblCellSpacing w:w="15" w:type="dxa"/>
              </w:trPr>
              <w:tc>
                <w:tcPr>
                  <w:tcW w:w="0" w:type="auto"/>
                  <w:vAlign w:val="center"/>
                  <w:hideMark/>
                </w:tcPr>
                <w:p w14:paraId="5353BE9C" w14:textId="77777777" w:rsidR="00422626" w:rsidRPr="00F84A66" w:rsidRDefault="00422626" w:rsidP="006176F8">
                  <w:pPr>
                    <w:pStyle w:val="Standaard-Tabellen"/>
                    <w:rPr>
                      <w:lang w:val="en-US"/>
                    </w:rPr>
                  </w:pPr>
                  <w:r w:rsidRPr="00F84A66">
                    <w:rPr>
                      <w:lang w:val="en-US"/>
                    </w:rPr>
                    <w:t>Ventilation rate</w:t>
                  </w:r>
                </w:p>
              </w:tc>
              <w:tc>
                <w:tcPr>
                  <w:tcW w:w="0" w:type="auto"/>
                  <w:vAlign w:val="center"/>
                  <w:hideMark/>
                </w:tcPr>
                <w:p w14:paraId="4EC43ABE" w14:textId="77777777" w:rsidR="00422626" w:rsidRPr="00F84A66" w:rsidRDefault="00422626" w:rsidP="006176F8">
                  <w:pPr>
                    <w:pStyle w:val="Standaard-Tabellen"/>
                    <w:rPr>
                      <w:lang w:val="en-US"/>
                    </w:rPr>
                  </w:pPr>
                  <w:r w:rsidRPr="00F84A66">
                    <w:rPr>
                      <w:lang w:val="en-US"/>
                    </w:rPr>
                    <w:t xml:space="preserve">0.6 per hour </w:t>
                  </w:r>
                </w:p>
              </w:tc>
            </w:tr>
            <w:tr w:rsidR="00422626" w:rsidRPr="00EC20C2" w14:paraId="0000E73D" w14:textId="77777777" w:rsidTr="00B534E4">
              <w:trPr>
                <w:tblCellSpacing w:w="15" w:type="dxa"/>
              </w:trPr>
              <w:tc>
                <w:tcPr>
                  <w:tcW w:w="0" w:type="auto"/>
                  <w:vAlign w:val="center"/>
                  <w:hideMark/>
                </w:tcPr>
                <w:p w14:paraId="171B1127" w14:textId="77777777" w:rsidR="00422626" w:rsidRPr="00F84A66" w:rsidRDefault="00422626" w:rsidP="006176F8">
                  <w:pPr>
                    <w:pStyle w:val="Standaard-Tabellen"/>
                    <w:rPr>
                      <w:lang w:val="en-US"/>
                    </w:rPr>
                  </w:pPr>
                  <w:r w:rsidRPr="00F84A66">
                    <w:rPr>
                      <w:lang w:val="en-US"/>
                    </w:rPr>
                    <w:t>Inhalation rate</w:t>
                  </w:r>
                </w:p>
              </w:tc>
              <w:tc>
                <w:tcPr>
                  <w:tcW w:w="0" w:type="auto"/>
                  <w:vAlign w:val="center"/>
                  <w:hideMark/>
                </w:tcPr>
                <w:p w14:paraId="046DB68D" w14:textId="77777777" w:rsidR="00422626" w:rsidRPr="00F84A66" w:rsidRDefault="00422626" w:rsidP="006176F8">
                  <w:pPr>
                    <w:pStyle w:val="Standaard-Tabellen"/>
                    <w:rPr>
                      <w:lang w:val="en-US"/>
                    </w:rPr>
                  </w:pPr>
                  <w:r w:rsidRPr="00F84A66">
                    <w:rPr>
                      <w:lang w:val="en-US"/>
                    </w:rPr>
                    <w:t xml:space="preserve">0.84 m³/hr </w:t>
                  </w:r>
                </w:p>
              </w:tc>
            </w:tr>
            <w:tr w:rsidR="00422626" w:rsidRPr="00EC20C2" w14:paraId="08BAEFDD" w14:textId="77777777" w:rsidTr="00B534E4">
              <w:trPr>
                <w:tblCellSpacing w:w="15" w:type="dxa"/>
              </w:trPr>
              <w:tc>
                <w:tcPr>
                  <w:tcW w:w="0" w:type="auto"/>
                  <w:vAlign w:val="center"/>
                  <w:hideMark/>
                </w:tcPr>
                <w:p w14:paraId="3DB3C27D" w14:textId="77777777" w:rsidR="00422626" w:rsidRPr="00F84A66" w:rsidRDefault="00422626" w:rsidP="006176F8">
                  <w:pPr>
                    <w:pStyle w:val="Standaard-Tabellen"/>
                    <w:rPr>
                      <w:lang w:val="en-US"/>
                    </w:rPr>
                  </w:pPr>
                  <w:r w:rsidRPr="00F84A66">
                    <w:rPr>
                      <w:lang w:val="en-US"/>
                    </w:rPr>
                    <w:t>Limit concentration to saturated air concentration</w:t>
                  </w:r>
                </w:p>
              </w:tc>
              <w:tc>
                <w:tcPr>
                  <w:tcW w:w="0" w:type="auto"/>
                  <w:vAlign w:val="center"/>
                  <w:hideMark/>
                </w:tcPr>
                <w:p w14:paraId="3438F926" w14:textId="77777777" w:rsidR="00422626" w:rsidRPr="00F84A66" w:rsidRDefault="00422626" w:rsidP="006176F8">
                  <w:pPr>
                    <w:pStyle w:val="Standaard-Tabellen"/>
                    <w:rPr>
                      <w:lang w:val="en-US"/>
                    </w:rPr>
                  </w:pPr>
                  <w:r w:rsidRPr="00F84A66">
                    <w:rPr>
                      <w:lang w:val="en-US"/>
                    </w:rPr>
                    <w:t xml:space="preserve">No </w:t>
                  </w:r>
                </w:p>
              </w:tc>
            </w:tr>
            <w:tr w:rsidR="00422626" w:rsidRPr="00EC20C2" w14:paraId="7B8DF966" w14:textId="77777777" w:rsidTr="00B534E4">
              <w:trPr>
                <w:tblCellSpacing w:w="15" w:type="dxa"/>
              </w:trPr>
              <w:tc>
                <w:tcPr>
                  <w:tcW w:w="0" w:type="auto"/>
                  <w:vAlign w:val="center"/>
                  <w:hideMark/>
                </w:tcPr>
                <w:p w14:paraId="0690A896"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76A037EA" w14:textId="77777777" w:rsidR="00422626" w:rsidRPr="00F84A66" w:rsidRDefault="00422626" w:rsidP="006176F8">
                  <w:pPr>
                    <w:pStyle w:val="Standaard-Tabellen"/>
                    <w:rPr>
                      <w:lang w:val="en-US"/>
                    </w:rPr>
                  </w:pPr>
                  <w:r w:rsidRPr="00F84A66">
                    <w:rPr>
                      <w:lang w:val="en-US"/>
                    </w:rPr>
                    <w:t xml:space="preserve">Fixed fraction </w:t>
                  </w:r>
                </w:p>
              </w:tc>
            </w:tr>
            <w:tr w:rsidR="00422626" w:rsidRPr="00EC20C2" w14:paraId="162FE5A2" w14:textId="77777777" w:rsidTr="00B534E4">
              <w:trPr>
                <w:tblCellSpacing w:w="15" w:type="dxa"/>
              </w:trPr>
              <w:tc>
                <w:tcPr>
                  <w:tcW w:w="0" w:type="auto"/>
                  <w:vAlign w:val="center"/>
                  <w:hideMark/>
                </w:tcPr>
                <w:p w14:paraId="10A5C5C1" w14:textId="77777777" w:rsidR="00422626" w:rsidRPr="00F84A66" w:rsidRDefault="00422626" w:rsidP="006176F8">
                  <w:pPr>
                    <w:pStyle w:val="Standaard-Tabellen"/>
                    <w:rPr>
                      <w:lang w:val="en-US"/>
                    </w:rPr>
                  </w:pPr>
                  <w:r w:rsidRPr="00F84A66">
                    <w:rPr>
                      <w:lang w:val="en-US"/>
                    </w:rPr>
                    <w:t>Absorption fraction</w:t>
                  </w:r>
                </w:p>
              </w:tc>
              <w:tc>
                <w:tcPr>
                  <w:tcW w:w="0" w:type="auto"/>
                  <w:vAlign w:val="center"/>
                  <w:hideMark/>
                </w:tcPr>
                <w:p w14:paraId="42A02ECA" w14:textId="77777777" w:rsidR="00422626" w:rsidRPr="00F84A66" w:rsidRDefault="00422626" w:rsidP="006176F8">
                  <w:pPr>
                    <w:pStyle w:val="Standaard-Tabellen"/>
                    <w:rPr>
                      <w:lang w:val="en-US"/>
                    </w:rPr>
                  </w:pPr>
                  <w:r w:rsidRPr="00F84A66">
                    <w:rPr>
                      <w:lang w:val="en-US"/>
                    </w:rPr>
                    <w:t xml:space="preserve">100 % </w:t>
                  </w:r>
                </w:p>
              </w:tc>
            </w:tr>
          </w:tbl>
          <w:p w14:paraId="4689410E" w14:textId="77777777" w:rsidR="00422626" w:rsidRPr="00F84A66" w:rsidRDefault="00422626" w:rsidP="006176F8">
            <w:pPr>
              <w:pStyle w:val="Standaard-Tabellen"/>
              <w:rPr>
                <w:lang w:val="en-US"/>
              </w:rPr>
            </w:pPr>
            <w:r w:rsidRPr="00F84A66">
              <w:rPr>
                <w:lang w:val="en-US"/>
              </w:rPr>
              <w:t>Dermal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428"/>
            </w:tblGrid>
            <w:tr w:rsidR="00422626" w:rsidRPr="00EC20C2" w14:paraId="43638F0B" w14:textId="77777777" w:rsidTr="00B534E4">
              <w:trPr>
                <w:tblCellSpacing w:w="15" w:type="dxa"/>
              </w:trPr>
              <w:tc>
                <w:tcPr>
                  <w:tcW w:w="0" w:type="auto"/>
                  <w:vAlign w:val="center"/>
                  <w:hideMark/>
                </w:tcPr>
                <w:p w14:paraId="1A91A1B0"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5FF48A1E" w14:textId="77777777" w:rsidR="00422626" w:rsidRPr="00F84A66" w:rsidRDefault="00422626" w:rsidP="006176F8">
                  <w:pPr>
                    <w:pStyle w:val="Standaard-Tabellen"/>
                    <w:rPr>
                      <w:lang w:val="en-US"/>
                    </w:rPr>
                  </w:pPr>
                  <w:r w:rsidRPr="00F84A66">
                    <w:rPr>
                      <w:lang w:val="en-US"/>
                    </w:rPr>
                    <w:t xml:space="preserve">n.a. </w:t>
                  </w:r>
                </w:p>
              </w:tc>
            </w:tr>
            <w:tr w:rsidR="00422626" w:rsidRPr="00EC20C2" w14:paraId="6292303D" w14:textId="77777777" w:rsidTr="00B534E4">
              <w:trPr>
                <w:tblCellSpacing w:w="15" w:type="dxa"/>
              </w:trPr>
              <w:tc>
                <w:tcPr>
                  <w:tcW w:w="0" w:type="auto"/>
                  <w:vAlign w:val="center"/>
                  <w:hideMark/>
                </w:tcPr>
                <w:p w14:paraId="5D737349"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311A8CA4" w14:textId="77777777" w:rsidR="00422626" w:rsidRPr="00F84A66" w:rsidRDefault="00422626" w:rsidP="006176F8">
                  <w:pPr>
                    <w:pStyle w:val="Standaard-Tabellen"/>
                    <w:rPr>
                      <w:lang w:val="en-US"/>
                    </w:rPr>
                  </w:pPr>
                  <w:r w:rsidRPr="00F84A66">
                    <w:rPr>
                      <w:lang w:val="en-US"/>
                    </w:rPr>
                    <w:t xml:space="preserve">n.a. </w:t>
                  </w:r>
                </w:p>
              </w:tc>
            </w:tr>
          </w:tbl>
          <w:p w14:paraId="1D518B00" w14:textId="77777777" w:rsidR="00422626" w:rsidRPr="00F84A66" w:rsidRDefault="00422626" w:rsidP="006176F8">
            <w:pPr>
              <w:pStyle w:val="Standaard-Tabellen"/>
              <w:rPr>
                <w:lang w:val="en-US"/>
              </w:rPr>
            </w:pPr>
            <w:r w:rsidRPr="00F84A66">
              <w:rPr>
                <w:lang w:val="en-US"/>
              </w:rPr>
              <w:t>Oral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428"/>
            </w:tblGrid>
            <w:tr w:rsidR="00422626" w:rsidRPr="00EC20C2" w14:paraId="2D11A012" w14:textId="77777777" w:rsidTr="00B534E4">
              <w:trPr>
                <w:tblCellSpacing w:w="15" w:type="dxa"/>
              </w:trPr>
              <w:tc>
                <w:tcPr>
                  <w:tcW w:w="0" w:type="auto"/>
                  <w:vAlign w:val="center"/>
                  <w:hideMark/>
                </w:tcPr>
                <w:p w14:paraId="5C4E359F" w14:textId="77777777" w:rsidR="00422626" w:rsidRPr="00F84A66" w:rsidRDefault="00422626" w:rsidP="006176F8">
                  <w:pPr>
                    <w:pStyle w:val="Standaard-Tabellen"/>
                    <w:rPr>
                      <w:lang w:val="en-US"/>
                    </w:rPr>
                  </w:pPr>
                  <w:r w:rsidRPr="00F84A66">
                    <w:rPr>
                      <w:lang w:val="en-US"/>
                    </w:rPr>
                    <w:t xml:space="preserve">Exposure model </w:t>
                  </w:r>
                </w:p>
              </w:tc>
              <w:tc>
                <w:tcPr>
                  <w:tcW w:w="0" w:type="auto"/>
                  <w:vAlign w:val="center"/>
                  <w:hideMark/>
                </w:tcPr>
                <w:p w14:paraId="3F6BFE90" w14:textId="77777777" w:rsidR="00422626" w:rsidRPr="00F84A66" w:rsidRDefault="00422626" w:rsidP="006176F8">
                  <w:pPr>
                    <w:pStyle w:val="Standaard-Tabellen"/>
                    <w:rPr>
                      <w:lang w:val="en-US"/>
                    </w:rPr>
                  </w:pPr>
                  <w:r w:rsidRPr="00F84A66">
                    <w:rPr>
                      <w:lang w:val="en-US"/>
                    </w:rPr>
                    <w:t xml:space="preserve">n.a. </w:t>
                  </w:r>
                </w:p>
              </w:tc>
            </w:tr>
            <w:tr w:rsidR="00422626" w:rsidRPr="00EC20C2" w14:paraId="68854205" w14:textId="77777777" w:rsidTr="00B534E4">
              <w:trPr>
                <w:tblCellSpacing w:w="15" w:type="dxa"/>
              </w:trPr>
              <w:tc>
                <w:tcPr>
                  <w:tcW w:w="0" w:type="auto"/>
                  <w:vAlign w:val="center"/>
                  <w:hideMark/>
                </w:tcPr>
                <w:p w14:paraId="1836B080" w14:textId="77777777" w:rsidR="00422626" w:rsidRPr="00F84A66" w:rsidRDefault="00422626" w:rsidP="006176F8">
                  <w:pPr>
                    <w:pStyle w:val="Standaard-Tabellen"/>
                    <w:rPr>
                      <w:lang w:val="en-US"/>
                    </w:rPr>
                  </w:pPr>
                  <w:r w:rsidRPr="00F84A66">
                    <w:rPr>
                      <w:lang w:val="en-US"/>
                    </w:rPr>
                    <w:t xml:space="preserve">Absorption model </w:t>
                  </w:r>
                </w:p>
              </w:tc>
              <w:tc>
                <w:tcPr>
                  <w:tcW w:w="0" w:type="auto"/>
                  <w:vAlign w:val="center"/>
                  <w:hideMark/>
                </w:tcPr>
                <w:p w14:paraId="051DEFCD" w14:textId="77777777" w:rsidR="00422626" w:rsidRPr="00F84A66" w:rsidRDefault="00422626" w:rsidP="006176F8">
                  <w:pPr>
                    <w:pStyle w:val="Standaard-Tabellen"/>
                    <w:rPr>
                      <w:lang w:val="en-US"/>
                    </w:rPr>
                  </w:pPr>
                  <w:r w:rsidRPr="00F84A66">
                    <w:rPr>
                      <w:lang w:val="en-US"/>
                    </w:rPr>
                    <w:t xml:space="preserve">n.a. </w:t>
                  </w:r>
                </w:p>
              </w:tc>
            </w:tr>
          </w:tbl>
          <w:p w14:paraId="5B429CA5" w14:textId="77777777" w:rsidR="00422626" w:rsidRPr="00F84A66" w:rsidRDefault="00422626" w:rsidP="006176F8">
            <w:pPr>
              <w:pStyle w:val="Standaard-Tabellen"/>
              <w:rPr>
                <w:lang w:val="en-US"/>
              </w:rPr>
            </w:pPr>
            <w:r w:rsidRPr="00F84A66">
              <w:rPr>
                <w:lang w:val="en-US"/>
              </w:rPr>
              <w:t>Results for scenario Inhalation of volatilised residues</w:t>
            </w:r>
          </w:p>
          <w:p w14:paraId="25805630" w14:textId="77777777" w:rsidR="00422626" w:rsidRPr="00F84A66" w:rsidRDefault="00422626" w:rsidP="006176F8">
            <w:pPr>
              <w:pStyle w:val="Standaard-Tabellen"/>
              <w:rPr>
                <w:lang w:val="en-US"/>
              </w:rPr>
            </w:pPr>
            <w:r w:rsidRPr="00F84A66">
              <w:rPr>
                <w:lang w:val="en-US"/>
              </w:rPr>
              <w:t>Inhalation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3"/>
              <w:gridCol w:w="1343"/>
            </w:tblGrid>
            <w:tr w:rsidR="00422626" w:rsidRPr="00EC20C2" w14:paraId="0F7C6723" w14:textId="77777777" w:rsidTr="00B534E4">
              <w:trPr>
                <w:tblCellSpacing w:w="15" w:type="dxa"/>
              </w:trPr>
              <w:tc>
                <w:tcPr>
                  <w:tcW w:w="0" w:type="auto"/>
                  <w:vAlign w:val="center"/>
                  <w:hideMark/>
                </w:tcPr>
                <w:p w14:paraId="477726A9" w14:textId="77777777" w:rsidR="00422626" w:rsidRPr="00F84A66" w:rsidRDefault="00422626" w:rsidP="006176F8">
                  <w:pPr>
                    <w:pStyle w:val="Standaard-Tabellen"/>
                    <w:rPr>
                      <w:lang w:val="en-US"/>
                    </w:rPr>
                  </w:pPr>
                  <w:r w:rsidRPr="00F84A66">
                    <w:rPr>
                      <w:lang w:val="en-US"/>
                    </w:rPr>
                    <w:t>Mean event concentration</w:t>
                  </w:r>
                </w:p>
              </w:tc>
              <w:tc>
                <w:tcPr>
                  <w:tcW w:w="0" w:type="auto"/>
                  <w:vAlign w:val="center"/>
                  <w:hideMark/>
                </w:tcPr>
                <w:p w14:paraId="4112F637" w14:textId="77777777" w:rsidR="00422626" w:rsidRPr="00F84A66" w:rsidRDefault="00422626" w:rsidP="006176F8">
                  <w:pPr>
                    <w:pStyle w:val="Standaard-Tabellen"/>
                    <w:rPr>
                      <w:lang w:val="en-US"/>
                    </w:rPr>
                  </w:pPr>
                  <w:r w:rsidRPr="00F84A66">
                    <w:rPr>
                      <w:lang w:val="en-US"/>
                    </w:rPr>
                    <w:t xml:space="preserve">1.0 mg/m³ </w:t>
                  </w:r>
                </w:p>
              </w:tc>
            </w:tr>
            <w:tr w:rsidR="00422626" w:rsidRPr="00EC20C2" w14:paraId="4D5030F6" w14:textId="77777777" w:rsidTr="00B534E4">
              <w:trPr>
                <w:tblCellSpacing w:w="15" w:type="dxa"/>
              </w:trPr>
              <w:tc>
                <w:tcPr>
                  <w:tcW w:w="0" w:type="auto"/>
                  <w:vAlign w:val="center"/>
                  <w:hideMark/>
                </w:tcPr>
                <w:p w14:paraId="328D644F" w14:textId="77777777" w:rsidR="00422626" w:rsidRPr="00F84A66" w:rsidRDefault="00422626" w:rsidP="006176F8">
                  <w:pPr>
                    <w:pStyle w:val="Standaard-Tabellen"/>
                    <w:rPr>
                      <w:lang w:val="en-US"/>
                    </w:rPr>
                  </w:pPr>
                  <w:r w:rsidRPr="00F84A66">
                    <w:rPr>
                      <w:lang w:val="en-US"/>
                    </w:rPr>
                    <w:t>Mean concentration on day of exposure</w:t>
                  </w:r>
                </w:p>
              </w:tc>
              <w:tc>
                <w:tcPr>
                  <w:tcW w:w="0" w:type="auto"/>
                  <w:vAlign w:val="center"/>
                  <w:hideMark/>
                </w:tcPr>
                <w:p w14:paraId="754E062F"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20EC0B7B" w14:textId="77777777" w:rsidTr="00B534E4">
              <w:trPr>
                <w:tblCellSpacing w:w="15" w:type="dxa"/>
              </w:trPr>
              <w:tc>
                <w:tcPr>
                  <w:tcW w:w="0" w:type="auto"/>
                  <w:vAlign w:val="center"/>
                  <w:hideMark/>
                </w:tcPr>
                <w:p w14:paraId="187318D3" w14:textId="77777777" w:rsidR="00422626" w:rsidRPr="00F84A66" w:rsidRDefault="00422626" w:rsidP="006176F8">
                  <w:pPr>
                    <w:pStyle w:val="Standaard-Tabellen"/>
                    <w:rPr>
                      <w:lang w:val="en-US"/>
                    </w:rPr>
                  </w:pPr>
                  <w:r w:rsidRPr="00F84A66">
                    <w:rPr>
                      <w:lang w:val="en-US"/>
                    </w:rPr>
                    <w:t>Year average concentration</w:t>
                  </w:r>
                </w:p>
              </w:tc>
              <w:tc>
                <w:tcPr>
                  <w:tcW w:w="0" w:type="auto"/>
                  <w:vAlign w:val="center"/>
                  <w:hideMark/>
                </w:tcPr>
                <w:p w14:paraId="128C06C2"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5F15FF08" w14:textId="77777777" w:rsidTr="00B534E4">
              <w:trPr>
                <w:tblCellSpacing w:w="15" w:type="dxa"/>
              </w:trPr>
              <w:tc>
                <w:tcPr>
                  <w:tcW w:w="0" w:type="auto"/>
                  <w:vAlign w:val="center"/>
                  <w:hideMark/>
                </w:tcPr>
                <w:p w14:paraId="1A8140B5" w14:textId="77777777" w:rsidR="00422626" w:rsidRPr="00F84A66" w:rsidRDefault="00422626" w:rsidP="006176F8">
                  <w:pPr>
                    <w:pStyle w:val="Standaard-Tabellen"/>
                    <w:rPr>
                      <w:lang w:val="en-US"/>
                    </w:rPr>
                  </w:pPr>
                  <w:r w:rsidRPr="00F84A66">
                    <w:rPr>
                      <w:lang w:val="en-US"/>
                    </w:rPr>
                    <w:t>External event dose</w:t>
                  </w:r>
                </w:p>
              </w:tc>
              <w:tc>
                <w:tcPr>
                  <w:tcW w:w="0" w:type="auto"/>
                  <w:vAlign w:val="center"/>
                  <w:hideMark/>
                </w:tcPr>
                <w:p w14:paraId="6B9C1D1E" w14:textId="77777777" w:rsidR="00422626" w:rsidRPr="00F84A66" w:rsidRDefault="00422626" w:rsidP="006176F8">
                  <w:pPr>
                    <w:pStyle w:val="Standaard-Tabellen"/>
                    <w:rPr>
                      <w:lang w:val="en-US"/>
                    </w:rPr>
                  </w:pPr>
                  <w:r w:rsidRPr="00F84A66">
                    <w:rPr>
                      <w:lang w:val="en-US"/>
                    </w:rPr>
                    <w:t xml:space="preserve">2.6 mg/kg bw </w:t>
                  </w:r>
                </w:p>
              </w:tc>
            </w:tr>
            <w:tr w:rsidR="00422626" w:rsidRPr="00EC20C2" w14:paraId="1AD89F5B" w14:textId="77777777" w:rsidTr="00B534E4">
              <w:trPr>
                <w:tblCellSpacing w:w="15" w:type="dxa"/>
              </w:trPr>
              <w:tc>
                <w:tcPr>
                  <w:tcW w:w="0" w:type="auto"/>
                  <w:vAlign w:val="center"/>
                  <w:hideMark/>
                </w:tcPr>
                <w:p w14:paraId="69E5CEEA" w14:textId="77777777" w:rsidR="00422626" w:rsidRPr="00F84A66" w:rsidRDefault="00422626" w:rsidP="006176F8">
                  <w:pPr>
                    <w:pStyle w:val="Standaard-Tabellen"/>
                    <w:rPr>
                      <w:lang w:val="en-US"/>
                    </w:rPr>
                  </w:pPr>
                  <w:r w:rsidRPr="00F84A66">
                    <w:rPr>
                      <w:lang w:val="en-US"/>
                    </w:rPr>
                    <w:t>External dose on day of exposure</w:t>
                  </w:r>
                </w:p>
              </w:tc>
              <w:tc>
                <w:tcPr>
                  <w:tcW w:w="0" w:type="auto"/>
                  <w:vAlign w:val="center"/>
                  <w:hideMark/>
                </w:tcPr>
                <w:p w14:paraId="303FCE43"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2D0EA5E9" w14:textId="77777777" w:rsidTr="00B534E4">
              <w:trPr>
                <w:tblCellSpacing w:w="15" w:type="dxa"/>
              </w:trPr>
              <w:tc>
                <w:tcPr>
                  <w:tcW w:w="0" w:type="auto"/>
                  <w:vAlign w:val="center"/>
                  <w:hideMark/>
                </w:tcPr>
                <w:p w14:paraId="036636AF" w14:textId="77777777" w:rsidR="00422626" w:rsidRPr="00F84A66" w:rsidRDefault="00422626" w:rsidP="006176F8">
                  <w:pPr>
                    <w:pStyle w:val="Standaard-Tabellen"/>
                    <w:rPr>
                      <w:lang w:val="en-US"/>
                    </w:rPr>
                  </w:pPr>
                  <w:r w:rsidRPr="00F84A66">
                    <w:rPr>
                      <w:lang w:val="en-US"/>
                    </w:rPr>
                    <w:t>Internal event dose</w:t>
                  </w:r>
                </w:p>
              </w:tc>
              <w:tc>
                <w:tcPr>
                  <w:tcW w:w="0" w:type="auto"/>
                  <w:vAlign w:val="center"/>
                  <w:hideMark/>
                </w:tcPr>
                <w:p w14:paraId="034C9C23" w14:textId="77777777" w:rsidR="00422626" w:rsidRPr="00F84A66" w:rsidRDefault="00422626" w:rsidP="006176F8">
                  <w:pPr>
                    <w:pStyle w:val="Standaard-Tabellen"/>
                    <w:rPr>
                      <w:lang w:val="en-US"/>
                    </w:rPr>
                  </w:pPr>
                  <w:r w:rsidRPr="00F84A66">
                    <w:rPr>
                      <w:lang w:val="en-US"/>
                    </w:rPr>
                    <w:t xml:space="preserve">2.6 mg/kg bw </w:t>
                  </w:r>
                </w:p>
              </w:tc>
            </w:tr>
            <w:tr w:rsidR="00422626" w:rsidRPr="00EC20C2" w14:paraId="289657BE" w14:textId="77777777" w:rsidTr="00B534E4">
              <w:trPr>
                <w:tblCellSpacing w:w="15" w:type="dxa"/>
              </w:trPr>
              <w:tc>
                <w:tcPr>
                  <w:tcW w:w="0" w:type="auto"/>
                  <w:vAlign w:val="center"/>
                  <w:hideMark/>
                </w:tcPr>
                <w:p w14:paraId="25FFA228" w14:textId="77777777" w:rsidR="00422626" w:rsidRPr="00F84A66" w:rsidRDefault="00422626" w:rsidP="006176F8">
                  <w:pPr>
                    <w:pStyle w:val="Standaard-Tabellen"/>
                    <w:rPr>
                      <w:lang w:val="en-US"/>
                    </w:rPr>
                  </w:pPr>
                  <w:r w:rsidRPr="00F84A66">
                    <w:rPr>
                      <w:lang w:val="en-US"/>
                    </w:rPr>
                    <w:t>Internal dose on day of exposure</w:t>
                  </w:r>
                </w:p>
              </w:tc>
              <w:tc>
                <w:tcPr>
                  <w:tcW w:w="0" w:type="auto"/>
                  <w:vAlign w:val="center"/>
                  <w:hideMark/>
                </w:tcPr>
                <w:p w14:paraId="5AFCA016"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2678E139" w14:textId="77777777" w:rsidTr="00B534E4">
              <w:trPr>
                <w:tblCellSpacing w:w="15" w:type="dxa"/>
              </w:trPr>
              <w:tc>
                <w:tcPr>
                  <w:tcW w:w="0" w:type="auto"/>
                  <w:vAlign w:val="center"/>
                  <w:hideMark/>
                </w:tcPr>
                <w:p w14:paraId="2AB0CF25" w14:textId="77777777" w:rsidR="00422626" w:rsidRPr="00F84A66" w:rsidRDefault="00422626" w:rsidP="006176F8">
                  <w:pPr>
                    <w:pStyle w:val="Standaard-Tabellen"/>
                    <w:rPr>
                      <w:lang w:val="en-US"/>
                    </w:rPr>
                  </w:pPr>
                  <w:r w:rsidRPr="00F84A66">
                    <w:rPr>
                      <w:lang w:val="en-US"/>
                    </w:rPr>
                    <w:t>Internal year average dose</w:t>
                  </w:r>
                </w:p>
              </w:tc>
              <w:tc>
                <w:tcPr>
                  <w:tcW w:w="0" w:type="auto"/>
                  <w:vAlign w:val="center"/>
                  <w:hideMark/>
                </w:tcPr>
                <w:p w14:paraId="5C077DFB" w14:textId="77777777" w:rsidR="00422626" w:rsidRPr="00F84A66" w:rsidRDefault="00422626" w:rsidP="006176F8">
                  <w:pPr>
                    <w:pStyle w:val="Standaard-Tabellen"/>
                    <w:rPr>
                      <w:lang w:val="en-US"/>
                    </w:rPr>
                  </w:pPr>
                  <w:r w:rsidRPr="00F84A66">
                    <w:rPr>
                      <w:lang w:val="en-US"/>
                    </w:rPr>
                    <w:t xml:space="preserve">– </w:t>
                  </w:r>
                </w:p>
              </w:tc>
            </w:tr>
          </w:tbl>
          <w:p w14:paraId="066515C9" w14:textId="77777777" w:rsidR="00422626" w:rsidRPr="00F84A66" w:rsidRDefault="00422626" w:rsidP="006176F8">
            <w:pPr>
              <w:pStyle w:val="Standaard-Tabellen"/>
              <w:rPr>
                <w:lang w:val="en-US"/>
              </w:rPr>
            </w:pPr>
            <w:r w:rsidRPr="00F84A66">
              <w:rPr>
                <w:lang w:val="en-US"/>
              </w:rPr>
              <w:t>Integrated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0"/>
              <w:gridCol w:w="1343"/>
            </w:tblGrid>
            <w:tr w:rsidR="00422626" w:rsidRPr="00EC20C2" w14:paraId="28F31380" w14:textId="77777777" w:rsidTr="00B534E4">
              <w:trPr>
                <w:tblCellSpacing w:w="15" w:type="dxa"/>
              </w:trPr>
              <w:tc>
                <w:tcPr>
                  <w:tcW w:w="0" w:type="auto"/>
                  <w:vAlign w:val="center"/>
                  <w:hideMark/>
                </w:tcPr>
                <w:p w14:paraId="6F017DD5" w14:textId="77777777" w:rsidR="00422626" w:rsidRPr="00F84A66" w:rsidRDefault="00422626" w:rsidP="006176F8">
                  <w:pPr>
                    <w:pStyle w:val="Standaard-Tabellen"/>
                    <w:rPr>
                      <w:lang w:val="en-US"/>
                    </w:rPr>
                  </w:pPr>
                  <w:r w:rsidRPr="00F84A66">
                    <w:rPr>
                      <w:lang w:val="en-US"/>
                    </w:rPr>
                    <w:t>Internal event dose</w:t>
                  </w:r>
                </w:p>
              </w:tc>
              <w:tc>
                <w:tcPr>
                  <w:tcW w:w="0" w:type="auto"/>
                  <w:vAlign w:val="center"/>
                  <w:hideMark/>
                </w:tcPr>
                <w:p w14:paraId="27454EF7" w14:textId="77777777" w:rsidR="00422626" w:rsidRPr="00F84A66" w:rsidRDefault="00422626" w:rsidP="006176F8">
                  <w:pPr>
                    <w:pStyle w:val="Standaard-Tabellen"/>
                    <w:rPr>
                      <w:lang w:val="en-US"/>
                    </w:rPr>
                  </w:pPr>
                  <w:r w:rsidRPr="00F84A66">
                    <w:rPr>
                      <w:lang w:val="en-US"/>
                    </w:rPr>
                    <w:t xml:space="preserve">2.6 mg/kg bw </w:t>
                  </w:r>
                </w:p>
              </w:tc>
            </w:tr>
            <w:tr w:rsidR="00422626" w:rsidRPr="00EC20C2" w14:paraId="78F736AA" w14:textId="77777777" w:rsidTr="00B534E4">
              <w:trPr>
                <w:tblCellSpacing w:w="15" w:type="dxa"/>
              </w:trPr>
              <w:tc>
                <w:tcPr>
                  <w:tcW w:w="0" w:type="auto"/>
                  <w:vAlign w:val="center"/>
                  <w:hideMark/>
                </w:tcPr>
                <w:p w14:paraId="103FF111" w14:textId="77777777" w:rsidR="00422626" w:rsidRPr="00F84A66" w:rsidRDefault="00422626" w:rsidP="006176F8">
                  <w:pPr>
                    <w:pStyle w:val="Standaard-Tabellen"/>
                    <w:rPr>
                      <w:lang w:val="en-US"/>
                    </w:rPr>
                  </w:pPr>
                  <w:r w:rsidRPr="00F84A66">
                    <w:rPr>
                      <w:lang w:val="en-US"/>
                    </w:rPr>
                    <w:t>Internal dose on day of exposure</w:t>
                  </w:r>
                </w:p>
              </w:tc>
              <w:tc>
                <w:tcPr>
                  <w:tcW w:w="0" w:type="auto"/>
                  <w:vAlign w:val="center"/>
                  <w:hideMark/>
                </w:tcPr>
                <w:p w14:paraId="000FCB4F" w14:textId="77777777" w:rsidR="00422626" w:rsidRPr="00F84A66" w:rsidRDefault="00422626" w:rsidP="006176F8">
                  <w:pPr>
                    <w:pStyle w:val="Standaard-Tabellen"/>
                    <w:rPr>
                      <w:lang w:val="en-US"/>
                    </w:rPr>
                  </w:pPr>
                  <w:r w:rsidRPr="00F84A66">
                    <w:rPr>
                      <w:lang w:val="en-US"/>
                    </w:rPr>
                    <w:t xml:space="preserve">– </w:t>
                  </w:r>
                </w:p>
              </w:tc>
            </w:tr>
            <w:tr w:rsidR="00422626" w:rsidRPr="00EC20C2" w14:paraId="23B077BB" w14:textId="77777777" w:rsidTr="00B534E4">
              <w:trPr>
                <w:tblCellSpacing w:w="15" w:type="dxa"/>
              </w:trPr>
              <w:tc>
                <w:tcPr>
                  <w:tcW w:w="0" w:type="auto"/>
                  <w:vAlign w:val="center"/>
                  <w:hideMark/>
                </w:tcPr>
                <w:p w14:paraId="3EF914F7" w14:textId="77777777" w:rsidR="00422626" w:rsidRPr="00F84A66" w:rsidRDefault="00422626" w:rsidP="006176F8">
                  <w:pPr>
                    <w:pStyle w:val="Standaard-Tabellen"/>
                    <w:rPr>
                      <w:lang w:val="en-US"/>
                    </w:rPr>
                  </w:pPr>
                  <w:r w:rsidRPr="00F84A66">
                    <w:rPr>
                      <w:lang w:val="en-US"/>
                    </w:rPr>
                    <w:t>Internal year average dose</w:t>
                  </w:r>
                </w:p>
              </w:tc>
              <w:tc>
                <w:tcPr>
                  <w:tcW w:w="0" w:type="auto"/>
                  <w:vAlign w:val="center"/>
                  <w:hideMark/>
                </w:tcPr>
                <w:p w14:paraId="74A61CEC" w14:textId="77777777" w:rsidR="00422626" w:rsidRPr="00F84A66" w:rsidRDefault="00422626" w:rsidP="006176F8">
                  <w:pPr>
                    <w:pStyle w:val="Standaard-Tabellen"/>
                    <w:rPr>
                      <w:lang w:val="en-US"/>
                    </w:rPr>
                  </w:pPr>
                  <w:r w:rsidRPr="00F84A66">
                    <w:rPr>
                      <w:lang w:val="en-US"/>
                    </w:rPr>
                    <w:t xml:space="preserve">– </w:t>
                  </w:r>
                </w:p>
              </w:tc>
            </w:tr>
          </w:tbl>
          <w:p w14:paraId="43EE0D49" w14:textId="77777777" w:rsidR="00422626" w:rsidRDefault="00422626" w:rsidP="006176F8">
            <w:pPr>
              <w:pStyle w:val="Standaard-Tabellen"/>
              <w:rPr>
                <w:rFonts w:eastAsia="Calibri"/>
              </w:rPr>
            </w:pPr>
          </w:p>
        </w:tc>
      </w:tr>
    </w:tbl>
    <w:p w14:paraId="52E9D51D" w14:textId="77777777" w:rsidR="00C41279" w:rsidRDefault="00C41279" w:rsidP="00D471B6">
      <w:pPr>
        <w:rPr>
          <w:rFonts w:eastAsia="Calibri"/>
          <w:lang w:eastAsia="en-US"/>
        </w:rPr>
      </w:pPr>
    </w:p>
    <w:p w14:paraId="6FA1A368" w14:textId="77777777" w:rsidR="00C41279" w:rsidRPr="00D471B6" w:rsidRDefault="00C41279" w:rsidP="00D471B6">
      <w:pPr>
        <w:pStyle w:val="Titre5"/>
        <w:numPr>
          <w:ilvl w:val="0"/>
          <w:numId w:val="0"/>
        </w:numPr>
      </w:pPr>
      <w:bookmarkStart w:id="395" w:name="_Toc93326625"/>
      <w:r w:rsidRPr="00D471B6">
        <w:t>Scenario 6: Mixing and Loading model – worst case for the production, formulation and disposal of the biocidal product</w:t>
      </w:r>
      <w:bookmarkEnd w:id="395"/>
    </w:p>
    <w:p w14:paraId="2706BFDF" w14:textId="77777777" w:rsidR="00C41279" w:rsidRPr="00A0086D" w:rsidRDefault="00C41279" w:rsidP="00C41279">
      <w:pPr>
        <w:rPr>
          <w:rFonts w:eastAsia="Calibri"/>
          <w:b/>
          <w:i/>
          <w:u w:val="single"/>
          <w:lang w:eastAsia="en-US"/>
        </w:rPr>
      </w:pPr>
      <w:r w:rsidRPr="00A0086D">
        <w:rPr>
          <w:b/>
          <w:lang w:val="en-US"/>
        </w:rPr>
        <w:t>Calculations for scenario 6</w:t>
      </w:r>
    </w:p>
    <w:p w14:paraId="48FBA7DA" w14:textId="77777777" w:rsidR="00C41279" w:rsidRPr="00A0086D" w:rsidRDefault="00C41279" w:rsidP="00D471B6">
      <w:pPr>
        <w:rPr>
          <w:rFonts w:eastAsia="Calibri"/>
        </w:rPr>
      </w:pPr>
      <w:r w:rsidRPr="00A0086D">
        <w:rPr>
          <w:rFonts w:eastAsia="Calibri"/>
        </w:rPr>
        <w:t xml:space="preserve">Dermal exposure via clothing: </w:t>
      </w:r>
    </w:p>
    <w:p w14:paraId="796327DD" w14:textId="77777777" w:rsidR="00C41279" w:rsidRPr="00A0086D" w:rsidRDefault="00C41279" w:rsidP="00D471B6">
      <w:pPr>
        <w:ind w:firstLine="708"/>
        <w:rPr>
          <w:rFonts w:eastAsia="Calibri"/>
        </w:rPr>
      </w:pPr>
      <w:r w:rsidRPr="00A0086D">
        <w:rPr>
          <w:rFonts w:eastAsia="Calibri"/>
        </w:rPr>
        <w:t>101 x 0</w:t>
      </w:r>
      <w:r>
        <w:rPr>
          <w:rFonts w:eastAsia="Calibri"/>
        </w:rPr>
        <w:t>.</w:t>
      </w:r>
      <w:r w:rsidRPr="00A0086D">
        <w:rPr>
          <w:rFonts w:eastAsia="Calibri"/>
        </w:rPr>
        <w:t>99 x 10 x 1 = 999</w:t>
      </w:r>
      <w:r>
        <w:rPr>
          <w:rFonts w:eastAsia="Calibri"/>
        </w:rPr>
        <w:t>.</w:t>
      </w:r>
      <w:r w:rsidRPr="00A0086D">
        <w:rPr>
          <w:rFonts w:eastAsia="Calibri"/>
        </w:rPr>
        <w:t>9 mg/d</w:t>
      </w:r>
    </w:p>
    <w:p w14:paraId="6BFD4909" w14:textId="77777777" w:rsidR="00C41279" w:rsidRPr="00A0086D" w:rsidRDefault="00C41279" w:rsidP="00D471B6">
      <w:pPr>
        <w:rPr>
          <w:rFonts w:eastAsia="Calibri"/>
        </w:rPr>
      </w:pPr>
      <w:r w:rsidRPr="00A0086D">
        <w:rPr>
          <w:rFonts w:eastAsia="Calibri"/>
        </w:rPr>
        <w:t xml:space="preserve">Dermal exposure via hands: </w:t>
      </w:r>
    </w:p>
    <w:p w14:paraId="6EE7D2EE" w14:textId="77777777" w:rsidR="00C41279" w:rsidRPr="00A0086D" w:rsidRDefault="00C41279" w:rsidP="00D471B6">
      <w:pPr>
        <w:ind w:firstLine="708"/>
        <w:rPr>
          <w:rFonts w:eastAsia="Calibri"/>
        </w:rPr>
      </w:pPr>
      <w:r w:rsidRPr="00A0086D">
        <w:rPr>
          <w:rFonts w:eastAsia="Calibri"/>
        </w:rPr>
        <w:t>2</w:t>
      </w:r>
      <w:r>
        <w:rPr>
          <w:rFonts w:eastAsia="Calibri"/>
        </w:rPr>
        <w:t>.</w:t>
      </w:r>
      <w:r w:rsidRPr="00A0086D">
        <w:rPr>
          <w:rFonts w:eastAsia="Calibri"/>
        </w:rPr>
        <w:t>02 x 0</w:t>
      </w:r>
      <w:r>
        <w:rPr>
          <w:rFonts w:eastAsia="Calibri"/>
        </w:rPr>
        <w:t>.</w:t>
      </w:r>
      <w:r w:rsidRPr="00A0086D">
        <w:rPr>
          <w:rFonts w:eastAsia="Calibri"/>
        </w:rPr>
        <w:t>99 x 10 x 1 = 19</w:t>
      </w:r>
      <w:r>
        <w:rPr>
          <w:rFonts w:eastAsia="Calibri"/>
        </w:rPr>
        <w:t>.</w:t>
      </w:r>
      <w:r w:rsidRPr="00A0086D">
        <w:rPr>
          <w:rFonts w:eastAsia="Calibri"/>
        </w:rPr>
        <w:t>998 mg/d</w:t>
      </w:r>
    </w:p>
    <w:p w14:paraId="4E93ED9F" w14:textId="77777777" w:rsidR="00C41279" w:rsidRPr="00A0086D" w:rsidRDefault="00C41279" w:rsidP="00D471B6">
      <w:pPr>
        <w:rPr>
          <w:rFonts w:eastAsia="Calibri"/>
        </w:rPr>
      </w:pPr>
      <w:r w:rsidRPr="00A0086D">
        <w:rPr>
          <w:rFonts w:eastAsia="Calibri"/>
        </w:rPr>
        <w:t>Dermal systemic exposure:</w:t>
      </w:r>
    </w:p>
    <w:p w14:paraId="1C0FBBAA" w14:textId="77777777" w:rsidR="00C41279" w:rsidRPr="00A0086D" w:rsidRDefault="00C41279" w:rsidP="00D471B6">
      <w:pPr>
        <w:ind w:firstLine="708"/>
        <w:rPr>
          <w:rFonts w:eastAsia="Calibri"/>
        </w:rPr>
      </w:pPr>
      <w:r w:rsidRPr="00A0086D">
        <w:rPr>
          <w:rFonts w:eastAsia="Calibri"/>
        </w:rPr>
        <w:t>(999</w:t>
      </w:r>
      <w:r>
        <w:rPr>
          <w:rFonts w:eastAsia="Calibri"/>
        </w:rPr>
        <w:t>.</w:t>
      </w:r>
      <w:r w:rsidRPr="00A0086D">
        <w:rPr>
          <w:rFonts w:eastAsia="Calibri"/>
        </w:rPr>
        <w:t>9 + 19</w:t>
      </w:r>
      <w:r>
        <w:rPr>
          <w:rFonts w:eastAsia="Calibri"/>
        </w:rPr>
        <w:t>.</w:t>
      </w:r>
      <w:r w:rsidRPr="00A0086D">
        <w:rPr>
          <w:rFonts w:eastAsia="Calibri"/>
        </w:rPr>
        <w:t>998) x 0</w:t>
      </w:r>
      <w:r>
        <w:rPr>
          <w:rFonts w:eastAsia="Calibri"/>
        </w:rPr>
        <w:t>.</w:t>
      </w:r>
      <w:r w:rsidRPr="00A0086D">
        <w:rPr>
          <w:rFonts w:eastAsia="Calibri"/>
        </w:rPr>
        <w:t>5 / 60 = 8</w:t>
      </w:r>
      <w:r>
        <w:rPr>
          <w:rFonts w:eastAsia="Calibri"/>
        </w:rPr>
        <w:t>.</w:t>
      </w:r>
      <w:r w:rsidRPr="00A0086D">
        <w:rPr>
          <w:rFonts w:eastAsia="Calibri"/>
        </w:rPr>
        <w:t>49915 mg/kg bw/d</w:t>
      </w:r>
    </w:p>
    <w:p w14:paraId="229F2680" w14:textId="77777777" w:rsidR="00C41279" w:rsidRPr="00A0086D" w:rsidRDefault="00C41279" w:rsidP="00D471B6">
      <w:pPr>
        <w:rPr>
          <w:rFonts w:eastAsia="Calibri"/>
        </w:rPr>
      </w:pPr>
      <w:r w:rsidRPr="00A0086D">
        <w:rPr>
          <w:rFonts w:eastAsia="Calibri"/>
        </w:rPr>
        <w:t>Inhalation exposure:</w:t>
      </w:r>
    </w:p>
    <w:p w14:paraId="4E94C9C0" w14:textId="77777777" w:rsidR="00C41279" w:rsidRPr="00A0086D" w:rsidRDefault="00C41279" w:rsidP="00D471B6">
      <w:pPr>
        <w:ind w:firstLine="708"/>
        <w:rPr>
          <w:rFonts w:eastAsia="Calibri"/>
        </w:rPr>
      </w:pPr>
      <w:r w:rsidRPr="00A0086D">
        <w:rPr>
          <w:rFonts w:eastAsia="Calibri"/>
        </w:rPr>
        <w:t>0</w:t>
      </w:r>
    </w:p>
    <w:p w14:paraId="3D0CAF01" w14:textId="77777777" w:rsidR="00C41279" w:rsidRPr="00A0086D" w:rsidRDefault="00C41279" w:rsidP="00D471B6">
      <w:pPr>
        <w:rPr>
          <w:rFonts w:eastAsia="Calibri"/>
        </w:rPr>
      </w:pPr>
      <w:r w:rsidRPr="00A0086D">
        <w:rPr>
          <w:rFonts w:eastAsia="Calibri"/>
        </w:rPr>
        <w:t xml:space="preserve">Systemic exposure: </w:t>
      </w:r>
    </w:p>
    <w:p w14:paraId="2AA2948D" w14:textId="77777777" w:rsidR="00C41279" w:rsidRPr="00A0086D" w:rsidRDefault="00C41279" w:rsidP="00D471B6">
      <w:pPr>
        <w:ind w:firstLine="708"/>
        <w:rPr>
          <w:rFonts w:eastAsia="Calibri"/>
        </w:rPr>
      </w:pPr>
      <w:r w:rsidRPr="00A0086D">
        <w:rPr>
          <w:rFonts w:eastAsia="Calibri"/>
        </w:rPr>
        <w:t>8</w:t>
      </w:r>
      <w:r>
        <w:rPr>
          <w:rFonts w:eastAsia="Calibri"/>
        </w:rPr>
        <w:t>.</w:t>
      </w:r>
      <w:r w:rsidRPr="00A0086D">
        <w:rPr>
          <w:rFonts w:eastAsia="Calibri"/>
        </w:rPr>
        <w:t>49915 + 0 = 8</w:t>
      </w:r>
      <w:r>
        <w:rPr>
          <w:rFonts w:eastAsia="Calibri"/>
        </w:rPr>
        <w:t>.</w:t>
      </w:r>
      <w:r w:rsidRPr="00A0086D">
        <w:rPr>
          <w:rFonts w:eastAsia="Calibri"/>
        </w:rPr>
        <w:t>5 mg/kg bw/d</w:t>
      </w:r>
    </w:p>
    <w:p w14:paraId="3A29C13C" w14:textId="77777777" w:rsidR="00C41279" w:rsidRPr="00A0086D" w:rsidRDefault="00C41279" w:rsidP="00D471B6">
      <w:pPr>
        <w:rPr>
          <w:rFonts w:eastAsia="Calibri"/>
        </w:rPr>
      </w:pPr>
    </w:p>
    <w:p w14:paraId="6EE6F6BB" w14:textId="77777777" w:rsidR="00C41279" w:rsidRPr="00A0086D" w:rsidRDefault="00C41279" w:rsidP="00D471B6">
      <w:pPr>
        <w:rPr>
          <w:rFonts w:eastAsia="Calibri"/>
        </w:rPr>
      </w:pPr>
      <w:r w:rsidRPr="00A0086D">
        <w:rPr>
          <w:rFonts w:eastAsia="Calibri"/>
        </w:rPr>
        <w:t xml:space="preserve">Dermal exposure via clothing: </w:t>
      </w:r>
    </w:p>
    <w:p w14:paraId="2D945F44" w14:textId="77777777" w:rsidR="00C41279" w:rsidRPr="00A0086D" w:rsidRDefault="00C41279" w:rsidP="00D471B6">
      <w:pPr>
        <w:ind w:firstLine="708"/>
        <w:rPr>
          <w:rFonts w:eastAsia="Calibri"/>
        </w:rPr>
      </w:pPr>
      <w:r w:rsidRPr="00A0086D">
        <w:rPr>
          <w:rFonts w:eastAsia="Calibri"/>
        </w:rPr>
        <w:t>101 x 0</w:t>
      </w:r>
      <w:r>
        <w:rPr>
          <w:rFonts w:eastAsia="Calibri"/>
        </w:rPr>
        <w:t>.</w:t>
      </w:r>
      <w:r w:rsidRPr="00A0086D">
        <w:rPr>
          <w:rFonts w:eastAsia="Calibri"/>
        </w:rPr>
        <w:t>99 x 10 x 1 x (1-0</w:t>
      </w:r>
      <w:r>
        <w:rPr>
          <w:rFonts w:eastAsia="Calibri"/>
        </w:rPr>
        <w:t>.</w:t>
      </w:r>
      <w:r w:rsidRPr="00A0086D">
        <w:rPr>
          <w:rFonts w:eastAsia="Calibri"/>
        </w:rPr>
        <w:t>75) = 249</w:t>
      </w:r>
      <w:r>
        <w:rPr>
          <w:rFonts w:eastAsia="Calibri"/>
        </w:rPr>
        <w:t>.</w:t>
      </w:r>
      <w:r w:rsidRPr="00A0086D">
        <w:rPr>
          <w:rFonts w:eastAsia="Calibri"/>
        </w:rPr>
        <w:t>975 mg/d</w:t>
      </w:r>
    </w:p>
    <w:p w14:paraId="30178CF2" w14:textId="77777777" w:rsidR="00C41279" w:rsidRPr="00A0086D" w:rsidRDefault="00C41279" w:rsidP="00D471B6">
      <w:pPr>
        <w:rPr>
          <w:rFonts w:eastAsia="Calibri"/>
        </w:rPr>
      </w:pPr>
      <w:r w:rsidRPr="00A0086D">
        <w:rPr>
          <w:rFonts w:eastAsia="Calibri"/>
        </w:rPr>
        <w:t xml:space="preserve">Dermal exposure via hands: </w:t>
      </w:r>
    </w:p>
    <w:p w14:paraId="1286E035" w14:textId="77777777" w:rsidR="00C41279" w:rsidRPr="00A0086D" w:rsidRDefault="00C41279" w:rsidP="00D471B6">
      <w:pPr>
        <w:ind w:firstLine="708"/>
        <w:rPr>
          <w:rFonts w:eastAsia="Calibri"/>
        </w:rPr>
      </w:pPr>
      <w:r w:rsidRPr="00A0086D">
        <w:rPr>
          <w:rFonts w:eastAsia="Calibri"/>
        </w:rPr>
        <w:t>2</w:t>
      </w:r>
      <w:r>
        <w:rPr>
          <w:rFonts w:eastAsia="Calibri"/>
        </w:rPr>
        <w:t>.</w:t>
      </w:r>
      <w:r w:rsidRPr="00A0086D">
        <w:rPr>
          <w:rFonts w:eastAsia="Calibri"/>
        </w:rPr>
        <w:t>02 x 0</w:t>
      </w:r>
      <w:r>
        <w:rPr>
          <w:rFonts w:eastAsia="Calibri"/>
        </w:rPr>
        <w:t>.</w:t>
      </w:r>
      <w:r w:rsidRPr="00A0086D">
        <w:rPr>
          <w:rFonts w:eastAsia="Calibri"/>
        </w:rPr>
        <w:t>99 x 10 x 1 = 19</w:t>
      </w:r>
      <w:r>
        <w:rPr>
          <w:rFonts w:eastAsia="Calibri"/>
        </w:rPr>
        <w:t>.</w:t>
      </w:r>
      <w:r w:rsidRPr="00A0086D">
        <w:rPr>
          <w:rFonts w:eastAsia="Calibri"/>
        </w:rPr>
        <w:t>998 mg/d</w:t>
      </w:r>
    </w:p>
    <w:p w14:paraId="5B53FEE2" w14:textId="77777777" w:rsidR="00C41279" w:rsidRPr="00A0086D" w:rsidRDefault="00C41279" w:rsidP="00D471B6">
      <w:pPr>
        <w:rPr>
          <w:rFonts w:eastAsia="Calibri"/>
        </w:rPr>
      </w:pPr>
      <w:r w:rsidRPr="00A0086D">
        <w:rPr>
          <w:rFonts w:eastAsia="Calibri"/>
        </w:rPr>
        <w:t>Dermal systemic exposure:</w:t>
      </w:r>
    </w:p>
    <w:p w14:paraId="406615B1" w14:textId="77777777" w:rsidR="00C41279" w:rsidRPr="00A0086D" w:rsidRDefault="00C41279" w:rsidP="00D471B6">
      <w:pPr>
        <w:ind w:firstLine="708"/>
        <w:rPr>
          <w:rFonts w:eastAsia="Calibri"/>
        </w:rPr>
      </w:pPr>
      <w:r w:rsidRPr="00A0086D">
        <w:rPr>
          <w:rFonts w:eastAsia="Calibri"/>
        </w:rPr>
        <w:t>(249</w:t>
      </w:r>
      <w:r>
        <w:rPr>
          <w:rFonts w:eastAsia="Calibri"/>
        </w:rPr>
        <w:t>.</w:t>
      </w:r>
      <w:r w:rsidRPr="00A0086D">
        <w:rPr>
          <w:rFonts w:eastAsia="Calibri"/>
        </w:rPr>
        <w:t>975 + 19</w:t>
      </w:r>
      <w:r>
        <w:rPr>
          <w:rFonts w:eastAsia="Calibri"/>
        </w:rPr>
        <w:t>.</w:t>
      </w:r>
      <w:r w:rsidRPr="00A0086D">
        <w:rPr>
          <w:rFonts w:eastAsia="Calibri"/>
        </w:rPr>
        <w:t>998) x 0</w:t>
      </w:r>
      <w:r>
        <w:rPr>
          <w:rFonts w:eastAsia="Calibri"/>
        </w:rPr>
        <w:t>.</w:t>
      </w:r>
      <w:r w:rsidRPr="00A0086D">
        <w:rPr>
          <w:rFonts w:eastAsia="Calibri"/>
        </w:rPr>
        <w:t>5 / 60 = 2</w:t>
      </w:r>
      <w:r>
        <w:rPr>
          <w:rFonts w:eastAsia="Calibri"/>
        </w:rPr>
        <w:t>.</w:t>
      </w:r>
      <w:r w:rsidRPr="00A0086D">
        <w:rPr>
          <w:rFonts w:eastAsia="Calibri"/>
        </w:rPr>
        <w:t>25 mg/kg bw/d</w:t>
      </w:r>
    </w:p>
    <w:p w14:paraId="275B0F3A" w14:textId="77777777" w:rsidR="00C41279" w:rsidRPr="00A0086D" w:rsidRDefault="00C41279" w:rsidP="00D471B6">
      <w:pPr>
        <w:rPr>
          <w:rFonts w:eastAsia="Calibri"/>
        </w:rPr>
      </w:pPr>
      <w:r w:rsidRPr="00A0086D">
        <w:rPr>
          <w:rFonts w:eastAsia="Calibri"/>
        </w:rPr>
        <w:t>Inhalation exposure:</w:t>
      </w:r>
    </w:p>
    <w:p w14:paraId="6B63FB6F" w14:textId="77777777" w:rsidR="00C41279" w:rsidRPr="00A0086D" w:rsidRDefault="00C41279" w:rsidP="00D471B6">
      <w:pPr>
        <w:ind w:firstLine="708"/>
        <w:rPr>
          <w:rFonts w:eastAsia="Calibri"/>
        </w:rPr>
      </w:pPr>
      <w:r w:rsidRPr="00A0086D">
        <w:rPr>
          <w:rFonts w:eastAsia="Calibri"/>
        </w:rPr>
        <w:t>0</w:t>
      </w:r>
    </w:p>
    <w:p w14:paraId="75B1C995" w14:textId="77777777" w:rsidR="00C41279" w:rsidRPr="00A0086D" w:rsidRDefault="00C41279" w:rsidP="00D471B6">
      <w:pPr>
        <w:rPr>
          <w:rFonts w:eastAsia="Calibri"/>
        </w:rPr>
      </w:pPr>
      <w:r w:rsidRPr="00A0086D">
        <w:rPr>
          <w:rFonts w:eastAsia="Calibri"/>
        </w:rPr>
        <w:t xml:space="preserve">Systemic exposure: </w:t>
      </w:r>
    </w:p>
    <w:p w14:paraId="408F4780" w14:textId="77777777" w:rsidR="00C41279" w:rsidRPr="00A0086D" w:rsidRDefault="00C41279" w:rsidP="00D471B6">
      <w:pPr>
        <w:ind w:firstLine="708"/>
        <w:rPr>
          <w:rFonts w:eastAsia="Calibri"/>
        </w:rPr>
      </w:pPr>
      <w:r w:rsidRPr="00A0086D">
        <w:rPr>
          <w:rFonts w:eastAsia="Calibri"/>
        </w:rPr>
        <w:t>2</w:t>
      </w:r>
      <w:r>
        <w:rPr>
          <w:rFonts w:eastAsia="Calibri"/>
        </w:rPr>
        <w:t>.</w:t>
      </w:r>
      <w:r w:rsidRPr="00A0086D">
        <w:rPr>
          <w:rFonts w:eastAsia="Calibri"/>
        </w:rPr>
        <w:t>25 + 0 = 2</w:t>
      </w:r>
      <w:r>
        <w:rPr>
          <w:rFonts w:eastAsia="Calibri"/>
        </w:rPr>
        <w:t>.</w:t>
      </w:r>
      <w:r w:rsidRPr="00A0086D">
        <w:rPr>
          <w:rFonts w:eastAsia="Calibri"/>
        </w:rPr>
        <w:t>25 mg/kg bw/d</w:t>
      </w:r>
    </w:p>
    <w:p w14:paraId="53B6C268" w14:textId="77777777" w:rsidR="00C41279" w:rsidRPr="00A0086D" w:rsidRDefault="00C41279" w:rsidP="00D471B6">
      <w:pPr>
        <w:rPr>
          <w:rFonts w:eastAsia="Calibri"/>
        </w:rPr>
      </w:pPr>
    </w:p>
    <w:p w14:paraId="254CDF82" w14:textId="77777777" w:rsidR="00C41279" w:rsidRPr="00A0086D" w:rsidRDefault="00C41279" w:rsidP="00D471B6">
      <w:pPr>
        <w:rPr>
          <w:rFonts w:eastAsia="Calibri"/>
        </w:rPr>
      </w:pPr>
      <w:r w:rsidRPr="00A0086D">
        <w:rPr>
          <w:rFonts w:eastAsia="Calibri"/>
        </w:rPr>
        <w:t xml:space="preserve">Dermal exposure via clothing: </w:t>
      </w:r>
    </w:p>
    <w:p w14:paraId="11273BE5" w14:textId="77777777" w:rsidR="00C41279" w:rsidRPr="00A0086D" w:rsidRDefault="00C41279" w:rsidP="00D471B6">
      <w:pPr>
        <w:ind w:firstLine="708"/>
        <w:rPr>
          <w:rFonts w:eastAsia="Calibri"/>
        </w:rPr>
      </w:pPr>
      <w:r w:rsidRPr="00A0086D">
        <w:rPr>
          <w:rFonts w:eastAsia="Calibri"/>
        </w:rPr>
        <w:t>101 x 0</w:t>
      </w:r>
      <w:r>
        <w:rPr>
          <w:rFonts w:eastAsia="Calibri"/>
        </w:rPr>
        <w:t>.</w:t>
      </w:r>
      <w:r w:rsidRPr="00A0086D">
        <w:rPr>
          <w:rFonts w:eastAsia="Calibri"/>
        </w:rPr>
        <w:t>99 x 10 x 1 x (1-0</w:t>
      </w:r>
      <w:r>
        <w:rPr>
          <w:rFonts w:eastAsia="Calibri"/>
        </w:rPr>
        <w:t>.</w:t>
      </w:r>
      <w:r w:rsidRPr="00A0086D">
        <w:rPr>
          <w:rFonts w:eastAsia="Calibri"/>
        </w:rPr>
        <w:t>75) = 249</w:t>
      </w:r>
      <w:r>
        <w:rPr>
          <w:rFonts w:eastAsia="Calibri"/>
        </w:rPr>
        <w:t>.</w:t>
      </w:r>
      <w:r w:rsidRPr="00A0086D">
        <w:rPr>
          <w:rFonts w:eastAsia="Calibri"/>
        </w:rPr>
        <w:t>975 mg/d</w:t>
      </w:r>
    </w:p>
    <w:p w14:paraId="2931867A" w14:textId="77777777" w:rsidR="00C41279" w:rsidRPr="00A0086D" w:rsidRDefault="00C41279" w:rsidP="00D471B6">
      <w:pPr>
        <w:rPr>
          <w:rFonts w:eastAsia="Calibri"/>
        </w:rPr>
      </w:pPr>
      <w:r w:rsidRPr="00A0086D">
        <w:rPr>
          <w:rFonts w:eastAsia="Calibri"/>
        </w:rPr>
        <w:t xml:space="preserve">Dermal exposure via hands: </w:t>
      </w:r>
    </w:p>
    <w:p w14:paraId="6C00B854" w14:textId="77777777" w:rsidR="00C41279" w:rsidRPr="00A0086D" w:rsidRDefault="00C41279" w:rsidP="00D471B6">
      <w:pPr>
        <w:ind w:firstLine="708"/>
        <w:rPr>
          <w:rFonts w:eastAsia="Calibri"/>
        </w:rPr>
      </w:pPr>
      <w:r w:rsidRPr="00A0086D">
        <w:rPr>
          <w:rFonts w:eastAsia="Calibri"/>
        </w:rPr>
        <w:t>2</w:t>
      </w:r>
      <w:r>
        <w:rPr>
          <w:rFonts w:eastAsia="Calibri"/>
        </w:rPr>
        <w:t>.</w:t>
      </w:r>
      <w:r w:rsidRPr="00A0086D">
        <w:rPr>
          <w:rFonts w:eastAsia="Calibri"/>
        </w:rPr>
        <w:t>02 x 0</w:t>
      </w:r>
      <w:r>
        <w:rPr>
          <w:rFonts w:eastAsia="Calibri"/>
        </w:rPr>
        <w:t>.</w:t>
      </w:r>
      <w:r w:rsidRPr="00A0086D">
        <w:rPr>
          <w:rFonts w:eastAsia="Calibri"/>
        </w:rPr>
        <w:t>99 x 10 x 1 x (1-0</w:t>
      </w:r>
      <w:r>
        <w:rPr>
          <w:rFonts w:eastAsia="Calibri"/>
        </w:rPr>
        <w:t>.</w:t>
      </w:r>
      <w:r w:rsidRPr="00A0086D">
        <w:rPr>
          <w:rFonts w:eastAsia="Calibri"/>
        </w:rPr>
        <w:t>9) = 1</w:t>
      </w:r>
      <w:r>
        <w:rPr>
          <w:rFonts w:eastAsia="Calibri"/>
        </w:rPr>
        <w:t>.</w:t>
      </w:r>
      <w:r w:rsidRPr="00A0086D">
        <w:rPr>
          <w:rFonts w:eastAsia="Calibri"/>
        </w:rPr>
        <w:t>9998 mg/d</w:t>
      </w:r>
    </w:p>
    <w:p w14:paraId="72AC6FB0" w14:textId="77777777" w:rsidR="00C41279" w:rsidRPr="00A0086D" w:rsidRDefault="00C41279" w:rsidP="00D471B6">
      <w:pPr>
        <w:rPr>
          <w:rFonts w:eastAsia="Calibri"/>
        </w:rPr>
      </w:pPr>
      <w:r w:rsidRPr="00A0086D">
        <w:rPr>
          <w:rFonts w:eastAsia="Calibri"/>
        </w:rPr>
        <w:t>Dermal systemic exposure:</w:t>
      </w:r>
    </w:p>
    <w:p w14:paraId="5C45B8D5" w14:textId="77777777" w:rsidR="00C41279" w:rsidRPr="00A0086D" w:rsidRDefault="00C41279" w:rsidP="00D471B6">
      <w:pPr>
        <w:ind w:firstLine="708"/>
        <w:rPr>
          <w:rFonts w:eastAsia="Calibri"/>
        </w:rPr>
      </w:pPr>
      <w:r w:rsidRPr="00A0086D">
        <w:rPr>
          <w:rFonts w:eastAsia="Calibri"/>
        </w:rPr>
        <w:t>(249</w:t>
      </w:r>
      <w:r>
        <w:rPr>
          <w:rFonts w:eastAsia="Calibri"/>
        </w:rPr>
        <w:t>.</w:t>
      </w:r>
      <w:r w:rsidRPr="00A0086D">
        <w:rPr>
          <w:rFonts w:eastAsia="Calibri"/>
        </w:rPr>
        <w:t>975 + 1</w:t>
      </w:r>
      <w:r>
        <w:rPr>
          <w:rFonts w:eastAsia="Calibri"/>
        </w:rPr>
        <w:t>.</w:t>
      </w:r>
      <w:r w:rsidRPr="00A0086D">
        <w:rPr>
          <w:rFonts w:eastAsia="Calibri"/>
        </w:rPr>
        <w:t>9998) x 0</w:t>
      </w:r>
      <w:r>
        <w:rPr>
          <w:rFonts w:eastAsia="Calibri"/>
        </w:rPr>
        <w:t>.</w:t>
      </w:r>
      <w:r w:rsidRPr="00A0086D">
        <w:rPr>
          <w:rFonts w:eastAsia="Calibri"/>
        </w:rPr>
        <w:t>5 / 60 = 2</w:t>
      </w:r>
      <w:r>
        <w:rPr>
          <w:rFonts w:eastAsia="Calibri"/>
        </w:rPr>
        <w:t>.</w:t>
      </w:r>
      <w:r w:rsidRPr="00A0086D">
        <w:rPr>
          <w:rFonts w:eastAsia="Calibri"/>
        </w:rPr>
        <w:t>09979 mg/kg bw/d</w:t>
      </w:r>
    </w:p>
    <w:p w14:paraId="79D0B3FE" w14:textId="77777777" w:rsidR="00C41279" w:rsidRPr="00A0086D" w:rsidRDefault="00C41279" w:rsidP="00D471B6">
      <w:pPr>
        <w:rPr>
          <w:rFonts w:eastAsia="Calibri"/>
        </w:rPr>
      </w:pPr>
      <w:r w:rsidRPr="00A0086D">
        <w:rPr>
          <w:rFonts w:eastAsia="Calibri"/>
        </w:rPr>
        <w:t>Inhalation exposure:</w:t>
      </w:r>
    </w:p>
    <w:p w14:paraId="569617B3" w14:textId="77777777" w:rsidR="00C41279" w:rsidRPr="00A0086D" w:rsidRDefault="00C41279" w:rsidP="00D471B6">
      <w:pPr>
        <w:ind w:firstLine="708"/>
        <w:rPr>
          <w:rFonts w:eastAsia="Calibri"/>
        </w:rPr>
      </w:pPr>
      <w:r w:rsidRPr="00A0086D">
        <w:rPr>
          <w:rFonts w:eastAsia="Calibri"/>
        </w:rPr>
        <w:t>0</w:t>
      </w:r>
    </w:p>
    <w:p w14:paraId="571814C1" w14:textId="77777777" w:rsidR="00C41279" w:rsidRPr="00A0086D" w:rsidRDefault="00C41279" w:rsidP="00D471B6">
      <w:pPr>
        <w:rPr>
          <w:rFonts w:eastAsia="Calibri"/>
        </w:rPr>
      </w:pPr>
      <w:r w:rsidRPr="00A0086D">
        <w:rPr>
          <w:rFonts w:eastAsia="Calibri"/>
        </w:rPr>
        <w:t xml:space="preserve">Systemic exposure: </w:t>
      </w:r>
    </w:p>
    <w:p w14:paraId="51E10B13" w14:textId="77777777" w:rsidR="00C41279" w:rsidRPr="00A0086D" w:rsidRDefault="00C41279" w:rsidP="00D471B6">
      <w:pPr>
        <w:ind w:firstLine="576"/>
        <w:rPr>
          <w:rFonts w:eastAsia="Calibri"/>
        </w:rPr>
      </w:pPr>
      <w:r w:rsidRPr="00A0086D">
        <w:rPr>
          <w:rFonts w:eastAsia="Calibri"/>
        </w:rPr>
        <w:t>2</w:t>
      </w:r>
      <w:r>
        <w:rPr>
          <w:rFonts w:eastAsia="Calibri"/>
        </w:rPr>
        <w:t>.</w:t>
      </w:r>
      <w:r w:rsidRPr="00A0086D">
        <w:rPr>
          <w:rFonts w:eastAsia="Calibri"/>
        </w:rPr>
        <w:t>09979 + 0 = 2</w:t>
      </w:r>
      <w:r>
        <w:rPr>
          <w:rFonts w:eastAsia="Calibri"/>
        </w:rPr>
        <w:t>.</w:t>
      </w:r>
      <w:r w:rsidRPr="00A0086D">
        <w:rPr>
          <w:rFonts w:eastAsia="Calibri"/>
        </w:rPr>
        <w:t>1 mg/kg bw/d</w:t>
      </w:r>
    </w:p>
    <w:p w14:paraId="4172C55F" w14:textId="1EDE1FB0" w:rsidR="00F65B8F" w:rsidRDefault="00F65B8F" w:rsidP="00D471B6">
      <w:pPr>
        <w:rPr>
          <w:rFonts w:eastAsia="Calibri"/>
          <w:lang w:eastAsia="en-US"/>
        </w:rPr>
      </w:pPr>
    </w:p>
    <w:p w14:paraId="4A7274AF" w14:textId="706154BF" w:rsidR="00816B55" w:rsidRDefault="00816B55" w:rsidP="00D471B6">
      <w:pPr>
        <w:rPr>
          <w:rFonts w:eastAsia="Calibri"/>
          <w:lang w:eastAsia="en-US"/>
        </w:rPr>
      </w:pPr>
    </w:p>
    <w:p w14:paraId="60FD1773" w14:textId="48AD4C22" w:rsidR="00816B55" w:rsidRDefault="00816B55" w:rsidP="00D471B6">
      <w:pPr>
        <w:rPr>
          <w:rFonts w:eastAsia="Calibri"/>
          <w:lang w:eastAsia="en-US"/>
        </w:rPr>
      </w:pPr>
    </w:p>
    <w:p w14:paraId="3B4E7DA2" w14:textId="77777777" w:rsidR="00816B55" w:rsidRPr="00933CE9" w:rsidRDefault="00816B55" w:rsidP="00D471B6">
      <w:pPr>
        <w:rPr>
          <w:rFonts w:eastAsia="Calibri"/>
          <w:lang w:eastAsia="en-US"/>
        </w:rPr>
      </w:pPr>
    </w:p>
    <w:p w14:paraId="6B0AB5CF" w14:textId="77777777" w:rsidR="00640727" w:rsidRPr="00F65B8F" w:rsidRDefault="00640727" w:rsidP="00640727">
      <w:pPr>
        <w:pStyle w:val="Titre2"/>
      </w:pPr>
      <w:bookmarkStart w:id="396" w:name="_Toc389729191"/>
      <w:bookmarkStart w:id="397" w:name="_Toc403472829"/>
      <w:bookmarkStart w:id="398" w:name="_Toc425344135"/>
      <w:bookmarkStart w:id="399" w:name="_Toc457980127"/>
      <w:bookmarkStart w:id="400" w:name="_Toc93326626"/>
      <w:r w:rsidRPr="00F65B8F">
        <w:t>New information on the active substance</w:t>
      </w:r>
      <w:bookmarkEnd w:id="396"/>
      <w:bookmarkEnd w:id="397"/>
      <w:bookmarkEnd w:id="398"/>
      <w:bookmarkEnd w:id="399"/>
      <w:bookmarkEnd w:id="400"/>
    </w:p>
    <w:p w14:paraId="14EDC069" w14:textId="77777777" w:rsidR="00640727" w:rsidRPr="00933CE9" w:rsidRDefault="00640727" w:rsidP="00640727">
      <w:pPr>
        <w:rPr>
          <w:rFonts w:eastAsia="Calibri"/>
          <w:lang w:eastAsia="en-US"/>
        </w:rPr>
      </w:pPr>
      <w:r>
        <w:rPr>
          <w:rFonts w:eastAsia="Calibri"/>
          <w:lang w:eastAsia="en-US"/>
        </w:rPr>
        <w:t>Not applicable.</w:t>
      </w:r>
    </w:p>
    <w:p w14:paraId="7FFB3982" w14:textId="77777777" w:rsidR="00640727" w:rsidRPr="00F65B8F" w:rsidRDefault="00640727" w:rsidP="00640727">
      <w:pPr>
        <w:pStyle w:val="Titre2"/>
      </w:pPr>
      <w:bookmarkStart w:id="401" w:name="_Toc389729192"/>
      <w:bookmarkStart w:id="402" w:name="_Toc403472830"/>
      <w:bookmarkStart w:id="403" w:name="_Toc425344136"/>
      <w:bookmarkStart w:id="404" w:name="_Toc457980128"/>
      <w:bookmarkStart w:id="405" w:name="_Toc93326627"/>
      <w:r w:rsidRPr="00F65B8F">
        <w:t>Residue behaviour</w:t>
      </w:r>
      <w:bookmarkEnd w:id="401"/>
      <w:bookmarkEnd w:id="402"/>
      <w:bookmarkEnd w:id="403"/>
      <w:bookmarkEnd w:id="404"/>
      <w:bookmarkEnd w:id="405"/>
    </w:p>
    <w:p w14:paraId="63DA275C" w14:textId="77777777" w:rsidR="00640727" w:rsidRPr="007D78DC" w:rsidRDefault="00640727" w:rsidP="00640727">
      <w:pPr>
        <w:rPr>
          <w:rFonts w:eastAsia="Calibri"/>
          <w:lang w:val="de-DE" w:eastAsia="en-US"/>
        </w:rPr>
      </w:pPr>
      <w:r>
        <w:rPr>
          <w:rFonts w:eastAsia="Calibri"/>
          <w:lang w:val="de-DE" w:eastAsia="en-US"/>
        </w:rPr>
        <w:t>Not applicable.</w:t>
      </w:r>
    </w:p>
    <w:p w14:paraId="4324ED6E" w14:textId="77777777" w:rsidR="00640727" w:rsidRPr="00F65B8F" w:rsidRDefault="00640727" w:rsidP="00640727">
      <w:pPr>
        <w:pStyle w:val="Titre2"/>
      </w:pPr>
      <w:bookmarkStart w:id="406" w:name="_Toc389729193"/>
      <w:bookmarkStart w:id="407" w:name="_Toc403472831"/>
      <w:bookmarkStart w:id="408" w:name="_Toc425344137"/>
      <w:bookmarkStart w:id="409" w:name="_Toc457980129"/>
      <w:bookmarkStart w:id="410" w:name="_Toc93326628"/>
      <w:r w:rsidRPr="00F65B8F">
        <w:t>Summaries of the efficacy studies (B.5.10.1-xx)</w:t>
      </w:r>
      <w:bookmarkEnd w:id="406"/>
      <w:bookmarkEnd w:id="407"/>
      <w:bookmarkEnd w:id="408"/>
      <w:bookmarkEnd w:id="409"/>
      <w:bookmarkEnd w:id="410"/>
    </w:p>
    <w:p w14:paraId="7AB57C35" w14:textId="77777777" w:rsidR="00640727" w:rsidRPr="00305B11" w:rsidRDefault="00640727" w:rsidP="00640727">
      <w:pPr>
        <w:rPr>
          <w:rFonts w:eastAsia="Calibri"/>
          <w:lang w:eastAsia="en-US"/>
        </w:rPr>
      </w:pPr>
      <w:r>
        <w:rPr>
          <w:rFonts w:eastAsia="Calibri"/>
          <w:lang w:eastAsia="en-US"/>
        </w:rPr>
        <w:t>Not relevant, IUCLID file available.</w:t>
      </w:r>
    </w:p>
    <w:p w14:paraId="1F6B08FF" w14:textId="77777777" w:rsidR="00640727" w:rsidRPr="00F65B8F" w:rsidRDefault="00640727" w:rsidP="00640727">
      <w:pPr>
        <w:pStyle w:val="Titre2"/>
      </w:pPr>
      <w:bookmarkStart w:id="411" w:name="_Toc389729199"/>
      <w:bookmarkStart w:id="412" w:name="_Toc403472832"/>
      <w:bookmarkStart w:id="413" w:name="_Toc425344138"/>
      <w:bookmarkStart w:id="414" w:name="_Toc457980130"/>
      <w:bookmarkStart w:id="415" w:name="_Toc93326629"/>
      <w:r w:rsidRPr="00F65B8F">
        <w:t>Confidential annex</w:t>
      </w:r>
      <w:bookmarkEnd w:id="411"/>
      <w:bookmarkEnd w:id="412"/>
      <w:bookmarkEnd w:id="413"/>
      <w:bookmarkEnd w:id="414"/>
      <w:bookmarkEnd w:id="415"/>
      <w:r w:rsidRPr="00F65B8F">
        <w:t xml:space="preserve"> </w:t>
      </w:r>
    </w:p>
    <w:p w14:paraId="6844EF55" w14:textId="77777777" w:rsidR="00640727" w:rsidRPr="00017CF8" w:rsidRDefault="00640727" w:rsidP="00640727">
      <w:pPr>
        <w:rPr>
          <w:rFonts w:eastAsia="Calibri"/>
          <w:lang w:val="de-DE" w:eastAsia="en-US"/>
        </w:rPr>
      </w:pPr>
      <w:r>
        <w:rPr>
          <w:rFonts w:eastAsia="Calibri"/>
          <w:lang w:val="de-DE" w:eastAsia="en-US"/>
        </w:rPr>
        <w:t>Yes, see seperate document.</w:t>
      </w:r>
    </w:p>
    <w:p w14:paraId="379E81C5" w14:textId="77777777" w:rsidR="00640727" w:rsidRPr="00F65B8F" w:rsidRDefault="00640727" w:rsidP="00640727">
      <w:pPr>
        <w:pStyle w:val="Titre2"/>
      </w:pPr>
      <w:bookmarkStart w:id="416" w:name="_Toc389729200"/>
      <w:bookmarkStart w:id="417" w:name="_Toc403472833"/>
      <w:bookmarkStart w:id="418" w:name="_Toc425344139"/>
      <w:bookmarkStart w:id="419" w:name="_Toc457980131"/>
      <w:bookmarkStart w:id="420" w:name="_Toc93326630"/>
      <w:r w:rsidRPr="00F65B8F">
        <w:t>Other</w:t>
      </w:r>
      <w:bookmarkEnd w:id="416"/>
      <w:bookmarkEnd w:id="417"/>
      <w:bookmarkEnd w:id="418"/>
      <w:bookmarkEnd w:id="419"/>
      <w:bookmarkEnd w:id="420"/>
    </w:p>
    <w:p w14:paraId="56E54000" w14:textId="77777777" w:rsidR="00640727" w:rsidRDefault="00640727" w:rsidP="00640727">
      <w:pPr>
        <w:rPr>
          <w:lang w:val="en-US" w:eastAsia="en-US"/>
        </w:rPr>
      </w:pPr>
      <w:r>
        <w:rPr>
          <w:lang w:val="en-US" w:eastAsia="en-US"/>
        </w:rPr>
        <w:t>Not applicable.</w:t>
      </w:r>
    </w:p>
    <w:p w14:paraId="33D52D3F" w14:textId="77777777" w:rsidR="00C442A7" w:rsidRPr="00957052" w:rsidRDefault="00C442A7" w:rsidP="00F65B8F">
      <w:pPr>
        <w:rPr>
          <w:lang w:val="en-US" w:eastAsia="en-US"/>
        </w:rPr>
      </w:pPr>
    </w:p>
    <w:sectPr w:rsidR="00C442A7" w:rsidRPr="00957052" w:rsidSect="00CA2A5C">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5A8D" w14:textId="77777777" w:rsidR="006B6531" w:rsidRDefault="006B6531" w:rsidP="005C1A2A">
      <w:pPr>
        <w:spacing w:before="0" w:after="0"/>
      </w:pPr>
      <w:r>
        <w:separator/>
      </w:r>
    </w:p>
  </w:endnote>
  <w:endnote w:type="continuationSeparator" w:id="0">
    <w:p w14:paraId="027393FF" w14:textId="77777777" w:rsidR="006B6531" w:rsidRDefault="006B6531" w:rsidP="005C1A2A">
      <w:pPr>
        <w:spacing w:before="0" w:after="0"/>
      </w:pPr>
      <w:r>
        <w:continuationSeparator/>
      </w:r>
    </w:p>
  </w:endnote>
  <w:endnote w:type="continuationNotice" w:id="1">
    <w:p w14:paraId="78ED9311" w14:textId="77777777" w:rsidR="006B6531" w:rsidRDefault="006B65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36jii">
    <w:panose1 w:val="00000000000000000000"/>
    <w:charset w:val="00"/>
    <w:family w:val="auto"/>
    <w:notTrueType/>
    <w:pitch w:val="default"/>
    <w:sig w:usb0="00000003" w:usb1="00000000" w:usb2="00000000" w:usb3="00000000" w:csb0="00000001" w:csb1="00000000"/>
  </w:font>
  <w:font w:name="06rbj">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00nkk">
    <w:altName w:val="Calibri"/>
    <w:panose1 w:val="00000000000000000000"/>
    <w:charset w:val="00"/>
    <w:family w:val="auto"/>
    <w:notTrueType/>
    <w:pitch w:val="default"/>
    <w:sig w:usb0="00000003" w:usb1="00000000" w:usb2="00000000" w:usb3="00000000" w:csb0="00000001" w:csb1="00000000"/>
  </w:font>
  <w:font w:name="19wnc">
    <w:panose1 w:val="00000000000000000000"/>
    <w:charset w:val="00"/>
    <w:family w:val="auto"/>
    <w:notTrueType/>
    <w:pitch w:val="default"/>
    <w:sig w:usb0="00000003" w:usb1="00000000" w:usb2="00000000" w:usb3="00000000" w:csb0="00000001" w:csb1="00000000"/>
  </w:font>
  <w:font w:name="41hb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DE26" w14:textId="10779514" w:rsidR="006B6531" w:rsidRDefault="006B6531" w:rsidP="005C1A2A">
    <w:pPr>
      <w:pStyle w:val="Pieddepage"/>
      <w:pBdr>
        <w:top w:val="single" w:sz="4" w:space="1" w:color="auto"/>
      </w:pBdr>
      <w:jc w:val="right"/>
    </w:pPr>
    <w:r>
      <w:fldChar w:fldCharType="begin"/>
    </w:r>
    <w:r>
      <w:instrText xml:space="preserve"> PAGE   \* MERGEFORMAT </w:instrText>
    </w:r>
    <w:r>
      <w:fldChar w:fldCharType="separate"/>
    </w:r>
    <w:r w:rsidR="000D0DA7">
      <w:rPr>
        <w:noProof/>
      </w:rPr>
      <w:t>1</w:t>
    </w:r>
    <w:r>
      <w:rPr>
        <w:noProof/>
      </w:rPr>
      <w:fldChar w:fldCharType="end"/>
    </w:r>
    <w:r>
      <w:t xml:space="preserve"> / </w:t>
    </w:r>
    <w:r>
      <w:rPr>
        <w:noProof/>
      </w:rPr>
      <w:fldChar w:fldCharType="begin"/>
    </w:r>
    <w:r>
      <w:rPr>
        <w:noProof/>
      </w:rPr>
      <w:instrText xml:space="preserve"> NUMPAGES   \* MERGEFORMAT </w:instrText>
    </w:r>
    <w:r>
      <w:rPr>
        <w:noProof/>
      </w:rPr>
      <w:fldChar w:fldCharType="separate"/>
    </w:r>
    <w:r w:rsidR="000D0DA7">
      <w:rPr>
        <w:noProof/>
      </w:rPr>
      <w:t>116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2393" w14:textId="0CD9840C" w:rsidR="006B6531" w:rsidRDefault="006B6531">
    <w:pPr>
      <w:pStyle w:val="Pieddepage"/>
      <w:jc w:val="right"/>
      <w:rPr>
        <w:rFonts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0D0DA7">
      <w:rPr>
        <w:rFonts w:cs="Verdana"/>
        <w:noProof/>
        <w:sz w:val="18"/>
      </w:rPr>
      <w:t>39</w:t>
    </w:r>
    <w:r>
      <w:rPr>
        <w:rFonts w:cs="Verdana"/>
        <w:sz w:val="18"/>
      </w:rPr>
      <w:fldChar w:fldCharType="end"/>
    </w:r>
  </w:p>
  <w:p w14:paraId="5056A594" w14:textId="77777777" w:rsidR="006B6531" w:rsidRDefault="006B6531">
    <w:pPr>
      <w:pStyle w:val="Pieddepage"/>
      <w:rPr>
        <w:rFonts w:cs="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4B00" w14:textId="77777777" w:rsidR="006B6531" w:rsidRDefault="006B65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C507" w14:textId="77777777" w:rsidR="006B6531" w:rsidRDefault="006B6531" w:rsidP="005C1A2A">
      <w:pPr>
        <w:spacing w:before="0" w:after="0"/>
      </w:pPr>
      <w:r>
        <w:separator/>
      </w:r>
    </w:p>
  </w:footnote>
  <w:footnote w:type="continuationSeparator" w:id="0">
    <w:p w14:paraId="5B2F8FC9" w14:textId="77777777" w:rsidR="006B6531" w:rsidRDefault="006B6531" w:rsidP="005C1A2A">
      <w:pPr>
        <w:spacing w:before="0" w:after="0"/>
      </w:pPr>
      <w:r>
        <w:continuationSeparator/>
      </w:r>
    </w:p>
  </w:footnote>
  <w:footnote w:type="continuationNotice" w:id="1">
    <w:p w14:paraId="40B7E644" w14:textId="77777777" w:rsidR="006B6531" w:rsidRDefault="006B6531">
      <w:pPr>
        <w:spacing w:before="0" w:after="0"/>
      </w:pPr>
    </w:p>
  </w:footnote>
  <w:footnote w:id="2">
    <w:p w14:paraId="035BB116" w14:textId="77777777" w:rsidR="006B6531" w:rsidRDefault="006B6531"/>
    <w:p w14:paraId="4BD4A4B1" w14:textId="6A3EFABC" w:rsidR="006B6531" w:rsidRDefault="006B6531" w:rsidP="00B50969">
      <w:pPr>
        <w:pStyle w:val="Notedebasdepage"/>
      </w:pPr>
    </w:p>
  </w:footnote>
  <w:footnote w:id="3">
    <w:p w14:paraId="6FA55B87" w14:textId="77777777" w:rsidR="006B6531" w:rsidRDefault="006B6531"/>
    <w:p w14:paraId="37BEE5C1" w14:textId="38A949E4" w:rsidR="006B6531" w:rsidRDefault="006B6531" w:rsidP="00B50969">
      <w:pPr>
        <w:pStyle w:val="Notedebasdepage"/>
        <w:jc w:val="both"/>
      </w:pPr>
    </w:p>
  </w:footnote>
  <w:footnote w:id="4">
    <w:p w14:paraId="35B52F46" w14:textId="77777777" w:rsidR="006B6531" w:rsidRDefault="006B6531"/>
    <w:p w14:paraId="3B0D6622" w14:textId="3011F80C" w:rsidR="006B6531" w:rsidRDefault="006B6531" w:rsidP="00B50969">
      <w:pPr>
        <w:pStyle w:val="Notedebasdepage"/>
        <w:jc w:val="both"/>
      </w:pPr>
    </w:p>
  </w:footnote>
  <w:footnote w:id="5">
    <w:p w14:paraId="02E35332" w14:textId="77777777" w:rsidR="006B6531" w:rsidRDefault="006B6531"/>
    <w:p w14:paraId="7C343C4B" w14:textId="07E61181" w:rsidR="006B6531" w:rsidRDefault="006B6531" w:rsidP="00B50969">
      <w:pPr>
        <w:pStyle w:val="Notedebasdepage"/>
      </w:pPr>
    </w:p>
  </w:footnote>
  <w:footnote w:id="6">
    <w:p w14:paraId="7894EF97" w14:textId="77777777" w:rsidR="006B6531" w:rsidRDefault="006B6531" w:rsidP="0053704B"/>
    <w:p w14:paraId="04B86646" w14:textId="77777777" w:rsidR="006B6531" w:rsidRPr="0084013F" w:rsidRDefault="006B6531" w:rsidP="0053704B">
      <w:pPr>
        <w:pStyle w:val="Notedebasdepage"/>
        <w:rPr>
          <w:lang w:val="en-US"/>
        </w:rPr>
      </w:pPr>
    </w:p>
  </w:footnote>
  <w:footnote w:id="7">
    <w:p w14:paraId="0A1997D9" w14:textId="63B64907" w:rsidR="006B6531" w:rsidRPr="00965030" w:rsidRDefault="006B6531" w:rsidP="005B4904">
      <w:pPr>
        <w:pStyle w:val="Notedebasdepage"/>
        <w:jc w:val="both"/>
      </w:pPr>
      <w:r w:rsidRPr="00911275">
        <w:rPr>
          <w:rStyle w:val="Appelnotedebasdep"/>
          <w:szCs w:val="16"/>
        </w:rPr>
        <w:footnoteRef/>
      </w:r>
      <w:r w:rsidRPr="00911275">
        <w:rPr>
          <w:sz w:val="16"/>
          <w:szCs w:val="16"/>
        </w:rPr>
        <w:t xml:space="preserve"> Yiang</w:t>
      </w:r>
      <w:r w:rsidRPr="00965030">
        <w:rPr>
          <w:sz w:val="16"/>
          <w:szCs w:val="16"/>
        </w:rPr>
        <w:t xml:space="preserve"> L, at al (2019): Reduced effectiveness of repellents in a pyrethroid-resistant strain of </w:t>
      </w:r>
      <w:r w:rsidRPr="00965030">
        <w:rPr>
          <w:i/>
          <w:sz w:val="16"/>
          <w:szCs w:val="16"/>
        </w:rPr>
        <w:t>Aedes aegypti</w:t>
      </w:r>
      <w:r>
        <w:rPr>
          <w:sz w:val="16"/>
          <w:szCs w:val="16"/>
        </w:rPr>
        <w:t xml:space="preserve"> (Diptera: </w:t>
      </w:r>
      <w:r w:rsidRPr="00965030">
        <w:rPr>
          <w:sz w:val="16"/>
          <w:szCs w:val="16"/>
        </w:rPr>
        <w:t>culicidae) and its correlation with olfactory sensitivity, Pakistan, Pest Manag Sci (2019) doi: 10.1002/ps.5562.</w:t>
      </w:r>
    </w:p>
  </w:footnote>
  <w:footnote w:id="8">
    <w:p w14:paraId="62744AD2" w14:textId="77777777" w:rsidR="006B6531" w:rsidRPr="00211860" w:rsidRDefault="006B6531" w:rsidP="00780E5B">
      <w:pPr>
        <w:pStyle w:val="Notedebasdepage"/>
      </w:pPr>
      <w:r>
        <w:rPr>
          <w:rStyle w:val="Appelnotedebasdep"/>
        </w:rPr>
        <w:footnoteRef/>
      </w:r>
      <w:r>
        <w:t xml:space="preserve"> Recommendation no. 11 of the BPC Ad hoc Working Group on Human Exposure: Proposal for harmonising the assessment of human exposure to repellents (PT19), 2018.</w:t>
      </w:r>
    </w:p>
  </w:footnote>
  <w:footnote w:id="9">
    <w:p w14:paraId="4D7DA857" w14:textId="77777777" w:rsidR="006B6531" w:rsidRPr="00211860" w:rsidRDefault="006B6531" w:rsidP="00780E5B">
      <w:pPr>
        <w:pStyle w:val="Notedebasdepage"/>
      </w:pPr>
      <w:r>
        <w:rPr>
          <w:rStyle w:val="Appelnotedebasdep"/>
        </w:rPr>
        <w:footnoteRef/>
      </w:r>
      <w:r>
        <w:t xml:space="preserve"> Recommendation no. 14 of the BPC Ad hoc Working Group on Human Exposure: Default human factor values for use in exposure assessments for biocidal products, 2017.</w:t>
      </w:r>
    </w:p>
  </w:footnote>
  <w:footnote w:id="10">
    <w:p w14:paraId="68AFF389" w14:textId="77777777" w:rsidR="006B6531" w:rsidRPr="00211860" w:rsidRDefault="006B6531" w:rsidP="00780E5B">
      <w:pPr>
        <w:pStyle w:val="Notedebasdepage"/>
      </w:pPr>
      <w:r>
        <w:rPr>
          <w:rStyle w:val="Appelnotedebasdep"/>
        </w:rPr>
        <w:footnoteRef/>
      </w:r>
      <w:r>
        <w:t xml:space="preserve"> Recommendation no. 11 of the BPC Ad hoc Working Group on Human Exposure: Proposal for harmonising the assessment of human exposure to repellents (PT19), 2018.</w:t>
      </w:r>
    </w:p>
  </w:footnote>
  <w:footnote w:id="11">
    <w:p w14:paraId="411EB81E" w14:textId="77777777" w:rsidR="006B6531" w:rsidRPr="00211860" w:rsidRDefault="006B6531" w:rsidP="00780E5B">
      <w:pPr>
        <w:pStyle w:val="Notedebasdepage"/>
      </w:pPr>
      <w:r>
        <w:rPr>
          <w:rStyle w:val="Appelnotedebasdep"/>
        </w:rPr>
        <w:footnoteRef/>
      </w:r>
      <w:r>
        <w:t xml:space="preserve"> Recommendation no. 14 of the BPC Ad hoc Working Group on Human Exposure: Default human factor values for use in exposure assessments for biocidal products, 2017.</w:t>
      </w:r>
    </w:p>
  </w:footnote>
  <w:footnote w:id="12">
    <w:p w14:paraId="452B7922" w14:textId="77777777" w:rsidR="006B6531" w:rsidRPr="003F6124" w:rsidRDefault="006B6531" w:rsidP="002655EE">
      <w:pPr>
        <w:pStyle w:val="Notedebasdepage"/>
      </w:pPr>
      <w:r>
        <w:rPr>
          <w:rStyle w:val="Appelnotedebasdep"/>
        </w:rPr>
        <w:footnoteRef/>
      </w:r>
      <w:r>
        <w:t xml:space="preserve"> Recommendation no. 8 of the BPC Ad hoc Working Group on Human Exposure Consumer use of biocidal product and protection from typical clothing, 2015.</w:t>
      </w:r>
    </w:p>
  </w:footnote>
  <w:footnote w:id="13">
    <w:p w14:paraId="52643E37" w14:textId="77777777" w:rsidR="006B6531" w:rsidRPr="00543A65" w:rsidRDefault="006B6531" w:rsidP="003C3D08">
      <w:pPr>
        <w:pStyle w:val="Notedebasdepage"/>
        <w:jc w:val="both"/>
      </w:pPr>
      <w:r w:rsidRPr="00E140D5">
        <w:rPr>
          <w:rStyle w:val="Appelnotedebasdep"/>
          <w:rFonts w:eastAsia="Calibri"/>
        </w:rPr>
        <w:footnoteRef/>
      </w:r>
      <w:r w:rsidRPr="00E140D5">
        <w:rPr>
          <w:sz w:val="16"/>
        </w:rPr>
        <w:t xml:space="preserve"> Dilution factor from ConsExpo 4.0, Consumer Exposure and Uptake Models. Program Manuel. Bilthoven, The Netherlands: National Institute for Public Health and the Environment (RIVM). Report no. 320104004.  &amp; RIVM report 320104001/2006 : Cosmetics Fact Sheet To assess the risks for the consumer (Updated version for ConsExpo 4) H.J. Bremmer, L.C.H. Prud’homme de Lodder, J.G.M. van Engelen [p34 : "Weight fraction dilution Wf / 3"       " Estimate dilution factor 3 (wetting hands)]</w:t>
      </w:r>
    </w:p>
  </w:footnote>
  <w:footnote w:id="14">
    <w:p w14:paraId="356C9F40" w14:textId="77777777" w:rsidR="006B6531" w:rsidRPr="003F6124" w:rsidRDefault="006B6531" w:rsidP="001E65DB">
      <w:pPr>
        <w:pStyle w:val="Notedebasdepage"/>
      </w:pPr>
      <w:r>
        <w:rPr>
          <w:rStyle w:val="Appelnotedebasdep"/>
        </w:rPr>
        <w:footnoteRef/>
      </w:r>
      <w:r>
        <w:t xml:space="preserve"> Recommendation no. 8 of the BPC Ad hoc Working Group on Human Exposure Consumer use of biocidal product and protection from typical clothing,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5"/>
      <w:gridCol w:w="5394"/>
      <w:gridCol w:w="1787"/>
    </w:tblGrid>
    <w:tr w:rsidR="006B6531" w14:paraId="4D50FB3F" w14:textId="77777777" w:rsidTr="0028480A">
      <w:tc>
        <w:tcPr>
          <w:tcW w:w="1022" w:type="pct"/>
        </w:tcPr>
        <w:p w14:paraId="2C1A9EFC" w14:textId="4F1E353B" w:rsidR="006B6531" w:rsidRDefault="006B6531" w:rsidP="005C1A2A">
          <w:pPr>
            <w:pStyle w:val="En-tte"/>
            <w:jc w:val="center"/>
          </w:pPr>
          <w:r>
            <w:t>France</w:t>
          </w:r>
        </w:p>
      </w:tc>
      <w:tc>
        <w:tcPr>
          <w:tcW w:w="2988" w:type="pct"/>
        </w:tcPr>
        <w:p w14:paraId="1451E62B" w14:textId="0C4A72BB" w:rsidR="006B6531" w:rsidRDefault="006B6531" w:rsidP="00A0476B">
          <w:pPr>
            <w:pStyle w:val="En-tte"/>
            <w:jc w:val="center"/>
          </w:pPr>
          <w:r>
            <w:t>SPRAY REPULSIF IR200</w:t>
          </w:r>
        </w:p>
      </w:tc>
      <w:tc>
        <w:tcPr>
          <w:tcW w:w="990" w:type="pct"/>
        </w:tcPr>
        <w:p w14:paraId="24F7B113" w14:textId="77777777" w:rsidR="006B6531" w:rsidRDefault="006B6531" w:rsidP="005C1A2A">
          <w:pPr>
            <w:pStyle w:val="En-tte"/>
            <w:jc w:val="center"/>
          </w:pPr>
          <w:r>
            <w:t>PT19</w:t>
          </w:r>
        </w:p>
      </w:tc>
    </w:tr>
  </w:tbl>
  <w:p w14:paraId="36C37575" w14:textId="77777777" w:rsidR="006B6531" w:rsidRPr="005C1A2A" w:rsidRDefault="006B6531" w:rsidP="005C1A2A">
    <w:pPr>
      <w:pStyle w:val="En-tte"/>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6B6531" w14:paraId="73E57924" w14:textId="77777777">
      <w:tc>
        <w:tcPr>
          <w:tcW w:w="1276" w:type="dxa"/>
          <w:tcBorders>
            <w:bottom w:val="single" w:sz="4" w:space="0" w:color="000000"/>
          </w:tcBorders>
          <w:shd w:val="clear" w:color="auto" w:fill="auto"/>
          <w:vAlign w:val="center"/>
        </w:tcPr>
        <w:p w14:paraId="7AFA0241" w14:textId="3C51F31F" w:rsidR="006B6531" w:rsidRDefault="006B6531" w:rsidP="00382D19">
          <w:pPr>
            <w:widowControl w:val="0"/>
            <w:autoSpaceDE w:val="0"/>
            <w:jc w:val="center"/>
            <w:rPr>
              <w:rFonts w:cs="Times"/>
              <w:color w:val="000000"/>
              <w:sz w:val="18"/>
              <w:szCs w:val="18"/>
            </w:rPr>
          </w:pPr>
          <w:r>
            <w:rPr>
              <w:rFonts w:cs="Times"/>
              <w:color w:val="000000"/>
              <w:sz w:val="18"/>
              <w:szCs w:val="18"/>
            </w:rPr>
            <w:t>&lt;France&gt;</w:t>
          </w:r>
        </w:p>
      </w:tc>
      <w:tc>
        <w:tcPr>
          <w:tcW w:w="5528" w:type="dxa"/>
          <w:tcBorders>
            <w:bottom w:val="single" w:sz="4" w:space="0" w:color="000000"/>
          </w:tcBorders>
          <w:shd w:val="clear" w:color="auto" w:fill="auto"/>
          <w:vAlign w:val="center"/>
        </w:tcPr>
        <w:p w14:paraId="64355EF0" w14:textId="6DB05281" w:rsidR="006B6531" w:rsidRDefault="006B6531" w:rsidP="00382D19">
          <w:pPr>
            <w:widowControl w:val="0"/>
            <w:autoSpaceDE w:val="0"/>
            <w:jc w:val="center"/>
            <w:rPr>
              <w:rFonts w:cs="Times"/>
              <w:color w:val="000000"/>
              <w:sz w:val="18"/>
              <w:szCs w:val="18"/>
            </w:rPr>
          </w:pPr>
          <w:r>
            <w:rPr>
              <w:rFonts w:cs="Times"/>
              <w:color w:val="000000"/>
              <w:sz w:val="18"/>
              <w:szCs w:val="18"/>
            </w:rPr>
            <w:t>&lt;Spray Repulsif IR200&gt;</w:t>
          </w:r>
        </w:p>
      </w:tc>
      <w:tc>
        <w:tcPr>
          <w:tcW w:w="2552" w:type="dxa"/>
          <w:tcBorders>
            <w:bottom w:val="single" w:sz="4" w:space="0" w:color="000000"/>
          </w:tcBorders>
          <w:shd w:val="clear" w:color="auto" w:fill="auto"/>
          <w:vAlign w:val="center"/>
        </w:tcPr>
        <w:p w14:paraId="6E88099B" w14:textId="67CF8A1B" w:rsidR="006B6531" w:rsidRDefault="006B6531">
          <w:pPr>
            <w:widowControl w:val="0"/>
            <w:autoSpaceDE w:val="0"/>
            <w:jc w:val="center"/>
          </w:pPr>
          <w:r>
            <w:rPr>
              <w:rFonts w:cs="Times"/>
              <w:color w:val="000000"/>
              <w:sz w:val="18"/>
              <w:szCs w:val="18"/>
            </w:rPr>
            <w:t>&lt;PT19&gt;</w:t>
          </w:r>
        </w:p>
      </w:tc>
    </w:tr>
  </w:tbl>
  <w:p w14:paraId="45654167" w14:textId="77777777" w:rsidR="006B6531" w:rsidRDefault="006B65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7C17" w14:textId="77777777" w:rsidR="006B6531" w:rsidRDefault="006B65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2C6087A"/>
    <w:multiLevelType w:val="hybridMultilevel"/>
    <w:tmpl w:val="536850EC"/>
    <w:lvl w:ilvl="0" w:tplc="4A32CED4">
      <w:start w:val="2302"/>
      <w:numFmt w:val="bullet"/>
      <w:lvlText w:val="-"/>
      <w:lvlJc w:val="left"/>
      <w:pPr>
        <w:ind w:left="360" w:hanging="360"/>
      </w:pPr>
      <w:rPr>
        <w:rFonts w:ascii="Verdana" w:eastAsia="Calibri"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362C02"/>
    <w:multiLevelType w:val="hybridMultilevel"/>
    <w:tmpl w:val="FF4810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6F4F0A"/>
    <w:multiLevelType w:val="hybridMultilevel"/>
    <w:tmpl w:val="D408C3AA"/>
    <w:lvl w:ilvl="0" w:tplc="2C3ED65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51B1190"/>
    <w:multiLevelType w:val="hybridMultilevel"/>
    <w:tmpl w:val="F5A68FB4"/>
    <w:lvl w:ilvl="0" w:tplc="E894365C">
      <w:numFmt w:val="bullet"/>
      <w:lvlText w:val="-"/>
      <w:lvlJc w:val="left"/>
      <w:pPr>
        <w:ind w:left="4329"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05B35B01"/>
    <w:multiLevelType w:val="hybridMultilevel"/>
    <w:tmpl w:val="006C6ADA"/>
    <w:lvl w:ilvl="0" w:tplc="2C3ED654">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DA39F1"/>
    <w:multiLevelType w:val="multilevel"/>
    <w:tmpl w:val="4A52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302490"/>
    <w:multiLevelType w:val="hybridMultilevel"/>
    <w:tmpl w:val="4FFAA61A"/>
    <w:lvl w:ilvl="0" w:tplc="437C5CDA">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D3E359E"/>
    <w:multiLevelType w:val="hybridMultilevel"/>
    <w:tmpl w:val="61F8D1F2"/>
    <w:lvl w:ilvl="0" w:tplc="04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7D7125"/>
    <w:multiLevelType w:val="hybridMultilevel"/>
    <w:tmpl w:val="E6E209B6"/>
    <w:lvl w:ilvl="0" w:tplc="0413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12D20F7"/>
    <w:multiLevelType w:val="multilevel"/>
    <w:tmpl w:val="AA0E7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F630D8"/>
    <w:multiLevelType w:val="hybridMultilevel"/>
    <w:tmpl w:val="92AC7664"/>
    <w:lvl w:ilvl="0" w:tplc="AF4C6EB2">
      <w:start w:val="1"/>
      <w:numFmt w:val="upperRoman"/>
      <w:pStyle w:val="Titre5"/>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6E5716A"/>
    <w:multiLevelType w:val="hybridMultilevel"/>
    <w:tmpl w:val="7F869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330BAA"/>
    <w:multiLevelType w:val="hybridMultilevel"/>
    <w:tmpl w:val="D680636C"/>
    <w:lvl w:ilvl="0" w:tplc="C6345C32">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126B12"/>
    <w:multiLevelType w:val="hybridMultilevel"/>
    <w:tmpl w:val="E4FE8BA8"/>
    <w:lvl w:ilvl="0" w:tplc="6A7C7C2A">
      <w:start w:val="1"/>
      <w:numFmt w:val="bullet"/>
      <w:lvlText w:val=""/>
      <w:lvlJc w:val="left"/>
      <w:pPr>
        <w:ind w:left="792" w:hanging="360"/>
      </w:pPr>
      <w:rPr>
        <w:rFonts w:ascii="Wingdings" w:eastAsia="Calibri" w:hAnsi="Wingdings"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5" w15:restartNumberingAfterBreak="0">
    <w:nsid w:val="1A461AE7"/>
    <w:multiLevelType w:val="hybridMultilevel"/>
    <w:tmpl w:val="8E224572"/>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6" w15:restartNumberingAfterBreak="0">
    <w:nsid w:val="1B026127"/>
    <w:multiLevelType w:val="hybridMultilevel"/>
    <w:tmpl w:val="11486C4A"/>
    <w:lvl w:ilvl="0" w:tplc="A41AE36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C81E1B"/>
    <w:multiLevelType w:val="hybridMultilevel"/>
    <w:tmpl w:val="41E2CEBA"/>
    <w:lvl w:ilvl="0" w:tplc="04130011">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ED47397"/>
    <w:multiLevelType w:val="hybridMultilevel"/>
    <w:tmpl w:val="06F43578"/>
    <w:lvl w:ilvl="0" w:tplc="057A758C">
      <w:start w:val="1"/>
      <w:numFmt w:val="bullet"/>
      <w:lvlText w:val="-"/>
      <w:lvlJc w:val="left"/>
      <w:pPr>
        <w:ind w:left="435" w:hanging="360"/>
      </w:pPr>
      <w:rPr>
        <w:rFonts w:ascii="Verdana" w:eastAsia="Calibri" w:hAnsi="Verdana" w:cs="Times New Roman" w:hint="default"/>
        <w:i w:val="0"/>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9" w15:restartNumberingAfterBreak="0">
    <w:nsid w:val="2220706A"/>
    <w:multiLevelType w:val="hybridMultilevel"/>
    <w:tmpl w:val="D054C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2431AEB"/>
    <w:multiLevelType w:val="hybridMultilevel"/>
    <w:tmpl w:val="7EA29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2B5457C"/>
    <w:multiLevelType w:val="hybridMultilevel"/>
    <w:tmpl w:val="B9882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38E2F1B"/>
    <w:multiLevelType w:val="hybridMultilevel"/>
    <w:tmpl w:val="137E07A6"/>
    <w:lvl w:ilvl="0" w:tplc="EC4CDCC0">
      <w:start w:val="1"/>
      <w:numFmt w:val="bullet"/>
      <w:lvlText w:val="o"/>
      <w:lvlJc w:val="left"/>
      <w:pPr>
        <w:ind w:left="1440" w:hanging="360"/>
      </w:pPr>
      <w:rPr>
        <w:rFonts w:ascii="Courier New" w:hAnsi="Courier New" w:cs="Courier New"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23B9350B"/>
    <w:multiLevelType w:val="hybridMultilevel"/>
    <w:tmpl w:val="6AC6CA24"/>
    <w:lvl w:ilvl="0" w:tplc="682A7712">
      <w:numFmt w:val="bullet"/>
      <w:lvlText w:val="-"/>
      <w:lvlJc w:val="left"/>
      <w:pPr>
        <w:ind w:left="720" w:hanging="360"/>
      </w:pPr>
      <w:rPr>
        <w:rFonts w:ascii="Helvetica" w:eastAsia="Times New Roman"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7312D7C"/>
    <w:multiLevelType w:val="hybridMultilevel"/>
    <w:tmpl w:val="EB4ECD1A"/>
    <w:lvl w:ilvl="0" w:tplc="22547974">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7604935"/>
    <w:multiLevelType w:val="hybridMultilevel"/>
    <w:tmpl w:val="B2F4A778"/>
    <w:lvl w:ilvl="0" w:tplc="779AAAB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84472A8"/>
    <w:multiLevelType w:val="multilevel"/>
    <w:tmpl w:val="94A4D5D2"/>
    <w:lvl w:ilvl="0">
      <w:start w:val="1"/>
      <w:numFmt w:val="decimal"/>
      <w:pStyle w:val="CurrentAuth1"/>
      <w:suff w:val="space"/>
      <w:lvlText w:val="%1."/>
      <w:lvlJc w:val="left"/>
      <w:pPr>
        <w:ind w:left="0" w:firstLine="0"/>
      </w:pPr>
      <w:rPr>
        <w:rFonts w:ascii="Arial Bold" w:hAnsi="Arial Bold" w:hint="default"/>
        <w:b/>
        <w:i w:val="0"/>
        <w:color w:val="auto"/>
        <w:sz w:val="28"/>
      </w:rPr>
    </w:lvl>
    <w:lvl w:ilvl="1">
      <w:start w:val="1"/>
      <w:numFmt w:val="decimal"/>
      <w:pStyle w:val="CurrentAuth2"/>
      <w:suff w:val="space"/>
      <w:lvlText w:val="%1.%2."/>
      <w:lvlJc w:val="left"/>
      <w:pPr>
        <w:ind w:left="0" w:firstLine="0"/>
      </w:pPr>
      <w:rPr>
        <w:rFonts w:ascii="Arial Bold" w:hAnsi="Arial Bold" w:hint="default"/>
        <w:b/>
        <w:i w:val="0"/>
        <w:color w:val="auto"/>
        <w:sz w:val="24"/>
      </w:rPr>
    </w:lvl>
    <w:lvl w:ilvl="2">
      <w:start w:val="1"/>
      <w:numFmt w:val="decimal"/>
      <w:pStyle w:val="CurrentAuth3"/>
      <w:suff w:val="space"/>
      <w:lvlText w:val="%1.%2.%3."/>
      <w:lvlJc w:val="left"/>
      <w:pPr>
        <w:ind w:left="0" w:firstLine="0"/>
      </w:pPr>
      <w:rPr>
        <w:rFonts w:ascii="Arial Bold" w:hAnsi="Arial Bold" w:hint="default"/>
        <w:b/>
        <w:i w:val="0"/>
        <w:color w:val="auto"/>
        <w:sz w:val="24"/>
      </w:rPr>
    </w:lvl>
    <w:lvl w:ilvl="3">
      <w:start w:val="1"/>
      <w:numFmt w:val="decimal"/>
      <w:pStyle w:val="CurrentAuth4"/>
      <w:suff w:val="space"/>
      <w:lvlText w:val="%1.%2.%3.%4."/>
      <w:lvlJc w:val="left"/>
      <w:pPr>
        <w:ind w:left="0" w:firstLine="0"/>
      </w:pPr>
      <w:rPr>
        <w:rFonts w:ascii="Arial Bold" w:hAnsi="Arial Bold" w:hint="default"/>
        <w:b/>
        <w:i w:val="0"/>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28B3161D"/>
    <w:multiLevelType w:val="hybridMultilevel"/>
    <w:tmpl w:val="26B40D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8BF589B"/>
    <w:multiLevelType w:val="hybridMultilevel"/>
    <w:tmpl w:val="08363F68"/>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9DF1BD6"/>
    <w:multiLevelType w:val="hybridMultilevel"/>
    <w:tmpl w:val="27E2524A"/>
    <w:lvl w:ilvl="0" w:tplc="607008D0">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2BB61257"/>
    <w:multiLevelType w:val="hybridMultilevel"/>
    <w:tmpl w:val="72F45A9C"/>
    <w:lvl w:ilvl="0" w:tplc="4A32CED4">
      <w:start w:val="2302"/>
      <w:numFmt w:val="bullet"/>
      <w:lvlText w:val="-"/>
      <w:lvlJc w:val="left"/>
      <w:pPr>
        <w:ind w:left="36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2E8264DA"/>
    <w:multiLevelType w:val="hybridMultilevel"/>
    <w:tmpl w:val="F5A08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FF51495"/>
    <w:multiLevelType w:val="hybridMultilevel"/>
    <w:tmpl w:val="71C047DA"/>
    <w:lvl w:ilvl="0" w:tplc="5172D4B2">
      <w:numFmt w:val="bullet"/>
      <w:lvlText w:val=""/>
      <w:lvlJc w:val="left"/>
      <w:pPr>
        <w:ind w:left="372" w:hanging="360"/>
      </w:pPr>
      <w:rPr>
        <w:rFonts w:ascii="Wingdings" w:eastAsia="Times New Roman" w:hAnsi="Wingdings" w:cs="Arial" w:hint="default"/>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abstractNum w:abstractNumId="34" w15:restartNumberingAfterBreak="0">
    <w:nsid w:val="320D548D"/>
    <w:multiLevelType w:val="hybridMultilevel"/>
    <w:tmpl w:val="E48ED486"/>
    <w:lvl w:ilvl="0" w:tplc="682A771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53869C0"/>
    <w:multiLevelType w:val="hybridMultilevel"/>
    <w:tmpl w:val="789212CC"/>
    <w:lvl w:ilvl="0" w:tplc="2C3ED65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A02178D"/>
    <w:multiLevelType w:val="hybridMultilevel"/>
    <w:tmpl w:val="0FBAD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1842EEF"/>
    <w:multiLevelType w:val="hybridMultilevel"/>
    <w:tmpl w:val="7D024932"/>
    <w:lvl w:ilvl="0" w:tplc="0000000A">
      <w:numFmt w:val="bullet"/>
      <w:lvlText w:val="-"/>
      <w:lvlJc w:val="left"/>
      <w:pPr>
        <w:ind w:left="720" w:hanging="360"/>
      </w:pPr>
      <w:rPr>
        <w:rFonts w:ascii="Times New Roman" w:hAnsi="Times New Roman" w:cs="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6B43BB9"/>
    <w:multiLevelType w:val="hybridMultilevel"/>
    <w:tmpl w:val="C7BE4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7316A35"/>
    <w:multiLevelType w:val="hybridMultilevel"/>
    <w:tmpl w:val="B76C2BEE"/>
    <w:lvl w:ilvl="0" w:tplc="1A8CDE4C">
      <w:start w:val="81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874550B"/>
    <w:multiLevelType w:val="hybridMultilevel"/>
    <w:tmpl w:val="6458F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B51368F"/>
    <w:multiLevelType w:val="hybridMultilevel"/>
    <w:tmpl w:val="AC98D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C1621EB"/>
    <w:multiLevelType w:val="hybridMultilevel"/>
    <w:tmpl w:val="BAA6FC6E"/>
    <w:lvl w:ilvl="0" w:tplc="682A771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C745533"/>
    <w:multiLevelType w:val="hybridMultilevel"/>
    <w:tmpl w:val="95C42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3332097"/>
    <w:multiLevelType w:val="hybridMultilevel"/>
    <w:tmpl w:val="99C6CFEA"/>
    <w:lvl w:ilvl="0" w:tplc="9918D10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3FC1EEA"/>
    <w:multiLevelType w:val="hybridMultilevel"/>
    <w:tmpl w:val="A54E217A"/>
    <w:lvl w:ilvl="0" w:tplc="04130017">
      <w:start w:val="1"/>
      <w:numFmt w:val="lowerLetter"/>
      <w:lvlText w:val="%1)"/>
      <w:lvlJc w:val="left"/>
      <w:pPr>
        <w:ind w:left="502" w:hanging="360"/>
      </w:p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6" w15:restartNumberingAfterBreak="0">
    <w:nsid w:val="54B85A33"/>
    <w:multiLevelType w:val="hybridMultilevel"/>
    <w:tmpl w:val="39586FC8"/>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7" w15:restartNumberingAfterBreak="0">
    <w:nsid w:val="54EC16F0"/>
    <w:multiLevelType w:val="hybridMultilevel"/>
    <w:tmpl w:val="1DB85B4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87C60AB"/>
    <w:multiLevelType w:val="hybridMultilevel"/>
    <w:tmpl w:val="24563E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5DF71A7C"/>
    <w:multiLevelType w:val="hybridMultilevel"/>
    <w:tmpl w:val="9976BF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160708C"/>
    <w:multiLevelType w:val="multilevel"/>
    <w:tmpl w:val="22DEE2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1" w15:restartNumberingAfterBreak="0">
    <w:nsid w:val="66243A37"/>
    <w:multiLevelType w:val="multilevel"/>
    <w:tmpl w:val="3A72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9E53EB"/>
    <w:multiLevelType w:val="hybridMultilevel"/>
    <w:tmpl w:val="399CA5BE"/>
    <w:lvl w:ilvl="0" w:tplc="2C3ED654">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8E7369D"/>
    <w:multiLevelType w:val="hybridMultilevel"/>
    <w:tmpl w:val="B7E2D38A"/>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69AB19F4"/>
    <w:multiLevelType w:val="hybridMultilevel"/>
    <w:tmpl w:val="D472D1AA"/>
    <w:lvl w:ilvl="0" w:tplc="04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EAF7FB5"/>
    <w:multiLevelType w:val="hybridMultilevel"/>
    <w:tmpl w:val="6E867610"/>
    <w:lvl w:ilvl="0" w:tplc="1EF4EB38">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56" w15:restartNumberingAfterBreak="0">
    <w:nsid w:val="6EC60164"/>
    <w:multiLevelType w:val="hybridMultilevel"/>
    <w:tmpl w:val="21F88AE0"/>
    <w:lvl w:ilvl="0" w:tplc="0000000A">
      <w:numFmt w:val="bullet"/>
      <w:lvlText w:val="-"/>
      <w:lvlJc w:val="left"/>
      <w:pPr>
        <w:ind w:left="720" w:hanging="360"/>
      </w:pPr>
      <w:rPr>
        <w:rFonts w:ascii="Times New Roman" w:hAnsi="Times New Roman" w:cs="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EF3243F"/>
    <w:multiLevelType w:val="hybridMultilevel"/>
    <w:tmpl w:val="7E1C6D82"/>
    <w:lvl w:ilvl="0" w:tplc="88D01D4C">
      <w:numFmt w:val="bullet"/>
      <w:lvlText w:val="-"/>
      <w:lvlJc w:val="left"/>
      <w:pPr>
        <w:ind w:left="709" w:hanging="360"/>
      </w:pPr>
      <w:rPr>
        <w:rFonts w:ascii="Calibri" w:hAnsi="Calibri" w:hint="default"/>
        <w:sz w:val="22"/>
      </w:rPr>
    </w:lvl>
    <w:lvl w:ilvl="1" w:tplc="040C0003">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58" w15:restartNumberingAfterBreak="0">
    <w:nsid w:val="725908C2"/>
    <w:multiLevelType w:val="hybridMultilevel"/>
    <w:tmpl w:val="3098BFE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9" w15:restartNumberingAfterBreak="0">
    <w:nsid w:val="74D279F9"/>
    <w:multiLevelType w:val="hybridMultilevel"/>
    <w:tmpl w:val="68200B7A"/>
    <w:lvl w:ilvl="0" w:tplc="18BE878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63B18D1"/>
    <w:multiLevelType w:val="hybridMultilevel"/>
    <w:tmpl w:val="43FECD48"/>
    <w:lvl w:ilvl="0" w:tplc="2C3ED654">
      <w:numFmt w:val="bullet"/>
      <w:lvlText w:val="-"/>
      <w:lvlJc w:val="left"/>
      <w:pPr>
        <w:ind w:left="720" w:hanging="360"/>
      </w:pPr>
      <w:rPr>
        <w:rFonts w:ascii="Verdana" w:eastAsia="Times New Roman" w:hAnsi="Verdana" w:cs="Times New Roman" w:hint="default"/>
      </w:rPr>
    </w:lvl>
    <w:lvl w:ilvl="1" w:tplc="D496280E">
      <w:numFmt w:val="bullet"/>
      <w:lvlText w:val="•"/>
      <w:lvlJc w:val="left"/>
      <w:pPr>
        <w:ind w:left="2145" w:hanging="705"/>
      </w:pPr>
      <w:rPr>
        <w:rFonts w:ascii="Verdana" w:eastAsia="Times New Roman" w:hAnsi="Verdana"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1" w15:restartNumberingAfterBreak="0">
    <w:nsid w:val="77997D60"/>
    <w:multiLevelType w:val="hybridMultilevel"/>
    <w:tmpl w:val="55F278D8"/>
    <w:lvl w:ilvl="0" w:tplc="18BE878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7FD729C"/>
    <w:multiLevelType w:val="hybridMultilevel"/>
    <w:tmpl w:val="60066010"/>
    <w:lvl w:ilvl="0" w:tplc="85AEEB8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80B1A78"/>
    <w:multiLevelType w:val="hybridMultilevel"/>
    <w:tmpl w:val="E436A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4" w15:restartNumberingAfterBreak="0">
    <w:nsid w:val="79BD0CDB"/>
    <w:multiLevelType w:val="hybridMultilevel"/>
    <w:tmpl w:val="88A2452E"/>
    <w:lvl w:ilvl="0" w:tplc="F0629FB6">
      <w:start w:val="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C214C2A"/>
    <w:multiLevelType w:val="multilevel"/>
    <w:tmpl w:val="3E1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61591B"/>
    <w:multiLevelType w:val="hybridMultilevel"/>
    <w:tmpl w:val="B15A3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FAF287A"/>
    <w:multiLevelType w:val="hybridMultilevel"/>
    <w:tmpl w:val="B9EAF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11"/>
  </w:num>
  <w:num w:numId="3">
    <w:abstractNumId w:val="48"/>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45"/>
  </w:num>
  <w:num w:numId="8">
    <w:abstractNumId w:val="11"/>
    <w:lvlOverride w:ilvl="0">
      <w:startOverride w:val="1"/>
    </w:lvlOverride>
  </w:num>
  <w:num w:numId="9">
    <w:abstractNumId w:val="11"/>
    <w:lvlOverride w:ilvl="0">
      <w:startOverride w:val="1"/>
    </w:lvlOverride>
  </w:num>
  <w:num w:numId="10">
    <w:abstractNumId w:val="38"/>
  </w:num>
  <w:num w:numId="11">
    <w:abstractNumId w:val="19"/>
  </w:num>
  <w:num w:numId="12">
    <w:abstractNumId w:val="60"/>
  </w:num>
  <w:num w:numId="13">
    <w:abstractNumId w:val="35"/>
  </w:num>
  <w:num w:numId="14">
    <w:abstractNumId w:val="17"/>
  </w:num>
  <w:num w:numId="15">
    <w:abstractNumId w:val="3"/>
  </w:num>
  <w:num w:numId="16">
    <w:abstractNumId w:val="52"/>
  </w:num>
  <w:num w:numId="17">
    <w:abstractNumId w:val="5"/>
  </w:num>
  <w:num w:numId="18">
    <w:abstractNumId w:val="36"/>
  </w:num>
  <w:num w:numId="19">
    <w:abstractNumId w:val="63"/>
  </w:num>
  <w:num w:numId="20">
    <w:abstractNumId w:val="63"/>
  </w:num>
  <w:num w:numId="21">
    <w:abstractNumId w:val="27"/>
  </w:num>
  <w:num w:numId="22">
    <w:abstractNumId w:val="24"/>
  </w:num>
  <w:num w:numId="23">
    <w:abstractNumId w:val="21"/>
  </w:num>
  <w:num w:numId="24">
    <w:abstractNumId w:val="66"/>
  </w:num>
  <w:num w:numId="25">
    <w:abstractNumId w:val="12"/>
  </w:num>
  <w:num w:numId="26">
    <w:abstractNumId w:val="68"/>
  </w:num>
  <w:num w:numId="27">
    <w:abstractNumId w:val="32"/>
  </w:num>
  <w:num w:numId="28">
    <w:abstractNumId w:val="25"/>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6"/>
  </w:num>
  <w:num w:numId="33">
    <w:abstractNumId w:val="13"/>
  </w:num>
  <w:num w:numId="34">
    <w:abstractNumId w:val="55"/>
  </w:num>
  <w:num w:numId="35">
    <w:abstractNumId w:val="67"/>
  </w:num>
  <w:num w:numId="36">
    <w:abstractNumId w:val="47"/>
  </w:num>
  <w:num w:numId="37">
    <w:abstractNumId w:val="1"/>
  </w:num>
  <w:num w:numId="38">
    <w:abstractNumId w:val="30"/>
  </w:num>
  <w:num w:numId="39">
    <w:abstractNumId w:val="64"/>
  </w:num>
  <w:num w:numId="40">
    <w:abstractNumId w:val="43"/>
  </w:num>
  <w:num w:numId="41">
    <w:abstractNumId w:val="41"/>
  </w:num>
  <w:num w:numId="42">
    <w:abstractNumId w:val="7"/>
  </w:num>
  <w:num w:numId="43">
    <w:abstractNumId w:val="10"/>
  </w:num>
  <w:num w:numId="44">
    <w:abstractNumId w:val="18"/>
  </w:num>
  <w:num w:numId="45">
    <w:abstractNumId w:val="8"/>
  </w:num>
  <w:num w:numId="46">
    <w:abstractNumId w:val="56"/>
  </w:num>
  <w:num w:numId="47">
    <w:abstractNumId w:val="37"/>
  </w:num>
  <w:num w:numId="48">
    <w:abstractNumId w:val="54"/>
  </w:num>
  <w:num w:numId="49">
    <w:abstractNumId w:val="9"/>
  </w:num>
  <w:num w:numId="50">
    <w:abstractNumId w:val="4"/>
  </w:num>
  <w:num w:numId="51">
    <w:abstractNumId w:val="15"/>
  </w:num>
  <w:num w:numId="52">
    <w:abstractNumId w:val="53"/>
  </w:num>
  <w:num w:numId="53">
    <w:abstractNumId w:val="6"/>
  </w:num>
  <w:num w:numId="54">
    <w:abstractNumId w:val="51"/>
  </w:num>
  <w:num w:numId="55">
    <w:abstractNumId w:val="65"/>
  </w:num>
  <w:num w:numId="56">
    <w:abstractNumId w:val="22"/>
  </w:num>
  <w:num w:numId="57">
    <w:abstractNumId w:val="58"/>
  </w:num>
  <w:num w:numId="58">
    <w:abstractNumId w:val="2"/>
  </w:num>
  <w:num w:numId="59">
    <w:abstractNumId w:val="34"/>
  </w:num>
  <w:num w:numId="60">
    <w:abstractNumId w:val="23"/>
  </w:num>
  <w:num w:numId="61">
    <w:abstractNumId w:val="42"/>
  </w:num>
  <w:num w:numId="62">
    <w:abstractNumId w:val="49"/>
  </w:num>
  <w:num w:numId="63">
    <w:abstractNumId w:val="33"/>
  </w:num>
  <w:num w:numId="64">
    <w:abstractNumId w:val="46"/>
  </w:num>
  <w:num w:numId="65">
    <w:abstractNumId w:val="20"/>
  </w:num>
  <w:num w:numId="66">
    <w:abstractNumId w:val="39"/>
  </w:num>
  <w:num w:numId="67">
    <w:abstractNumId w:val="16"/>
  </w:num>
  <w:num w:numId="68">
    <w:abstractNumId w:val="40"/>
  </w:num>
  <w:num w:numId="69">
    <w:abstractNumId w:val="62"/>
  </w:num>
  <w:num w:numId="70">
    <w:abstractNumId w:val="44"/>
  </w:num>
  <w:num w:numId="71">
    <w:abstractNumId w:val="28"/>
  </w:num>
  <w:num w:numId="72">
    <w:abstractNumId w:val="29"/>
  </w:num>
  <w:num w:numId="73">
    <w:abstractNumId w:val="14"/>
  </w:num>
  <w:num w:numId="74">
    <w:abstractNumId w:val="59"/>
  </w:num>
  <w:num w:numId="75">
    <w:abstractNumId w:val="61"/>
  </w:num>
  <w:num w:numId="76">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nl-BE" w:vendorID="64" w:dllVersion="131078" w:nlCheck="1" w:checkStyle="0"/>
  <w:activeWritingStyle w:appName="MSWord" w:lang="es-ES"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2A"/>
    <w:rsid w:val="00001BBC"/>
    <w:rsid w:val="0000263F"/>
    <w:rsid w:val="000026A6"/>
    <w:rsid w:val="000034B7"/>
    <w:rsid w:val="00007001"/>
    <w:rsid w:val="0000733D"/>
    <w:rsid w:val="0000766C"/>
    <w:rsid w:val="00011052"/>
    <w:rsid w:val="00013B67"/>
    <w:rsid w:val="00015252"/>
    <w:rsid w:val="000157E7"/>
    <w:rsid w:val="00021B85"/>
    <w:rsid w:val="00022A94"/>
    <w:rsid w:val="00023136"/>
    <w:rsid w:val="00023571"/>
    <w:rsid w:val="00025892"/>
    <w:rsid w:val="00025F90"/>
    <w:rsid w:val="0002770E"/>
    <w:rsid w:val="00030066"/>
    <w:rsid w:val="000304DC"/>
    <w:rsid w:val="00033040"/>
    <w:rsid w:val="000354F6"/>
    <w:rsid w:val="000358F0"/>
    <w:rsid w:val="00043748"/>
    <w:rsid w:val="000456EF"/>
    <w:rsid w:val="00046CA7"/>
    <w:rsid w:val="00052F22"/>
    <w:rsid w:val="00053792"/>
    <w:rsid w:val="00053B5F"/>
    <w:rsid w:val="00054DFF"/>
    <w:rsid w:val="00060C08"/>
    <w:rsid w:val="00063A97"/>
    <w:rsid w:val="00064D45"/>
    <w:rsid w:val="00064E66"/>
    <w:rsid w:val="00071AE0"/>
    <w:rsid w:val="00076421"/>
    <w:rsid w:val="00083A47"/>
    <w:rsid w:val="00084A89"/>
    <w:rsid w:val="00084BC4"/>
    <w:rsid w:val="00087CF2"/>
    <w:rsid w:val="000910D0"/>
    <w:rsid w:val="00093760"/>
    <w:rsid w:val="0009761B"/>
    <w:rsid w:val="000A0483"/>
    <w:rsid w:val="000A0E97"/>
    <w:rsid w:val="000A6FAF"/>
    <w:rsid w:val="000A7410"/>
    <w:rsid w:val="000B1382"/>
    <w:rsid w:val="000B2A13"/>
    <w:rsid w:val="000B48DC"/>
    <w:rsid w:val="000B62C7"/>
    <w:rsid w:val="000B7454"/>
    <w:rsid w:val="000C27D9"/>
    <w:rsid w:val="000C6005"/>
    <w:rsid w:val="000C6B9F"/>
    <w:rsid w:val="000D0DA7"/>
    <w:rsid w:val="000D4A4B"/>
    <w:rsid w:val="000E2A38"/>
    <w:rsid w:val="000E33BD"/>
    <w:rsid w:val="000E33CE"/>
    <w:rsid w:val="000E4EF0"/>
    <w:rsid w:val="000E58F0"/>
    <w:rsid w:val="000E70C6"/>
    <w:rsid w:val="000E744F"/>
    <w:rsid w:val="000F05A4"/>
    <w:rsid w:val="000F3633"/>
    <w:rsid w:val="000F4416"/>
    <w:rsid w:val="000F5D99"/>
    <w:rsid w:val="0010045B"/>
    <w:rsid w:val="0010127C"/>
    <w:rsid w:val="001024E3"/>
    <w:rsid w:val="0010483E"/>
    <w:rsid w:val="00105D46"/>
    <w:rsid w:val="00110A78"/>
    <w:rsid w:val="00120525"/>
    <w:rsid w:val="00123F2B"/>
    <w:rsid w:val="00123F8B"/>
    <w:rsid w:val="0012495E"/>
    <w:rsid w:val="00132118"/>
    <w:rsid w:val="001335A3"/>
    <w:rsid w:val="00133670"/>
    <w:rsid w:val="00133CAC"/>
    <w:rsid w:val="001346A9"/>
    <w:rsid w:val="0013624E"/>
    <w:rsid w:val="00140213"/>
    <w:rsid w:val="00141F6F"/>
    <w:rsid w:val="00150D1E"/>
    <w:rsid w:val="00150EF1"/>
    <w:rsid w:val="001524E0"/>
    <w:rsid w:val="00152F5A"/>
    <w:rsid w:val="00153531"/>
    <w:rsid w:val="0015701C"/>
    <w:rsid w:val="00157768"/>
    <w:rsid w:val="00160084"/>
    <w:rsid w:val="0016516D"/>
    <w:rsid w:val="00165258"/>
    <w:rsid w:val="00165D0D"/>
    <w:rsid w:val="00171EB0"/>
    <w:rsid w:val="00172257"/>
    <w:rsid w:val="00174790"/>
    <w:rsid w:val="00174AFC"/>
    <w:rsid w:val="00175802"/>
    <w:rsid w:val="0018063D"/>
    <w:rsid w:val="00183850"/>
    <w:rsid w:val="00186040"/>
    <w:rsid w:val="00186C25"/>
    <w:rsid w:val="00187396"/>
    <w:rsid w:val="00190DC8"/>
    <w:rsid w:val="0019470F"/>
    <w:rsid w:val="00195542"/>
    <w:rsid w:val="001961EA"/>
    <w:rsid w:val="001A101C"/>
    <w:rsid w:val="001A2D73"/>
    <w:rsid w:val="001A385C"/>
    <w:rsid w:val="001A3961"/>
    <w:rsid w:val="001A4417"/>
    <w:rsid w:val="001A47AF"/>
    <w:rsid w:val="001B5BDB"/>
    <w:rsid w:val="001B687B"/>
    <w:rsid w:val="001B7765"/>
    <w:rsid w:val="001C1094"/>
    <w:rsid w:val="001C57FA"/>
    <w:rsid w:val="001C641E"/>
    <w:rsid w:val="001D2186"/>
    <w:rsid w:val="001D2AE5"/>
    <w:rsid w:val="001D31A4"/>
    <w:rsid w:val="001D5041"/>
    <w:rsid w:val="001D5419"/>
    <w:rsid w:val="001D60E9"/>
    <w:rsid w:val="001D6747"/>
    <w:rsid w:val="001E2025"/>
    <w:rsid w:val="001E2819"/>
    <w:rsid w:val="001E3887"/>
    <w:rsid w:val="001E5B2C"/>
    <w:rsid w:val="001E65DB"/>
    <w:rsid w:val="001F024A"/>
    <w:rsid w:val="001F09BA"/>
    <w:rsid w:val="001F273B"/>
    <w:rsid w:val="001F3FF5"/>
    <w:rsid w:val="001F5329"/>
    <w:rsid w:val="001F5CE5"/>
    <w:rsid w:val="001F67A8"/>
    <w:rsid w:val="00201654"/>
    <w:rsid w:val="002017CB"/>
    <w:rsid w:val="002039C8"/>
    <w:rsid w:val="0020466F"/>
    <w:rsid w:val="002049B6"/>
    <w:rsid w:val="00206A1A"/>
    <w:rsid w:val="00207716"/>
    <w:rsid w:val="002078E5"/>
    <w:rsid w:val="00210E08"/>
    <w:rsid w:val="002127C9"/>
    <w:rsid w:val="00213D27"/>
    <w:rsid w:val="00214808"/>
    <w:rsid w:val="0021631E"/>
    <w:rsid w:val="00217A51"/>
    <w:rsid w:val="00217F26"/>
    <w:rsid w:val="00221196"/>
    <w:rsid w:val="00222AA7"/>
    <w:rsid w:val="00222ACA"/>
    <w:rsid w:val="002247C6"/>
    <w:rsid w:val="00224DD4"/>
    <w:rsid w:val="00230912"/>
    <w:rsid w:val="00232830"/>
    <w:rsid w:val="0023317C"/>
    <w:rsid w:val="002333EC"/>
    <w:rsid w:val="002333EE"/>
    <w:rsid w:val="0023446C"/>
    <w:rsid w:val="002367D6"/>
    <w:rsid w:val="00236917"/>
    <w:rsid w:val="00237364"/>
    <w:rsid w:val="002400FE"/>
    <w:rsid w:val="002433E2"/>
    <w:rsid w:val="00244E49"/>
    <w:rsid w:val="00246338"/>
    <w:rsid w:val="0024663E"/>
    <w:rsid w:val="0025067D"/>
    <w:rsid w:val="0025070C"/>
    <w:rsid w:val="00251000"/>
    <w:rsid w:val="002519FD"/>
    <w:rsid w:val="00260DEF"/>
    <w:rsid w:val="00261F4F"/>
    <w:rsid w:val="00263F38"/>
    <w:rsid w:val="002655EE"/>
    <w:rsid w:val="00266F9D"/>
    <w:rsid w:val="0027221F"/>
    <w:rsid w:val="00272957"/>
    <w:rsid w:val="00276B81"/>
    <w:rsid w:val="002809A9"/>
    <w:rsid w:val="00281340"/>
    <w:rsid w:val="00281E9A"/>
    <w:rsid w:val="00282A78"/>
    <w:rsid w:val="0028480A"/>
    <w:rsid w:val="00293972"/>
    <w:rsid w:val="00293F54"/>
    <w:rsid w:val="00294ECB"/>
    <w:rsid w:val="00297096"/>
    <w:rsid w:val="002971AD"/>
    <w:rsid w:val="002A362B"/>
    <w:rsid w:val="002A5B4F"/>
    <w:rsid w:val="002A5CDE"/>
    <w:rsid w:val="002A6C35"/>
    <w:rsid w:val="002B0427"/>
    <w:rsid w:val="002B4716"/>
    <w:rsid w:val="002C1382"/>
    <w:rsid w:val="002C2D9C"/>
    <w:rsid w:val="002C4887"/>
    <w:rsid w:val="002C4B63"/>
    <w:rsid w:val="002C597D"/>
    <w:rsid w:val="002C684E"/>
    <w:rsid w:val="002C6A77"/>
    <w:rsid w:val="002C7556"/>
    <w:rsid w:val="002D006E"/>
    <w:rsid w:val="002D196C"/>
    <w:rsid w:val="002D1F60"/>
    <w:rsid w:val="002D4EC4"/>
    <w:rsid w:val="002D5AA9"/>
    <w:rsid w:val="002D5B47"/>
    <w:rsid w:val="002D7CCF"/>
    <w:rsid w:val="002E5181"/>
    <w:rsid w:val="002E59ED"/>
    <w:rsid w:val="002E748B"/>
    <w:rsid w:val="002F1B7A"/>
    <w:rsid w:val="002F2811"/>
    <w:rsid w:val="002F3250"/>
    <w:rsid w:val="002F5397"/>
    <w:rsid w:val="002F61D9"/>
    <w:rsid w:val="002F75CF"/>
    <w:rsid w:val="002F7770"/>
    <w:rsid w:val="002F7D28"/>
    <w:rsid w:val="003001AE"/>
    <w:rsid w:val="00301134"/>
    <w:rsid w:val="003015CE"/>
    <w:rsid w:val="00301C3F"/>
    <w:rsid w:val="00302A0C"/>
    <w:rsid w:val="00302C5E"/>
    <w:rsid w:val="003056E7"/>
    <w:rsid w:val="00306D4B"/>
    <w:rsid w:val="0031037A"/>
    <w:rsid w:val="0031337C"/>
    <w:rsid w:val="00313B8B"/>
    <w:rsid w:val="00315B59"/>
    <w:rsid w:val="00316177"/>
    <w:rsid w:val="00321DAD"/>
    <w:rsid w:val="00322CB9"/>
    <w:rsid w:val="00323827"/>
    <w:rsid w:val="003249B1"/>
    <w:rsid w:val="00326595"/>
    <w:rsid w:val="0033001E"/>
    <w:rsid w:val="00330772"/>
    <w:rsid w:val="00330B22"/>
    <w:rsid w:val="003317DF"/>
    <w:rsid w:val="00332357"/>
    <w:rsid w:val="00332AD5"/>
    <w:rsid w:val="0034241B"/>
    <w:rsid w:val="00343329"/>
    <w:rsid w:val="00345D39"/>
    <w:rsid w:val="00350146"/>
    <w:rsid w:val="0035381C"/>
    <w:rsid w:val="00354F38"/>
    <w:rsid w:val="0035542E"/>
    <w:rsid w:val="00355B45"/>
    <w:rsid w:val="00355B90"/>
    <w:rsid w:val="00360596"/>
    <w:rsid w:val="00360AAD"/>
    <w:rsid w:val="0036179B"/>
    <w:rsid w:val="0036183A"/>
    <w:rsid w:val="00362AED"/>
    <w:rsid w:val="00362F76"/>
    <w:rsid w:val="00362FEB"/>
    <w:rsid w:val="00363546"/>
    <w:rsid w:val="00365020"/>
    <w:rsid w:val="00370417"/>
    <w:rsid w:val="003704D1"/>
    <w:rsid w:val="00371123"/>
    <w:rsid w:val="00371723"/>
    <w:rsid w:val="003728A0"/>
    <w:rsid w:val="00373B10"/>
    <w:rsid w:val="003751D4"/>
    <w:rsid w:val="00375850"/>
    <w:rsid w:val="00382578"/>
    <w:rsid w:val="00382D19"/>
    <w:rsid w:val="00383991"/>
    <w:rsid w:val="003839E7"/>
    <w:rsid w:val="0038730F"/>
    <w:rsid w:val="00392310"/>
    <w:rsid w:val="00392A9C"/>
    <w:rsid w:val="003932C7"/>
    <w:rsid w:val="0039435D"/>
    <w:rsid w:val="003944AD"/>
    <w:rsid w:val="0039777E"/>
    <w:rsid w:val="003977F7"/>
    <w:rsid w:val="003A0291"/>
    <w:rsid w:val="003A04EC"/>
    <w:rsid w:val="003A0654"/>
    <w:rsid w:val="003A31C7"/>
    <w:rsid w:val="003B02D7"/>
    <w:rsid w:val="003B2C33"/>
    <w:rsid w:val="003B44C2"/>
    <w:rsid w:val="003B745B"/>
    <w:rsid w:val="003C3D08"/>
    <w:rsid w:val="003C4A7D"/>
    <w:rsid w:val="003C5407"/>
    <w:rsid w:val="003C569B"/>
    <w:rsid w:val="003D0249"/>
    <w:rsid w:val="003D031C"/>
    <w:rsid w:val="003D5573"/>
    <w:rsid w:val="003D7061"/>
    <w:rsid w:val="003E0243"/>
    <w:rsid w:val="003E14A1"/>
    <w:rsid w:val="003E1ECB"/>
    <w:rsid w:val="003E39B1"/>
    <w:rsid w:val="003E3E25"/>
    <w:rsid w:val="003E6797"/>
    <w:rsid w:val="003E76EE"/>
    <w:rsid w:val="003F5EEC"/>
    <w:rsid w:val="003F6124"/>
    <w:rsid w:val="003F6235"/>
    <w:rsid w:val="003F6CA6"/>
    <w:rsid w:val="0040039B"/>
    <w:rsid w:val="004014F7"/>
    <w:rsid w:val="0040189C"/>
    <w:rsid w:val="00403721"/>
    <w:rsid w:val="00404BE0"/>
    <w:rsid w:val="00406665"/>
    <w:rsid w:val="00407AC3"/>
    <w:rsid w:val="00407B50"/>
    <w:rsid w:val="00413CB7"/>
    <w:rsid w:val="00415624"/>
    <w:rsid w:val="00415817"/>
    <w:rsid w:val="004216DE"/>
    <w:rsid w:val="004220B9"/>
    <w:rsid w:val="00422626"/>
    <w:rsid w:val="00423828"/>
    <w:rsid w:val="004306E9"/>
    <w:rsid w:val="00430CE2"/>
    <w:rsid w:val="00432E86"/>
    <w:rsid w:val="00433196"/>
    <w:rsid w:val="004332CA"/>
    <w:rsid w:val="00433995"/>
    <w:rsid w:val="0043624C"/>
    <w:rsid w:val="0043780C"/>
    <w:rsid w:val="00440839"/>
    <w:rsid w:val="00446E79"/>
    <w:rsid w:val="004470AE"/>
    <w:rsid w:val="0045041F"/>
    <w:rsid w:val="00450658"/>
    <w:rsid w:val="0045115B"/>
    <w:rsid w:val="00451FCC"/>
    <w:rsid w:val="00453CFA"/>
    <w:rsid w:val="00454D16"/>
    <w:rsid w:val="00455DB0"/>
    <w:rsid w:val="00456007"/>
    <w:rsid w:val="00456BA6"/>
    <w:rsid w:val="0046069B"/>
    <w:rsid w:val="0046173F"/>
    <w:rsid w:val="00463967"/>
    <w:rsid w:val="004639A5"/>
    <w:rsid w:val="004647B3"/>
    <w:rsid w:val="00470949"/>
    <w:rsid w:val="00470EF7"/>
    <w:rsid w:val="00473269"/>
    <w:rsid w:val="00473E21"/>
    <w:rsid w:val="00475111"/>
    <w:rsid w:val="00476436"/>
    <w:rsid w:val="00477933"/>
    <w:rsid w:val="00477AB6"/>
    <w:rsid w:val="00484F6D"/>
    <w:rsid w:val="00485AC7"/>
    <w:rsid w:val="0048641F"/>
    <w:rsid w:val="004904C3"/>
    <w:rsid w:val="00490C8C"/>
    <w:rsid w:val="00495595"/>
    <w:rsid w:val="004A1970"/>
    <w:rsid w:val="004A3315"/>
    <w:rsid w:val="004A529C"/>
    <w:rsid w:val="004A60A6"/>
    <w:rsid w:val="004A6C76"/>
    <w:rsid w:val="004A74A0"/>
    <w:rsid w:val="004A769D"/>
    <w:rsid w:val="004A77FF"/>
    <w:rsid w:val="004B0A40"/>
    <w:rsid w:val="004B373B"/>
    <w:rsid w:val="004B396F"/>
    <w:rsid w:val="004B5C8D"/>
    <w:rsid w:val="004B6370"/>
    <w:rsid w:val="004B695D"/>
    <w:rsid w:val="004B70ED"/>
    <w:rsid w:val="004C342D"/>
    <w:rsid w:val="004C3FBC"/>
    <w:rsid w:val="004C4A20"/>
    <w:rsid w:val="004C692E"/>
    <w:rsid w:val="004C7EE3"/>
    <w:rsid w:val="004D01A0"/>
    <w:rsid w:val="004D306D"/>
    <w:rsid w:val="004D4659"/>
    <w:rsid w:val="004D6630"/>
    <w:rsid w:val="004E1CC8"/>
    <w:rsid w:val="004E3E55"/>
    <w:rsid w:val="004E5812"/>
    <w:rsid w:val="004F0D98"/>
    <w:rsid w:val="004F1CFE"/>
    <w:rsid w:val="004F62B0"/>
    <w:rsid w:val="004F653E"/>
    <w:rsid w:val="004F6C8D"/>
    <w:rsid w:val="004F7B12"/>
    <w:rsid w:val="00501171"/>
    <w:rsid w:val="005057BF"/>
    <w:rsid w:val="00510D08"/>
    <w:rsid w:val="00513AA3"/>
    <w:rsid w:val="005148A5"/>
    <w:rsid w:val="005164CC"/>
    <w:rsid w:val="005240CE"/>
    <w:rsid w:val="00525001"/>
    <w:rsid w:val="005303DF"/>
    <w:rsid w:val="00532093"/>
    <w:rsid w:val="00532241"/>
    <w:rsid w:val="0053250B"/>
    <w:rsid w:val="0053704B"/>
    <w:rsid w:val="005377F4"/>
    <w:rsid w:val="00544F24"/>
    <w:rsid w:val="00546133"/>
    <w:rsid w:val="0054641C"/>
    <w:rsid w:val="00552621"/>
    <w:rsid w:val="00553FE6"/>
    <w:rsid w:val="005541D6"/>
    <w:rsid w:val="00555D34"/>
    <w:rsid w:val="00557546"/>
    <w:rsid w:val="005616C7"/>
    <w:rsid w:val="005641ED"/>
    <w:rsid w:val="00566512"/>
    <w:rsid w:val="00567238"/>
    <w:rsid w:val="00571B34"/>
    <w:rsid w:val="00571EBF"/>
    <w:rsid w:val="00572420"/>
    <w:rsid w:val="0057357E"/>
    <w:rsid w:val="00574A9F"/>
    <w:rsid w:val="005752E1"/>
    <w:rsid w:val="00576E4E"/>
    <w:rsid w:val="00577C74"/>
    <w:rsid w:val="005808D3"/>
    <w:rsid w:val="00583F11"/>
    <w:rsid w:val="00586514"/>
    <w:rsid w:val="005866DC"/>
    <w:rsid w:val="00590AED"/>
    <w:rsid w:val="00591AD4"/>
    <w:rsid w:val="0059235B"/>
    <w:rsid w:val="005924F3"/>
    <w:rsid w:val="00592893"/>
    <w:rsid w:val="005930EA"/>
    <w:rsid w:val="00593869"/>
    <w:rsid w:val="00593B8B"/>
    <w:rsid w:val="00594307"/>
    <w:rsid w:val="005946A1"/>
    <w:rsid w:val="0059554D"/>
    <w:rsid w:val="0059778F"/>
    <w:rsid w:val="005A0944"/>
    <w:rsid w:val="005A13F4"/>
    <w:rsid w:val="005A28CB"/>
    <w:rsid w:val="005A36DE"/>
    <w:rsid w:val="005A507F"/>
    <w:rsid w:val="005A5221"/>
    <w:rsid w:val="005A5761"/>
    <w:rsid w:val="005A7E79"/>
    <w:rsid w:val="005B0A07"/>
    <w:rsid w:val="005B4904"/>
    <w:rsid w:val="005B5EB8"/>
    <w:rsid w:val="005B60B4"/>
    <w:rsid w:val="005B626D"/>
    <w:rsid w:val="005B6805"/>
    <w:rsid w:val="005C1A2A"/>
    <w:rsid w:val="005C23A6"/>
    <w:rsid w:val="005C4373"/>
    <w:rsid w:val="005D041B"/>
    <w:rsid w:val="005D52E9"/>
    <w:rsid w:val="005D739E"/>
    <w:rsid w:val="005E2D04"/>
    <w:rsid w:val="005E5F5C"/>
    <w:rsid w:val="005F0515"/>
    <w:rsid w:val="005F7C33"/>
    <w:rsid w:val="00602CBE"/>
    <w:rsid w:val="00604E84"/>
    <w:rsid w:val="00606848"/>
    <w:rsid w:val="00606FF5"/>
    <w:rsid w:val="00610608"/>
    <w:rsid w:val="00614E77"/>
    <w:rsid w:val="00616BFF"/>
    <w:rsid w:val="006176F8"/>
    <w:rsid w:val="00617724"/>
    <w:rsid w:val="00622CCE"/>
    <w:rsid w:val="00625A6B"/>
    <w:rsid w:val="00626CD0"/>
    <w:rsid w:val="00630A06"/>
    <w:rsid w:val="006341AC"/>
    <w:rsid w:val="0063427C"/>
    <w:rsid w:val="00640727"/>
    <w:rsid w:val="00641221"/>
    <w:rsid w:val="006418D7"/>
    <w:rsid w:val="006456DE"/>
    <w:rsid w:val="00645AD5"/>
    <w:rsid w:val="00650246"/>
    <w:rsid w:val="00653043"/>
    <w:rsid w:val="00653427"/>
    <w:rsid w:val="00653B02"/>
    <w:rsid w:val="006546FD"/>
    <w:rsid w:val="00654B51"/>
    <w:rsid w:val="0066271D"/>
    <w:rsid w:val="00662A87"/>
    <w:rsid w:val="00663428"/>
    <w:rsid w:val="00663E9D"/>
    <w:rsid w:val="00667DF8"/>
    <w:rsid w:val="0067252E"/>
    <w:rsid w:val="00672D8A"/>
    <w:rsid w:val="00674BFF"/>
    <w:rsid w:val="0067640F"/>
    <w:rsid w:val="00682DC6"/>
    <w:rsid w:val="00685523"/>
    <w:rsid w:val="00685FD1"/>
    <w:rsid w:val="00686090"/>
    <w:rsid w:val="00687F6C"/>
    <w:rsid w:val="00692027"/>
    <w:rsid w:val="00692DE5"/>
    <w:rsid w:val="006947F8"/>
    <w:rsid w:val="00694FF8"/>
    <w:rsid w:val="00695A12"/>
    <w:rsid w:val="00697881"/>
    <w:rsid w:val="006A1C73"/>
    <w:rsid w:val="006A242E"/>
    <w:rsid w:val="006A24DD"/>
    <w:rsid w:val="006A4448"/>
    <w:rsid w:val="006A5CE0"/>
    <w:rsid w:val="006A70B7"/>
    <w:rsid w:val="006B16EC"/>
    <w:rsid w:val="006B32B5"/>
    <w:rsid w:val="006B4C5A"/>
    <w:rsid w:val="006B6531"/>
    <w:rsid w:val="006C0848"/>
    <w:rsid w:val="006C200A"/>
    <w:rsid w:val="006D08AE"/>
    <w:rsid w:val="006D0EB6"/>
    <w:rsid w:val="006E00A9"/>
    <w:rsid w:val="006E0384"/>
    <w:rsid w:val="006E2D0D"/>
    <w:rsid w:val="006E4F81"/>
    <w:rsid w:val="006E50DF"/>
    <w:rsid w:val="006F0381"/>
    <w:rsid w:val="006F2452"/>
    <w:rsid w:val="006F67CB"/>
    <w:rsid w:val="006F7C18"/>
    <w:rsid w:val="00701241"/>
    <w:rsid w:val="007064F1"/>
    <w:rsid w:val="00706D61"/>
    <w:rsid w:val="007103E0"/>
    <w:rsid w:val="0071129D"/>
    <w:rsid w:val="0071179F"/>
    <w:rsid w:val="007141E5"/>
    <w:rsid w:val="00714360"/>
    <w:rsid w:val="00715919"/>
    <w:rsid w:val="00717B83"/>
    <w:rsid w:val="0072135A"/>
    <w:rsid w:val="0072310F"/>
    <w:rsid w:val="0072601E"/>
    <w:rsid w:val="00726A3B"/>
    <w:rsid w:val="00727E86"/>
    <w:rsid w:val="00732D66"/>
    <w:rsid w:val="0073306A"/>
    <w:rsid w:val="00736C93"/>
    <w:rsid w:val="007373DB"/>
    <w:rsid w:val="0074364C"/>
    <w:rsid w:val="0074492C"/>
    <w:rsid w:val="00744E0A"/>
    <w:rsid w:val="00750927"/>
    <w:rsid w:val="00752897"/>
    <w:rsid w:val="00752A50"/>
    <w:rsid w:val="00754285"/>
    <w:rsid w:val="007546A9"/>
    <w:rsid w:val="00756A6B"/>
    <w:rsid w:val="00757D39"/>
    <w:rsid w:val="007614DB"/>
    <w:rsid w:val="007616F6"/>
    <w:rsid w:val="00762133"/>
    <w:rsid w:val="00762A41"/>
    <w:rsid w:val="00766C34"/>
    <w:rsid w:val="00770B78"/>
    <w:rsid w:val="00773964"/>
    <w:rsid w:val="007747FA"/>
    <w:rsid w:val="00775231"/>
    <w:rsid w:val="007809D8"/>
    <w:rsid w:val="00780A47"/>
    <w:rsid w:val="00780C29"/>
    <w:rsid w:val="00780E5B"/>
    <w:rsid w:val="00781F56"/>
    <w:rsid w:val="007927D3"/>
    <w:rsid w:val="007933E1"/>
    <w:rsid w:val="00794E3D"/>
    <w:rsid w:val="00796089"/>
    <w:rsid w:val="00797567"/>
    <w:rsid w:val="00797F55"/>
    <w:rsid w:val="007A0E43"/>
    <w:rsid w:val="007A2E20"/>
    <w:rsid w:val="007A55B0"/>
    <w:rsid w:val="007A768D"/>
    <w:rsid w:val="007A7C32"/>
    <w:rsid w:val="007B355D"/>
    <w:rsid w:val="007B75C9"/>
    <w:rsid w:val="007C17D2"/>
    <w:rsid w:val="007C4A9D"/>
    <w:rsid w:val="007C683E"/>
    <w:rsid w:val="007D2C70"/>
    <w:rsid w:val="007E3A44"/>
    <w:rsid w:val="007F289E"/>
    <w:rsid w:val="007F6252"/>
    <w:rsid w:val="007F63F1"/>
    <w:rsid w:val="007F78F7"/>
    <w:rsid w:val="008042DB"/>
    <w:rsid w:val="00805040"/>
    <w:rsid w:val="00807008"/>
    <w:rsid w:val="00814EB9"/>
    <w:rsid w:val="00814FC2"/>
    <w:rsid w:val="0081541E"/>
    <w:rsid w:val="00816B55"/>
    <w:rsid w:val="0082032A"/>
    <w:rsid w:val="00823D9A"/>
    <w:rsid w:val="00824F95"/>
    <w:rsid w:val="00825C08"/>
    <w:rsid w:val="0083059C"/>
    <w:rsid w:val="008312A9"/>
    <w:rsid w:val="00834E4E"/>
    <w:rsid w:val="008356A0"/>
    <w:rsid w:val="00835D4B"/>
    <w:rsid w:val="008369AE"/>
    <w:rsid w:val="008379B0"/>
    <w:rsid w:val="00841384"/>
    <w:rsid w:val="0084224F"/>
    <w:rsid w:val="00842E8F"/>
    <w:rsid w:val="00843179"/>
    <w:rsid w:val="00843737"/>
    <w:rsid w:val="0084446B"/>
    <w:rsid w:val="008448A4"/>
    <w:rsid w:val="00845001"/>
    <w:rsid w:val="00845157"/>
    <w:rsid w:val="008459ED"/>
    <w:rsid w:val="0084708F"/>
    <w:rsid w:val="008500DC"/>
    <w:rsid w:val="00850D14"/>
    <w:rsid w:val="00851685"/>
    <w:rsid w:val="00853CB7"/>
    <w:rsid w:val="00854FF9"/>
    <w:rsid w:val="008619F4"/>
    <w:rsid w:val="00863CA3"/>
    <w:rsid w:val="00864809"/>
    <w:rsid w:val="00866270"/>
    <w:rsid w:val="00870BB9"/>
    <w:rsid w:val="008711A9"/>
    <w:rsid w:val="0087126B"/>
    <w:rsid w:val="008713D8"/>
    <w:rsid w:val="008722FD"/>
    <w:rsid w:val="008737BD"/>
    <w:rsid w:val="00873C1E"/>
    <w:rsid w:val="00873E5C"/>
    <w:rsid w:val="00875771"/>
    <w:rsid w:val="008766A6"/>
    <w:rsid w:val="00881CCF"/>
    <w:rsid w:val="008835E8"/>
    <w:rsid w:val="0088408B"/>
    <w:rsid w:val="00884CA0"/>
    <w:rsid w:val="0089119C"/>
    <w:rsid w:val="00892CAE"/>
    <w:rsid w:val="00894B73"/>
    <w:rsid w:val="008A0CE0"/>
    <w:rsid w:val="008A1E90"/>
    <w:rsid w:val="008A2D32"/>
    <w:rsid w:val="008A3D8E"/>
    <w:rsid w:val="008A3DDA"/>
    <w:rsid w:val="008A6DF9"/>
    <w:rsid w:val="008A7EBF"/>
    <w:rsid w:val="008B0654"/>
    <w:rsid w:val="008B32FB"/>
    <w:rsid w:val="008B4B10"/>
    <w:rsid w:val="008B55EC"/>
    <w:rsid w:val="008C0317"/>
    <w:rsid w:val="008C3506"/>
    <w:rsid w:val="008C3C66"/>
    <w:rsid w:val="008C5C9F"/>
    <w:rsid w:val="008C6C51"/>
    <w:rsid w:val="008D0954"/>
    <w:rsid w:val="008D40DA"/>
    <w:rsid w:val="008D4DD8"/>
    <w:rsid w:val="008D5148"/>
    <w:rsid w:val="008D7EDC"/>
    <w:rsid w:val="008E003D"/>
    <w:rsid w:val="008E21FB"/>
    <w:rsid w:val="008E2686"/>
    <w:rsid w:val="008E2A99"/>
    <w:rsid w:val="008E35D0"/>
    <w:rsid w:val="008E495F"/>
    <w:rsid w:val="008E6261"/>
    <w:rsid w:val="008F144D"/>
    <w:rsid w:val="008F207F"/>
    <w:rsid w:val="008F25A5"/>
    <w:rsid w:val="008F58F6"/>
    <w:rsid w:val="008F636C"/>
    <w:rsid w:val="00900DBB"/>
    <w:rsid w:val="0090183E"/>
    <w:rsid w:val="00906A3B"/>
    <w:rsid w:val="00911275"/>
    <w:rsid w:val="00912975"/>
    <w:rsid w:val="00915373"/>
    <w:rsid w:val="0091599F"/>
    <w:rsid w:val="00917ACA"/>
    <w:rsid w:val="0092099B"/>
    <w:rsid w:val="00920B43"/>
    <w:rsid w:val="009211CE"/>
    <w:rsid w:val="009215DE"/>
    <w:rsid w:val="009228AE"/>
    <w:rsid w:val="00923D23"/>
    <w:rsid w:val="00923D6D"/>
    <w:rsid w:val="00923EA4"/>
    <w:rsid w:val="00923F01"/>
    <w:rsid w:val="00924856"/>
    <w:rsid w:val="00924E93"/>
    <w:rsid w:val="009259BE"/>
    <w:rsid w:val="009274E2"/>
    <w:rsid w:val="00931E5A"/>
    <w:rsid w:val="009328C1"/>
    <w:rsid w:val="009339F2"/>
    <w:rsid w:val="00934A6E"/>
    <w:rsid w:val="00937BBF"/>
    <w:rsid w:val="00940095"/>
    <w:rsid w:val="0094202B"/>
    <w:rsid w:val="00943A25"/>
    <w:rsid w:val="00945C60"/>
    <w:rsid w:val="009461FB"/>
    <w:rsid w:val="009506A0"/>
    <w:rsid w:val="00956408"/>
    <w:rsid w:val="00957052"/>
    <w:rsid w:val="0096250C"/>
    <w:rsid w:val="00963794"/>
    <w:rsid w:val="00964BBF"/>
    <w:rsid w:val="00965030"/>
    <w:rsid w:val="009667BA"/>
    <w:rsid w:val="0097250E"/>
    <w:rsid w:val="0097297C"/>
    <w:rsid w:val="009756B1"/>
    <w:rsid w:val="00977022"/>
    <w:rsid w:val="00980D6D"/>
    <w:rsid w:val="009823CF"/>
    <w:rsid w:val="00984069"/>
    <w:rsid w:val="009845F2"/>
    <w:rsid w:val="0098581D"/>
    <w:rsid w:val="00985A77"/>
    <w:rsid w:val="00985ECA"/>
    <w:rsid w:val="0098647E"/>
    <w:rsid w:val="00986BEE"/>
    <w:rsid w:val="00990CB9"/>
    <w:rsid w:val="00991AD7"/>
    <w:rsid w:val="009923EC"/>
    <w:rsid w:val="009925B6"/>
    <w:rsid w:val="00994E1A"/>
    <w:rsid w:val="00995543"/>
    <w:rsid w:val="009A1984"/>
    <w:rsid w:val="009A1EEA"/>
    <w:rsid w:val="009A3225"/>
    <w:rsid w:val="009A32D2"/>
    <w:rsid w:val="009B1335"/>
    <w:rsid w:val="009B2E88"/>
    <w:rsid w:val="009B4856"/>
    <w:rsid w:val="009B4E5F"/>
    <w:rsid w:val="009B5B0E"/>
    <w:rsid w:val="009C6BEB"/>
    <w:rsid w:val="009C71DA"/>
    <w:rsid w:val="009D07B9"/>
    <w:rsid w:val="009D152A"/>
    <w:rsid w:val="009D22E2"/>
    <w:rsid w:val="009D3750"/>
    <w:rsid w:val="009D37A8"/>
    <w:rsid w:val="009D4555"/>
    <w:rsid w:val="009D61E6"/>
    <w:rsid w:val="009E0C2B"/>
    <w:rsid w:val="009E2CCB"/>
    <w:rsid w:val="009E572A"/>
    <w:rsid w:val="009E5803"/>
    <w:rsid w:val="009E70F8"/>
    <w:rsid w:val="009F06B4"/>
    <w:rsid w:val="009F25B9"/>
    <w:rsid w:val="009F286C"/>
    <w:rsid w:val="009F66F6"/>
    <w:rsid w:val="00A00435"/>
    <w:rsid w:val="00A00C71"/>
    <w:rsid w:val="00A012D6"/>
    <w:rsid w:val="00A0476B"/>
    <w:rsid w:val="00A0626E"/>
    <w:rsid w:val="00A07491"/>
    <w:rsid w:val="00A11105"/>
    <w:rsid w:val="00A12E9F"/>
    <w:rsid w:val="00A14D85"/>
    <w:rsid w:val="00A22D8C"/>
    <w:rsid w:val="00A22FED"/>
    <w:rsid w:val="00A23939"/>
    <w:rsid w:val="00A23B15"/>
    <w:rsid w:val="00A249BD"/>
    <w:rsid w:val="00A24D3E"/>
    <w:rsid w:val="00A24F87"/>
    <w:rsid w:val="00A31452"/>
    <w:rsid w:val="00A334E1"/>
    <w:rsid w:val="00A3432D"/>
    <w:rsid w:val="00A3475F"/>
    <w:rsid w:val="00A353D3"/>
    <w:rsid w:val="00A364A0"/>
    <w:rsid w:val="00A4087D"/>
    <w:rsid w:val="00A438E5"/>
    <w:rsid w:val="00A467B9"/>
    <w:rsid w:val="00A50E9F"/>
    <w:rsid w:val="00A54363"/>
    <w:rsid w:val="00A55655"/>
    <w:rsid w:val="00A60F5B"/>
    <w:rsid w:val="00A61290"/>
    <w:rsid w:val="00A62BC7"/>
    <w:rsid w:val="00A65729"/>
    <w:rsid w:val="00A66082"/>
    <w:rsid w:val="00A66CCF"/>
    <w:rsid w:val="00A7056E"/>
    <w:rsid w:val="00A71E72"/>
    <w:rsid w:val="00A71F39"/>
    <w:rsid w:val="00A77A7F"/>
    <w:rsid w:val="00A8097D"/>
    <w:rsid w:val="00A80E60"/>
    <w:rsid w:val="00A82CAB"/>
    <w:rsid w:val="00A83715"/>
    <w:rsid w:val="00A859FC"/>
    <w:rsid w:val="00A90416"/>
    <w:rsid w:val="00A964A9"/>
    <w:rsid w:val="00AA169E"/>
    <w:rsid w:val="00AA33A5"/>
    <w:rsid w:val="00AA411E"/>
    <w:rsid w:val="00AA6A9B"/>
    <w:rsid w:val="00AA6BE5"/>
    <w:rsid w:val="00AA7CA3"/>
    <w:rsid w:val="00AB629D"/>
    <w:rsid w:val="00AC23E9"/>
    <w:rsid w:val="00AC4A6D"/>
    <w:rsid w:val="00AD0B64"/>
    <w:rsid w:val="00AD3553"/>
    <w:rsid w:val="00AD3F3B"/>
    <w:rsid w:val="00AD6209"/>
    <w:rsid w:val="00AD626F"/>
    <w:rsid w:val="00AD74A5"/>
    <w:rsid w:val="00AE03D5"/>
    <w:rsid w:val="00AE08BC"/>
    <w:rsid w:val="00AE1B0E"/>
    <w:rsid w:val="00AE4722"/>
    <w:rsid w:val="00AE7830"/>
    <w:rsid w:val="00AE7F9A"/>
    <w:rsid w:val="00AF229B"/>
    <w:rsid w:val="00AF52BC"/>
    <w:rsid w:val="00AF6D81"/>
    <w:rsid w:val="00B001C7"/>
    <w:rsid w:val="00B0296A"/>
    <w:rsid w:val="00B03466"/>
    <w:rsid w:val="00B04CCB"/>
    <w:rsid w:val="00B07FE8"/>
    <w:rsid w:val="00B10D4F"/>
    <w:rsid w:val="00B12715"/>
    <w:rsid w:val="00B14C05"/>
    <w:rsid w:val="00B17C83"/>
    <w:rsid w:val="00B21FA1"/>
    <w:rsid w:val="00B224B2"/>
    <w:rsid w:val="00B22CDD"/>
    <w:rsid w:val="00B24C59"/>
    <w:rsid w:val="00B31E88"/>
    <w:rsid w:val="00B3356D"/>
    <w:rsid w:val="00B36BA9"/>
    <w:rsid w:val="00B4257A"/>
    <w:rsid w:val="00B42FC2"/>
    <w:rsid w:val="00B43664"/>
    <w:rsid w:val="00B50969"/>
    <w:rsid w:val="00B522C6"/>
    <w:rsid w:val="00B52A6E"/>
    <w:rsid w:val="00B534E4"/>
    <w:rsid w:val="00B554FD"/>
    <w:rsid w:val="00B57617"/>
    <w:rsid w:val="00B6108D"/>
    <w:rsid w:val="00B627AD"/>
    <w:rsid w:val="00B6392A"/>
    <w:rsid w:val="00B64A94"/>
    <w:rsid w:val="00B65DC6"/>
    <w:rsid w:val="00B705BA"/>
    <w:rsid w:val="00B72831"/>
    <w:rsid w:val="00B766EB"/>
    <w:rsid w:val="00B77104"/>
    <w:rsid w:val="00B8021A"/>
    <w:rsid w:val="00B81EFB"/>
    <w:rsid w:val="00B864DE"/>
    <w:rsid w:val="00B872A8"/>
    <w:rsid w:val="00B90DE0"/>
    <w:rsid w:val="00B91214"/>
    <w:rsid w:val="00B91848"/>
    <w:rsid w:val="00B97132"/>
    <w:rsid w:val="00BA0C6D"/>
    <w:rsid w:val="00BA1B0C"/>
    <w:rsid w:val="00BA4496"/>
    <w:rsid w:val="00BA7FE2"/>
    <w:rsid w:val="00BB1F38"/>
    <w:rsid w:val="00BC3250"/>
    <w:rsid w:val="00BC439C"/>
    <w:rsid w:val="00BC54EF"/>
    <w:rsid w:val="00BC6688"/>
    <w:rsid w:val="00BC7FAB"/>
    <w:rsid w:val="00BD17ED"/>
    <w:rsid w:val="00BD1A04"/>
    <w:rsid w:val="00BD2EF1"/>
    <w:rsid w:val="00BD60DF"/>
    <w:rsid w:val="00BE43A4"/>
    <w:rsid w:val="00BE57B2"/>
    <w:rsid w:val="00BE7522"/>
    <w:rsid w:val="00BE7918"/>
    <w:rsid w:val="00BF0F1A"/>
    <w:rsid w:val="00BF3080"/>
    <w:rsid w:val="00BF3B6E"/>
    <w:rsid w:val="00BF5A0D"/>
    <w:rsid w:val="00BF62E5"/>
    <w:rsid w:val="00C00B2B"/>
    <w:rsid w:val="00C06D37"/>
    <w:rsid w:val="00C0791D"/>
    <w:rsid w:val="00C07CD3"/>
    <w:rsid w:val="00C11F5D"/>
    <w:rsid w:val="00C13E0D"/>
    <w:rsid w:val="00C15CA0"/>
    <w:rsid w:val="00C16486"/>
    <w:rsid w:val="00C17659"/>
    <w:rsid w:val="00C20419"/>
    <w:rsid w:val="00C20709"/>
    <w:rsid w:val="00C20870"/>
    <w:rsid w:val="00C25A73"/>
    <w:rsid w:val="00C25D4A"/>
    <w:rsid w:val="00C26E2A"/>
    <w:rsid w:val="00C30323"/>
    <w:rsid w:val="00C30D51"/>
    <w:rsid w:val="00C31353"/>
    <w:rsid w:val="00C32207"/>
    <w:rsid w:val="00C3389D"/>
    <w:rsid w:val="00C350D1"/>
    <w:rsid w:val="00C3722D"/>
    <w:rsid w:val="00C37DF0"/>
    <w:rsid w:val="00C41279"/>
    <w:rsid w:val="00C41691"/>
    <w:rsid w:val="00C419E1"/>
    <w:rsid w:val="00C442A7"/>
    <w:rsid w:val="00C443B8"/>
    <w:rsid w:val="00C47EF2"/>
    <w:rsid w:val="00C5056E"/>
    <w:rsid w:val="00C53DE4"/>
    <w:rsid w:val="00C54069"/>
    <w:rsid w:val="00C54723"/>
    <w:rsid w:val="00C54F5B"/>
    <w:rsid w:val="00C5528E"/>
    <w:rsid w:val="00C56DE0"/>
    <w:rsid w:val="00C574E1"/>
    <w:rsid w:val="00C60A25"/>
    <w:rsid w:val="00C6152E"/>
    <w:rsid w:val="00C629BC"/>
    <w:rsid w:val="00C62DF6"/>
    <w:rsid w:val="00C66B9D"/>
    <w:rsid w:val="00C71927"/>
    <w:rsid w:val="00C7238A"/>
    <w:rsid w:val="00C749E1"/>
    <w:rsid w:val="00C7611A"/>
    <w:rsid w:val="00C763DE"/>
    <w:rsid w:val="00C767AB"/>
    <w:rsid w:val="00C77296"/>
    <w:rsid w:val="00C77F11"/>
    <w:rsid w:val="00C8149F"/>
    <w:rsid w:val="00C818F2"/>
    <w:rsid w:val="00C825A4"/>
    <w:rsid w:val="00C826E0"/>
    <w:rsid w:val="00C82D5E"/>
    <w:rsid w:val="00C8602D"/>
    <w:rsid w:val="00C86B19"/>
    <w:rsid w:val="00C93230"/>
    <w:rsid w:val="00C97E9C"/>
    <w:rsid w:val="00CA12EC"/>
    <w:rsid w:val="00CA2A5C"/>
    <w:rsid w:val="00CA3B26"/>
    <w:rsid w:val="00CA4E3A"/>
    <w:rsid w:val="00CA5BA1"/>
    <w:rsid w:val="00CB1622"/>
    <w:rsid w:val="00CB3953"/>
    <w:rsid w:val="00CB4341"/>
    <w:rsid w:val="00CB49C6"/>
    <w:rsid w:val="00CB5BB9"/>
    <w:rsid w:val="00CB60B9"/>
    <w:rsid w:val="00CC43A2"/>
    <w:rsid w:val="00CC468A"/>
    <w:rsid w:val="00CD039B"/>
    <w:rsid w:val="00CD178B"/>
    <w:rsid w:val="00CD28CD"/>
    <w:rsid w:val="00CD542D"/>
    <w:rsid w:val="00CD7199"/>
    <w:rsid w:val="00CE0804"/>
    <w:rsid w:val="00CE3AA0"/>
    <w:rsid w:val="00CE561C"/>
    <w:rsid w:val="00CE67B2"/>
    <w:rsid w:val="00CE7797"/>
    <w:rsid w:val="00CF2CED"/>
    <w:rsid w:val="00CF3BC6"/>
    <w:rsid w:val="00D13328"/>
    <w:rsid w:val="00D13FCD"/>
    <w:rsid w:val="00D15257"/>
    <w:rsid w:val="00D16776"/>
    <w:rsid w:val="00D21344"/>
    <w:rsid w:val="00D228C2"/>
    <w:rsid w:val="00D22C2A"/>
    <w:rsid w:val="00D230A9"/>
    <w:rsid w:val="00D25AA2"/>
    <w:rsid w:val="00D25E05"/>
    <w:rsid w:val="00D2639D"/>
    <w:rsid w:val="00D30F1B"/>
    <w:rsid w:val="00D312D0"/>
    <w:rsid w:val="00D331AD"/>
    <w:rsid w:val="00D331EE"/>
    <w:rsid w:val="00D34FF3"/>
    <w:rsid w:val="00D3506D"/>
    <w:rsid w:val="00D3596B"/>
    <w:rsid w:val="00D35ADB"/>
    <w:rsid w:val="00D35BF0"/>
    <w:rsid w:val="00D44C03"/>
    <w:rsid w:val="00D4532F"/>
    <w:rsid w:val="00D471B6"/>
    <w:rsid w:val="00D50841"/>
    <w:rsid w:val="00D51280"/>
    <w:rsid w:val="00D51291"/>
    <w:rsid w:val="00D54666"/>
    <w:rsid w:val="00D56C04"/>
    <w:rsid w:val="00D57003"/>
    <w:rsid w:val="00D57671"/>
    <w:rsid w:val="00D6195F"/>
    <w:rsid w:val="00D62AC8"/>
    <w:rsid w:val="00D6385C"/>
    <w:rsid w:val="00D66385"/>
    <w:rsid w:val="00D67525"/>
    <w:rsid w:val="00D67729"/>
    <w:rsid w:val="00D729EB"/>
    <w:rsid w:val="00D72BEC"/>
    <w:rsid w:val="00D7388D"/>
    <w:rsid w:val="00D748E5"/>
    <w:rsid w:val="00D76FD4"/>
    <w:rsid w:val="00D77D74"/>
    <w:rsid w:val="00D812BA"/>
    <w:rsid w:val="00D8630D"/>
    <w:rsid w:val="00D86DC8"/>
    <w:rsid w:val="00D87E9A"/>
    <w:rsid w:val="00D91785"/>
    <w:rsid w:val="00D9390F"/>
    <w:rsid w:val="00D9548A"/>
    <w:rsid w:val="00D95FAA"/>
    <w:rsid w:val="00DA2328"/>
    <w:rsid w:val="00DA3C10"/>
    <w:rsid w:val="00DB201E"/>
    <w:rsid w:val="00DB3B22"/>
    <w:rsid w:val="00DB3E09"/>
    <w:rsid w:val="00DB3EDF"/>
    <w:rsid w:val="00DC010B"/>
    <w:rsid w:val="00DC097E"/>
    <w:rsid w:val="00DC11BD"/>
    <w:rsid w:val="00DC1EF1"/>
    <w:rsid w:val="00DC2CE4"/>
    <w:rsid w:val="00DC3E4E"/>
    <w:rsid w:val="00DC4379"/>
    <w:rsid w:val="00DC4E03"/>
    <w:rsid w:val="00DD09DA"/>
    <w:rsid w:val="00DD50A8"/>
    <w:rsid w:val="00DD5512"/>
    <w:rsid w:val="00DD71ED"/>
    <w:rsid w:val="00DD724B"/>
    <w:rsid w:val="00DD748B"/>
    <w:rsid w:val="00DE160F"/>
    <w:rsid w:val="00DE4BBB"/>
    <w:rsid w:val="00DE5D51"/>
    <w:rsid w:val="00DF2D62"/>
    <w:rsid w:val="00DF2E29"/>
    <w:rsid w:val="00DF4781"/>
    <w:rsid w:val="00DF5008"/>
    <w:rsid w:val="00DF65A8"/>
    <w:rsid w:val="00E02F0C"/>
    <w:rsid w:val="00E041CB"/>
    <w:rsid w:val="00E05001"/>
    <w:rsid w:val="00E0526A"/>
    <w:rsid w:val="00E06728"/>
    <w:rsid w:val="00E10BC0"/>
    <w:rsid w:val="00E13339"/>
    <w:rsid w:val="00E1566E"/>
    <w:rsid w:val="00E21D34"/>
    <w:rsid w:val="00E23590"/>
    <w:rsid w:val="00E240DA"/>
    <w:rsid w:val="00E244C1"/>
    <w:rsid w:val="00E2477C"/>
    <w:rsid w:val="00E26F6C"/>
    <w:rsid w:val="00E31068"/>
    <w:rsid w:val="00E31BF6"/>
    <w:rsid w:val="00E33798"/>
    <w:rsid w:val="00E349C6"/>
    <w:rsid w:val="00E34A3D"/>
    <w:rsid w:val="00E34B9F"/>
    <w:rsid w:val="00E34E3B"/>
    <w:rsid w:val="00E359B5"/>
    <w:rsid w:val="00E376EF"/>
    <w:rsid w:val="00E378AA"/>
    <w:rsid w:val="00E41D6F"/>
    <w:rsid w:val="00E44C82"/>
    <w:rsid w:val="00E46B49"/>
    <w:rsid w:val="00E50268"/>
    <w:rsid w:val="00E50B3D"/>
    <w:rsid w:val="00E51294"/>
    <w:rsid w:val="00E5170A"/>
    <w:rsid w:val="00E55625"/>
    <w:rsid w:val="00E55696"/>
    <w:rsid w:val="00E55A38"/>
    <w:rsid w:val="00E56FA4"/>
    <w:rsid w:val="00E62B94"/>
    <w:rsid w:val="00E63C70"/>
    <w:rsid w:val="00E6645F"/>
    <w:rsid w:val="00E66A07"/>
    <w:rsid w:val="00E67E46"/>
    <w:rsid w:val="00E72CC6"/>
    <w:rsid w:val="00E744A3"/>
    <w:rsid w:val="00E753F3"/>
    <w:rsid w:val="00E755C8"/>
    <w:rsid w:val="00E84C23"/>
    <w:rsid w:val="00E86C80"/>
    <w:rsid w:val="00E94ED0"/>
    <w:rsid w:val="00E9602E"/>
    <w:rsid w:val="00E96344"/>
    <w:rsid w:val="00E96DC1"/>
    <w:rsid w:val="00E974EE"/>
    <w:rsid w:val="00E97F61"/>
    <w:rsid w:val="00EA20EA"/>
    <w:rsid w:val="00EA5A35"/>
    <w:rsid w:val="00EA7456"/>
    <w:rsid w:val="00EB11D8"/>
    <w:rsid w:val="00EB1B5F"/>
    <w:rsid w:val="00EB2B09"/>
    <w:rsid w:val="00EB3417"/>
    <w:rsid w:val="00EB5491"/>
    <w:rsid w:val="00EB5E7D"/>
    <w:rsid w:val="00EB69CC"/>
    <w:rsid w:val="00EC2A96"/>
    <w:rsid w:val="00EC2EA9"/>
    <w:rsid w:val="00EC3FE1"/>
    <w:rsid w:val="00EC6BBF"/>
    <w:rsid w:val="00EC7695"/>
    <w:rsid w:val="00ED0AFE"/>
    <w:rsid w:val="00ED5865"/>
    <w:rsid w:val="00ED6D5C"/>
    <w:rsid w:val="00EE04FB"/>
    <w:rsid w:val="00EE0880"/>
    <w:rsid w:val="00EE1EEF"/>
    <w:rsid w:val="00EE20E3"/>
    <w:rsid w:val="00EE33B4"/>
    <w:rsid w:val="00EE4CF7"/>
    <w:rsid w:val="00EF0FF2"/>
    <w:rsid w:val="00EF32BF"/>
    <w:rsid w:val="00EF53A9"/>
    <w:rsid w:val="00EF5CEE"/>
    <w:rsid w:val="00EF7EF5"/>
    <w:rsid w:val="00F00A50"/>
    <w:rsid w:val="00F0246F"/>
    <w:rsid w:val="00F032D1"/>
    <w:rsid w:val="00F043FA"/>
    <w:rsid w:val="00F05B29"/>
    <w:rsid w:val="00F06452"/>
    <w:rsid w:val="00F07537"/>
    <w:rsid w:val="00F13CF7"/>
    <w:rsid w:val="00F14D41"/>
    <w:rsid w:val="00F15349"/>
    <w:rsid w:val="00F15F31"/>
    <w:rsid w:val="00F1647E"/>
    <w:rsid w:val="00F208E7"/>
    <w:rsid w:val="00F236B6"/>
    <w:rsid w:val="00F2457A"/>
    <w:rsid w:val="00F31DB5"/>
    <w:rsid w:val="00F345FA"/>
    <w:rsid w:val="00F350AA"/>
    <w:rsid w:val="00F36059"/>
    <w:rsid w:val="00F41048"/>
    <w:rsid w:val="00F4247C"/>
    <w:rsid w:val="00F43AF3"/>
    <w:rsid w:val="00F468F9"/>
    <w:rsid w:val="00F4707E"/>
    <w:rsid w:val="00F4760B"/>
    <w:rsid w:val="00F507D7"/>
    <w:rsid w:val="00F526F4"/>
    <w:rsid w:val="00F52E43"/>
    <w:rsid w:val="00F54A2A"/>
    <w:rsid w:val="00F54AB8"/>
    <w:rsid w:val="00F54EF8"/>
    <w:rsid w:val="00F552C1"/>
    <w:rsid w:val="00F555A0"/>
    <w:rsid w:val="00F5667C"/>
    <w:rsid w:val="00F572E3"/>
    <w:rsid w:val="00F63E05"/>
    <w:rsid w:val="00F6549D"/>
    <w:rsid w:val="00F658BE"/>
    <w:rsid w:val="00F65B8F"/>
    <w:rsid w:val="00F66F75"/>
    <w:rsid w:val="00F73C5F"/>
    <w:rsid w:val="00F74A5C"/>
    <w:rsid w:val="00F76984"/>
    <w:rsid w:val="00F81FF9"/>
    <w:rsid w:val="00F83154"/>
    <w:rsid w:val="00F85F50"/>
    <w:rsid w:val="00F86B42"/>
    <w:rsid w:val="00F874B0"/>
    <w:rsid w:val="00F877E8"/>
    <w:rsid w:val="00F9038C"/>
    <w:rsid w:val="00F941B0"/>
    <w:rsid w:val="00F96662"/>
    <w:rsid w:val="00F97D24"/>
    <w:rsid w:val="00FA1064"/>
    <w:rsid w:val="00FA4438"/>
    <w:rsid w:val="00FB0BC2"/>
    <w:rsid w:val="00FB1AED"/>
    <w:rsid w:val="00FB1CF9"/>
    <w:rsid w:val="00FB463E"/>
    <w:rsid w:val="00FB6910"/>
    <w:rsid w:val="00FC2389"/>
    <w:rsid w:val="00FC26ED"/>
    <w:rsid w:val="00FC3D64"/>
    <w:rsid w:val="00FC7744"/>
    <w:rsid w:val="00FD0367"/>
    <w:rsid w:val="00FD28E8"/>
    <w:rsid w:val="00FD3BF1"/>
    <w:rsid w:val="00FD3FF9"/>
    <w:rsid w:val="00FD504A"/>
    <w:rsid w:val="00FD5106"/>
    <w:rsid w:val="00FD5CAA"/>
    <w:rsid w:val="00FE0250"/>
    <w:rsid w:val="00FE18DA"/>
    <w:rsid w:val="00FE650B"/>
    <w:rsid w:val="00FF1650"/>
    <w:rsid w:val="00FF36DF"/>
    <w:rsid w:val="00FF6C08"/>
    <w:rsid w:val="00FF7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5DA0258"/>
  <w15:docId w15:val="{E60FDCB2-FEB0-4980-9E12-A603919B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1D"/>
    <w:pPr>
      <w:spacing w:before="60" w:after="60" w:line="240" w:lineRule="auto"/>
    </w:pPr>
    <w:rPr>
      <w:rFonts w:ascii="Verdana" w:eastAsia="Times New Roman" w:hAnsi="Verdana" w:cs="Times New Roman"/>
      <w:sz w:val="20"/>
      <w:szCs w:val="20"/>
      <w:lang w:val="en-GB" w:eastAsia="de-DE"/>
    </w:rPr>
  </w:style>
  <w:style w:type="paragraph" w:styleId="Titre1">
    <w:name w:val="heading 1"/>
    <w:next w:val="Normal"/>
    <w:link w:val="Titre1Car"/>
    <w:qFormat/>
    <w:rsid w:val="00C5528E"/>
    <w:pPr>
      <w:keepNext/>
      <w:numPr>
        <w:numId w:val="1"/>
      </w:numPr>
      <w:spacing w:after="360" w:line="240" w:lineRule="auto"/>
      <w:outlineLvl w:val="0"/>
    </w:pPr>
    <w:rPr>
      <w:rFonts w:ascii="Verdana" w:eastAsia="Calibri" w:hAnsi="Verdana" w:cs="Times New Roman"/>
      <w:b/>
      <w:caps/>
      <w:sz w:val="32"/>
      <w:szCs w:val="20"/>
      <w:lang w:val="en-GB" w:eastAsia="de-DE"/>
    </w:rPr>
  </w:style>
  <w:style w:type="paragraph" w:styleId="Titre2">
    <w:name w:val="heading 2"/>
    <w:aliases w:val="ECHA Heading 2"/>
    <w:basedOn w:val="Normal"/>
    <w:next w:val="Normal"/>
    <w:link w:val="Titre2Car"/>
    <w:unhideWhenUsed/>
    <w:qFormat/>
    <w:rsid w:val="00C5528E"/>
    <w:pPr>
      <w:keepNext/>
      <w:numPr>
        <w:ilvl w:val="1"/>
        <w:numId w:val="1"/>
      </w:numPr>
      <w:tabs>
        <w:tab w:val="left" w:pos="567"/>
        <w:tab w:val="left" w:pos="1134"/>
      </w:tabs>
      <w:spacing w:before="120" w:after="120"/>
      <w:outlineLvl w:val="1"/>
    </w:pPr>
    <w:rPr>
      <w:rFonts w:eastAsia="Calibri"/>
      <w:b/>
      <w:caps/>
      <w:sz w:val="28"/>
      <w:lang w:eastAsia="en-US"/>
    </w:rPr>
  </w:style>
  <w:style w:type="paragraph" w:styleId="Titre3">
    <w:name w:val="heading 3"/>
    <w:aliases w:val="Heading 3 Char"/>
    <w:basedOn w:val="Normal"/>
    <w:next w:val="Normal"/>
    <w:link w:val="Titre3Car"/>
    <w:unhideWhenUsed/>
    <w:qFormat/>
    <w:rsid w:val="00C5528E"/>
    <w:pPr>
      <w:keepNext/>
      <w:numPr>
        <w:ilvl w:val="2"/>
        <w:numId w:val="1"/>
      </w:numPr>
      <w:spacing w:after="240"/>
      <w:outlineLvl w:val="2"/>
    </w:pPr>
    <w:rPr>
      <w:b/>
      <w:sz w:val="26"/>
    </w:rPr>
  </w:style>
  <w:style w:type="paragraph" w:styleId="Titre4">
    <w:name w:val="heading 4"/>
    <w:basedOn w:val="Normal"/>
    <w:next w:val="Normal"/>
    <w:link w:val="Titre4Car"/>
    <w:unhideWhenUsed/>
    <w:qFormat/>
    <w:rsid w:val="008E2686"/>
    <w:pPr>
      <w:keepNext/>
      <w:numPr>
        <w:ilvl w:val="3"/>
        <w:numId w:val="1"/>
      </w:numPr>
      <w:spacing w:before="240" w:after="120"/>
      <w:jc w:val="both"/>
      <w:outlineLvl w:val="3"/>
    </w:pPr>
    <w:rPr>
      <w:rFonts w:eastAsia="Calibri"/>
      <w:i/>
      <w:sz w:val="24"/>
      <w:szCs w:val="24"/>
      <w:lang w:eastAsia="en-US"/>
    </w:rPr>
  </w:style>
  <w:style w:type="paragraph" w:styleId="Titre5">
    <w:name w:val="heading 5"/>
    <w:basedOn w:val="Normal"/>
    <w:next w:val="Normal"/>
    <w:link w:val="Titre5Car"/>
    <w:unhideWhenUsed/>
    <w:qFormat/>
    <w:rsid w:val="005B60B4"/>
    <w:pPr>
      <w:keepNext/>
      <w:numPr>
        <w:numId w:val="2"/>
      </w:numPr>
      <w:spacing w:before="240" w:after="120"/>
      <w:outlineLvl w:val="4"/>
    </w:pPr>
    <w:rPr>
      <w:rFonts w:eastAsia="Calibri"/>
      <w:b/>
      <w:i/>
      <w:sz w:val="24"/>
      <w:lang w:val="en-US" w:eastAsia="en-US"/>
    </w:rPr>
  </w:style>
  <w:style w:type="paragraph" w:styleId="Titre6">
    <w:name w:val="heading 6"/>
    <w:basedOn w:val="Normal"/>
    <w:next w:val="Normal"/>
    <w:link w:val="Titre6Car"/>
    <w:unhideWhenUsed/>
    <w:qFormat/>
    <w:rsid w:val="00C5528E"/>
    <w:pPr>
      <w:keepNext/>
      <w:spacing w:before="120"/>
      <w:outlineLvl w:val="5"/>
    </w:pPr>
    <w:rPr>
      <w:rFonts w:eastAsia="Calibri"/>
      <w:i/>
      <w:sz w:val="22"/>
      <w:u w:val="single"/>
      <w:lang w:val="de-DE" w:eastAsia="en-US"/>
    </w:rPr>
  </w:style>
  <w:style w:type="paragraph" w:styleId="Titre7">
    <w:name w:val="heading 7"/>
    <w:basedOn w:val="Normal"/>
    <w:next w:val="Normal"/>
    <w:link w:val="Titre7Car"/>
    <w:unhideWhenUsed/>
    <w:qFormat/>
    <w:rsid w:val="00C5528E"/>
    <w:pPr>
      <w:keepNext/>
      <w:spacing w:before="120"/>
      <w:outlineLvl w:val="6"/>
    </w:pPr>
    <w:rPr>
      <w:rFonts w:eastAsia="Calibri"/>
      <w:b/>
      <w:i/>
      <w:lang w:val="de-DE" w:eastAsia="en-US"/>
    </w:rPr>
  </w:style>
  <w:style w:type="paragraph" w:styleId="Titre8">
    <w:name w:val="heading 8"/>
    <w:basedOn w:val="Normal"/>
    <w:next w:val="Normal"/>
    <w:link w:val="Titre8Car"/>
    <w:unhideWhenUsed/>
    <w:qFormat/>
    <w:rsid w:val="00C55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C55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C1A2A"/>
    <w:pPr>
      <w:tabs>
        <w:tab w:val="center" w:pos="4513"/>
        <w:tab w:val="right" w:pos="9026"/>
      </w:tabs>
    </w:pPr>
  </w:style>
  <w:style w:type="character" w:customStyle="1" w:styleId="En-tteCar">
    <w:name w:val="En-tête Car"/>
    <w:basedOn w:val="Policepardfaut"/>
    <w:link w:val="En-tte"/>
    <w:uiPriority w:val="99"/>
    <w:rsid w:val="005C1A2A"/>
    <w:rPr>
      <w:rFonts w:ascii="Verdana" w:eastAsia="Times New Roman" w:hAnsi="Verdana" w:cs="Times New Roman"/>
      <w:sz w:val="20"/>
      <w:szCs w:val="20"/>
      <w:lang w:val="en-GB" w:eastAsia="de-DE"/>
    </w:rPr>
  </w:style>
  <w:style w:type="paragraph" w:styleId="Pieddepage">
    <w:name w:val="footer"/>
    <w:basedOn w:val="Normal"/>
    <w:link w:val="PieddepageCar"/>
    <w:unhideWhenUsed/>
    <w:rsid w:val="005C1A2A"/>
    <w:pPr>
      <w:tabs>
        <w:tab w:val="center" w:pos="4513"/>
        <w:tab w:val="right" w:pos="9026"/>
      </w:tabs>
    </w:pPr>
  </w:style>
  <w:style w:type="character" w:customStyle="1" w:styleId="PieddepageCar">
    <w:name w:val="Pied de page Car"/>
    <w:basedOn w:val="Policepardfaut"/>
    <w:link w:val="Pieddepage"/>
    <w:uiPriority w:val="99"/>
    <w:rsid w:val="005C1A2A"/>
    <w:rPr>
      <w:rFonts w:ascii="Verdana" w:eastAsia="Times New Roman" w:hAnsi="Verdana" w:cs="Times New Roman"/>
      <w:sz w:val="20"/>
      <w:szCs w:val="20"/>
      <w:lang w:val="en-GB" w:eastAsia="de-DE"/>
    </w:rPr>
  </w:style>
  <w:style w:type="table" w:styleId="Grilledutableau">
    <w:name w:val="Table Grid"/>
    <w:basedOn w:val="TableauNormal"/>
    <w:uiPriority w:val="59"/>
    <w:rsid w:val="005C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5528E"/>
    <w:rPr>
      <w:rFonts w:ascii="Verdana" w:eastAsia="Calibri" w:hAnsi="Verdana" w:cs="Times New Roman"/>
      <w:b/>
      <w:caps/>
      <w:sz w:val="32"/>
      <w:szCs w:val="20"/>
      <w:lang w:val="en-GB" w:eastAsia="de-DE"/>
    </w:rPr>
  </w:style>
  <w:style w:type="character" w:customStyle="1" w:styleId="Titre2Car">
    <w:name w:val="Titre 2 Car"/>
    <w:aliases w:val="ECHA Heading 2 Car"/>
    <w:basedOn w:val="Policepardfaut"/>
    <w:link w:val="Titre2"/>
    <w:rsid w:val="00C5528E"/>
    <w:rPr>
      <w:rFonts w:ascii="Verdana" w:eastAsia="Calibri" w:hAnsi="Verdana" w:cs="Times New Roman"/>
      <w:b/>
      <w:caps/>
      <w:sz w:val="28"/>
      <w:szCs w:val="20"/>
      <w:lang w:val="en-GB"/>
    </w:rPr>
  </w:style>
  <w:style w:type="character" w:customStyle="1" w:styleId="Titre3Car">
    <w:name w:val="Titre 3 Car"/>
    <w:aliases w:val="Heading 3 Char Car"/>
    <w:basedOn w:val="Policepardfaut"/>
    <w:link w:val="Titre3"/>
    <w:rsid w:val="00C5528E"/>
    <w:rPr>
      <w:rFonts w:ascii="Verdana" w:eastAsia="Times New Roman" w:hAnsi="Verdana" w:cs="Times New Roman"/>
      <w:b/>
      <w:sz w:val="26"/>
      <w:szCs w:val="20"/>
      <w:lang w:val="en-GB" w:eastAsia="de-DE"/>
    </w:rPr>
  </w:style>
  <w:style w:type="character" w:customStyle="1" w:styleId="Titre4Car">
    <w:name w:val="Titre 4 Car"/>
    <w:basedOn w:val="Policepardfaut"/>
    <w:link w:val="Titre4"/>
    <w:rsid w:val="008E2686"/>
    <w:rPr>
      <w:rFonts w:ascii="Verdana" w:eastAsia="Calibri" w:hAnsi="Verdana" w:cs="Times New Roman"/>
      <w:i/>
      <w:sz w:val="24"/>
      <w:szCs w:val="24"/>
      <w:lang w:val="en-GB"/>
    </w:rPr>
  </w:style>
  <w:style w:type="character" w:customStyle="1" w:styleId="Titre5Car">
    <w:name w:val="Titre 5 Car"/>
    <w:basedOn w:val="Policepardfaut"/>
    <w:link w:val="Titre5"/>
    <w:rsid w:val="005B60B4"/>
    <w:rPr>
      <w:rFonts w:ascii="Verdana" w:eastAsia="Calibri" w:hAnsi="Verdana" w:cs="Times New Roman"/>
      <w:b/>
      <w:i/>
      <w:sz w:val="24"/>
      <w:szCs w:val="20"/>
      <w:lang w:val="en-US"/>
    </w:rPr>
  </w:style>
  <w:style w:type="character" w:customStyle="1" w:styleId="Titre6Car">
    <w:name w:val="Titre 6 Car"/>
    <w:basedOn w:val="Policepardfaut"/>
    <w:link w:val="Titre6"/>
    <w:rsid w:val="00C5528E"/>
    <w:rPr>
      <w:rFonts w:ascii="Verdana" w:eastAsia="Calibri" w:hAnsi="Verdana" w:cs="Times New Roman"/>
      <w:i/>
      <w:szCs w:val="20"/>
      <w:u w:val="single"/>
      <w:lang w:val="de-DE"/>
    </w:rPr>
  </w:style>
  <w:style w:type="character" w:customStyle="1" w:styleId="Titre7Car">
    <w:name w:val="Titre 7 Car"/>
    <w:basedOn w:val="Policepardfaut"/>
    <w:link w:val="Titre7"/>
    <w:rsid w:val="00C5528E"/>
    <w:rPr>
      <w:rFonts w:ascii="Verdana" w:eastAsia="Calibri" w:hAnsi="Verdana" w:cs="Times New Roman"/>
      <w:b/>
      <w:i/>
      <w:sz w:val="20"/>
      <w:szCs w:val="20"/>
      <w:lang w:val="de-DE"/>
    </w:rPr>
  </w:style>
  <w:style w:type="character" w:customStyle="1" w:styleId="Titre8Car">
    <w:name w:val="Titre 8 Car"/>
    <w:basedOn w:val="Policepardfaut"/>
    <w:link w:val="Titre8"/>
    <w:uiPriority w:val="9"/>
    <w:semiHidden/>
    <w:rsid w:val="00C5528E"/>
    <w:rPr>
      <w:rFonts w:asciiTheme="majorHAnsi" w:eastAsiaTheme="majorEastAsia" w:hAnsiTheme="majorHAnsi" w:cstheme="majorBidi"/>
      <w:color w:val="272727" w:themeColor="text1" w:themeTint="D8"/>
      <w:sz w:val="21"/>
      <w:szCs w:val="21"/>
      <w:lang w:val="en-GB" w:eastAsia="de-DE"/>
    </w:rPr>
  </w:style>
  <w:style w:type="character" w:customStyle="1" w:styleId="Titre9Car">
    <w:name w:val="Titre 9 Car"/>
    <w:basedOn w:val="Policepardfaut"/>
    <w:link w:val="Titre9"/>
    <w:uiPriority w:val="9"/>
    <w:semiHidden/>
    <w:rsid w:val="00C5528E"/>
    <w:rPr>
      <w:rFonts w:asciiTheme="majorHAnsi" w:eastAsiaTheme="majorEastAsia" w:hAnsiTheme="majorHAnsi" w:cstheme="majorBidi"/>
      <w:i/>
      <w:iCs/>
      <w:color w:val="272727" w:themeColor="text1" w:themeTint="D8"/>
      <w:sz w:val="21"/>
      <w:szCs w:val="21"/>
      <w:lang w:val="en-GB" w:eastAsia="de-DE"/>
    </w:rPr>
  </w:style>
  <w:style w:type="paragraph" w:customStyle="1" w:styleId="Listenabsatz1">
    <w:name w:val="Listenabsatz1"/>
    <w:basedOn w:val="Normal"/>
    <w:uiPriority w:val="99"/>
    <w:qFormat/>
    <w:rsid w:val="00DA3C10"/>
    <w:pPr>
      <w:ind w:left="720"/>
    </w:pPr>
  </w:style>
  <w:style w:type="paragraph" w:styleId="TM1">
    <w:name w:val="toc 1"/>
    <w:basedOn w:val="Normal"/>
    <w:next w:val="Normal"/>
    <w:autoRedefine/>
    <w:uiPriority w:val="39"/>
    <w:unhideWhenUsed/>
    <w:rsid w:val="00A14D85"/>
    <w:pPr>
      <w:spacing w:after="100"/>
    </w:pPr>
    <w:rPr>
      <w:b/>
      <w:caps/>
    </w:rPr>
  </w:style>
  <w:style w:type="character" w:styleId="Lienhypertexte">
    <w:name w:val="Hyperlink"/>
    <w:basedOn w:val="Policepardfaut"/>
    <w:uiPriority w:val="99"/>
    <w:unhideWhenUsed/>
    <w:rsid w:val="00DA3C10"/>
    <w:rPr>
      <w:color w:val="0563C1" w:themeColor="hyperlink"/>
      <w:u w:val="single"/>
    </w:rPr>
  </w:style>
  <w:style w:type="paragraph" w:customStyle="1" w:styleId="Explanatorynotes">
    <w:name w:val="Explanatory notes"/>
    <w:basedOn w:val="Normal"/>
    <w:link w:val="ExplanatorynotesChar"/>
    <w:qFormat/>
    <w:rsid w:val="006456DE"/>
    <w:pPr>
      <w:widowControl w:val="0"/>
      <w:shd w:val="clear" w:color="auto" w:fill="FFFFFF"/>
      <w:autoSpaceDE w:val="0"/>
      <w:autoSpaceDN w:val="0"/>
      <w:adjustRightInd w:val="0"/>
      <w:jc w:val="both"/>
    </w:pPr>
    <w:rPr>
      <w:rFonts w:ascii="Times New Roman" w:hAnsi="Times New Roman"/>
      <w:i/>
    </w:rPr>
  </w:style>
  <w:style w:type="paragraph" w:customStyle="1" w:styleId="Examples">
    <w:name w:val="Examples"/>
    <w:basedOn w:val="Normal"/>
    <w:link w:val="ExamplesChar"/>
    <w:qFormat/>
    <w:rsid w:val="006456DE"/>
    <w:pPr>
      <w:widowControl w:val="0"/>
      <w:shd w:val="clear" w:color="auto" w:fill="FFFFFF"/>
      <w:autoSpaceDE w:val="0"/>
      <w:autoSpaceDN w:val="0"/>
      <w:adjustRightInd w:val="0"/>
      <w:jc w:val="both"/>
    </w:pPr>
    <w:rPr>
      <w:rFonts w:ascii="Times New Roman" w:hAnsi="Times New Roman"/>
      <w:i/>
      <w:color w:val="FF0000"/>
    </w:rPr>
  </w:style>
  <w:style w:type="character" w:customStyle="1" w:styleId="ExplanatorynotesChar">
    <w:name w:val="Explanatory notes Char"/>
    <w:basedOn w:val="Policepardfaut"/>
    <w:link w:val="Explanatorynotes"/>
    <w:rsid w:val="006456DE"/>
    <w:rPr>
      <w:rFonts w:ascii="Times New Roman" w:eastAsia="Times New Roman" w:hAnsi="Times New Roman" w:cs="Times New Roman"/>
      <w:i/>
      <w:sz w:val="20"/>
      <w:szCs w:val="20"/>
      <w:shd w:val="clear" w:color="auto" w:fill="FFFFFF"/>
      <w:lang w:val="en-GB" w:eastAsia="de-DE"/>
    </w:rPr>
  </w:style>
  <w:style w:type="paragraph" w:styleId="Notedebasdepage">
    <w:name w:val="footnote text"/>
    <w:aliases w:val="DAR001,FT,Char,Tabellenanmerkung,EFSA op_Footnote,FEEDAP Op_Footnote, Car,FT Car Car,Note de bas de page1,DAR0011,Tabellenanmerkung1 Car,Car,EFSA_Footnote Text"/>
    <w:basedOn w:val="Normal"/>
    <w:link w:val="NotedebasdepageCar"/>
    <w:uiPriority w:val="99"/>
    <w:qFormat/>
    <w:rsid w:val="00943A25"/>
    <w:pPr>
      <w:spacing w:before="0" w:after="0"/>
      <w:ind w:left="284" w:hanging="284"/>
    </w:pPr>
    <w:rPr>
      <w:position w:val="4"/>
    </w:rPr>
  </w:style>
  <w:style w:type="character" w:customStyle="1" w:styleId="ExamplesChar">
    <w:name w:val="Examples Char"/>
    <w:basedOn w:val="Policepardfaut"/>
    <w:link w:val="Examples"/>
    <w:rsid w:val="006456DE"/>
    <w:rPr>
      <w:rFonts w:ascii="Times New Roman" w:eastAsia="Times New Roman" w:hAnsi="Times New Roman" w:cs="Times New Roman"/>
      <w:i/>
      <w:color w:val="FF0000"/>
      <w:sz w:val="20"/>
      <w:szCs w:val="20"/>
      <w:shd w:val="clear" w:color="auto" w:fill="FFFFFF"/>
      <w:lang w:val="en-GB" w:eastAsia="de-DE"/>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basedOn w:val="Policepardfaut"/>
    <w:link w:val="Notedebasdepage"/>
    <w:uiPriority w:val="99"/>
    <w:rsid w:val="00943A25"/>
    <w:rPr>
      <w:rFonts w:ascii="Verdana" w:eastAsia="Times New Roman" w:hAnsi="Verdana" w:cs="Times New Roman"/>
      <w:position w:val="4"/>
      <w:sz w:val="20"/>
      <w:szCs w:val="20"/>
      <w:lang w:val="en-GB" w:eastAsia="de-DE"/>
    </w:rPr>
  </w:style>
  <w:style w:type="character" w:styleId="Appelnotedebasdep">
    <w:name w:val="footnote reference"/>
    <w:uiPriority w:val="99"/>
    <w:rsid w:val="00943A25"/>
    <w:rPr>
      <w:position w:val="8"/>
      <w:sz w:val="16"/>
    </w:rPr>
  </w:style>
  <w:style w:type="paragraph" w:customStyle="1" w:styleId="Standaard-Tabellen">
    <w:name w:val="Standaard-Tabellen"/>
    <w:basedOn w:val="Normal"/>
    <w:link w:val="Standaard-TabellenChar"/>
    <w:qFormat/>
    <w:rsid w:val="00FF76D2"/>
    <w:pPr>
      <w:spacing w:before="0" w:after="0"/>
    </w:pPr>
    <w:rPr>
      <w:bCs/>
      <w:sz w:val="18"/>
      <w:szCs w:val="24"/>
      <w:lang w:eastAsia="en-GB"/>
    </w:rPr>
  </w:style>
  <w:style w:type="character" w:styleId="Emphaseple">
    <w:name w:val="Subtle Emphasis"/>
    <w:uiPriority w:val="19"/>
    <w:qFormat/>
    <w:rsid w:val="00C82D5E"/>
    <w:rPr>
      <w:rFonts w:ascii="Verdana" w:hAnsi="Verdana"/>
      <w:i/>
      <w:iCs/>
      <w:color w:val="808080"/>
      <w:sz w:val="18"/>
    </w:rPr>
  </w:style>
  <w:style w:type="character" w:customStyle="1" w:styleId="Standaard-TabellenChar">
    <w:name w:val="Standaard-Tabellen Char"/>
    <w:basedOn w:val="Policepardfaut"/>
    <w:link w:val="Standaard-Tabellen"/>
    <w:rsid w:val="00FF76D2"/>
    <w:rPr>
      <w:rFonts w:ascii="Verdana" w:eastAsia="Times New Roman" w:hAnsi="Verdana" w:cs="Times New Roman"/>
      <w:bCs/>
      <w:sz w:val="18"/>
      <w:szCs w:val="24"/>
      <w:lang w:val="en-GB" w:eastAsia="en-GB"/>
    </w:rPr>
  </w:style>
  <w:style w:type="paragraph" w:customStyle="1" w:styleId="Voetnoot">
    <w:name w:val="Voetnoot"/>
    <w:basedOn w:val="Notedebasdepage"/>
    <w:link w:val="VoetnootChar"/>
    <w:qFormat/>
    <w:rsid w:val="008B0654"/>
    <w:pPr>
      <w:ind w:left="170" w:hanging="170"/>
    </w:pPr>
    <w:rPr>
      <w:sz w:val="16"/>
      <w:szCs w:val="16"/>
    </w:rPr>
  </w:style>
  <w:style w:type="character" w:customStyle="1" w:styleId="VoetnootChar">
    <w:name w:val="Voetnoot Char"/>
    <w:basedOn w:val="NotedebasdepageCar"/>
    <w:link w:val="Voetnoot"/>
    <w:rsid w:val="008B0654"/>
    <w:rPr>
      <w:rFonts w:ascii="Verdana" w:eastAsia="Times New Roman" w:hAnsi="Verdana" w:cs="Times New Roman"/>
      <w:position w:val="4"/>
      <w:sz w:val="16"/>
      <w:szCs w:val="16"/>
      <w:lang w:val="en-GB" w:eastAsia="de-DE"/>
    </w:rPr>
  </w:style>
  <w:style w:type="paragraph" w:styleId="TM7">
    <w:name w:val="toc 7"/>
    <w:basedOn w:val="Normal"/>
    <w:next w:val="Normal"/>
    <w:autoRedefine/>
    <w:uiPriority w:val="39"/>
    <w:unhideWhenUsed/>
    <w:rsid w:val="0031337C"/>
    <w:pPr>
      <w:spacing w:after="100"/>
      <w:ind w:left="1200"/>
    </w:pPr>
  </w:style>
  <w:style w:type="paragraph" w:customStyle="1" w:styleId="Absatz">
    <w:name w:val="Absatz"/>
    <w:basedOn w:val="Normal"/>
    <w:rsid w:val="00157768"/>
    <w:pPr>
      <w:spacing w:before="0" w:after="0"/>
      <w:ind w:left="1729"/>
    </w:pPr>
    <w:rPr>
      <w:rFonts w:ascii="Times New Roman" w:hAnsi="Times New Roman"/>
    </w:rPr>
  </w:style>
  <w:style w:type="paragraph" w:customStyle="1" w:styleId="Default">
    <w:name w:val="Default"/>
    <w:rsid w:val="0015776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M2">
    <w:name w:val="toc 2"/>
    <w:basedOn w:val="Normal"/>
    <w:next w:val="Normal"/>
    <w:autoRedefine/>
    <w:uiPriority w:val="39"/>
    <w:unhideWhenUsed/>
    <w:rsid w:val="00A14D85"/>
    <w:pPr>
      <w:spacing w:after="100"/>
      <w:ind w:left="200"/>
    </w:pPr>
    <w:rPr>
      <w:caps/>
    </w:rPr>
  </w:style>
  <w:style w:type="paragraph" w:styleId="TM3">
    <w:name w:val="toc 3"/>
    <w:basedOn w:val="Normal"/>
    <w:next w:val="Normal"/>
    <w:autoRedefine/>
    <w:uiPriority w:val="39"/>
    <w:unhideWhenUsed/>
    <w:rsid w:val="00A14D85"/>
    <w:pPr>
      <w:spacing w:after="100"/>
      <w:ind w:left="400"/>
    </w:pPr>
    <w:rPr>
      <w:i/>
    </w:rPr>
  </w:style>
  <w:style w:type="paragraph" w:styleId="TM4">
    <w:name w:val="toc 4"/>
    <w:basedOn w:val="Normal"/>
    <w:next w:val="Normal"/>
    <w:autoRedefine/>
    <w:uiPriority w:val="39"/>
    <w:unhideWhenUsed/>
    <w:rsid w:val="00A14D85"/>
    <w:pPr>
      <w:spacing w:after="100"/>
      <w:ind w:left="600"/>
    </w:pPr>
  </w:style>
  <w:style w:type="paragraph" w:styleId="TM5">
    <w:name w:val="toc 5"/>
    <w:basedOn w:val="Normal"/>
    <w:next w:val="Normal"/>
    <w:autoRedefine/>
    <w:uiPriority w:val="39"/>
    <w:unhideWhenUsed/>
    <w:rsid w:val="00A14D85"/>
    <w:pPr>
      <w:spacing w:after="100"/>
      <w:ind w:left="800"/>
    </w:pPr>
    <w:rPr>
      <w:i/>
      <w:color w:val="000000" w:themeColor="text1"/>
      <w:sz w:val="18"/>
    </w:rPr>
  </w:style>
  <w:style w:type="paragraph" w:styleId="TM6">
    <w:name w:val="toc 6"/>
    <w:basedOn w:val="Normal"/>
    <w:next w:val="Normal"/>
    <w:autoRedefine/>
    <w:uiPriority w:val="39"/>
    <w:unhideWhenUsed/>
    <w:rsid w:val="00A14D85"/>
    <w:pPr>
      <w:spacing w:before="0" w:after="100" w:line="259" w:lineRule="auto"/>
      <w:ind w:left="1100"/>
    </w:pPr>
    <w:rPr>
      <w:rFonts w:asciiTheme="minorHAnsi" w:eastAsiaTheme="minorEastAsia" w:hAnsiTheme="minorHAnsi" w:cstheme="minorBidi"/>
      <w:sz w:val="22"/>
      <w:szCs w:val="22"/>
      <w:lang w:val="nl-NL" w:eastAsia="nl-NL"/>
    </w:rPr>
  </w:style>
  <w:style w:type="paragraph" w:styleId="TM8">
    <w:name w:val="toc 8"/>
    <w:basedOn w:val="Normal"/>
    <w:next w:val="Normal"/>
    <w:autoRedefine/>
    <w:uiPriority w:val="39"/>
    <w:unhideWhenUsed/>
    <w:rsid w:val="00A14D85"/>
    <w:pPr>
      <w:spacing w:before="0" w:after="100" w:line="259" w:lineRule="auto"/>
      <w:ind w:left="1540"/>
    </w:pPr>
    <w:rPr>
      <w:rFonts w:asciiTheme="minorHAnsi" w:eastAsiaTheme="minorEastAsia" w:hAnsiTheme="minorHAnsi" w:cstheme="minorBidi"/>
      <w:sz w:val="22"/>
      <w:szCs w:val="22"/>
      <w:lang w:val="nl-NL" w:eastAsia="nl-NL"/>
    </w:rPr>
  </w:style>
  <w:style w:type="paragraph" w:styleId="TM9">
    <w:name w:val="toc 9"/>
    <w:basedOn w:val="Normal"/>
    <w:next w:val="Normal"/>
    <w:autoRedefine/>
    <w:uiPriority w:val="39"/>
    <w:unhideWhenUsed/>
    <w:rsid w:val="00A14D85"/>
    <w:pPr>
      <w:spacing w:before="0" w:after="100" w:line="259" w:lineRule="auto"/>
      <w:ind w:left="1760"/>
    </w:pPr>
    <w:rPr>
      <w:rFonts w:asciiTheme="minorHAnsi" w:eastAsiaTheme="minorEastAsia" w:hAnsiTheme="minorHAnsi" w:cstheme="minorBidi"/>
      <w:sz w:val="22"/>
      <w:szCs w:val="22"/>
      <w:lang w:val="nl-NL" w:eastAsia="nl-NL"/>
    </w:rPr>
  </w:style>
  <w:style w:type="paragraph" w:styleId="Commentaire">
    <w:name w:val="annotation text"/>
    <w:basedOn w:val="Normal"/>
    <w:link w:val="CommentaireCar"/>
    <w:uiPriority w:val="99"/>
    <w:unhideWhenUsed/>
    <w:rsid w:val="00DC1EF1"/>
    <w:pPr>
      <w:jc w:val="both"/>
    </w:pPr>
  </w:style>
  <w:style w:type="character" w:customStyle="1" w:styleId="CommentaireCar">
    <w:name w:val="Commentaire Car"/>
    <w:basedOn w:val="Policepardfaut"/>
    <w:link w:val="Commentaire"/>
    <w:uiPriority w:val="99"/>
    <w:rsid w:val="00DC1EF1"/>
    <w:rPr>
      <w:rFonts w:ascii="Verdana" w:eastAsia="Times New Roman" w:hAnsi="Verdana" w:cs="Times New Roman"/>
      <w:sz w:val="20"/>
      <w:szCs w:val="20"/>
      <w:lang w:val="en-GB" w:eastAsia="de-DE"/>
    </w:rPr>
  </w:style>
  <w:style w:type="character" w:styleId="Marquedecommentaire">
    <w:name w:val="annotation reference"/>
    <w:unhideWhenUsed/>
    <w:qFormat/>
    <w:rsid w:val="00DC1EF1"/>
    <w:rPr>
      <w:sz w:val="16"/>
    </w:rPr>
  </w:style>
  <w:style w:type="paragraph" w:styleId="Textedebulles">
    <w:name w:val="Balloon Text"/>
    <w:basedOn w:val="Normal"/>
    <w:link w:val="TextedebullesCar"/>
    <w:uiPriority w:val="99"/>
    <w:semiHidden/>
    <w:unhideWhenUsed/>
    <w:rsid w:val="00DC1EF1"/>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EF1"/>
    <w:rPr>
      <w:rFonts w:ascii="Segoe UI" w:eastAsia="Times New Roman" w:hAnsi="Segoe UI" w:cs="Segoe UI"/>
      <w:sz w:val="18"/>
      <w:szCs w:val="18"/>
      <w:lang w:val="en-GB" w:eastAsia="de-DE"/>
    </w:rPr>
  </w:style>
  <w:style w:type="paragraph" w:styleId="NormalWeb">
    <w:name w:val="Normal (Web)"/>
    <w:basedOn w:val="Normal"/>
    <w:uiPriority w:val="99"/>
    <w:semiHidden/>
    <w:unhideWhenUsed/>
    <w:rsid w:val="00210E08"/>
    <w:pPr>
      <w:spacing w:before="100" w:beforeAutospacing="1" w:after="100" w:afterAutospacing="1"/>
    </w:pPr>
    <w:rPr>
      <w:rFonts w:ascii="Times New Roman" w:hAnsi="Times New Roman"/>
      <w:sz w:val="24"/>
      <w:szCs w:val="24"/>
      <w:lang w:val="nl-NL" w:eastAsia="nl-NL"/>
    </w:rPr>
  </w:style>
  <w:style w:type="paragraph" w:styleId="Paragraphedeliste">
    <w:name w:val="List Paragraph"/>
    <w:basedOn w:val="Normal"/>
    <w:link w:val="ParagraphedelisteCar"/>
    <w:uiPriority w:val="34"/>
    <w:qFormat/>
    <w:rsid w:val="00A0626E"/>
    <w:pPr>
      <w:ind w:left="720"/>
      <w:contextualSpacing/>
    </w:pPr>
  </w:style>
  <w:style w:type="character" w:customStyle="1" w:styleId="MarkerenChar">
    <w:name w:val="Markeren Char"/>
    <w:link w:val="Markeren"/>
    <w:locked/>
    <w:rsid w:val="00A0626E"/>
    <w:rPr>
      <w:rFonts w:ascii="Verdana" w:eastAsia="Calibri" w:hAnsi="Verdana"/>
      <w:b/>
      <w:color w:val="2F5496"/>
      <w:lang w:val="en-GB"/>
    </w:rPr>
  </w:style>
  <w:style w:type="paragraph" w:customStyle="1" w:styleId="Markeren">
    <w:name w:val="Markeren"/>
    <w:basedOn w:val="Normal"/>
    <w:link w:val="MarkerenChar"/>
    <w:qFormat/>
    <w:rsid w:val="00A0626E"/>
    <w:pPr>
      <w:jc w:val="both"/>
    </w:pPr>
    <w:rPr>
      <w:rFonts w:eastAsia="Calibri" w:cstheme="minorBidi"/>
      <w:b/>
      <w:color w:val="2F5496"/>
      <w:sz w:val="22"/>
      <w:szCs w:val="22"/>
      <w:lang w:eastAsia="en-US"/>
    </w:rPr>
  </w:style>
  <w:style w:type="paragraph" w:styleId="Objetducommentaire">
    <w:name w:val="annotation subject"/>
    <w:basedOn w:val="Commentaire"/>
    <w:next w:val="Commentaire"/>
    <w:link w:val="ObjetducommentaireCar"/>
    <w:uiPriority w:val="99"/>
    <w:semiHidden/>
    <w:unhideWhenUsed/>
    <w:rsid w:val="00736C93"/>
    <w:pPr>
      <w:jc w:val="left"/>
    </w:pPr>
    <w:rPr>
      <w:b/>
      <w:bCs/>
    </w:rPr>
  </w:style>
  <w:style w:type="character" w:customStyle="1" w:styleId="ObjetducommentaireCar">
    <w:name w:val="Objet du commentaire Car"/>
    <w:basedOn w:val="CommentaireCar"/>
    <w:link w:val="Objetducommentaire"/>
    <w:uiPriority w:val="99"/>
    <w:semiHidden/>
    <w:rsid w:val="00736C93"/>
    <w:rPr>
      <w:rFonts w:ascii="Verdana" w:eastAsia="Times New Roman" w:hAnsi="Verdana" w:cs="Times New Roman"/>
      <w:b/>
      <w:bCs/>
      <w:sz w:val="20"/>
      <w:szCs w:val="20"/>
      <w:lang w:val="en-GB" w:eastAsia="de-DE"/>
    </w:rPr>
  </w:style>
  <w:style w:type="paragraph" w:customStyle="1" w:styleId="Standard-italics">
    <w:name w:val="Standard-italics"/>
    <w:basedOn w:val="Normal"/>
    <w:rsid w:val="00850D14"/>
    <w:pPr>
      <w:keepNext/>
    </w:pPr>
    <w:rPr>
      <w:i/>
    </w:rPr>
  </w:style>
  <w:style w:type="paragraph" w:styleId="Rvision">
    <w:name w:val="Revision"/>
    <w:hidden/>
    <w:uiPriority w:val="99"/>
    <w:semiHidden/>
    <w:rsid w:val="00726A3B"/>
    <w:pPr>
      <w:spacing w:after="0" w:line="240" w:lineRule="auto"/>
    </w:pPr>
    <w:rPr>
      <w:rFonts w:ascii="Verdana" w:eastAsia="Times New Roman" w:hAnsi="Verdana" w:cs="Times New Roman"/>
      <w:sz w:val="20"/>
      <w:szCs w:val="20"/>
      <w:lang w:val="en-GB" w:eastAsia="de-DE"/>
    </w:rPr>
  </w:style>
  <w:style w:type="character" w:customStyle="1" w:styleId="ParagraphedelisteCar">
    <w:name w:val="Paragraphe de liste Car"/>
    <w:link w:val="Paragraphedeliste"/>
    <w:uiPriority w:val="34"/>
    <w:rsid w:val="00EC2A96"/>
    <w:rPr>
      <w:rFonts w:ascii="Verdana" w:eastAsia="Times New Roman" w:hAnsi="Verdana" w:cs="Times New Roman"/>
      <w:sz w:val="20"/>
      <w:szCs w:val="20"/>
      <w:lang w:val="en-GB" w:eastAsia="de-DE"/>
    </w:rPr>
  </w:style>
  <w:style w:type="paragraph" w:styleId="Lgende">
    <w:name w:val="caption"/>
    <w:aliases w:val="Box"/>
    <w:basedOn w:val="Normal"/>
    <w:next w:val="Absatz"/>
    <w:link w:val="LgendeCar"/>
    <w:qFormat/>
    <w:rsid w:val="00EC2A96"/>
    <w:pPr>
      <w:tabs>
        <w:tab w:val="left" w:pos="1418"/>
      </w:tabs>
      <w:spacing w:before="0" w:after="255"/>
      <w:ind w:left="1418" w:hanging="1418"/>
    </w:pPr>
    <w:rPr>
      <w:rFonts w:ascii="Times New Roman" w:hAnsi="Times New Roman"/>
    </w:rPr>
  </w:style>
  <w:style w:type="character" w:customStyle="1" w:styleId="LgendeCar">
    <w:name w:val="Légende Car"/>
    <w:aliases w:val="Box Car"/>
    <w:link w:val="Lgende"/>
    <w:rsid w:val="00EC2A96"/>
    <w:rPr>
      <w:rFonts w:ascii="Times New Roman" w:eastAsia="Times New Roman" w:hAnsi="Times New Roman" w:cs="Times New Roman"/>
      <w:sz w:val="20"/>
      <w:szCs w:val="20"/>
      <w:lang w:val="en-GB" w:eastAsia="de-DE"/>
    </w:rPr>
  </w:style>
  <w:style w:type="character" w:customStyle="1" w:styleId="Caractresdenotedebasdepage">
    <w:name w:val="Caractères de note de bas de page"/>
    <w:rsid w:val="00B50969"/>
    <w:rPr>
      <w:position w:val="8"/>
      <w:sz w:val="16"/>
    </w:rPr>
  </w:style>
  <w:style w:type="table" w:customStyle="1" w:styleId="TableGrid2">
    <w:name w:val="Table Grid2"/>
    <w:basedOn w:val="TableauNormal"/>
    <w:next w:val="Grilledutableau"/>
    <w:rsid w:val="00382D19"/>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rentAuth1">
    <w:name w:val="CurrentAuth1"/>
    <w:basedOn w:val="Titre3"/>
    <w:link w:val="CurrentAuth1Char"/>
    <w:qFormat/>
    <w:rsid w:val="00382D19"/>
    <w:pPr>
      <w:numPr>
        <w:ilvl w:val="0"/>
        <w:numId w:val="32"/>
      </w:numPr>
      <w:spacing w:before="240" w:line="360" w:lineRule="auto"/>
      <w:jc w:val="both"/>
    </w:pPr>
    <w:rPr>
      <w:rFonts w:ascii="Arial" w:eastAsiaTheme="majorEastAsia" w:hAnsi="Arial" w:cs="Arial"/>
      <w:bCs/>
      <w:color w:val="1F4D78" w:themeColor="accent1" w:themeShade="7F"/>
      <w:sz w:val="28"/>
      <w:szCs w:val="28"/>
    </w:rPr>
  </w:style>
  <w:style w:type="character" w:customStyle="1" w:styleId="CurrentAuth1Char">
    <w:name w:val="CurrentAuth1 Char"/>
    <w:basedOn w:val="Titre3Car"/>
    <w:link w:val="CurrentAuth1"/>
    <w:rsid w:val="00382D19"/>
    <w:rPr>
      <w:rFonts w:ascii="Arial" w:eastAsiaTheme="majorEastAsia" w:hAnsi="Arial" w:cs="Arial"/>
      <w:b/>
      <w:bCs/>
      <w:color w:val="1F4D78" w:themeColor="accent1" w:themeShade="7F"/>
      <w:sz w:val="28"/>
      <w:szCs w:val="28"/>
      <w:lang w:val="en-GB" w:eastAsia="de-DE"/>
    </w:rPr>
  </w:style>
  <w:style w:type="paragraph" w:customStyle="1" w:styleId="CurrentAuth2">
    <w:name w:val="CurrentAuth2"/>
    <w:basedOn w:val="Titre4"/>
    <w:qFormat/>
    <w:rsid w:val="00382D19"/>
    <w:pPr>
      <w:numPr>
        <w:ilvl w:val="1"/>
        <w:numId w:val="32"/>
      </w:numPr>
      <w:tabs>
        <w:tab w:val="num" w:pos="360"/>
      </w:tabs>
      <w:spacing w:before="0" w:after="0" w:line="260" w:lineRule="atLeast"/>
    </w:pPr>
    <w:rPr>
      <w:rFonts w:ascii="Arial" w:eastAsia="Times New Roman" w:hAnsi="Arial" w:cs="Arial"/>
      <w:b/>
      <w:bCs/>
      <w:i w:val="0"/>
      <w:szCs w:val="26"/>
      <w:lang w:eastAsia="de-DE"/>
    </w:rPr>
  </w:style>
  <w:style w:type="paragraph" w:customStyle="1" w:styleId="CurrentAuth3">
    <w:name w:val="CurrentAuth3"/>
    <w:basedOn w:val="Titre3"/>
    <w:qFormat/>
    <w:rsid w:val="00382D19"/>
    <w:pPr>
      <w:numPr>
        <w:numId w:val="32"/>
      </w:numPr>
      <w:tabs>
        <w:tab w:val="num" w:pos="360"/>
      </w:tabs>
      <w:spacing w:before="0" w:after="0" w:line="260" w:lineRule="atLeast"/>
      <w:jc w:val="both"/>
    </w:pPr>
    <w:rPr>
      <w:rFonts w:ascii="Arial" w:hAnsi="Arial" w:cs="Arial"/>
      <w:bCs/>
      <w:sz w:val="24"/>
      <w:szCs w:val="26"/>
    </w:rPr>
  </w:style>
  <w:style w:type="paragraph" w:customStyle="1" w:styleId="CurrentAuth4">
    <w:name w:val="CurrentAuth4"/>
    <w:basedOn w:val="Titre4"/>
    <w:qFormat/>
    <w:rsid w:val="00382D19"/>
    <w:pPr>
      <w:numPr>
        <w:numId w:val="32"/>
      </w:numPr>
      <w:tabs>
        <w:tab w:val="num" w:pos="360"/>
      </w:tabs>
      <w:spacing w:before="0" w:after="0" w:line="260" w:lineRule="atLeast"/>
    </w:pPr>
    <w:rPr>
      <w:rFonts w:ascii="Arial" w:eastAsia="Times New Roman" w:hAnsi="Arial" w:cs="Arial"/>
      <w:b/>
      <w:bCs/>
      <w:i w:val="0"/>
      <w:szCs w:val="26"/>
      <w:lang w:eastAsia="de-DE"/>
    </w:rPr>
  </w:style>
  <w:style w:type="character" w:styleId="Numrodeligne">
    <w:name w:val="line number"/>
    <w:basedOn w:val="Policepardfaut"/>
    <w:rsid w:val="00EE20E3"/>
  </w:style>
  <w:style w:type="paragraph" w:styleId="Corpsdetexte">
    <w:name w:val="Body Text"/>
    <w:aliases w:val="Body Text1,Leipäteksti Char,Text"/>
    <w:basedOn w:val="Normal"/>
    <w:link w:val="CorpsdetexteCar"/>
    <w:rsid w:val="00F31DB5"/>
    <w:pPr>
      <w:spacing w:before="0" w:after="120"/>
      <w:jc w:val="both"/>
    </w:pPr>
    <w:rPr>
      <w:rFonts w:ascii="Times New Roman" w:hAnsi="Times New Roman"/>
      <w:sz w:val="24"/>
      <w:szCs w:val="24"/>
      <w:lang w:eastAsia="en-GB"/>
    </w:rPr>
  </w:style>
  <w:style w:type="character" w:customStyle="1" w:styleId="CorpsdetexteCar">
    <w:name w:val="Corps de texte Car"/>
    <w:aliases w:val="Body Text1 Car,Leipäteksti Char Car,Text Car"/>
    <w:basedOn w:val="Policepardfaut"/>
    <w:link w:val="Corpsdetexte"/>
    <w:rsid w:val="00F31DB5"/>
    <w:rPr>
      <w:rFonts w:ascii="Times New Roman" w:eastAsia="Times New Roman" w:hAnsi="Times New Roman" w:cs="Times New Roman"/>
      <w:sz w:val="24"/>
      <w:szCs w:val="24"/>
      <w:lang w:val="en-GB" w:eastAsia="en-GB"/>
    </w:rPr>
  </w:style>
  <w:style w:type="table" w:customStyle="1" w:styleId="Grilledutableau2">
    <w:name w:val="Grille du tableau2"/>
    <w:basedOn w:val="TableauNormal"/>
    <w:next w:val="Grilledutableau"/>
    <w:uiPriority w:val="59"/>
    <w:rsid w:val="0018739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7640F"/>
    <w:rPr>
      <w:color w:val="954F72" w:themeColor="followedHyperlink"/>
      <w:u w:val="single"/>
    </w:rPr>
  </w:style>
  <w:style w:type="paragraph" w:styleId="PrformatHTML">
    <w:name w:val="HTML Preformatted"/>
    <w:basedOn w:val="Normal"/>
    <w:link w:val="PrformatHTMLCar"/>
    <w:uiPriority w:val="99"/>
    <w:semiHidden/>
    <w:unhideWhenUsed/>
    <w:rsid w:val="008A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fr-FR" w:eastAsia="fr-FR"/>
    </w:rPr>
  </w:style>
  <w:style w:type="character" w:customStyle="1" w:styleId="PrformatHTMLCar">
    <w:name w:val="Préformaté HTML Car"/>
    <w:basedOn w:val="Policepardfaut"/>
    <w:link w:val="PrformatHTML"/>
    <w:uiPriority w:val="99"/>
    <w:semiHidden/>
    <w:rsid w:val="008A0CE0"/>
    <w:rPr>
      <w:rFonts w:ascii="Courier New" w:eastAsia="Times New Roman" w:hAnsi="Courier New" w:cs="Courier New"/>
      <w:sz w:val="20"/>
      <w:szCs w:val="20"/>
      <w:lang w:val="fr-FR" w:eastAsia="fr-FR"/>
    </w:rPr>
  </w:style>
  <w:style w:type="paragraph" w:styleId="Notedefin">
    <w:name w:val="endnote text"/>
    <w:basedOn w:val="Normal"/>
    <w:link w:val="NotedefinCar"/>
    <w:uiPriority w:val="99"/>
    <w:semiHidden/>
    <w:unhideWhenUsed/>
    <w:rsid w:val="00965030"/>
    <w:pPr>
      <w:spacing w:before="0" w:after="0"/>
    </w:pPr>
  </w:style>
  <w:style w:type="character" w:customStyle="1" w:styleId="NotedefinCar">
    <w:name w:val="Note de fin Car"/>
    <w:basedOn w:val="Policepardfaut"/>
    <w:link w:val="Notedefin"/>
    <w:uiPriority w:val="99"/>
    <w:semiHidden/>
    <w:rsid w:val="00965030"/>
    <w:rPr>
      <w:rFonts w:ascii="Verdana" w:eastAsia="Times New Roman" w:hAnsi="Verdana" w:cs="Times New Roman"/>
      <w:sz w:val="20"/>
      <w:szCs w:val="20"/>
      <w:lang w:val="en-GB" w:eastAsia="de-DE"/>
    </w:rPr>
  </w:style>
  <w:style w:type="character" w:styleId="Appeldenotedefin">
    <w:name w:val="endnote reference"/>
    <w:basedOn w:val="Policepardfaut"/>
    <w:uiPriority w:val="99"/>
    <w:semiHidden/>
    <w:unhideWhenUsed/>
    <w:rsid w:val="00965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3517">
      <w:bodyDiv w:val="1"/>
      <w:marLeft w:val="0"/>
      <w:marRight w:val="0"/>
      <w:marTop w:val="0"/>
      <w:marBottom w:val="0"/>
      <w:divBdr>
        <w:top w:val="none" w:sz="0" w:space="0" w:color="auto"/>
        <w:left w:val="none" w:sz="0" w:space="0" w:color="auto"/>
        <w:bottom w:val="none" w:sz="0" w:space="0" w:color="auto"/>
        <w:right w:val="none" w:sz="0" w:space="0" w:color="auto"/>
      </w:divBdr>
    </w:div>
    <w:div w:id="127355332">
      <w:bodyDiv w:val="1"/>
      <w:marLeft w:val="0"/>
      <w:marRight w:val="0"/>
      <w:marTop w:val="0"/>
      <w:marBottom w:val="0"/>
      <w:divBdr>
        <w:top w:val="none" w:sz="0" w:space="0" w:color="auto"/>
        <w:left w:val="none" w:sz="0" w:space="0" w:color="auto"/>
        <w:bottom w:val="none" w:sz="0" w:space="0" w:color="auto"/>
        <w:right w:val="none" w:sz="0" w:space="0" w:color="auto"/>
      </w:divBdr>
    </w:div>
    <w:div w:id="461732600">
      <w:bodyDiv w:val="1"/>
      <w:marLeft w:val="0"/>
      <w:marRight w:val="0"/>
      <w:marTop w:val="0"/>
      <w:marBottom w:val="0"/>
      <w:divBdr>
        <w:top w:val="none" w:sz="0" w:space="0" w:color="auto"/>
        <w:left w:val="none" w:sz="0" w:space="0" w:color="auto"/>
        <w:bottom w:val="none" w:sz="0" w:space="0" w:color="auto"/>
        <w:right w:val="none" w:sz="0" w:space="0" w:color="auto"/>
      </w:divBdr>
    </w:div>
    <w:div w:id="514998928">
      <w:bodyDiv w:val="1"/>
      <w:marLeft w:val="0"/>
      <w:marRight w:val="0"/>
      <w:marTop w:val="0"/>
      <w:marBottom w:val="0"/>
      <w:divBdr>
        <w:top w:val="none" w:sz="0" w:space="0" w:color="auto"/>
        <w:left w:val="none" w:sz="0" w:space="0" w:color="auto"/>
        <w:bottom w:val="none" w:sz="0" w:space="0" w:color="auto"/>
        <w:right w:val="none" w:sz="0" w:space="0" w:color="auto"/>
      </w:divBdr>
    </w:div>
    <w:div w:id="652678358">
      <w:bodyDiv w:val="1"/>
      <w:marLeft w:val="0"/>
      <w:marRight w:val="0"/>
      <w:marTop w:val="0"/>
      <w:marBottom w:val="0"/>
      <w:divBdr>
        <w:top w:val="none" w:sz="0" w:space="0" w:color="auto"/>
        <w:left w:val="none" w:sz="0" w:space="0" w:color="auto"/>
        <w:bottom w:val="none" w:sz="0" w:space="0" w:color="auto"/>
        <w:right w:val="none" w:sz="0" w:space="0" w:color="auto"/>
      </w:divBdr>
    </w:div>
    <w:div w:id="676542935">
      <w:bodyDiv w:val="1"/>
      <w:marLeft w:val="0"/>
      <w:marRight w:val="0"/>
      <w:marTop w:val="0"/>
      <w:marBottom w:val="0"/>
      <w:divBdr>
        <w:top w:val="none" w:sz="0" w:space="0" w:color="auto"/>
        <w:left w:val="none" w:sz="0" w:space="0" w:color="auto"/>
        <w:bottom w:val="none" w:sz="0" w:space="0" w:color="auto"/>
        <w:right w:val="none" w:sz="0" w:space="0" w:color="auto"/>
      </w:divBdr>
    </w:div>
    <w:div w:id="688725287">
      <w:bodyDiv w:val="1"/>
      <w:marLeft w:val="0"/>
      <w:marRight w:val="0"/>
      <w:marTop w:val="0"/>
      <w:marBottom w:val="0"/>
      <w:divBdr>
        <w:top w:val="none" w:sz="0" w:space="0" w:color="auto"/>
        <w:left w:val="none" w:sz="0" w:space="0" w:color="auto"/>
        <w:bottom w:val="none" w:sz="0" w:space="0" w:color="auto"/>
        <w:right w:val="none" w:sz="0" w:space="0" w:color="auto"/>
      </w:divBdr>
    </w:div>
    <w:div w:id="874464172">
      <w:bodyDiv w:val="1"/>
      <w:marLeft w:val="0"/>
      <w:marRight w:val="0"/>
      <w:marTop w:val="0"/>
      <w:marBottom w:val="0"/>
      <w:divBdr>
        <w:top w:val="none" w:sz="0" w:space="0" w:color="auto"/>
        <w:left w:val="none" w:sz="0" w:space="0" w:color="auto"/>
        <w:bottom w:val="none" w:sz="0" w:space="0" w:color="auto"/>
        <w:right w:val="none" w:sz="0" w:space="0" w:color="auto"/>
      </w:divBdr>
    </w:div>
    <w:div w:id="885677636">
      <w:bodyDiv w:val="1"/>
      <w:marLeft w:val="0"/>
      <w:marRight w:val="0"/>
      <w:marTop w:val="0"/>
      <w:marBottom w:val="0"/>
      <w:divBdr>
        <w:top w:val="none" w:sz="0" w:space="0" w:color="auto"/>
        <w:left w:val="none" w:sz="0" w:space="0" w:color="auto"/>
        <w:bottom w:val="none" w:sz="0" w:space="0" w:color="auto"/>
        <w:right w:val="none" w:sz="0" w:space="0" w:color="auto"/>
      </w:divBdr>
    </w:div>
    <w:div w:id="1059210079">
      <w:bodyDiv w:val="1"/>
      <w:marLeft w:val="0"/>
      <w:marRight w:val="0"/>
      <w:marTop w:val="0"/>
      <w:marBottom w:val="0"/>
      <w:divBdr>
        <w:top w:val="none" w:sz="0" w:space="0" w:color="auto"/>
        <w:left w:val="none" w:sz="0" w:space="0" w:color="auto"/>
        <w:bottom w:val="none" w:sz="0" w:space="0" w:color="auto"/>
        <w:right w:val="none" w:sz="0" w:space="0" w:color="auto"/>
      </w:divBdr>
    </w:div>
    <w:div w:id="1078555976">
      <w:bodyDiv w:val="1"/>
      <w:marLeft w:val="0"/>
      <w:marRight w:val="0"/>
      <w:marTop w:val="0"/>
      <w:marBottom w:val="0"/>
      <w:divBdr>
        <w:top w:val="none" w:sz="0" w:space="0" w:color="auto"/>
        <w:left w:val="none" w:sz="0" w:space="0" w:color="auto"/>
        <w:bottom w:val="none" w:sz="0" w:space="0" w:color="auto"/>
        <w:right w:val="none" w:sz="0" w:space="0" w:color="auto"/>
      </w:divBdr>
    </w:div>
    <w:div w:id="1166021780">
      <w:bodyDiv w:val="1"/>
      <w:marLeft w:val="0"/>
      <w:marRight w:val="0"/>
      <w:marTop w:val="0"/>
      <w:marBottom w:val="0"/>
      <w:divBdr>
        <w:top w:val="none" w:sz="0" w:space="0" w:color="auto"/>
        <w:left w:val="none" w:sz="0" w:space="0" w:color="auto"/>
        <w:bottom w:val="none" w:sz="0" w:space="0" w:color="auto"/>
        <w:right w:val="none" w:sz="0" w:space="0" w:color="auto"/>
      </w:divBdr>
    </w:div>
    <w:div w:id="1412314859">
      <w:bodyDiv w:val="1"/>
      <w:marLeft w:val="0"/>
      <w:marRight w:val="0"/>
      <w:marTop w:val="0"/>
      <w:marBottom w:val="0"/>
      <w:divBdr>
        <w:top w:val="none" w:sz="0" w:space="0" w:color="auto"/>
        <w:left w:val="none" w:sz="0" w:space="0" w:color="auto"/>
        <w:bottom w:val="none" w:sz="0" w:space="0" w:color="auto"/>
        <w:right w:val="none" w:sz="0" w:space="0" w:color="auto"/>
      </w:divBdr>
      <w:divsChild>
        <w:div w:id="853106240">
          <w:marLeft w:val="0"/>
          <w:marRight w:val="0"/>
          <w:marTop w:val="0"/>
          <w:marBottom w:val="0"/>
          <w:divBdr>
            <w:top w:val="none" w:sz="0" w:space="0" w:color="auto"/>
            <w:left w:val="none" w:sz="0" w:space="0" w:color="auto"/>
            <w:bottom w:val="none" w:sz="0" w:space="0" w:color="auto"/>
            <w:right w:val="none" w:sz="0" w:space="0" w:color="auto"/>
          </w:divBdr>
          <w:divsChild>
            <w:div w:id="373120735">
              <w:marLeft w:val="0"/>
              <w:marRight w:val="0"/>
              <w:marTop w:val="0"/>
              <w:marBottom w:val="0"/>
              <w:divBdr>
                <w:top w:val="none" w:sz="0" w:space="0" w:color="auto"/>
                <w:left w:val="none" w:sz="0" w:space="0" w:color="auto"/>
                <w:bottom w:val="none" w:sz="0" w:space="0" w:color="auto"/>
                <w:right w:val="none" w:sz="0" w:space="0" w:color="auto"/>
              </w:divBdr>
              <w:divsChild>
                <w:div w:id="1929189815">
                  <w:marLeft w:val="0"/>
                  <w:marRight w:val="0"/>
                  <w:marTop w:val="0"/>
                  <w:marBottom w:val="0"/>
                  <w:divBdr>
                    <w:top w:val="none" w:sz="0" w:space="0" w:color="auto"/>
                    <w:left w:val="none" w:sz="0" w:space="0" w:color="auto"/>
                    <w:bottom w:val="none" w:sz="0" w:space="0" w:color="auto"/>
                    <w:right w:val="none" w:sz="0" w:space="0" w:color="auto"/>
                  </w:divBdr>
                  <w:divsChild>
                    <w:div w:id="488861330">
                      <w:marLeft w:val="0"/>
                      <w:marRight w:val="0"/>
                      <w:marTop w:val="0"/>
                      <w:marBottom w:val="0"/>
                      <w:divBdr>
                        <w:top w:val="none" w:sz="0" w:space="0" w:color="auto"/>
                        <w:left w:val="none" w:sz="0" w:space="0" w:color="auto"/>
                        <w:bottom w:val="none" w:sz="0" w:space="0" w:color="auto"/>
                        <w:right w:val="none" w:sz="0" w:space="0" w:color="auto"/>
                      </w:divBdr>
                      <w:divsChild>
                        <w:div w:id="1240405698">
                          <w:marLeft w:val="0"/>
                          <w:marRight w:val="0"/>
                          <w:marTop w:val="0"/>
                          <w:marBottom w:val="0"/>
                          <w:divBdr>
                            <w:top w:val="none" w:sz="0" w:space="0" w:color="auto"/>
                            <w:left w:val="none" w:sz="0" w:space="0" w:color="auto"/>
                            <w:bottom w:val="none" w:sz="0" w:space="0" w:color="auto"/>
                            <w:right w:val="none" w:sz="0" w:space="0" w:color="auto"/>
                          </w:divBdr>
                          <w:divsChild>
                            <w:div w:id="1775784807">
                              <w:marLeft w:val="2070"/>
                              <w:marRight w:val="3960"/>
                              <w:marTop w:val="0"/>
                              <w:marBottom w:val="0"/>
                              <w:divBdr>
                                <w:top w:val="none" w:sz="0" w:space="0" w:color="auto"/>
                                <w:left w:val="none" w:sz="0" w:space="0" w:color="auto"/>
                                <w:bottom w:val="none" w:sz="0" w:space="0" w:color="auto"/>
                                <w:right w:val="none" w:sz="0" w:space="0" w:color="auto"/>
                              </w:divBdr>
                              <w:divsChild>
                                <w:div w:id="800542054">
                                  <w:marLeft w:val="0"/>
                                  <w:marRight w:val="0"/>
                                  <w:marTop w:val="0"/>
                                  <w:marBottom w:val="0"/>
                                  <w:divBdr>
                                    <w:top w:val="none" w:sz="0" w:space="0" w:color="auto"/>
                                    <w:left w:val="none" w:sz="0" w:space="0" w:color="auto"/>
                                    <w:bottom w:val="none" w:sz="0" w:space="0" w:color="auto"/>
                                    <w:right w:val="none" w:sz="0" w:space="0" w:color="auto"/>
                                  </w:divBdr>
                                  <w:divsChild>
                                    <w:div w:id="984745592">
                                      <w:marLeft w:val="0"/>
                                      <w:marRight w:val="0"/>
                                      <w:marTop w:val="0"/>
                                      <w:marBottom w:val="0"/>
                                      <w:divBdr>
                                        <w:top w:val="none" w:sz="0" w:space="0" w:color="auto"/>
                                        <w:left w:val="none" w:sz="0" w:space="0" w:color="auto"/>
                                        <w:bottom w:val="none" w:sz="0" w:space="0" w:color="auto"/>
                                        <w:right w:val="none" w:sz="0" w:space="0" w:color="auto"/>
                                      </w:divBdr>
                                      <w:divsChild>
                                        <w:div w:id="1644458417">
                                          <w:marLeft w:val="0"/>
                                          <w:marRight w:val="0"/>
                                          <w:marTop w:val="0"/>
                                          <w:marBottom w:val="0"/>
                                          <w:divBdr>
                                            <w:top w:val="none" w:sz="0" w:space="0" w:color="auto"/>
                                            <w:left w:val="none" w:sz="0" w:space="0" w:color="auto"/>
                                            <w:bottom w:val="none" w:sz="0" w:space="0" w:color="auto"/>
                                            <w:right w:val="none" w:sz="0" w:space="0" w:color="auto"/>
                                          </w:divBdr>
                                          <w:divsChild>
                                            <w:div w:id="358625219">
                                              <w:marLeft w:val="0"/>
                                              <w:marRight w:val="0"/>
                                              <w:marTop w:val="90"/>
                                              <w:marBottom w:val="0"/>
                                              <w:divBdr>
                                                <w:top w:val="none" w:sz="0" w:space="0" w:color="auto"/>
                                                <w:left w:val="none" w:sz="0" w:space="0" w:color="auto"/>
                                                <w:bottom w:val="none" w:sz="0" w:space="0" w:color="auto"/>
                                                <w:right w:val="none" w:sz="0" w:space="0" w:color="auto"/>
                                              </w:divBdr>
                                              <w:divsChild>
                                                <w:div w:id="1840735633">
                                                  <w:marLeft w:val="0"/>
                                                  <w:marRight w:val="0"/>
                                                  <w:marTop w:val="0"/>
                                                  <w:marBottom w:val="0"/>
                                                  <w:divBdr>
                                                    <w:top w:val="none" w:sz="0" w:space="0" w:color="auto"/>
                                                    <w:left w:val="none" w:sz="0" w:space="0" w:color="auto"/>
                                                    <w:bottom w:val="none" w:sz="0" w:space="0" w:color="auto"/>
                                                    <w:right w:val="none" w:sz="0" w:space="0" w:color="auto"/>
                                                  </w:divBdr>
                                                  <w:divsChild>
                                                    <w:div w:id="1666469376">
                                                      <w:marLeft w:val="0"/>
                                                      <w:marRight w:val="0"/>
                                                      <w:marTop w:val="0"/>
                                                      <w:marBottom w:val="405"/>
                                                      <w:divBdr>
                                                        <w:top w:val="none" w:sz="0" w:space="0" w:color="auto"/>
                                                        <w:left w:val="none" w:sz="0" w:space="0" w:color="auto"/>
                                                        <w:bottom w:val="none" w:sz="0" w:space="0" w:color="auto"/>
                                                        <w:right w:val="none" w:sz="0" w:space="0" w:color="auto"/>
                                                      </w:divBdr>
                                                      <w:divsChild>
                                                        <w:div w:id="1279140899">
                                                          <w:marLeft w:val="0"/>
                                                          <w:marRight w:val="0"/>
                                                          <w:marTop w:val="0"/>
                                                          <w:marBottom w:val="0"/>
                                                          <w:divBdr>
                                                            <w:top w:val="none" w:sz="0" w:space="0" w:color="auto"/>
                                                            <w:left w:val="none" w:sz="0" w:space="0" w:color="auto"/>
                                                            <w:bottom w:val="none" w:sz="0" w:space="0" w:color="auto"/>
                                                            <w:right w:val="none" w:sz="0" w:space="0" w:color="auto"/>
                                                          </w:divBdr>
                                                          <w:divsChild>
                                                            <w:div w:id="262684615">
                                                              <w:marLeft w:val="0"/>
                                                              <w:marRight w:val="0"/>
                                                              <w:marTop w:val="0"/>
                                                              <w:marBottom w:val="0"/>
                                                              <w:divBdr>
                                                                <w:top w:val="none" w:sz="0" w:space="0" w:color="auto"/>
                                                                <w:left w:val="none" w:sz="0" w:space="0" w:color="auto"/>
                                                                <w:bottom w:val="none" w:sz="0" w:space="0" w:color="auto"/>
                                                                <w:right w:val="none" w:sz="0" w:space="0" w:color="auto"/>
                                                              </w:divBdr>
                                                              <w:divsChild>
                                                                <w:div w:id="1609701405">
                                                                  <w:marLeft w:val="0"/>
                                                                  <w:marRight w:val="0"/>
                                                                  <w:marTop w:val="0"/>
                                                                  <w:marBottom w:val="0"/>
                                                                  <w:divBdr>
                                                                    <w:top w:val="none" w:sz="0" w:space="0" w:color="auto"/>
                                                                    <w:left w:val="none" w:sz="0" w:space="0" w:color="auto"/>
                                                                    <w:bottom w:val="none" w:sz="0" w:space="0" w:color="auto"/>
                                                                    <w:right w:val="none" w:sz="0" w:space="0" w:color="auto"/>
                                                                  </w:divBdr>
                                                                  <w:divsChild>
                                                                    <w:div w:id="840659181">
                                                                      <w:marLeft w:val="0"/>
                                                                      <w:marRight w:val="0"/>
                                                                      <w:marTop w:val="0"/>
                                                                      <w:marBottom w:val="0"/>
                                                                      <w:divBdr>
                                                                        <w:top w:val="none" w:sz="0" w:space="0" w:color="auto"/>
                                                                        <w:left w:val="none" w:sz="0" w:space="0" w:color="auto"/>
                                                                        <w:bottom w:val="none" w:sz="0" w:space="0" w:color="auto"/>
                                                                        <w:right w:val="none" w:sz="0" w:space="0" w:color="auto"/>
                                                                      </w:divBdr>
                                                                      <w:divsChild>
                                                                        <w:div w:id="1753618455">
                                                                          <w:marLeft w:val="0"/>
                                                                          <w:marRight w:val="0"/>
                                                                          <w:marTop w:val="0"/>
                                                                          <w:marBottom w:val="0"/>
                                                                          <w:divBdr>
                                                                            <w:top w:val="none" w:sz="0" w:space="0" w:color="auto"/>
                                                                            <w:left w:val="none" w:sz="0" w:space="0" w:color="auto"/>
                                                                            <w:bottom w:val="none" w:sz="0" w:space="0" w:color="auto"/>
                                                                            <w:right w:val="none" w:sz="0" w:space="0" w:color="auto"/>
                                                                          </w:divBdr>
                                                                          <w:divsChild>
                                                                            <w:div w:id="850947085">
                                                                              <w:marLeft w:val="0"/>
                                                                              <w:marRight w:val="0"/>
                                                                              <w:marTop w:val="0"/>
                                                                              <w:marBottom w:val="0"/>
                                                                              <w:divBdr>
                                                                                <w:top w:val="none" w:sz="0" w:space="0" w:color="auto"/>
                                                                                <w:left w:val="none" w:sz="0" w:space="0" w:color="auto"/>
                                                                                <w:bottom w:val="none" w:sz="0" w:space="0" w:color="auto"/>
                                                                                <w:right w:val="none" w:sz="0" w:space="0" w:color="auto"/>
                                                                              </w:divBdr>
                                                                              <w:divsChild>
                                                                                <w:div w:id="258636893">
                                                                                  <w:marLeft w:val="0"/>
                                                                                  <w:marRight w:val="0"/>
                                                                                  <w:marTop w:val="0"/>
                                                                                  <w:marBottom w:val="0"/>
                                                                                  <w:divBdr>
                                                                                    <w:top w:val="none" w:sz="0" w:space="0" w:color="auto"/>
                                                                                    <w:left w:val="none" w:sz="0" w:space="0" w:color="auto"/>
                                                                                    <w:bottom w:val="none" w:sz="0" w:space="0" w:color="auto"/>
                                                                                    <w:right w:val="none" w:sz="0" w:space="0" w:color="auto"/>
                                                                                  </w:divBdr>
                                                                                  <w:divsChild>
                                                                                    <w:div w:id="804737637">
                                                                                      <w:marLeft w:val="0"/>
                                                                                      <w:marRight w:val="0"/>
                                                                                      <w:marTop w:val="0"/>
                                                                                      <w:marBottom w:val="0"/>
                                                                                      <w:divBdr>
                                                                                        <w:top w:val="none" w:sz="0" w:space="0" w:color="auto"/>
                                                                                        <w:left w:val="none" w:sz="0" w:space="0" w:color="auto"/>
                                                                                        <w:bottom w:val="none" w:sz="0" w:space="0" w:color="auto"/>
                                                                                        <w:right w:val="none" w:sz="0" w:space="0" w:color="auto"/>
                                                                                      </w:divBdr>
                                                                                      <w:divsChild>
                                                                                        <w:div w:id="9846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9509">
      <w:bodyDiv w:val="1"/>
      <w:marLeft w:val="0"/>
      <w:marRight w:val="0"/>
      <w:marTop w:val="0"/>
      <w:marBottom w:val="0"/>
      <w:divBdr>
        <w:top w:val="none" w:sz="0" w:space="0" w:color="auto"/>
        <w:left w:val="none" w:sz="0" w:space="0" w:color="auto"/>
        <w:bottom w:val="none" w:sz="0" w:space="0" w:color="auto"/>
        <w:right w:val="none" w:sz="0" w:space="0" w:color="auto"/>
      </w:divBdr>
    </w:div>
    <w:div w:id="1474905474">
      <w:bodyDiv w:val="1"/>
      <w:marLeft w:val="0"/>
      <w:marRight w:val="0"/>
      <w:marTop w:val="0"/>
      <w:marBottom w:val="0"/>
      <w:divBdr>
        <w:top w:val="none" w:sz="0" w:space="0" w:color="auto"/>
        <w:left w:val="none" w:sz="0" w:space="0" w:color="auto"/>
        <w:bottom w:val="none" w:sz="0" w:space="0" w:color="auto"/>
        <w:right w:val="none" w:sz="0" w:space="0" w:color="auto"/>
      </w:divBdr>
    </w:div>
    <w:div w:id="1514998977">
      <w:bodyDiv w:val="1"/>
      <w:marLeft w:val="0"/>
      <w:marRight w:val="0"/>
      <w:marTop w:val="0"/>
      <w:marBottom w:val="0"/>
      <w:divBdr>
        <w:top w:val="none" w:sz="0" w:space="0" w:color="auto"/>
        <w:left w:val="none" w:sz="0" w:space="0" w:color="auto"/>
        <w:bottom w:val="none" w:sz="0" w:space="0" w:color="auto"/>
        <w:right w:val="none" w:sz="0" w:space="0" w:color="auto"/>
      </w:divBdr>
    </w:div>
    <w:div w:id="1539509707">
      <w:bodyDiv w:val="1"/>
      <w:marLeft w:val="0"/>
      <w:marRight w:val="0"/>
      <w:marTop w:val="0"/>
      <w:marBottom w:val="0"/>
      <w:divBdr>
        <w:top w:val="none" w:sz="0" w:space="0" w:color="auto"/>
        <w:left w:val="none" w:sz="0" w:space="0" w:color="auto"/>
        <w:bottom w:val="none" w:sz="0" w:space="0" w:color="auto"/>
        <w:right w:val="none" w:sz="0" w:space="0" w:color="auto"/>
      </w:divBdr>
    </w:div>
    <w:div w:id="1550535780">
      <w:bodyDiv w:val="1"/>
      <w:marLeft w:val="0"/>
      <w:marRight w:val="0"/>
      <w:marTop w:val="0"/>
      <w:marBottom w:val="0"/>
      <w:divBdr>
        <w:top w:val="none" w:sz="0" w:space="0" w:color="auto"/>
        <w:left w:val="none" w:sz="0" w:space="0" w:color="auto"/>
        <w:bottom w:val="none" w:sz="0" w:space="0" w:color="auto"/>
        <w:right w:val="none" w:sz="0" w:space="0" w:color="auto"/>
      </w:divBdr>
    </w:div>
    <w:div w:id="1648825080">
      <w:bodyDiv w:val="1"/>
      <w:marLeft w:val="0"/>
      <w:marRight w:val="0"/>
      <w:marTop w:val="0"/>
      <w:marBottom w:val="0"/>
      <w:divBdr>
        <w:top w:val="none" w:sz="0" w:space="0" w:color="auto"/>
        <w:left w:val="none" w:sz="0" w:space="0" w:color="auto"/>
        <w:bottom w:val="none" w:sz="0" w:space="0" w:color="auto"/>
        <w:right w:val="none" w:sz="0" w:space="0" w:color="auto"/>
      </w:divBdr>
      <w:divsChild>
        <w:div w:id="618298362">
          <w:marLeft w:val="0"/>
          <w:marRight w:val="0"/>
          <w:marTop w:val="0"/>
          <w:marBottom w:val="0"/>
          <w:divBdr>
            <w:top w:val="none" w:sz="0" w:space="0" w:color="auto"/>
            <w:left w:val="none" w:sz="0" w:space="0" w:color="auto"/>
            <w:bottom w:val="none" w:sz="0" w:space="0" w:color="auto"/>
            <w:right w:val="none" w:sz="0" w:space="0" w:color="auto"/>
          </w:divBdr>
          <w:divsChild>
            <w:div w:id="1825126645">
              <w:marLeft w:val="0"/>
              <w:marRight w:val="0"/>
              <w:marTop w:val="0"/>
              <w:marBottom w:val="0"/>
              <w:divBdr>
                <w:top w:val="none" w:sz="0" w:space="0" w:color="auto"/>
                <w:left w:val="none" w:sz="0" w:space="0" w:color="auto"/>
                <w:bottom w:val="none" w:sz="0" w:space="0" w:color="auto"/>
                <w:right w:val="none" w:sz="0" w:space="0" w:color="auto"/>
              </w:divBdr>
              <w:divsChild>
                <w:div w:id="743650767">
                  <w:marLeft w:val="0"/>
                  <w:marRight w:val="0"/>
                  <w:marTop w:val="0"/>
                  <w:marBottom w:val="0"/>
                  <w:divBdr>
                    <w:top w:val="none" w:sz="0" w:space="0" w:color="auto"/>
                    <w:left w:val="none" w:sz="0" w:space="0" w:color="auto"/>
                    <w:bottom w:val="none" w:sz="0" w:space="0" w:color="auto"/>
                    <w:right w:val="none" w:sz="0" w:space="0" w:color="auto"/>
                  </w:divBdr>
                  <w:divsChild>
                    <w:div w:id="907114812">
                      <w:marLeft w:val="0"/>
                      <w:marRight w:val="0"/>
                      <w:marTop w:val="0"/>
                      <w:marBottom w:val="0"/>
                      <w:divBdr>
                        <w:top w:val="none" w:sz="0" w:space="0" w:color="auto"/>
                        <w:left w:val="none" w:sz="0" w:space="0" w:color="auto"/>
                        <w:bottom w:val="none" w:sz="0" w:space="0" w:color="auto"/>
                        <w:right w:val="none" w:sz="0" w:space="0" w:color="auto"/>
                      </w:divBdr>
                      <w:divsChild>
                        <w:div w:id="2025936783">
                          <w:marLeft w:val="0"/>
                          <w:marRight w:val="0"/>
                          <w:marTop w:val="0"/>
                          <w:marBottom w:val="0"/>
                          <w:divBdr>
                            <w:top w:val="none" w:sz="0" w:space="0" w:color="auto"/>
                            <w:left w:val="none" w:sz="0" w:space="0" w:color="auto"/>
                            <w:bottom w:val="none" w:sz="0" w:space="0" w:color="auto"/>
                            <w:right w:val="none" w:sz="0" w:space="0" w:color="auto"/>
                          </w:divBdr>
                          <w:divsChild>
                            <w:div w:id="1746536391">
                              <w:marLeft w:val="2070"/>
                              <w:marRight w:val="3960"/>
                              <w:marTop w:val="0"/>
                              <w:marBottom w:val="0"/>
                              <w:divBdr>
                                <w:top w:val="none" w:sz="0" w:space="0" w:color="auto"/>
                                <w:left w:val="none" w:sz="0" w:space="0" w:color="auto"/>
                                <w:bottom w:val="none" w:sz="0" w:space="0" w:color="auto"/>
                                <w:right w:val="none" w:sz="0" w:space="0" w:color="auto"/>
                              </w:divBdr>
                              <w:divsChild>
                                <w:div w:id="154616502">
                                  <w:marLeft w:val="0"/>
                                  <w:marRight w:val="0"/>
                                  <w:marTop w:val="0"/>
                                  <w:marBottom w:val="0"/>
                                  <w:divBdr>
                                    <w:top w:val="none" w:sz="0" w:space="0" w:color="auto"/>
                                    <w:left w:val="none" w:sz="0" w:space="0" w:color="auto"/>
                                    <w:bottom w:val="none" w:sz="0" w:space="0" w:color="auto"/>
                                    <w:right w:val="none" w:sz="0" w:space="0" w:color="auto"/>
                                  </w:divBdr>
                                  <w:divsChild>
                                    <w:div w:id="1920139751">
                                      <w:marLeft w:val="0"/>
                                      <w:marRight w:val="0"/>
                                      <w:marTop w:val="0"/>
                                      <w:marBottom w:val="0"/>
                                      <w:divBdr>
                                        <w:top w:val="none" w:sz="0" w:space="0" w:color="auto"/>
                                        <w:left w:val="none" w:sz="0" w:space="0" w:color="auto"/>
                                        <w:bottom w:val="none" w:sz="0" w:space="0" w:color="auto"/>
                                        <w:right w:val="none" w:sz="0" w:space="0" w:color="auto"/>
                                      </w:divBdr>
                                      <w:divsChild>
                                        <w:div w:id="1007051799">
                                          <w:marLeft w:val="0"/>
                                          <w:marRight w:val="0"/>
                                          <w:marTop w:val="0"/>
                                          <w:marBottom w:val="0"/>
                                          <w:divBdr>
                                            <w:top w:val="none" w:sz="0" w:space="0" w:color="auto"/>
                                            <w:left w:val="none" w:sz="0" w:space="0" w:color="auto"/>
                                            <w:bottom w:val="none" w:sz="0" w:space="0" w:color="auto"/>
                                            <w:right w:val="none" w:sz="0" w:space="0" w:color="auto"/>
                                          </w:divBdr>
                                          <w:divsChild>
                                            <w:div w:id="482359705">
                                              <w:marLeft w:val="0"/>
                                              <w:marRight w:val="0"/>
                                              <w:marTop w:val="90"/>
                                              <w:marBottom w:val="0"/>
                                              <w:divBdr>
                                                <w:top w:val="none" w:sz="0" w:space="0" w:color="auto"/>
                                                <w:left w:val="none" w:sz="0" w:space="0" w:color="auto"/>
                                                <w:bottom w:val="none" w:sz="0" w:space="0" w:color="auto"/>
                                                <w:right w:val="none" w:sz="0" w:space="0" w:color="auto"/>
                                              </w:divBdr>
                                              <w:divsChild>
                                                <w:div w:id="386997854">
                                                  <w:marLeft w:val="0"/>
                                                  <w:marRight w:val="0"/>
                                                  <w:marTop w:val="0"/>
                                                  <w:marBottom w:val="0"/>
                                                  <w:divBdr>
                                                    <w:top w:val="none" w:sz="0" w:space="0" w:color="auto"/>
                                                    <w:left w:val="none" w:sz="0" w:space="0" w:color="auto"/>
                                                    <w:bottom w:val="none" w:sz="0" w:space="0" w:color="auto"/>
                                                    <w:right w:val="none" w:sz="0" w:space="0" w:color="auto"/>
                                                  </w:divBdr>
                                                  <w:divsChild>
                                                    <w:div w:id="969942306">
                                                      <w:marLeft w:val="0"/>
                                                      <w:marRight w:val="0"/>
                                                      <w:marTop w:val="0"/>
                                                      <w:marBottom w:val="405"/>
                                                      <w:divBdr>
                                                        <w:top w:val="none" w:sz="0" w:space="0" w:color="auto"/>
                                                        <w:left w:val="none" w:sz="0" w:space="0" w:color="auto"/>
                                                        <w:bottom w:val="none" w:sz="0" w:space="0" w:color="auto"/>
                                                        <w:right w:val="none" w:sz="0" w:space="0" w:color="auto"/>
                                                      </w:divBdr>
                                                      <w:divsChild>
                                                        <w:div w:id="906115301">
                                                          <w:marLeft w:val="0"/>
                                                          <w:marRight w:val="0"/>
                                                          <w:marTop w:val="0"/>
                                                          <w:marBottom w:val="0"/>
                                                          <w:divBdr>
                                                            <w:top w:val="none" w:sz="0" w:space="0" w:color="auto"/>
                                                            <w:left w:val="none" w:sz="0" w:space="0" w:color="auto"/>
                                                            <w:bottom w:val="none" w:sz="0" w:space="0" w:color="auto"/>
                                                            <w:right w:val="none" w:sz="0" w:space="0" w:color="auto"/>
                                                          </w:divBdr>
                                                          <w:divsChild>
                                                            <w:div w:id="110366265">
                                                              <w:marLeft w:val="0"/>
                                                              <w:marRight w:val="0"/>
                                                              <w:marTop w:val="0"/>
                                                              <w:marBottom w:val="0"/>
                                                              <w:divBdr>
                                                                <w:top w:val="none" w:sz="0" w:space="0" w:color="auto"/>
                                                                <w:left w:val="none" w:sz="0" w:space="0" w:color="auto"/>
                                                                <w:bottom w:val="none" w:sz="0" w:space="0" w:color="auto"/>
                                                                <w:right w:val="none" w:sz="0" w:space="0" w:color="auto"/>
                                                              </w:divBdr>
                                                              <w:divsChild>
                                                                <w:div w:id="1439255547">
                                                                  <w:marLeft w:val="0"/>
                                                                  <w:marRight w:val="0"/>
                                                                  <w:marTop w:val="0"/>
                                                                  <w:marBottom w:val="0"/>
                                                                  <w:divBdr>
                                                                    <w:top w:val="none" w:sz="0" w:space="0" w:color="auto"/>
                                                                    <w:left w:val="none" w:sz="0" w:space="0" w:color="auto"/>
                                                                    <w:bottom w:val="none" w:sz="0" w:space="0" w:color="auto"/>
                                                                    <w:right w:val="none" w:sz="0" w:space="0" w:color="auto"/>
                                                                  </w:divBdr>
                                                                  <w:divsChild>
                                                                    <w:div w:id="1133517735">
                                                                      <w:marLeft w:val="0"/>
                                                                      <w:marRight w:val="0"/>
                                                                      <w:marTop w:val="0"/>
                                                                      <w:marBottom w:val="0"/>
                                                                      <w:divBdr>
                                                                        <w:top w:val="none" w:sz="0" w:space="0" w:color="auto"/>
                                                                        <w:left w:val="none" w:sz="0" w:space="0" w:color="auto"/>
                                                                        <w:bottom w:val="none" w:sz="0" w:space="0" w:color="auto"/>
                                                                        <w:right w:val="none" w:sz="0" w:space="0" w:color="auto"/>
                                                                      </w:divBdr>
                                                                      <w:divsChild>
                                                                        <w:div w:id="32006139">
                                                                          <w:marLeft w:val="0"/>
                                                                          <w:marRight w:val="0"/>
                                                                          <w:marTop w:val="0"/>
                                                                          <w:marBottom w:val="0"/>
                                                                          <w:divBdr>
                                                                            <w:top w:val="none" w:sz="0" w:space="0" w:color="auto"/>
                                                                            <w:left w:val="none" w:sz="0" w:space="0" w:color="auto"/>
                                                                            <w:bottom w:val="none" w:sz="0" w:space="0" w:color="auto"/>
                                                                            <w:right w:val="none" w:sz="0" w:space="0" w:color="auto"/>
                                                                          </w:divBdr>
                                                                          <w:divsChild>
                                                                            <w:div w:id="1347175399">
                                                                              <w:marLeft w:val="0"/>
                                                                              <w:marRight w:val="0"/>
                                                                              <w:marTop w:val="0"/>
                                                                              <w:marBottom w:val="0"/>
                                                                              <w:divBdr>
                                                                                <w:top w:val="none" w:sz="0" w:space="0" w:color="auto"/>
                                                                                <w:left w:val="none" w:sz="0" w:space="0" w:color="auto"/>
                                                                                <w:bottom w:val="none" w:sz="0" w:space="0" w:color="auto"/>
                                                                                <w:right w:val="none" w:sz="0" w:space="0" w:color="auto"/>
                                                                              </w:divBdr>
                                                                              <w:divsChild>
                                                                                <w:div w:id="1357923665">
                                                                                  <w:marLeft w:val="0"/>
                                                                                  <w:marRight w:val="0"/>
                                                                                  <w:marTop w:val="0"/>
                                                                                  <w:marBottom w:val="0"/>
                                                                                  <w:divBdr>
                                                                                    <w:top w:val="none" w:sz="0" w:space="0" w:color="auto"/>
                                                                                    <w:left w:val="none" w:sz="0" w:space="0" w:color="auto"/>
                                                                                    <w:bottom w:val="none" w:sz="0" w:space="0" w:color="auto"/>
                                                                                    <w:right w:val="none" w:sz="0" w:space="0" w:color="auto"/>
                                                                                  </w:divBdr>
                                                                                  <w:divsChild>
                                                                                    <w:div w:id="1778137468">
                                                                                      <w:marLeft w:val="0"/>
                                                                                      <w:marRight w:val="0"/>
                                                                                      <w:marTop w:val="0"/>
                                                                                      <w:marBottom w:val="0"/>
                                                                                      <w:divBdr>
                                                                                        <w:top w:val="none" w:sz="0" w:space="0" w:color="auto"/>
                                                                                        <w:left w:val="none" w:sz="0" w:space="0" w:color="auto"/>
                                                                                        <w:bottom w:val="none" w:sz="0" w:space="0" w:color="auto"/>
                                                                                        <w:right w:val="none" w:sz="0" w:space="0" w:color="auto"/>
                                                                                      </w:divBdr>
                                                                                      <w:divsChild>
                                                                                        <w:div w:id="12360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798267">
      <w:bodyDiv w:val="1"/>
      <w:marLeft w:val="0"/>
      <w:marRight w:val="0"/>
      <w:marTop w:val="0"/>
      <w:marBottom w:val="0"/>
      <w:divBdr>
        <w:top w:val="none" w:sz="0" w:space="0" w:color="auto"/>
        <w:left w:val="none" w:sz="0" w:space="0" w:color="auto"/>
        <w:bottom w:val="none" w:sz="0" w:space="0" w:color="auto"/>
        <w:right w:val="none" w:sz="0" w:space="0" w:color="auto"/>
      </w:divBdr>
    </w:div>
    <w:div w:id="1832983517">
      <w:bodyDiv w:val="1"/>
      <w:marLeft w:val="0"/>
      <w:marRight w:val="0"/>
      <w:marTop w:val="0"/>
      <w:marBottom w:val="0"/>
      <w:divBdr>
        <w:top w:val="none" w:sz="0" w:space="0" w:color="auto"/>
        <w:left w:val="none" w:sz="0" w:space="0" w:color="auto"/>
        <w:bottom w:val="none" w:sz="0" w:space="0" w:color="auto"/>
        <w:right w:val="none" w:sz="0" w:space="0" w:color="auto"/>
      </w:divBdr>
    </w:div>
    <w:div w:id="1853490982">
      <w:bodyDiv w:val="1"/>
      <w:marLeft w:val="0"/>
      <w:marRight w:val="0"/>
      <w:marTop w:val="0"/>
      <w:marBottom w:val="0"/>
      <w:divBdr>
        <w:top w:val="none" w:sz="0" w:space="0" w:color="auto"/>
        <w:left w:val="none" w:sz="0" w:space="0" w:color="auto"/>
        <w:bottom w:val="none" w:sz="0" w:space="0" w:color="auto"/>
        <w:right w:val="none" w:sz="0" w:space="0" w:color="auto"/>
      </w:divBdr>
      <w:divsChild>
        <w:div w:id="1132138250">
          <w:marLeft w:val="0"/>
          <w:marRight w:val="0"/>
          <w:marTop w:val="0"/>
          <w:marBottom w:val="0"/>
          <w:divBdr>
            <w:top w:val="none" w:sz="0" w:space="0" w:color="auto"/>
            <w:left w:val="none" w:sz="0" w:space="0" w:color="auto"/>
            <w:bottom w:val="none" w:sz="0" w:space="0" w:color="auto"/>
            <w:right w:val="none" w:sz="0" w:space="0" w:color="auto"/>
          </w:divBdr>
          <w:divsChild>
            <w:div w:id="1054429752">
              <w:marLeft w:val="0"/>
              <w:marRight w:val="0"/>
              <w:marTop w:val="0"/>
              <w:marBottom w:val="0"/>
              <w:divBdr>
                <w:top w:val="none" w:sz="0" w:space="0" w:color="auto"/>
                <w:left w:val="none" w:sz="0" w:space="0" w:color="auto"/>
                <w:bottom w:val="none" w:sz="0" w:space="0" w:color="auto"/>
                <w:right w:val="none" w:sz="0" w:space="0" w:color="auto"/>
              </w:divBdr>
              <w:divsChild>
                <w:div w:id="814764533">
                  <w:marLeft w:val="0"/>
                  <w:marRight w:val="0"/>
                  <w:marTop w:val="0"/>
                  <w:marBottom w:val="0"/>
                  <w:divBdr>
                    <w:top w:val="none" w:sz="0" w:space="0" w:color="auto"/>
                    <w:left w:val="none" w:sz="0" w:space="0" w:color="auto"/>
                    <w:bottom w:val="none" w:sz="0" w:space="0" w:color="auto"/>
                    <w:right w:val="none" w:sz="0" w:space="0" w:color="auto"/>
                  </w:divBdr>
                  <w:divsChild>
                    <w:div w:id="1963806390">
                      <w:marLeft w:val="0"/>
                      <w:marRight w:val="0"/>
                      <w:marTop w:val="0"/>
                      <w:marBottom w:val="0"/>
                      <w:divBdr>
                        <w:top w:val="none" w:sz="0" w:space="0" w:color="auto"/>
                        <w:left w:val="none" w:sz="0" w:space="0" w:color="auto"/>
                        <w:bottom w:val="none" w:sz="0" w:space="0" w:color="auto"/>
                        <w:right w:val="none" w:sz="0" w:space="0" w:color="auto"/>
                      </w:divBdr>
                      <w:divsChild>
                        <w:div w:id="839929037">
                          <w:marLeft w:val="0"/>
                          <w:marRight w:val="0"/>
                          <w:marTop w:val="0"/>
                          <w:marBottom w:val="0"/>
                          <w:divBdr>
                            <w:top w:val="none" w:sz="0" w:space="0" w:color="auto"/>
                            <w:left w:val="none" w:sz="0" w:space="0" w:color="auto"/>
                            <w:bottom w:val="none" w:sz="0" w:space="0" w:color="auto"/>
                            <w:right w:val="none" w:sz="0" w:space="0" w:color="auto"/>
                          </w:divBdr>
                          <w:divsChild>
                            <w:div w:id="1523275430">
                              <w:marLeft w:val="0"/>
                              <w:marRight w:val="0"/>
                              <w:marTop w:val="0"/>
                              <w:marBottom w:val="0"/>
                              <w:divBdr>
                                <w:top w:val="none" w:sz="0" w:space="0" w:color="auto"/>
                                <w:left w:val="none" w:sz="0" w:space="0" w:color="auto"/>
                                <w:bottom w:val="none" w:sz="0" w:space="0" w:color="auto"/>
                                <w:right w:val="none" w:sz="0" w:space="0" w:color="auto"/>
                              </w:divBdr>
                              <w:divsChild>
                                <w:div w:id="393165940">
                                  <w:marLeft w:val="0"/>
                                  <w:marRight w:val="0"/>
                                  <w:marTop w:val="0"/>
                                  <w:marBottom w:val="0"/>
                                  <w:divBdr>
                                    <w:top w:val="none" w:sz="0" w:space="0" w:color="auto"/>
                                    <w:left w:val="none" w:sz="0" w:space="0" w:color="auto"/>
                                    <w:bottom w:val="none" w:sz="0" w:space="0" w:color="auto"/>
                                    <w:right w:val="none" w:sz="0" w:space="0" w:color="auto"/>
                                  </w:divBdr>
                                  <w:divsChild>
                                    <w:div w:id="948197626">
                                      <w:marLeft w:val="0"/>
                                      <w:marRight w:val="0"/>
                                      <w:marTop w:val="0"/>
                                      <w:marBottom w:val="0"/>
                                      <w:divBdr>
                                        <w:top w:val="none" w:sz="0" w:space="0" w:color="auto"/>
                                        <w:left w:val="none" w:sz="0" w:space="0" w:color="auto"/>
                                        <w:bottom w:val="none" w:sz="0" w:space="0" w:color="auto"/>
                                        <w:right w:val="none" w:sz="0" w:space="0" w:color="auto"/>
                                      </w:divBdr>
                                      <w:divsChild>
                                        <w:div w:id="764570856">
                                          <w:marLeft w:val="0"/>
                                          <w:marRight w:val="0"/>
                                          <w:marTop w:val="0"/>
                                          <w:marBottom w:val="495"/>
                                          <w:divBdr>
                                            <w:top w:val="none" w:sz="0" w:space="0" w:color="auto"/>
                                            <w:left w:val="none" w:sz="0" w:space="0" w:color="auto"/>
                                            <w:bottom w:val="none" w:sz="0" w:space="0" w:color="auto"/>
                                            <w:right w:val="none" w:sz="0" w:space="0" w:color="auto"/>
                                          </w:divBdr>
                                          <w:divsChild>
                                            <w:div w:id="17555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66643">
      <w:bodyDiv w:val="1"/>
      <w:marLeft w:val="0"/>
      <w:marRight w:val="0"/>
      <w:marTop w:val="0"/>
      <w:marBottom w:val="0"/>
      <w:divBdr>
        <w:top w:val="none" w:sz="0" w:space="0" w:color="auto"/>
        <w:left w:val="none" w:sz="0" w:space="0" w:color="auto"/>
        <w:bottom w:val="none" w:sz="0" w:space="0" w:color="auto"/>
        <w:right w:val="none" w:sz="0" w:space="0" w:color="auto"/>
      </w:divBdr>
    </w:div>
    <w:div w:id="1971787078">
      <w:bodyDiv w:val="1"/>
      <w:marLeft w:val="0"/>
      <w:marRight w:val="0"/>
      <w:marTop w:val="0"/>
      <w:marBottom w:val="0"/>
      <w:divBdr>
        <w:top w:val="none" w:sz="0" w:space="0" w:color="auto"/>
        <w:left w:val="none" w:sz="0" w:space="0" w:color="auto"/>
        <w:bottom w:val="none" w:sz="0" w:space="0" w:color="auto"/>
        <w:right w:val="none" w:sz="0" w:space="0" w:color="auto"/>
      </w:divBdr>
    </w:div>
    <w:div w:id="2027512541">
      <w:bodyDiv w:val="1"/>
      <w:marLeft w:val="0"/>
      <w:marRight w:val="0"/>
      <w:marTop w:val="0"/>
      <w:marBottom w:val="0"/>
      <w:divBdr>
        <w:top w:val="none" w:sz="0" w:space="0" w:color="auto"/>
        <w:left w:val="none" w:sz="0" w:space="0" w:color="auto"/>
        <w:bottom w:val="none" w:sz="0" w:space="0" w:color="auto"/>
        <w:right w:val="none" w:sz="0" w:space="0" w:color="auto"/>
      </w:divBdr>
    </w:div>
    <w:div w:id="21464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2DC1-2E0E-4303-9399-63C0345B6CC1}">
  <ds:schemaRefs>
    <ds:schemaRef ds:uri="http://schemas.microsoft.com/office/2006/metadata/properties"/>
    <ds:schemaRef ds:uri="http://schemas.microsoft.com/office/infopath/2007/PartnerControls"/>
    <ds:schemaRef ds:uri="ad92bc46-598f-4ca9-bdb2-45c880761d99"/>
    <ds:schemaRef ds:uri="http://schemas.microsoft.com/sharepoint/v4"/>
  </ds:schemaRefs>
</ds:datastoreItem>
</file>

<file path=customXml/itemProps2.xml><?xml version="1.0" encoding="utf-8"?>
<ds:datastoreItem xmlns:ds="http://schemas.openxmlformats.org/officeDocument/2006/customXml" ds:itemID="{C0C61AE6-3E56-4EA8-BE5E-069EB66246C8}">
  <ds:schemaRefs>
    <ds:schemaRef ds:uri="http://schemas.microsoft.com/sharepoint/v3/contenttype/forms"/>
  </ds:schemaRefs>
</ds:datastoreItem>
</file>

<file path=customXml/itemProps3.xml><?xml version="1.0" encoding="utf-8"?>
<ds:datastoreItem xmlns:ds="http://schemas.openxmlformats.org/officeDocument/2006/customXml" ds:itemID="{9BC46BFA-5155-4774-840D-4D962BCF1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FE29C-CA70-46EC-A0D9-34623A42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122</Pages>
  <Words>52975</Words>
  <Characters>291368</Characters>
  <Application>Microsoft Office Word</Application>
  <DocSecurity>0</DocSecurity>
  <Lines>2428</Lines>
  <Paragraphs>687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health.fgov.be</Company>
  <LinksUpToDate>false</LinksUpToDate>
  <CharactersWithSpaces>343656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Charlotte</dc:creator>
  <cp:keywords/>
  <dc:description/>
  <cp:lastModifiedBy>CHABOT Esther</cp:lastModifiedBy>
  <cp:revision>10</cp:revision>
  <cp:lastPrinted>2019-07-03T11:40:00Z</cp:lastPrinted>
  <dcterms:created xsi:type="dcterms:W3CDTF">2019-09-24T08:09:00Z</dcterms:created>
  <dcterms:modified xsi:type="dcterms:W3CDTF">2022-01-20T16:12:00Z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